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215265</wp:posOffset>
            </wp:positionH>
            <wp:positionV relativeFrom="page">
              <wp:posOffset>694690</wp:posOffset>
            </wp:positionV>
            <wp:extent cx="71177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8255"/>
                    </a:xfrm>
                    <a:prstGeom prst="rect">
                      <a:avLst/>
                    </a:prstGeom>
                    <a:noFill/>
                  </pic:spPr>
                </pic:pic>
              </a:graphicData>
            </a:graphic>
          </wp:anchor>
        </w:drawing>
        <w:drawing>
          <wp:anchor simplePos="0" relativeHeight="251657728" behindDoc="1" locked="0" layoutInCell="0" allowOverlap="1">
            <wp:simplePos x="0" y="0"/>
            <wp:positionH relativeFrom="page">
              <wp:posOffset>215265</wp:posOffset>
            </wp:positionH>
            <wp:positionV relativeFrom="page">
              <wp:posOffset>652780</wp:posOffset>
            </wp:positionV>
            <wp:extent cx="71177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7715" cy="17145"/>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2" w:lineRule="exact"/>
        <w:rPr>
          <w:sz w:val="24"/>
          <w:szCs w:val="24"/>
          <w:color w:val="auto"/>
        </w:rPr>
      </w:pPr>
    </w:p>
    <w:p>
      <w:pPr>
        <w:ind w:left="620" w:hanging="369"/>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32" w:lineRule="exact"/>
        <w:rPr>
          <w:sz w:val="24"/>
          <w:szCs w:val="24"/>
          <w:color w:val="auto"/>
        </w:rPr>
      </w:pPr>
    </w:p>
    <w:p>
      <w:pPr>
        <w:ind w:left="860" w:hanging="357"/>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333-203369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Clearway Energy LLC</w:t>
      </w:r>
    </w:p>
    <w:p>
      <w:pPr>
        <w:spacing w:after="0" w:line="50" w:lineRule="exact"/>
        <w:rPr>
          <w:sz w:val="24"/>
          <w:szCs w:val="24"/>
          <w:color w:val="auto"/>
        </w:rPr>
      </w:pPr>
    </w:p>
    <w:tbl>
      <w:tblPr>
        <w:tblLayout w:type="fixed"/>
        <w:tblInd w:w="700" w:type="dxa"/>
        <w:tblCellMar>
          <w:top w:w="0" w:type="dxa"/>
          <w:left w:w="0" w:type="dxa"/>
          <w:bottom w:w="0" w:type="dxa"/>
          <w:right w:w="0" w:type="dxa"/>
        </w:tblCellMar>
      </w:tblPr>
      <w:tr>
        <w:trPr>
          <w:trHeight w:val="223"/>
        </w:trPr>
        <w:tc>
          <w:tcPr>
            <w:tcW w:w="2720" w:type="dxa"/>
            <w:vAlign w:val="bottom"/>
          </w:tcPr>
          <w:p>
            <w:pPr>
              <w:spacing w:after="0"/>
              <w:rPr>
                <w:sz w:val="19"/>
                <w:szCs w:val="19"/>
                <w:color w:val="auto"/>
              </w:rPr>
            </w:pPr>
          </w:p>
        </w:tc>
        <w:tc>
          <w:tcPr>
            <w:tcW w:w="4540" w:type="dxa"/>
            <w:vAlign w:val="bottom"/>
            <w:gridSpan w:val="2"/>
          </w:tcPr>
          <w:p>
            <w:pPr>
              <w:ind w:left="380"/>
              <w:spacing w:after="0"/>
              <w:rPr>
                <w:sz w:val="20"/>
                <w:szCs w:val="20"/>
                <w:color w:val="auto"/>
              </w:rPr>
            </w:pPr>
            <w:r>
              <w:rPr>
                <w:rFonts w:ascii="Arial" w:cs="Arial" w:eastAsia="Arial" w:hAnsi="Arial"/>
                <w:sz w:val="18"/>
                <w:szCs w:val="18"/>
                <w:color w:val="auto"/>
              </w:rPr>
              <w:t>(Exact name of registrant as specified in its charter)</w:t>
            </w:r>
          </w:p>
        </w:tc>
        <w:tc>
          <w:tcPr>
            <w:tcW w:w="1840" w:type="dxa"/>
            <w:vAlign w:val="bottom"/>
          </w:tcPr>
          <w:p>
            <w:pPr>
              <w:spacing w:after="0"/>
              <w:rPr>
                <w:sz w:val="19"/>
                <w:szCs w:val="19"/>
                <w:color w:val="auto"/>
              </w:rPr>
            </w:pPr>
          </w:p>
        </w:tc>
      </w:tr>
      <w:tr>
        <w:trPr>
          <w:trHeight w:val="238"/>
        </w:trPr>
        <w:tc>
          <w:tcPr>
            <w:tcW w:w="2720" w:type="dxa"/>
            <w:vAlign w:val="bottom"/>
          </w:tcPr>
          <w:p>
            <w:pPr>
              <w:jc w:val="center"/>
              <w:ind w:right="292"/>
              <w:spacing w:after="0"/>
              <w:rPr>
                <w:sz w:val="20"/>
                <w:szCs w:val="20"/>
                <w:color w:val="auto"/>
              </w:rPr>
            </w:pPr>
            <w:r>
              <w:rPr>
                <w:rFonts w:ascii="Arial" w:cs="Arial" w:eastAsia="Arial" w:hAnsi="Arial"/>
                <w:sz w:val="18"/>
                <w:szCs w:val="18"/>
                <w:b w:val="1"/>
                <w:bCs w:val="1"/>
                <w:color w:val="auto"/>
                <w:w w:val="88"/>
              </w:rPr>
              <w:t>Delaware</w:t>
            </w:r>
          </w:p>
        </w:tc>
        <w:tc>
          <w:tcPr>
            <w:tcW w:w="20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40" w:type="dxa"/>
            <w:vAlign w:val="bottom"/>
          </w:tcPr>
          <w:p>
            <w:pPr>
              <w:jc w:val="right"/>
              <w:ind w:right="152"/>
              <w:spacing w:after="0"/>
              <w:rPr>
                <w:sz w:val="20"/>
                <w:szCs w:val="20"/>
                <w:color w:val="auto"/>
              </w:rPr>
            </w:pPr>
            <w:r>
              <w:rPr>
                <w:rFonts w:ascii="Arial" w:cs="Arial" w:eastAsia="Arial" w:hAnsi="Arial"/>
                <w:sz w:val="18"/>
                <w:szCs w:val="18"/>
                <w:b w:val="1"/>
                <w:bCs w:val="1"/>
                <w:color w:val="auto"/>
              </w:rPr>
              <w:t>32-0407370</w:t>
            </w:r>
          </w:p>
        </w:tc>
      </w:tr>
      <w:tr>
        <w:trPr>
          <w:trHeight w:val="174"/>
        </w:trPr>
        <w:tc>
          <w:tcPr>
            <w:tcW w:w="2720" w:type="dxa"/>
            <w:vAlign w:val="bottom"/>
          </w:tcPr>
          <w:p>
            <w:pPr>
              <w:jc w:val="center"/>
              <w:ind w:right="292"/>
              <w:spacing w:after="0" w:line="174" w:lineRule="exact"/>
              <w:rPr>
                <w:sz w:val="20"/>
                <w:szCs w:val="20"/>
                <w:color w:val="auto"/>
              </w:rPr>
            </w:pPr>
            <w:r>
              <w:rPr>
                <w:rFonts w:ascii="Arial" w:cs="Arial" w:eastAsia="Arial" w:hAnsi="Arial"/>
                <w:sz w:val="18"/>
                <w:szCs w:val="18"/>
                <w:color w:val="auto"/>
                <w:w w:val="90"/>
              </w:rPr>
              <w:t>(State or other jurisdiction</w:t>
            </w:r>
          </w:p>
        </w:tc>
        <w:tc>
          <w:tcPr>
            <w:tcW w:w="20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40" w:type="dxa"/>
            <w:vAlign w:val="bottom"/>
          </w:tcPr>
          <w:p>
            <w:pPr>
              <w:jc w:val="center"/>
              <w:ind w:left="432"/>
              <w:spacing w:after="0" w:line="174" w:lineRule="exact"/>
              <w:rPr>
                <w:sz w:val="20"/>
                <w:szCs w:val="20"/>
                <w:color w:val="auto"/>
              </w:rPr>
            </w:pPr>
            <w:r>
              <w:rPr>
                <w:rFonts w:ascii="Arial" w:cs="Arial" w:eastAsia="Arial" w:hAnsi="Arial"/>
                <w:sz w:val="18"/>
                <w:szCs w:val="18"/>
                <w:color w:val="auto"/>
                <w:w w:val="90"/>
              </w:rPr>
              <w:t>(I.R.S. Employer</w:t>
            </w:r>
          </w:p>
        </w:tc>
      </w:tr>
      <w:tr>
        <w:trPr>
          <w:trHeight w:val="223"/>
        </w:trPr>
        <w:tc>
          <w:tcPr>
            <w:tcW w:w="2720" w:type="dxa"/>
            <w:vAlign w:val="bottom"/>
          </w:tcPr>
          <w:p>
            <w:pPr>
              <w:jc w:val="center"/>
              <w:ind w:right="312"/>
              <w:spacing w:after="0"/>
              <w:rPr>
                <w:sz w:val="20"/>
                <w:szCs w:val="20"/>
                <w:color w:val="auto"/>
              </w:rPr>
            </w:pPr>
            <w:r>
              <w:rPr>
                <w:rFonts w:ascii="Arial" w:cs="Arial" w:eastAsia="Arial" w:hAnsi="Arial"/>
                <w:sz w:val="18"/>
                <w:szCs w:val="18"/>
                <w:color w:val="auto"/>
                <w:w w:val="91"/>
              </w:rPr>
              <w:t>of incorporation or organization)</w:t>
            </w:r>
          </w:p>
        </w:tc>
        <w:tc>
          <w:tcPr>
            <w:tcW w:w="20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40" w:type="dxa"/>
            <w:vAlign w:val="bottom"/>
          </w:tcPr>
          <w:p>
            <w:pPr>
              <w:jc w:val="center"/>
              <w:ind w:left="432"/>
              <w:spacing w:after="0"/>
              <w:rPr>
                <w:sz w:val="20"/>
                <w:szCs w:val="20"/>
                <w:color w:val="auto"/>
              </w:rPr>
            </w:pPr>
            <w:r>
              <w:rPr>
                <w:rFonts w:ascii="Arial" w:cs="Arial" w:eastAsia="Arial" w:hAnsi="Arial"/>
                <w:sz w:val="18"/>
                <w:szCs w:val="18"/>
                <w:color w:val="auto"/>
                <w:w w:val="94"/>
              </w:rPr>
              <w:t>Identification No.)</w:t>
            </w:r>
          </w:p>
        </w:tc>
      </w:tr>
      <w:tr>
        <w:trPr>
          <w:trHeight w:val="278"/>
        </w:trPr>
        <w:tc>
          <w:tcPr>
            <w:tcW w:w="2720" w:type="dxa"/>
            <w:vAlign w:val="bottom"/>
          </w:tcPr>
          <w:p>
            <w:pPr>
              <w:jc w:val="center"/>
              <w:ind w:right="312"/>
              <w:spacing w:after="0"/>
              <w:rPr>
                <w:sz w:val="20"/>
                <w:szCs w:val="20"/>
                <w:color w:val="auto"/>
              </w:rPr>
            </w:pPr>
            <w:r>
              <w:rPr>
                <w:rFonts w:ascii="Arial" w:cs="Arial" w:eastAsia="Arial" w:hAnsi="Arial"/>
                <w:sz w:val="18"/>
                <w:szCs w:val="18"/>
                <w:b w:val="1"/>
                <w:bCs w:val="1"/>
                <w:color w:val="auto"/>
                <w:w w:val="88"/>
              </w:rPr>
              <w:t>300 Carnegie Center, Suite 300</w:t>
            </w:r>
          </w:p>
        </w:tc>
        <w:tc>
          <w:tcPr>
            <w:tcW w:w="2000" w:type="dxa"/>
            <w:vAlign w:val="bottom"/>
          </w:tcPr>
          <w:p>
            <w:pPr>
              <w:ind w:left="760"/>
              <w:spacing w:after="0"/>
              <w:rPr>
                <w:sz w:val="20"/>
                <w:szCs w:val="20"/>
                <w:color w:val="auto"/>
              </w:rPr>
            </w:pPr>
            <w:r>
              <w:rPr>
                <w:rFonts w:ascii="Arial" w:cs="Arial" w:eastAsia="Arial" w:hAnsi="Arial"/>
                <w:sz w:val="18"/>
                <w:szCs w:val="18"/>
                <w:b w:val="1"/>
                <w:bCs w:val="1"/>
                <w:color w:val="auto"/>
              </w:rPr>
              <w:t>Princeton</w:t>
            </w:r>
          </w:p>
        </w:tc>
        <w:tc>
          <w:tcPr>
            <w:tcW w:w="2540" w:type="dxa"/>
            <w:vAlign w:val="bottom"/>
          </w:tcPr>
          <w:p>
            <w:pPr>
              <w:ind w:left="420"/>
              <w:spacing w:after="0"/>
              <w:rPr>
                <w:sz w:val="20"/>
                <w:szCs w:val="20"/>
                <w:color w:val="auto"/>
              </w:rPr>
            </w:pPr>
            <w:r>
              <w:rPr>
                <w:rFonts w:ascii="Arial" w:cs="Arial" w:eastAsia="Arial" w:hAnsi="Arial"/>
                <w:sz w:val="18"/>
                <w:szCs w:val="18"/>
                <w:b w:val="1"/>
                <w:bCs w:val="1"/>
                <w:color w:val="auto"/>
              </w:rPr>
              <w:t>New Jersey</w:t>
            </w:r>
          </w:p>
        </w:tc>
        <w:tc>
          <w:tcPr>
            <w:tcW w:w="1840" w:type="dxa"/>
            <w:vAlign w:val="bottom"/>
          </w:tcPr>
          <w:p>
            <w:pPr>
              <w:jc w:val="right"/>
              <w:ind w:right="352"/>
              <w:spacing w:after="0"/>
              <w:rPr>
                <w:sz w:val="20"/>
                <w:szCs w:val="20"/>
                <w:color w:val="auto"/>
              </w:rPr>
            </w:pPr>
            <w:r>
              <w:rPr>
                <w:rFonts w:ascii="Arial" w:cs="Arial" w:eastAsia="Arial" w:hAnsi="Arial"/>
                <w:sz w:val="18"/>
                <w:szCs w:val="18"/>
                <w:b w:val="1"/>
                <w:bCs w:val="1"/>
                <w:color w:val="auto"/>
              </w:rPr>
              <w:t>08540</w:t>
            </w:r>
          </w:p>
        </w:tc>
      </w:tr>
      <w:tr>
        <w:trPr>
          <w:trHeight w:val="225"/>
        </w:trPr>
        <w:tc>
          <w:tcPr>
            <w:tcW w:w="4720" w:type="dxa"/>
            <w:vAlign w:val="bottom"/>
            <w:gridSpan w:val="2"/>
          </w:tcPr>
          <w:p>
            <w:pPr>
              <w:ind w:left="1480"/>
              <w:spacing w:after="0"/>
              <w:rPr>
                <w:sz w:val="20"/>
                <w:szCs w:val="20"/>
                <w:color w:val="auto"/>
              </w:rPr>
            </w:pPr>
            <w:r>
              <w:rPr>
                <w:rFonts w:ascii="Arial" w:cs="Arial" w:eastAsia="Arial" w:hAnsi="Arial"/>
                <w:sz w:val="18"/>
                <w:szCs w:val="18"/>
                <w:color w:val="auto"/>
              </w:rPr>
              <w:t>(Address of principal executive offices)</w:t>
            </w:r>
          </w:p>
        </w:tc>
        <w:tc>
          <w:tcPr>
            <w:tcW w:w="2540" w:type="dxa"/>
            <w:vAlign w:val="bottom"/>
          </w:tcPr>
          <w:p>
            <w:pPr>
              <w:spacing w:after="0"/>
              <w:rPr>
                <w:sz w:val="19"/>
                <w:szCs w:val="19"/>
                <w:color w:val="auto"/>
              </w:rPr>
            </w:pPr>
          </w:p>
        </w:tc>
        <w:tc>
          <w:tcPr>
            <w:tcW w:w="1840" w:type="dxa"/>
            <w:vAlign w:val="bottom"/>
          </w:tcPr>
          <w:p>
            <w:pPr>
              <w:jc w:val="center"/>
              <w:ind w:left="452"/>
              <w:spacing w:after="0"/>
              <w:rPr>
                <w:sz w:val="20"/>
                <w:szCs w:val="20"/>
                <w:color w:val="auto"/>
              </w:rPr>
            </w:pPr>
            <w:r>
              <w:rPr>
                <w:rFonts w:ascii="Arial" w:cs="Arial" w:eastAsia="Arial" w:hAnsi="Arial"/>
                <w:sz w:val="18"/>
                <w:szCs w:val="18"/>
                <w:color w:val="auto"/>
                <w:w w:val="91"/>
              </w:rPr>
              <w:t>(Zip Code)</w:t>
            </w:r>
          </w:p>
        </w:tc>
      </w:tr>
    </w:tbl>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113" w:lineRule="exact"/>
        <w:rPr>
          <w:sz w:val="24"/>
          <w:szCs w:val="24"/>
          <w:color w:val="auto"/>
        </w:rPr>
      </w:pPr>
    </w:p>
    <w:p>
      <w:pPr>
        <w:jc w:val="both"/>
        <w:ind w:firstLine="278"/>
        <w:spacing w:after="0" w:line="28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54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x</w:t>
      </w:r>
      <w:r>
        <w:rPr>
          <w:sz w:val="20"/>
          <w:szCs w:val="20"/>
          <w:color w:val="auto"/>
        </w:rPr>
        <w:tab/>
      </w:r>
      <w:r>
        <w:rPr>
          <w:rFonts w:ascii="Arial" w:cs="Arial" w:eastAsia="Arial" w:hAnsi="Arial"/>
          <w:sz w:val="14"/>
          <w:szCs w:val="14"/>
          <w:b w:val="1"/>
          <w:bCs w:val="1"/>
          <w:color w:val="auto"/>
        </w:rPr>
        <w:t xml:space="preserve">No </w:t>
      </w:r>
      <w:r>
        <w:rPr>
          <w:rFonts w:ascii="Arial" w:cs="Arial" w:eastAsia="Arial" w:hAnsi="Arial"/>
          <w:sz w:val="14"/>
          <w:szCs w:val="14"/>
          <w:color w:val="auto"/>
        </w:rPr>
        <w:t>o</w:t>
      </w:r>
    </w:p>
    <w:p>
      <w:pPr>
        <w:spacing w:after="0" w:line="96" w:lineRule="exact"/>
        <w:rPr>
          <w:sz w:val="24"/>
          <w:szCs w:val="24"/>
          <w:color w:val="auto"/>
        </w:rPr>
      </w:pPr>
    </w:p>
    <w:p>
      <w:pPr>
        <w:ind w:firstLine="278"/>
        <w:spacing w:after="0" w:line="301" w:lineRule="auto"/>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x </w:t>
      </w:r>
      <w:r>
        <w:rPr>
          <w:rFonts w:ascii="Arial" w:cs="Arial" w:eastAsia="Arial" w:hAnsi="Arial"/>
          <w:sz w:val="15"/>
          <w:szCs w:val="15"/>
          <w:b w:val="1"/>
          <w:bCs w:val="1"/>
          <w:color w:val="auto"/>
        </w:rPr>
        <w:t>No</w:t>
      </w:r>
      <w:r>
        <w:rPr>
          <w:rFonts w:ascii="Arial" w:cs="Arial" w:eastAsia="Arial" w:hAnsi="Arial"/>
          <w:sz w:val="15"/>
          <w:szCs w:val="15"/>
          <w:color w:val="auto"/>
        </w:rPr>
        <w:t xml:space="preserve"> o</w:t>
      </w:r>
    </w:p>
    <w:p>
      <w:pPr>
        <w:spacing w:after="0" w:line="44" w:lineRule="exact"/>
        <w:rPr>
          <w:sz w:val="24"/>
          <w:szCs w:val="24"/>
          <w:color w:val="auto"/>
        </w:rPr>
      </w:pPr>
    </w:p>
    <w:p>
      <w:pPr>
        <w:jc w:val="both"/>
        <w:ind w:right="20" w:firstLine="278"/>
        <w:spacing w:after="0" w:line="34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162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8"/>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2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0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pacing w:after="0" w:line="288" w:lineRule="exact"/>
        <w:rPr>
          <w:sz w:val="24"/>
          <w:szCs w:val="24"/>
          <w:color w:val="auto"/>
        </w:rPr>
      </w:pPr>
    </w:p>
    <w:p>
      <w:pPr>
        <w:ind w:firstLine="318"/>
        <w:spacing w:after="0" w:line="267"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8"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71" w:lineRule="exact"/>
        <w:rPr>
          <w:sz w:val="24"/>
          <w:szCs w:val="24"/>
          <w:color w:val="auto"/>
        </w:rPr>
      </w:pPr>
    </w:p>
    <w:p>
      <w:pPr>
        <w:ind w:left="5120"/>
        <w:spacing w:after="0" w:line="196" w:lineRule="exact"/>
        <w:tabs>
          <w:tab w:leader="none" w:pos="580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x</w:t>
      </w:r>
    </w:p>
    <w:p>
      <w:pPr>
        <w:spacing w:after="0" w:line="160" w:lineRule="exact"/>
        <w:rPr>
          <w:sz w:val="24"/>
          <w:szCs w:val="24"/>
          <w:color w:val="auto"/>
        </w:rPr>
      </w:pPr>
    </w:p>
    <w:p>
      <w:pPr>
        <w:ind w:firstLine="278"/>
        <w:spacing w:after="0" w:line="267" w:lineRule="auto"/>
        <w:rPr>
          <w:sz w:val="20"/>
          <w:szCs w:val="20"/>
          <w:color w:val="auto"/>
        </w:rPr>
      </w:pPr>
      <w:r>
        <w:rPr>
          <w:rFonts w:ascii="Arial" w:cs="Arial" w:eastAsia="Arial" w:hAnsi="Arial"/>
          <w:sz w:val="16"/>
          <w:szCs w:val="16"/>
          <w:color w:val="auto"/>
        </w:rPr>
        <w:t>As of July 31, 2021, there were 34,599,645 Class A units outstanding, 42,738,750 Class B units outstanding, 81,655,667 Class C units outstanding, and 42,633,750 Class D units outstanding. There is no public market for the registrant's outstanding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844550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91440</wp:posOffset>
            </wp:positionV>
            <wp:extent cx="71177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771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66040</wp:posOffset>
            </wp:positionV>
            <wp:extent cx="7117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80" w:type="dxa"/>
            <w:vAlign w:val="bottom"/>
            <w:gridSpan w:val="16"/>
          </w:tcPr>
          <w:p>
            <w:pPr>
              <w:spacing w:after="0"/>
              <w:rPr>
                <w:sz w:val="20"/>
                <w:szCs w:val="20"/>
                <w:color w:val="auto"/>
              </w:rPr>
            </w:pPr>
            <w:r>
              <w:rPr>
                <w:rFonts w:ascii="Arial" w:cs="Arial" w:eastAsia="Arial" w:hAnsi="Arial"/>
                <w:sz w:val="18"/>
                <w:szCs w:val="18"/>
                <w:b w:val="1"/>
                <w:bCs w:val="1"/>
                <w:color w:val="0000FF"/>
              </w:rPr>
              <w:t>CAUTIONARY STATEMENT REGARDING FORWARD LOOKING INFORMATION</w:t>
            </w:r>
          </w:p>
        </w:tc>
        <w:tc>
          <w:tcPr>
            <w:tcW w:w="1400" w:type="dxa"/>
            <w:vAlign w:val="bottom"/>
            <w:gridSpan w:val="3"/>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5"/>
        </w:trPr>
        <w:tc>
          <w:tcPr>
            <w:tcW w:w="6680" w:type="dxa"/>
            <w:vAlign w:val="bottom"/>
            <w:tcBorders>
              <w:top w:val="single" w:sz="8" w:color="0000FF"/>
            </w:tcBorders>
            <w:gridSpan w:val="14"/>
          </w:tcPr>
          <w:p>
            <w:pPr>
              <w:spacing w:after="0" w:line="205" w:lineRule="exact"/>
              <w:rPr>
                <w:sz w:val="20"/>
                <w:szCs w:val="20"/>
                <w:color w:val="auto"/>
              </w:rPr>
            </w:pPr>
            <w:r>
              <w:rPr>
                <w:rFonts w:ascii="Arial" w:cs="Arial" w:eastAsia="Arial" w:hAnsi="Arial"/>
                <w:sz w:val="18"/>
                <w:szCs w:val="18"/>
                <w:b w:val="1"/>
                <w:bCs w:val="1"/>
                <w:color w:val="0000FF"/>
              </w:rPr>
              <w:t>GLOSSARY OF TERMS</w:t>
            </w:r>
          </w:p>
        </w:tc>
        <w:tc>
          <w:tcPr>
            <w:tcW w:w="3100" w:type="dxa"/>
            <w:vAlign w:val="bottom"/>
            <w:gridSpan w:val="2"/>
          </w:tcPr>
          <w:p>
            <w:pPr>
              <w:spacing w:after="0"/>
              <w:rPr>
                <w:sz w:val="17"/>
                <w:szCs w:val="17"/>
                <w:color w:val="auto"/>
              </w:rPr>
            </w:pPr>
          </w:p>
        </w:tc>
        <w:tc>
          <w:tcPr>
            <w:tcW w:w="1300" w:type="dxa"/>
            <w:vAlign w:val="bottom"/>
            <w:gridSpan w:val="2"/>
          </w:tcPr>
          <w:p>
            <w:pPr>
              <w:spacing w:after="0"/>
              <w:rPr>
                <w:sz w:val="17"/>
                <w:szCs w:val="17"/>
                <w:color w:val="auto"/>
              </w:rPr>
            </w:pPr>
          </w:p>
        </w:tc>
        <w:tc>
          <w:tcPr>
            <w:tcW w:w="100" w:type="dxa"/>
            <w:vAlign w:val="bottom"/>
            <w:tcBorders>
              <w:top w:val="single" w:sz="8" w:color="0000FF"/>
            </w:tcBorders>
          </w:tcPr>
          <w:p>
            <w:pPr>
              <w:jc w:val="right"/>
              <w:spacing w:after="0" w:line="205"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r>
      <w:tr>
        <w:trPr>
          <w:trHeight w:val="20"/>
        </w:trPr>
        <w:tc>
          <w:tcPr>
            <w:tcW w:w="20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5"/>
        </w:trPr>
        <w:tc>
          <w:tcPr>
            <w:tcW w:w="9780" w:type="dxa"/>
            <w:vAlign w:val="bottom"/>
            <w:gridSpan w:val="16"/>
          </w:tcPr>
          <w:p>
            <w:pPr>
              <w:spacing w:after="0" w:line="205" w:lineRule="exact"/>
              <w:rPr>
                <w:sz w:val="20"/>
                <w:szCs w:val="20"/>
                <w:color w:val="auto"/>
              </w:rPr>
            </w:pPr>
            <w:r>
              <w:rPr>
                <w:rFonts w:ascii="Arial" w:cs="Arial" w:eastAsia="Arial" w:hAnsi="Arial"/>
                <w:sz w:val="18"/>
                <w:szCs w:val="18"/>
                <w:b w:val="1"/>
                <w:bCs w:val="1"/>
                <w:color w:val="0000FF"/>
              </w:rPr>
              <w:t>PART I — FINANCIAL INFORMATION</w:t>
            </w:r>
          </w:p>
        </w:tc>
        <w:tc>
          <w:tcPr>
            <w:tcW w:w="1400" w:type="dxa"/>
            <w:vAlign w:val="bottom"/>
            <w:gridSpan w:val="3"/>
          </w:tcPr>
          <w:p>
            <w:pPr>
              <w:jc w:val="right"/>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20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3980" w:type="dxa"/>
            <w:vAlign w:val="bottom"/>
            <w:tcBorders>
              <w:bottom w:val="single" w:sz="8" w:color="0000FF"/>
            </w:tcBorders>
            <w:gridSpan w:val="12"/>
          </w:tcPr>
          <w:p>
            <w:pPr>
              <w:spacing w:after="0" w:line="205" w:lineRule="exact"/>
              <w:rPr>
                <w:sz w:val="20"/>
                <w:szCs w:val="20"/>
                <w:color w:val="auto"/>
              </w:rPr>
            </w:pPr>
            <w:r>
              <w:rPr>
                <w:rFonts w:ascii="Arial" w:cs="Arial" w:eastAsia="Arial" w:hAnsi="Arial"/>
                <w:sz w:val="18"/>
                <w:szCs w:val="18"/>
                <w:color w:val="0000FF"/>
                <w:w w:val="95"/>
              </w:rPr>
              <w:t>ITEM 1 — FINANCIAL STATEMENTS AND NOTES</w:t>
            </w:r>
          </w:p>
        </w:tc>
        <w:tc>
          <w:tcPr>
            <w:tcW w:w="5600" w:type="dxa"/>
            <w:vAlign w:val="bottom"/>
            <w:gridSpan w:val="3"/>
          </w:tcPr>
          <w:p>
            <w:pPr>
              <w:spacing w:after="0"/>
              <w:rPr>
                <w:sz w:val="17"/>
                <w:szCs w:val="17"/>
                <w:color w:val="auto"/>
              </w:rPr>
            </w:pPr>
          </w:p>
        </w:tc>
        <w:tc>
          <w:tcPr>
            <w:tcW w:w="13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205"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r>
      <w:tr>
        <w:trPr>
          <w:trHeight w:val="205"/>
        </w:trPr>
        <w:tc>
          <w:tcPr>
            <w:tcW w:w="200" w:type="dxa"/>
            <w:vAlign w:val="bottom"/>
          </w:tcPr>
          <w:p>
            <w:pPr>
              <w:spacing w:after="0"/>
              <w:rPr>
                <w:sz w:val="17"/>
                <w:szCs w:val="17"/>
                <w:color w:val="auto"/>
              </w:rPr>
            </w:pPr>
          </w:p>
        </w:tc>
        <w:tc>
          <w:tcPr>
            <w:tcW w:w="9580" w:type="dxa"/>
            <w:vAlign w:val="bottom"/>
            <w:gridSpan w:val="15"/>
          </w:tcPr>
          <w:p>
            <w:pPr>
              <w:spacing w:after="0" w:line="205" w:lineRule="exact"/>
              <w:rPr>
                <w:sz w:val="20"/>
                <w:szCs w:val="20"/>
                <w:color w:val="auto"/>
              </w:rPr>
            </w:pPr>
            <w:r>
              <w:rPr>
                <w:rFonts w:ascii="Arial" w:cs="Arial" w:eastAsia="Arial" w:hAnsi="Arial"/>
                <w:sz w:val="18"/>
                <w:szCs w:val="18"/>
                <w:color w:val="0000FF"/>
                <w:w w:val="95"/>
              </w:rPr>
              <w:t>ITEM 2 — MANAGEMENT’S DISCUSSION AND ANALYSIS OF FINANCIAL CONDITION AND RESULTS OF OPERATIONS</w:t>
            </w:r>
          </w:p>
        </w:tc>
        <w:tc>
          <w:tcPr>
            <w:tcW w:w="1400" w:type="dxa"/>
            <w:vAlign w:val="bottom"/>
            <w:gridSpan w:val="3"/>
          </w:tcPr>
          <w:p>
            <w:pPr>
              <w:jc w:val="right"/>
              <w:spacing w:after="0" w:line="205" w:lineRule="exact"/>
              <w:rPr>
                <w:rFonts w:ascii="Arial" w:cs="Arial" w:eastAsia="Arial" w:hAnsi="Arial"/>
                <w:sz w:val="18"/>
                <w:szCs w:val="18"/>
                <w:color w:val="0000FF"/>
              </w:rPr>
            </w:pPr>
            <w:hyperlink w:anchor="page36">
              <w:r>
                <w:rPr>
                  <w:rFonts w:ascii="Arial" w:cs="Arial" w:eastAsia="Arial" w:hAnsi="Arial"/>
                  <w:sz w:val="18"/>
                  <w:szCs w:val="18"/>
                  <w:color w:val="0000FF"/>
                </w:rPr>
                <w:t>38</w:t>
              </w:r>
            </w:hyperlink>
          </w:p>
        </w:tc>
      </w:tr>
      <w:tr>
        <w:trPr>
          <w:trHeight w:val="20"/>
        </w:trPr>
        <w:tc>
          <w:tcPr>
            <w:tcW w:w="20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280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9580" w:type="dxa"/>
            <w:vAlign w:val="bottom"/>
            <w:gridSpan w:val="15"/>
          </w:tcPr>
          <w:p>
            <w:pPr>
              <w:spacing w:after="0" w:line="205" w:lineRule="exact"/>
              <w:rPr>
                <w:sz w:val="20"/>
                <w:szCs w:val="20"/>
                <w:color w:val="auto"/>
              </w:rPr>
            </w:pPr>
            <w:r>
              <w:rPr>
                <w:rFonts w:ascii="Arial" w:cs="Arial" w:eastAsia="Arial" w:hAnsi="Arial"/>
                <w:sz w:val="18"/>
                <w:szCs w:val="18"/>
                <w:color w:val="0000FF"/>
              </w:rPr>
              <w:t>ITEM 3 — QUANTITATIVE AND QUALITATIVE DISCLOSURES ABOUT MARKET RISK</w:t>
            </w:r>
          </w:p>
        </w:tc>
        <w:tc>
          <w:tcPr>
            <w:tcW w:w="1400" w:type="dxa"/>
            <w:vAlign w:val="bottom"/>
            <w:gridSpan w:val="3"/>
          </w:tcPr>
          <w:p>
            <w:pPr>
              <w:jc w:val="right"/>
              <w:spacing w:after="0" w:line="205" w:lineRule="exact"/>
              <w:rPr>
                <w:rFonts w:ascii="Arial" w:cs="Arial" w:eastAsia="Arial" w:hAnsi="Arial"/>
                <w:sz w:val="18"/>
                <w:szCs w:val="18"/>
                <w:color w:val="0000FF"/>
              </w:rPr>
            </w:pPr>
            <w:hyperlink w:anchor="page57">
              <w:r>
                <w:rPr>
                  <w:rFonts w:ascii="Arial" w:cs="Arial" w:eastAsia="Arial" w:hAnsi="Arial"/>
                  <w:sz w:val="18"/>
                  <w:szCs w:val="18"/>
                  <w:color w:val="0000FF"/>
                </w:rPr>
                <w:t>59</w:t>
              </w:r>
            </w:hyperlink>
          </w:p>
        </w:tc>
      </w:tr>
      <w:tr>
        <w:trPr>
          <w:trHeight w:val="20"/>
        </w:trPr>
        <w:tc>
          <w:tcPr>
            <w:tcW w:w="20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2800" w:type="dxa"/>
            <w:vAlign w:val="bottom"/>
            <w:tcBorders>
              <w:left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3380" w:type="dxa"/>
            <w:vAlign w:val="bottom"/>
            <w:gridSpan w:val="10"/>
          </w:tcPr>
          <w:p>
            <w:pPr>
              <w:spacing w:after="0" w:line="205" w:lineRule="exact"/>
              <w:rPr>
                <w:sz w:val="20"/>
                <w:szCs w:val="20"/>
                <w:color w:val="auto"/>
              </w:rPr>
            </w:pPr>
            <w:r>
              <w:rPr>
                <w:rFonts w:ascii="Arial" w:cs="Arial" w:eastAsia="Arial" w:hAnsi="Arial"/>
                <w:sz w:val="18"/>
                <w:szCs w:val="18"/>
                <w:color w:val="0000FF"/>
                <w:w w:val="93"/>
              </w:rPr>
              <w:t>ITEM 4 — CONTROLS AND PROCEDURES</w:t>
            </w:r>
          </w:p>
        </w:tc>
        <w:tc>
          <w:tcPr>
            <w:tcW w:w="3400" w:type="dxa"/>
            <w:vAlign w:val="bottom"/>
            <w:gridSpan w:val="4"/>
          </w:tcPr>
          <w:p>
            <w:pPr>
              <w:spacing w:after="0"/>
              <w:rPr>
                <w:sz w:val="17"/>
                <w:szCs w:val="17"/>
                <w:color w:val="auto"/>
              </w:rPr>
            </w:pPr>
          </w:p>
        </w:tc>
        <w:tc>
          <w:tcPr>
            <w:tcW w:w="2800" w:type="dxa"/>
            <w:vAlign w:val="bottom"/>
          </w:tcPr>
          <w:p>
            <w:pPr>
              <w:spacing w:after="0"/>
              <w:rPr>
                <w:sz w:val="17"/>
                <w:szCs w:val="17"/>
                <w:color w:val="auto"/>
              </w:rPr>
            </w:pPr>
          </w:p>
        </w:tc>
        <w:tc>
          <w:tcPr>
            <w:tcW w:w="1400" w:type="dxa"/>
            <w:vAlign w:val="bottom"/>
            <w:gridSpan w:val="3"/>
          </w:tcPr>
          <w:p>
            <w:pPr>
              <w:jc w:val="right"/>
              <w:spacing w:after="0" w:line="205" w:lineRule="exact"/>
              <w:rPr>
                <w:rFonts w:ascii="Arial" w:cs="Arial" w:eastAsia="Arial" w:hAnsi="Arial"/>
                <w:sz w:val="18"/>
                <w:szCs w:val="18"/>
                <w:color w:val="0000FF"/>
              </w:rPr>
            </w:pPr>
            <w:hyperlink w:anchor="page59">
              <w:r>
                <w:rPr>
                  <w:rFonts w:ascii="Arial" w:cs="Arial" w:eastAsia="Arial" w:hAnsi="Arial"/>
                  <w:sz w:val="18"/>
                  <w:szCs w:val="18"/>
                  <w:color w:val="0000FF"/>
                </w:rPr>
                <w:t>60</w:t>
              </w:r>
            </w:hyperlink>
          </w:p>
        </w:tc>
      </w:tr>
      <w:tr>
        <w:trPr>
          <w:trHeight w:val="20"/>
        </w:trPr>
        <w:tc>
          <w:tcPr>
            <w:tcW w:w="20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2880" w:type="dxa"/>
            <w:vAlign w:val="bottom"/>
            <w:gridSpan w:val="8"/>
          </w:tcPr>
          <w:p>
            <w:pPr>
              <w:spacing w:after="0" w:line="205" w:lineRule="exact"/>
              <w:rPr>
                <w:sz w:val="20"/>
                <w:szCs w:val="20"/>
                <w:color w:val="auto"/>
              </w:rPr>
            </w:pPr>
            <w:r>
              <w:rPr>
                <w:rFonts w:ascii="Arial" w:cs="Arial" w:eastAsia="Arial" w:hAnsi="Arial"/>
                <w:sz w:val="18"/>
                <w:szCs w:val="18"/>
                <w:b w:val="1"/>
                <w:bCs w:val="1"/>
                <w:color w:val="0000FF"/>
                <w:w w:val="98"/>
              </w:rPr>
              <w:t>PART II — OTHER INFORMATION</w:t>
            </w:r>
          </w:p>
        </w:tc>
        <w:tc>
          <w:tcPr>
            <w:tcW w:w="6900" w:type="dxa"/>
            <w:vAlign w:val="bottom"/>
            <w:gridSpan w:val="8"/>
          </w:tcPr>
          <w:p>
            <w:pPr>
              <w:spacing w:after="0"/>
              <w:rPr>
                <w:sz w:val="17"/>
                <w:szCs w:val="17"/>
                <w:color w:val="auto"/>
              </w:rPr>
            </w:pPr>
          </w:p>
        </w:tc>
        <w:tc>
          <w:tcPr>
            <w:tcW w:w="1400" w:type="dxa"/>
            <w:vAlign w:val="bottom"/>
            <w:gridSpan w:val="3"/>
          </w:tcPr>
          <w:p>
            <w:pPr>
              <w:jc w:val="right"/>
              <w:spacing w:after="0" w:line="205" w:lineRule="exact"/>
              <w:rPr>
                <w:rFonts w:ascii="Arial" w:cs="Arial" w:eastAsia="Arial" w:hAnsi="Arial"/>
                <w:sz w:val="18"/>
                <w:szCs w:val="18"/>
                <w:color w:val="0000FF"/>
              </w:rPr>
            </w:pPr>
            <w:hyperlink w:anchor="page59">
              <w:r>
                <w:rPr>
                  <w:rFonts w:ascii="Arial" w:cs="Arial" w:eastAsia="Arial" w:hAnsi="Arial"/>
                  <w:sz w:val="18"/>
                  <w:szCs w:val="18"/>
                  <w:color w:val="0000FF"/>
                </w:rPr>
                <w:t>61</w:t>
              </w:r>
            </w:hyperlink>
          </w:p>
        </w:tc>
      </w:tr>
      <w:tr>
        <w:trPr>
          <w:trHeight w:val="20"/>
        </w:trPr>
        <w:tc>
          <w:tcPr>
            <w:tcW w:w="20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2680" w:type="dxa"/>
            <w:vAlign w:val="bottom"/>
            <w:gridSpan w:val="7"/>
          </w:tcPr>
          <w:p>
            <w:pPr>
              <w:spacing w:after="0" w:line="205" w:lineRule="exact"/>
              <w:rPr>
                <w:sz w:val="20"/>
                <w:szCs w:val="20"/>
                <w:color w:val="auto"/>
              </w:rPr>
            </w:pPr>
            <w:r>
              <w:rPr>
                <w:rFonts w:ascii="Arial" w:cs="Arial" w:eastAsia="Arial" w:hAnsi="Arial"/>
                <w:sz w:val="18"/>
                <w:szCs w:val="18"/>
                <w:color w:val="0000FF"/>
                <w:w w:val="93"/>
              </w:rPr>
              <w:t>ITEM 1 — LEGAL PROCEEDINGS</w:t>
            </w:r>
          </w:p>
        </w:tc>
        <w:tc>
          <w:tcPr>
            <w:tcW w:w="6900" w:type="dxa"/>
            <w:vAlign w:val="bottom"/>
            <w:gridSpan w:val="8"/>
          </w:tcPr>
          <w:p>
            <w:pPr>
              <w:spacing w:after="0"/>
              <w:rPr>
                <w:sz w:val="17"/>
                <w:szCs w:val="17"/>
                <w:color w:val="auto"/>
              </w:rPr>
            </w:pPr>
          </w:p>
        </w:tc>
        <w:tc>
          <w:tcPr>
            <w:tcW w:w="1400" w:type="dxa"/>
            <w:vAlign w:val="bottom"/>
            <w:gridSpan w:val="3"/>
          </w:tcPr>
          <w:p>
            <w:pPr>
              <w:jc w:val="right"/>
              <w:spacing w:after="0" w:line="205" w:lineRule="exact"/>
              <w:rPr>
                <w:rFonts w:ascii="Arial" w:cs="Arial" w:eastAsia="Arial" w:hAnsi="Arial"/>
                <w:sz w:val="18"/>
                <w:szCs w:val="18"/>
                <w:color w:val="0000FF"/>
              </w:rPr>
            </w:pPr>
            <w:hyperlink w:anchor="page60">
              <w:r>
                <w:rPr>
                  <w:rFonts w:ascii="Arial" w:cs="Arial" w:eastAsia="Arial" w:hAnsi="Arial"/>
                  <w:sz w:val="18"/>
                  <w:szCs w:val="18"/>
                  <w:color w:val="0000FF"/>
                </w:rPr>
                <w:t>61</w:t>
              </w:r>
            </w:hyperlink>
          </w:p>
        </w:tc>
      </w:tr>
      <w:tr>
        <w:trPr>
          <w:trHeight w:val="20"/>
        </w:trPr>
        <w:tc>
          <w:tcPr>
            <w:tcW w:w="20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2180" w:type="dxa"/>
            <w:vAlign w:val="bottom"/>
            <w:gridSpan w:val="5"/>
          </w:tcPr>
          <w:p>
            <w:pPr>
              <w:spacing w:after="0" w:line="205" w:lineRule="exact"/>
              <w:rPr>
                <w:sz w:val="20"/>
                <w:szCs w:val="20"/>
                <w:color w:val="auto"/>
              </w:rPr>
            </w:pPr>
            <w:r>
              <w:rPr>
                <w:rFonts w:ascii="Arial" w:cs="Arial" w:eastAsia="Arial" w:hAnsi="Arial"/>
                <w:sz w:val="18"/>
                <w:szCs w:val="18"/>
                <w:color w:val="0000FF"/>
                <w:w w:val="93"/>
              </w:rPr>
              <w:t>ITEM 1A — RISK FACTORS</w:t>
            </w:r>
          </w:p>
        </w:tc>
        <w:tc>
          <w:tcPr>
            <w:tcW w:w="480" w:type="dxa"/>
            <w:vAlign w:val="bottom"/>
          </w:tcPr>
          <w:p>
            <w:pPr>
              <w:spacing w:after="0"/>
              <w:rPr>
                <w:sz w:val="17"/>
                <w:szCs w:val="17"/>
                <w:color w:val="auto"/>
              </w:rPr>
            </w:pPr>
          </w:p>
        </w:tc>
        <w:tc>
          <w:tcPr>
            <w:tcW w:w="6920" w:type="dxa"/>
            <w:vAlign w:val="bottom"/>
            <w:gridSpan w:val="9"/>
          </w:tcPr>
          <w:p>
            <w:pPr>
              <w:spacing w:after="0"/>
              <w:rPr>
                <w:sz w:val="17"/>
                <w:szCs w:val="17"/>
                <w:color w:val="auto"/>
              </w:rPr>
            </w:pPr>
          </w:p>
        </w:tc>
        <w:tc>
          <w:tcPr>
            <w:tcW w:w="1400" w:type="dxa"/>
            <w:vAlign w:val="bottom"/>
            <w:gridSpan w:val="3"/>
          </w:tcPr>
          <w:p>
            <w:pPr>
              <w:jc w:val="right"/>
              <w:spacing w:after="0" w:line="205" w:lineRule="exact"/>
              <w:rPr>
                <w:rFonts w:ascii="Arial" w:cs="Arial" w:eastAsia="Arial" w:hAnsi="Arial"/>
                <w:sz w:val="18"/>
                <w:szCs w:val="18"/>
                <w:color w:val="0000FF"/>
              </w:rPr>
            </w:pPr>
            <w:hyperlink w:anchor="page60">
              <w:r>
                <w:rPr>
                  <w:rFonts w:ascii="Arial" w:cs="Arial" w:eastAsia="Arial" w:hAnsi="Arial"/>
                  <w:sz w:val="18"/>
                  <w:szCs w:val="18"/>
                  <w:color w:val="0000FF"/>
                </w:rPr>
                <w:t>61</w:t>
              </w:r>
            </w:hyperlink>
          </w:p>
        </w:tc>
      </w:tr>
      <w:tr>
        <w:trPr>
          <w:trHeight w:val="20"/>
        </w:trPr>
        <w:tc>
          <w:tcPr>
            <w:tcW w:w="20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9580" w:type="dxa"/>
            <w:vAlign w:val="bottom"/>
            <w:gridSpan w:val="15"/>
          </w:tcPr>
          <w:p>
            <w:pPr>
              <w:spacing w:after="0" w:line="205" w:lineRule="exact"/>
              <w:rPr>
                <w:sz w:val="20"/>
                <w:szCs w:val="20"/>
                <w:color w:val="auto"/>
              </w:rPr>
            </w:pPr>
            <w:r>
              <w:rPr>
                <w:rFonts w:ascii="Arial" w:cs="Arial" w:eastAsia="Arial" w:hAnsi="Arial"/>
                <w:sz w:val="18"/>
                <w:szCs w:val="18"/>
                <w:color w:val="0000FF"/>
              </w:rPr>
              <w:t>ITEM 2 — UNREGISTERED SALES OF EQUITY SECURITIES AND USE OF PROCEEDS</w:t>
            </w:r>
          </w:p>
        </w:tc>
        <w:tc>
          <w:tcPr>
            <w:tcW w:w="1400" w:type="dxa"/>
            <w:vAlign w:val="bottom"/>
            <w:gridSpan w:val="3"/>
          </w:tcPr>
          <w:p>
            <w:pPr>
              <w:jc w:val="right"/>
              <w:spacing w:after="0" w:line="205" w:lineRule="exact"/>
              <w:rPr>
                <w:rFonts w:ascii="Arial" w:cs="Arial" w:eastAsia="Arial" w:hAnsi="Arial"/>
                <w:sz w:val="18"/>
                <w:szCs w:val="18"/>
                <w:color w:val="0000FF"/>
              </w:rPr>
            </w:pPr>
            <w:hyperlink w:anchor="page60">
              <w:r>
                <w:rPr>
                  <w:rFonts w:ascii="Arial" w:cs="Arial" w:eastAsia="Arial" w:hAnsi="Arial"/>
                  <w:sz w:val="18"/>
                  <w:szCs w:val="18"/>
                  <w:color w:val="0000FF"/>
                </w:rPr>
                <w:t>61</w:t>
              </w:r>
            </w:hyperlink>
          </w:p>
        </w:tc>
      </w:tr>
      <w:tr>
        <w:trPr>
          <w:trHeight w:val="20"/>
        </w:trPr>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580" w:type="dxa"/>
            <w:vAlign w:val="bottom"/>
          </w:tcPr>
          <w:p>
            <w:pPr>
              <w:spacing w:after="0" w:line="205" w:lineRule="exact"/>
              <w:rPr>
                <w:sz w:val="20"/>
                <w:szCs w:val="20"/>
                <w:color w:val="auto"/>
              </w:rPr>
            </w:pPr>
            <w:r>
              <w:rPr>
                <w:rFonts w:ascii="Arial" w:cs="Arial" w:eastAsia="Arial" w:hAnsi="Arial"/>
                <w:sz w:val="18"/>
                <w:szCs w:val="18"/>
                <w:color w:val="0000FF"/>
                <w:w w:val="96"/>
              </w:rPr>
              <w:t>ITEM 3</w:t>
            </w:r>
          </w:p>
        </w:tc>
        <w:tc>
          <w:tcPr>
            <w:tcW w:w="6200" w:type="dxa"/>
            <w:vAlign w:val="bottom"/>
            <w:gridSpan w:val="13"/>
          </w:tcPr>
          <w:p>
            <w:pPr>
              <w:ind w:left="20"/>
              <w:spacing w:after="0" w:line="205" w:lineRule="exact"/>
              <w:rPr>
                <w:sz w:val="20"/>
                <w:szCs w:val="20"/>
                <w:color w:val="auto"/>
              </w:rPr>
            </w:pPr>
            <w:r>
              <w:rPr>
                <w:rFonts w:ascii="Arial" w:cs="Arial" w:eastAsia="Arial" w:hAnsi="Arial"/>
                <w:sz w:val="18"/>
                <w:szCs w:val="18"/>
                <w:color w:val="0000FF"/>
              </w:rPr>
              <w:t>— DEFAULTS UPON SENIOR SECURITIES</w:t>
            </w:r>
          </w:p>
        </w:tc>
        <w:tc>
          <w:tcPr>
            <w:tcW w:w="2800" w:type="dxa"/>
            <w:vAlign w:val="bottom"/>
          </w:tcPr>
          <w:p>
            <w:pPr>
              <w:spacing w:after="0"/>
              <w:rPr>
                <w:sz w:val="17"/>
                <w:szCs w:val="17"/>
                <w:color w:val="auto"/>
              </w:rPr>
            </w:pPr>
          </w:p>
        </w:tc>
        <w:tc>
          <w:tcPr>
            <w:tcW w:w="1400" w:type="dxa"/>
            <w:vAlign w:val="bottom"/>
            <w:gridSpan w:val="3"/>
          </w:tcPr>
          <w:p>
            <w:pPr>
              <w:jc w:val="right"/>
              <w:spacing w:after="0" w:line="205" w:lineRule="exact"/>
              <w:rPr>
                <w:rFonts w:ascii="Arial" w:cs="Arial" w:eastAsia="Arial" w:hAnsi="Arial"/>
                <w:sz w:val="18"/>
                <w:szCs w:val="18"/>
                <w:color w:val="0000FF"/>
              </w:rPr>
            </w:pPr>
            <w:hyperlink w:anchor="page60">
              <w:r>
                <w:rPr>
                  <w:rFonts w:ascii="Arial" w:cs="Arial" w:eastAsia="Arial" w:hAnsi="Arial"/>
                  <w:sz w:val="18"/>
                  <w:szCs w:val="18"/>
                  <w:color w:val="0000FF"/>
                </w:rPr>
                <w:t>61</w:t>
              </w:r>
            </w:hyperlink>
          </w:p>
        </w:tc>
      </w:tr>
      <w:tr>
        <w:trPr>
          <w:trHeight w:val="20"/>
        </w:trPr>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580" w:type="dxa"/>
            <w:vAlign w:val="bottom"/>
          </w:tcPr>
          <w:p>
            <w:pPr>
              <w:spacing w:after="0" w:line="205" w:lineRule="exact"/>
              <w:rPr>
                <w:sz w:val="20"/>
                <w:szCs w:val="20"/>
                <w:color w:val="auto"/>
              </w:rPr>
            </w:pPr>
            <w:r>
              <w:rPr>
                <w:rFonts w:ascii="Arial" w:cs="Arial" w:eastAsia="Arial" w:hAnsi="Arial"/>
                <w:sz w:val="18"/>
                <w:szCs w:val="18"/>
                <w:color w:val="0000FF"/>
                <w:w w:val="96"/>
              </w:rPr>
              <w:t>ITEM 4</w:t>
            </w:r>
          </w:p>
        </w:tc>
        <w:tc>
          <w:tcPr>
            <w:tcW w:w="2640" w:type="dxa"/>
            <w:vAlign w:val="bottom"/>
            <w:gridSpan w:val="8"/>
          </w:tcPr>
          <w:p>
            <w:pPr>
              <w:ind w:left="20"/>
              <w:spacing w:after="0" w:line="205" w:lineRule="exact"/>
              <w:rPr>
                <w:sz w:val="20"/>
                <w:szCs w:val="20"/>
                <w:color w:val="auto"/>
              </w:rPr>
            </w:pPr>
            <w:r>
              <w:rPr>
                <w:rFonts w:ascii="Arial" w:cs="Arial" w:eastAsia="Arial" w:hAnsi="Arial"/>
                <w:sz w:val="18"/>
                <w:szCs w:val="18"/>
                <w:color w:val="0000FF"/>
                <w:w w:val="93"/>
              </w:rPr>
              <w:t>— MINE SAFETY DISCLOSURES</w:t>
            </w:r>
          </w:p>
        </w:tc>
        <w:tc>
          <w:tcPr>
            <w:tcW w:w="720" w:type="dxa"/>
            <w:vAlign w:val="bottom"/>
            <w:gridSpan w:val="2"/>
          </w:tcPr>
          <w:p>
            <w:pPr>
              <w:spacing w:after="0"/>
              <w:rPr>
                <w:sz w:val="17"/>
                <w:szCs w:val="17"/>
                <w:color w:val="auto"/>
              </w:rPr>
            </w:pPr>
          </w:p>
        </w:tc>
        <w:tc>
          <w:tcPr>
            <w:tcW w:w="5640" w:type="dxa"/>
            <w:vAlign w:val="bottom"/>
            <w:gridSpan w:val="4"/>
          </w:tcPr>
          <w:p>
            <w:pPr>
              <w:spacing w:after="0"/>
              <w:rPr>
                <w:sz w:val="17"/>
                <w:szCs w:val="17"/>
                <w:color w:val="auto"/>
              </w:rPr>
            </w:pPr>
          </w:p>
        </w:tc>
        <w:tc>
          <w:tcPr>
            <w:tcW w:w="1400" w:type="dxa"/>
            <w:vAlign w:val="bottom"/>
            <w:gridSpan w:val="3"/>
          </w:tcPr>
          <w:p>
            <w:pPr>
              <w:jc w:val="right"/>
              <w:spacing w:after="0" w:line="205" w:lineRule="exact"/>
              <w:rPr>
                <w:rFonts w:ascii="Arial" w:cs="Arial" w:eastAsia="Arial" w:hAnsi="Arial"/>
                <w:sz w:val="18"/>
                <w:szCs w:val="18"/>
                <w:color w:val="0000FF"/>
              </w:rPr>
            </w:pPr>
            <w:hyperlink w:anchor="page60">
              <w:r>
                <w:rPr>
                  <w:rFonts w:ascii="Arial" w:cs="Arial" w:eastAsia="Arial" w:hAnsi="Arial"/>
                  <w:sz w:val="18"/>
                  <w:szCs w:val="18"/>
                  <w:color w:val="0000FF"/>
                </w:rPr>
                <w:t>61</w:t>
              </w:r>
            </w:hyperlink>
          </w:p>
        </w:tc>
      </w:tr>
      <w:tr>
        <w:trPr>
          <w:trHeight w:val="20"/>
        </w:trPr>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6360" w:type="dxa"/>
            <w:vAlign w:val="bottom"/>
            <w:gridSpan w:val="6"/>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580" w:type="dxa"/>
            <w:vAlign w:val="bottom"/>
          </w:tcPr>
          <w:p>
            <w:pPr>
              <w:spacing w:after="0" w:line="205" w:lineRule="exact"/>
              <w:rPr>
                <w:sz w:val="20"/>
                <w:szCs w:val="20"/>
                <w:color w:val="auto"/>
              </w:rPr>
            </w:pPr>
            <w:r>
              <w:rPr>
                <w:rFonts w:ascii="Arial" w:cs="Arial" w:eastAsia="Arial" w:hAnsi="Arial"/>
                <w:sz w:val="18"/>
                <w:szCs w:val="18"/>
                <w:color w:val="0000FF"/>
                <w:w w:val="96"/>
              </w:rPr>
              <w:t>ITEM 5</w:t>
            </w:r>
          </w:p>
        </w:tc>
        <w:tc>
          <w:tcPr>
            <w:tcW w:w="2100" w:type="dxa"/>
            <w:vAlign w:val="bottom"/>
            <w:gridSpan w:val="6"/>
          </w:tcPr>
          <w:p>
            <w:pPr>
              <w:ind w:left="20"/>
              <w:spacing w:after="0" w:line="205" w:lineRule="exact"/>
              <w:rPr>
                <w:sz w:val="20"/>
                <w:szCs w:val="20"/>
                <w:color w:val="auto"/>
              </w:rPr>
            </w:pPr>
            <w:r>
              <w:rPr>
                <w:rFonts w:ascii="Arial" w:cs="Arial" w:eastAsia="Arial" w:hAnsi="Arial"/>
                <w:sz w:val="18"/>
                <w:szCs w:val="18"/>
                <w:color w:val="0000FF"/>
                <w:w w:val="93"/>
              </w:rPr>
              <w:t>— OTHER INFORMATION</w:t>
            </w:r>
          </w:p>
        </w:tc>
        <w:tc>
          <w:tcPr>
            <w:tcW w:w="540" w:type="dxa"/>
            <w:vAlign w:val="bottom"/>
            <w:gridSpan w:val="2"/>
          </w:tcPr>
          <w:p>
            <w:pPr>
              <w:spacing w:after="0"/>
              <w:rPr>
                <w:sz w:val="17"/>
                <w:szCs w:val="17"/>
                <w:color w:val="auto"/>
              </w:rPr>
            </w:pPr>
          </w:p>
        </w:tc>
        <w:tc>
          <w:tcPr>
            <w:tcW w:w="6360" w:type="dxa"/>
            <w:vAlign w:val="bottom"/>
            <w:gridSpan w:val="6"/>
          </w:tcPr>
          <w:p>
            <w:pPr>
              <w:spacing w:after="0"/>
              <w:rPr>
                <w:sz w:val="17"/>
                <w:szCs w:val="17"/>
                <w:color w:val="auto"/>
              </w:rPr>
            </w:pPr>
          </w:p>
        </w:tc>
        <w:tc>
          <w:tcPr>
            <w:tcW w:w="1400" w:type="dxa"/>
            <w:vAlign w:val="bottom"/>
            <w:gridSpan w:val="3"/>
          </w:tcPr>
          <w:p>
            <w:pPr>
              <w:jc w:val="right"/>
              <w:spacing w:after="0" w:line="205" w:lineRule="exact"/>
              <w:rPr>
                <w:rFonts w:ascii="Arial" w:cs="Arial" w:eastAsia="Arial" w:hAnsi="Arial"/>
                <w:sz w:val="18"/>
                <w:szCs w:val="18"/>
                <w:color w:val="0000FF"/>
              </w:rPr>
            </w:pPr>
            <w:hyperlink w:anchor="page60">
              <w:r>
                <w:rPr>
                  <w:rFonts w:ascii="Arial" w:cs="Arial" w:eastAsia="Arial" w:hAnsi="Arial"/>
                  <w:sz w:val="18"/>
                  <w:szCs w:val="18"/>
                  <w:color w:val="0000FF"/>
                </w:rPr>
                <w:t>61</w:t>
              </w:r>
            </w:hyperlink>
          </w:p>
        </w:tc>
      </w:tr>
      <w:tr>
        <w:trPr>
          <w:trHeight w:val="20"/>
        </w:trPr>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900" w:type="dxa"/>
            <w:vAlign w:val="bottom"/>
            <w:gridSpan w:val="8"/>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580" w:type="dxa"/>
            <w:vAlign w:val="bottom"/>
          </w:tcPr>
          <w:p>
            <w:pPr>
              <w:spacing w:after="0" w:line="205" w:lineRule="exact"/>
              <w:rPr>
                <w:sz w:val="20"/>
                <w:szCs w:val="20"/>
                <w:color w:val="auto"/>
              </w:rPr>
            </w:pPr>
            <w:r>
              <w:rPr>
                <w:rFonts w:ascii="Arial" w:cs="Arial" w:eastAsia="Arial" w:hAnsi="Arial"/>
                <w:sz w:val="18"/>
                <w:szCs w:val="18"/>
                <w:color w:val="0000FF"/>
                <w:w w:val="96"/>
              </w:rPr>
              <w:t>ITEM 6</w:t>
            </w:r>
          </w:p>
        </w:tc>
        <w:tc>
          <w:tcPr>
            <w:tcW w:w="2100" w:type="dxa"/>
            <w:vAlign w:val="bottom"/>
            <w:gridSpan w:val="6"/>
          </w:tcPr>
          <w:p>
            <w:pPr>
              <w:ind w:left="20"/>
              <w:spacing w:after="0" w:line="205" w:lineRule="exact"/>
              <w:rPr>
                <w:sz w:val="20"/>
                <w:szCs w:val="20"/>
                <w:color w:val="auto"/>
              </w:rPr>
            </w:pPr>
            <w:r>
              <w:rPr>
                <w:rFonts w:ascii="Arial" w:cs="Arial" w:eastAsia="Arial" w:hAnsi="Arial"/>
                <w:sz w:val="18"/>
                <w:szCs w:val="18"/>
                <w:color w:val="0000FF"/>
              </w:rPr>
              <w:t>— EXHIBITS</w:t>
            </w:r>
          </w:p>
        </w:tc>
        <w:tc>
          <w:tcPr>
            <w:tcW w:w="6900" w:type="dxa"/>
            <w:vAlign w:val="bottom"/>
            <w:gridSpan w:val="8"/>
          </w:tcPr>
          <w:p>
            <w:pPr>
              <w:spacing w:after="0"/>
              <w:rPr>
                <w:sz w:val="17"/>
                <w:szCs w:val="17"/>
                <w:color w:val="auto"/>
              </w:rPr>
            </w:pPr>
          </w:p>
        </w:tc>
        <w:tc>
          <w:tcPr>
            <w:tcW w:w="1400" w:type="dxa"/>
            <w:vAlign w:val="bottom"/>
            <w:gridSpan w:val="3"/>
          </w:tcPr>
          <w:p>
            <w:pPr>
              <w:jc w:val="right"/>
              <w:spacing w:after="0" w:line="205" w:lineRule="exact"/>
              <w:rPr>
                <w:rFonts w:ascii="Arial" w:cs="Arial" w:eastAsia="Arial" w:hAnsi="Arial"/>
                <w:sz w:val="18"/>
                <w:szCs w:val="18"/>
                <w:color w:val="0000FF"/>
              </w:rPr>
            </w:pPr>
            <w:hyperlink w:anchor="page60">
              <w:r>
                <w:rPr>
                  <w:rFonts w:ascii="Arial" w:cs="Arial" w:eastAsia="Arial" w:hAnsi="Arial"/>
                  <w:sz w:val="18"/>
                  <w:szCs w:val="18"/>
                  <w:color w:val="0000FF"/>
                </w:rPr>
                <w:t>62</w:t>
              </w:r>
            </w:hyperlink>
          </w:p>
        </w:tc>
      </w:tr>
      <w:tr>
        <w:trPr>
          <w:trHeight w:val="20"/>
        </w:trPr>
        <w:tc>
          <w:tcPr>
            <w:tcW w:w="20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960" w:type="dxa"/>
            <w:vAlign w:val="bottom"/>
            <w:gridSpan w:val="1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200" w:type="dxa"/>
            <w:vAlign w:val="bottom"/>
          </w:tcPr>
          <w:p>
            <w:pPr>
              <w:spacing w:after="0"/>
              <w:rPr>
                <w:sz w:val="17"/>
                <w:szCs w:val="17"/>
                <w:color w:val="auto"/>
              </w:rPr>
            </w:pPr>
          </w:p>
        </w:tc>
        <w:tc>
          <w:tcPr>
            <w:tcW w:w="1140" w:type="dxa"/>
            <w:vAlign w:val="bottom"/>
            <w:gridSpan w:val="2"/>
          </w:tcPr>
          <w:p>
            <w:pPr>
              <w:spacing w:after="0" w:line="205" w:lineRule="exact"/>
              <w:rPr>
                <w:sz w:val="20"/>
                <w:szCs w:val="20"/>
                <w:color w:val="auto"/>
              </w:rPr>
            </w:pPr>
            <w:r>
              <w:rPr>
                <w:rFonts w:ascii="Arial" w:cs="Arial" w:eastAsia="Arial" w:hAnsi="Arial"/>
                <w:sz w:val="18"/>
                <w:szCs w:val="18"/>
                <w:b w:val="1"/>
                <w:bCs w:val="1"/>
                <w:color w:val="0000FF"/>
                <w:w w:val="94"/>
              </w:rPr>
              <w:t>SIGNATURES</w:t>
            </w:r>
          </w:p>
        </w:tc>
        <w:tc>
          <w:tcPr>
            <w:tcW w:w="480" w:type="dxa"/>
            <w:vAlign w:val="bottom"/>
          </w:tcPr>
          <w:p>
            <w:pPr>
              <w:spacing w:after="0"/>
              <w:rPr>
                <w:sz w:val="17"/>
                <w:szCs w:val="17"/>
                <w:color w:val="auto"/>
              </w:rPr>
            </w:pPr>
          </w:p>
        </w:tc>
        <w:tc>
          <w:tcPr>
            <w:tcW w:w="7960" w:type="dxa"/>
            <w:vAlign w:val="bottom"/>
            <w:gridSpan w:val="12"/>
          </w:tcPr>
          <w:p>
            <w:pPr>
              <w:spacing w:after="0"/>
              <w:rPr>
                <w:sz w:val="17"/>
                <w:szCs w:val="17"/>
                <w:color w:val="auto"/>
              </w:rPr>
            </w:pPr>
          </w:p>
        </w:tc>
        <w:tc>
          <w:tcPr>
            <w:tcW w:w="1400" w:type="dxa"/>
            <w:vAlign w:val="bottom"/>
            <w:gridSpan w:val="3"/>
          </w:tcPr>
          <w:p>
            <w:pPr>
              <w:jc w:val="right"/>
              <w:spacing w:after="0" w:line="205" w:lineRule="exact"/>
              <w:rPr>
                <w:rFonts w:ascii="Arial" w:cs="Arial" w:eastAsia="Arial" w:hAnsi="Arial"/>
                <w:sz w:val="18"/>
                <w:szCs w:val="18"/>
                <w:color w:val="0000FF"/>
              </w:rPr>
            </w:pPr>
            <w:hyperlink w:anchor="page61">
              <w:r>
                <w:rPr>
                  <w:rFonts w:ascii="Arial" w:cs="Arial" w:eastAsia="Arial" w:hAnsi="Arial"/>
                  <w:sz w:val="18"/>
                  <w:szCs w:val="18"/>
                  <w:color w:val="0000FF"/>
                </w:rPr>
                <w:t>63</w:t>
              </w:r>
            </w:hyperlink>
          </w:p>
        </w:tc>
      </w:tr>
      <w:tr>
        <w:trPr>
          <w:trHeight w:val="20"/>
        </w:trPr>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119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17" w:lineRule="exact"/>
        <w:rPr>
          <w:sz w:val="20"/>
          <w:szCs w:val="20"/>
          <w:color w:val="auto"/>
        </w:rPr>
      </w:pPr>
    </w:p>
    <w:p>
      <w:pPr>
        <w:jc w:val="both"/>
        <w:ind w:firstLine="397"/>
        <w:spacing w:after="0" w:line="306" w:lineRule="auto"/>
        <w:rPr>
          <w:sz w:val="20"/>
          <w:szCs w:val="20"/>
          <w:color w:val="auto"/>
        </w:rPr>
      </w:pPr>
      <w:r>
        <w:rPr>
          <w:rFonts w:ascii="Arial" w:cs="Arial" w:eastAsia="Arial" w:hAnsi="Arial"/>
          <w:sz w:val="15"/>
          <w:szCs w:val="15"/>
          <w:color w:val="auto"/>
        </w:rPr>
        <w:t xml:space="preserve">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5"/>
          <w:szCs w:val="15"/>
          <w:i w:val="1"/>
          <w:iCs w:val="1"/>
          <w:color w:val="auto"/>
        </w:rPr>
        <w:t>Risk Factors</w:t>
      </w:r>
      <w:r>
        <w:rPr>
          <w:rFonts w:ascii="Arial" w:cs="Arial" w:eastAsia="Arial" w:hAnsi="Arial"/>
          <w:sz w:val="15"/>
          <w:szCs w:val="15"/>
          <w:color w:val="auto"/>
        </w:rPr>
        <w:t xml:space="preserve"> in Part I of the Company's Annual Report on Form 10-K for the year ended December 31, 2020, as well as the following:</w:t>
      </w:r>
    </w:p>
    <w:p>
      <w:pPr>
        <w:spacing w:after="0" w:line="104" w:lineRule="exact"/>
        <w:rPr>
          <w:sz w:val="20"/>
          <w:szCs w:val="20"/>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related to COVID-19 or any other pandemic;</w:t>
      </w:r>
    </w:p>
    <w:p>
      <w:pPr>
        <w:spacing w:after="0" w:line="46"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related to the Company's relationships with GIP and CEG;</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and dispositions to, third parties;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acquire assets from GIP or CEG;</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58" w:lineRule="exact"/>
        <w:rPr>
          <w:rFonts w:ascii="Arial" w:cs="Arial" w:eastAsia="Arial" w:hAnsi="Arial"/>
          <w:sz w:val="18"/>
          <w:szCs w:val="18"/>
          <w:color w:val="auto"/>
        </w:rPr>
      </w:pPr>
    </w:p>
    <w:p>
      <w:pPr>
        <w:jc w:val="both"/>
        <w:ind w:left="640" w:hanging="316"/>
        <w:spacing w:after="0" w:line="268"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1"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Company's ability to enter into contracts to sell power and procure fuel on acceptable terms and prices as current offtake agreements expire;</w:t>
      </w:r>
    </w:p>
    <w:p>
      <w:pPr>
        <w:spacing w:after="0" w:line="92" w:lineRule="exact"/>
        <w:rPr>
          <w:rFonts w:ascii="Arial" w:cs="Arial" w:eastAsia="Arial" w:hAnsi="Arial"/>
          <w:sz w:val="15"/>
          <w:szCs w:val="15"/>
          <w:color w:val="auto"/>
        </w:rPr>
      </w:pPr>
    </w:p>
    <w:p>
      <w:pPr>
        <w:ind w:left="640" w:hanging="316"/>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Government regulation, including compliance with regulatory requirements and changes in market rules, rates, tariffs and environmental laws;</w:t>
      </w:r>
    </w:p>
    <w:p>
      <w:pPr>
        <w:spacing w:after="0" w:line="92"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w:t>
      </w:r>
    </w:p>
    <w:p>
      <w:pPr>
        <w:spacing w:after="0" w:line="29"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5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22" w:lineRule="exact"/>
        <w:rPr>
          <w:sz w:val="20"/>
          <w:szCs w:val="20"/>
          <w:color w:val="auto"/>
        </w:rPr>
      </w:pPr>
    </w:p>
    <w:p>
      <w:pPr>
        <w:jc w:val="both"/>
        <w:ind w:firstLine="437"/>
        <w:spacing w:after="0" w:line="252"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9"/>
        </w:trPr>
        <w:tc>
          <w:tcPr>
            <w:tcW w:w="2720" w:type="dxa"/>
            <w:vAlign w:val="bottom"/>
          </w:tcPr>
          <w:p>
            <w:pPr>
              <w:spacing w:after="0"/>
              <w:rPr>
                <w:sz w:val="19"/>
                <w:szCs w:val="19"/>
                <w:color w:val="auto"/>
              </w:rPr>
            </w:pPr>
          </w:p>
        </w:tc>
        <w:tc>
          <w:tcPr>
            <w:tcW w:w="8520" w:type="dxa"/>
            <w:vAlign w:val="bottom"/>
          </w:tcPr>
          <w:p>
            <w:pPr>
              <w:ind w:left="1940"/>
              <w:spacing w:after="0"/>
              <w:rPr>
                <w:sz w:val="20"/>
                <w:szCs w:val="20"/>
                <w:color w:val="auto"/>
              </w:rPr>
            </w:pPr>
            <w:r>
              <w:rPr>
                <w:rFonts w:ascii="Arial" w:cs="Arial" w:eastAsia="Arial" w:hAnsi="Arial"/>
                <w:sz w:val="18"/>
                <w:szCs w:val="18"/>
                <w:b w:val="1"/>
                <w:bCs w:val="1"/>
                <w:color w:val="auto"/>
              </w:rPr>
              <w:t>GLOSSARY OF TERMS</w:t>
            </w:r>
          </w:p>
        </w:tc>
      </w:tr>
      <w:tr>
        <w:trPr>
          <w:trHeight w:val="371"/>
        </w:trPr>
        <w:tc>
          <w:tcPr>
            <w:tcW w:w="2720" w:type="dxa"/>
            <w:vAlign w:val="bottom"/>
          </w:tcPr>
          <w:p>
            <w:pPr>
              <w:ind w:left="280"/>
              <w:spacing w:after="0"/>
              <w:rPr>
                <w:sz w:val="20"/>
                <w:szCs w:val="20"/>
                <w:color w:val="auto"/>
              </w:rPr>
            </w:pPr>
            <w:r>
              <w:rPr>
                <w:rFonts w:ascii="Arial" w:cs="Arial" w:eastAsia="Arial" w:hAnsi="Arial"/>
                <w:sz w:val="18"/>
                <w:szCs w:val="18"/>
                <w:color w:val="auto"/>
              </w:rPr>
              <w:t>When  the  following  terms</w:t>
            </w:r>
          </w:p>
        </w:tc>
        <w:tc>
          <w:tcPr>
            <w:tcW w:w="8520" w:type="dxa"/>
            <w:vAlign w:val="bottom"/>
          </w:tcPr>
          <w:p>
            <w:pPr>
              <w:ind w:left="40"/>
              <w:spacing w:after="0"/>
              <w:rPr>
                <w:sz w:val="20"/>
                <w:szCs w:val="20"/>
                <w:color w:val="auto"/>
              </w:rPr>
            </w:pPr>
            <w:r>
              <w:rPr>
                <w:rFonts w:ascii="Arial" w:cs="Arial" w:eastAsia="Arial" w:hAnsi="Arial"/>
                <w:sz w:val="18"/>
                <w:szCs w:val="18"/>
                <w:color w:val="auto"/>
              </w:rPr>
              <w:t>and  abbreviations  appear  in  the  text  of  this  report,  they  have  the  meanings  indicated  below:</w:t>
            </w:r>
          </w:p>
        </w:tc>
      </w:tr>
      <w:tr>
        <w:trPr>
          <w:trHeight w:val="201"/>
        </w:trPr>
        <w:tc>
          <w:tcPr>
            <w:tcW w:w="2720" w:type="dxa"/>
            <w:vAlign w:val="bottom"/>
          </w:tcPr>
          <w:p>
            <w:pPr>
              <w:ind w:left="300"/>
              <w:spacing w:after="0" w:line="201" w:lineRule="exact"/>
              <w:rPr>
                <w:sz w:val="20"/>
                <w:szCs w:val="20"/>
                <w:color w:val="auto"/>
              </w:rPr>
            </w:pPr>
            <w:r>
              <w:rPr>
                <w:rFonts w:ascii="Arial" w:cs="Arial" w:eastAsia="Arial" w:hAnsi="Arial"/>
                <w:sz w:val="18"/>
                <w:szCs w:val="18"/>
                <w:color w:val="auto"/>
              </w:rPr>
              <w:t>2025 Senior Notes</w:t>
            </w:r>
          </w:p>
        </w:tc>
        <w:tc>
          <w:tcPr>
            <w:tcW w:w="8520" w:type="dxa"/>
            <w:vAlign w:val="bottom"/>
          </w:tcPr>
          <w:p>
            <w:pPr>
              <w:ind w:left="540"/>
              <w:spacing w:after="0" w:line="201" w:lineRule="exact"/>
              <w:rPr>
                <w:sz w:val="20"/>
                <w:szCs w:val="20"/>
                <w:color w:val="auto"/>
              </w:rPr>
            </w:pPr>
            <w:r>
              <w:rPr>
                <w:rFonts w:ascii="Arial" w:cs="Arial" w:eastAsia="Arial" w:hAnsi="Arial"/>
                <w:sz w:val="18"/>
                <w:szCs w:val="18"/>
                <w:color w:val="auto"/>
                <w:w w:val="94"/>
              </w:rPr>
              <w:t>$600 million aggregate principal amount of 5.750% unsecured senior notes due 2025, issued by Clearway</w:t>
            </w:r>
          </w:p>
        </w:tc>
      </w:tr>
      <w:tr>
        <w:trPr>
          <w:trHeight w:val="223"/>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Energy Operating LLC, which were repaid in March 2021</w:t>
            </w:r>
          </w:p>
        </w:tc>
      </w:tr>
      <w:tr>
        <w:trPr>
          <w:trHeight w:val="174"/>
        </w:trPr>
        <w:tc>
          <w:tcPr>
            <w:tcW w:w="2720" w:type="dxa"/>
            <w:vAlign w:val="bottom"/>
          </w:tcPr>
          <w:p>
            <w:pPr>
              <w:ind w:left="300"/>
              <w:spacing w:after="0" w:line="174" w:lineRule="exact"/>
              <w:rPr>
                <w:sz w:val="20"/>
                <w:szCs w:val="20"/>
                <w:color w:val="auto"/>
              </w:rPr>
            </w:pPr>
            <w:r>
              <w:rPr>
                <w:rFonts w:ascii="Arial" w:cs="Arial" w:eastAsia="Arial" w:hAnsi="Arial"/>
                <w:sz w:val="18"/>
                <w:szCs w:val="18"/>
                <w:color w:val="auto"/>
              </w:rPr>
              <w:t>2026 Senior Notes</w:t>
            </w:r>
          </w:p>
        </w:tc>
        <w:tc>
          <w:tcPr>
            <w:tcW w:w="8520" w:type="dxa"/>
            <w:vAlign w:val="bottom"/>
          </w:tcPr>
          <w:p>
            <w:pPr>
              <w:ind w:left="540"/>
              <w:spacing w:after="0" w:line="174" w:lineRule="exact"/>
              <w:rPr>
                <w:sz w:val="20"/>
                <w:szCs w:val="20"/>
                <w:color w:val="auto"/>
              </w:rPr>
            </w:pPr>
            <w:r>
              <w:rPr>
                <w:rFonts w:ascii="Arial" w:cs="Arial" w:eastAsia="Arial" w:hAnsi="Arial"/>
                <w:sz w:val="18"/>
                <w:szCs w:val="18"/>
                <w:color w:val="auto"/>
                <w:w w:val="95"/>
              </w:rPr>
              <w:t>$350 million aggregate principal amount of 5.00% unsecured senior notes due 2026, issued by Clearway</w:t>
            </w:r>
          </w:p>
        </w:tc>
      </w:tr>
      <w:tr>
        <w:trPr>
          <w:trHeight w:val="223"/>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Energy Operating LLC</w:t>
            </w:r>
          </w:p>
        </w:tc>
      </w:tr>
      <w:tr>
        <w:trPr>
          <w:trHeight w:val="174"/>
        </w:trPr>
        <w:tc>
          <w:tcPr>
            <w:tcW w:w="2720" w:type="dxa"/>
            <w:vAlign w:val="bottom"/>
          </w:tcPr>
          <w:p>
            <w:pPr>
              <w:ind w:left="300"/>
              <w:spacing w:after="0" w:line="174" w:lineRule="exact"/>
              <w:rPr>
                <w:sz w:val="20"/>
                <w:szCs w:val="20"/>
                <w:color w:val="auto"/>
              </w:rPr>
            </w:pPr>
            <w:r>
              <w:rPr>
                <w:rFonts w:ascii="Arial" w:cs="Arial" w:eastAsia="Arial" w:hAnsi="Arial"/>
                <w:sz w:val="18"/>
                <w:szCs w:val="18"/>
                <w:color w:val="auto"/>
              </w:rPr>
              <w:t>2028 Senior Notes</w:t>
            </w:r>
          </w:p>
        </w:tc>
        <w:tc>
          <w:tcPr>
            <w:tcW w:w="8520" w:type="dxa"/>
            <w:vAlign w:val="bottom"/>
          </w:tcPr>
          <w:p>
            <w:pPr>
              <w:ind w:left="540"/>
              <w:spacing w:after="0" w:line="174" w:lineRule="exact"/>
              <w:rPr>
                <w:sz w:val="20"/>
                <w:szCs w:val="20"/>
                <w:color w:val="auto"/>
              </w:rPr>
            </w:pPr>
            <w:r>
              <w:rPr>
                <w:rFonts w:ascii="Arial" w:cs="Arial" w:eastAsia="Arial" w:hAnsi="Arial"/>
                <w:sz w:val="18"/>
                <w:szCs w:val="18"/>
                <w:color w:val="auto"/>
                <w:w w:val="94"/>
              </w:rPr>
              <w:t>$850 million aggregate principal amount of 4.750% unsecured senior notes due 2028, issued by Clearway</w:t>
            </w:r>
          </w:p>
        </w:tc>
      </w:tr>
      <w:tr>
        <w:trPr>
          <w:trHeight w:val="223"/>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Energy Operating LLC</w:t>
            </w:r>
          </w:p>
        </w:tc>
      </w:tr>
      <w:tr>
        <w:trPr>
          <w:trHeight w:val="174"/>
        </w:trPr>
        <w:tc>
          <w:tcPr>
            <w:tcW w:w="2720" w:type="dxa"/>
            <w:vAlign w:val="bottom"/>
          </w:tcPr>
          <w:p>
            <w:pPr>
              <w:ind w:left="300"/>
              <w:spacing w:after="0" w:line="174" w:lineRule="exact"/>
              <w:rPr>
                <w:sz w:val="20"/>
                <w:szCs w:val="20"/>
                <w:color w:val="auto"/>
              </w:rPr>
            </w:pPr>
            <w:r>
              <w:rPr>
                <w:rFonts w:ascii="Arial" w:cs="Arial" w:eastAsia="Arial" w:hAnsi="Arial"/>
                <w:sz w:val="18"/>
                <w:szCs w:val="18"/>
                <w:color w:val="auto"/>
              </w:rPr>
              <w:t>2031 Senior Notes</w:t>
            </w:r>
          </w:p>
        </w:tc>
        <w:tc>
          <w:tcPr>
            <w:tcW w:w="8520" w:type="dxa"/>
            <w:vAlign w:val="bottom"/>
          </w:tcPr>
          <w:p>
            <w:pPr>
              <w:ind w:left="540"/>
              <w:spacing w:after="0" w:line="174" w:lineRule="exact"/>
              <w:rPr>
                <w:sz w:val="20"/>
                <w:szCs w:val="20"/>
                <w:color w:val="auto"/>
              </w:rPr>
            </w:pPr>
            <w:r>
              <w:rPr>
                <w:rFonts w:ascii="Arial" w:cs="Arial" w:eastAsia="Arial" w:hAnsi="Arial"/>
                <w:sz w:val="18"/>
                <w:szCs w:val="18"/>
                <w:color w:val="auto"/>
                <w:w w:val="94"/>
              </w:rPr>
              <w:t>$925 million aggregate principal amount of 3.750% unsecured senior notes due 2031, issued by Clearway</w:t>
            </w:r>
          </w:p>
        </w:tc>
      </w:tr>
      <w:tr>
        <w:trPr>
          <w:trHeight w:val="223"/>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Energy Operating LLC</w:t>
            </w:r>
          </w:p>
        </w:tc>
      </w:tr>
      <w:tr>
        <w:trPr>
          <w:trHeight w:val="214"/>
        </w:trPr>
        <w:tc>
          <w:tcPr>
            <w:tcW w:w="2720" w:type="dxa"/>
            <w:vAlign w:val="bottom"/>
          </w:tcPr>
          <w:p>
            <w:pPr>
              <w:ind w:left="300"/>
              <w:spacing w:after="0"/>
              <w:rPr>
                <w:sz w:val="20"/>
                <w:szCs w:val="20"/>
                <w:color w:val="auto"/>
              </w:rPr>
            </w:pPr>
            <w:r>
              <w:rPr>
                <w:rFonts w:ascii="Arial" w:cs="Arial" w:eastAsia="Arial" w:hAnsi="Arial"/>
                <w:sz w:val="18"/>
                <w:szCs w:val="18"/>
                <w:color w:val="auto"/>
              </w:rPr>
              <w:t>Adjusted EBITDA</w:t>
            </w:r>
          </w:p>
        </w:tc>
        <w:tc>
          <w:tcPr>
            <w:tcW w:w="8520" w:type="dxa"/>
            <w:vAlign w:val="bottom"/>
          </w:tcPr>
          <w:p>
            <w:pPr>
              <w:ind w:left="540"/>
              <w:spacing w:after="0"/>
              <w:rPr>
                <w:sz w:val="20"/>
                <w:szCs w:val="20"/>
                <w:color w:val="auto"/>
              </w:rPr>
            </w:pPr>
            <w:r>
              <w:rPr>
                <w:rFonts w:ascii="Arial" w:cs="Arial" w:eastAsia="Arial" w:hAnsi="Arial"/>
                <w:sz w:val="18"/>
                <w:szCs w:val="18"/>
                <w:color w:val="auto"/>
                <w:w w:val="94"/>
              </w:rPr>
              <w:t>A non-GAAP measure, represents earnings before interest, tax, depreciation and amortization adjusted for</w:t>
            </w:r>
          </w:p>
        </w:tc>
      </w:tr>
      <w:tr>
        <w:trPr>
          <w:trHeight w:val="199"/>
        </w:trPr>
        <w:tc>
          <w:tcPr>
            <w:tcW w:w="2720" w:type="dxa"/>
            <w:vAlign w:val="bottom"/>
          </w:tcPr>
          <w:p>
            <w:pPr>
              <w:spacing w:after="0"/>
              <w:rPr>
                <w:sz w:val="17"/>
                <w:szCs w:val="17"/>
                <w:color w:val="auto"/>
              </w:rPr>
            </w:pPr>
          </w:p>
        </w:tc>
        <w:tc>
          <w:tcPr>
            <w:tcW w:w="8520" w:type="dxa"/>
            <w:vAlign w:val="bottom"/>
          </w:tcPr>
          <w:p>
            <w:pPr>
              <w:ind w:left="280"/>
              <w:spacing w:after="0" w:line="199" w:lineRule="exact"/>
              <w:rPr>
                <w:sz w:val="20"/>
                <w:szCs w:val="20"/>
                <w:color w:val="auto"/>
              </w:rPr>
            </w:pPr>
            <w:r>
              <w:rPr>
                <w:rFonts w:ascii="Arial" w:cs="Arial" w:eastAsia="Arial" w:hAnsi="Arial"/>
                <w:sz w:val="18"/>
                <w:szCs w:val="18"/>
                <w:color w:val="auto"/>
                <w:w w:val="88"/>
              </w:rPr>
              <w:t>mark-to-market gains or losses, asset write offs and impairments; and factors which the Company does not consider</w:t>
            </w:r>
          </w:p>
        </w:tc>
      </w:tr>
      <w:tr>
        <w:trPr>
          <w:trHeight w:val="223"/>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indicative of future operating performance</w:t>
            </w:r>
          </w:p>
        </w:tc>
      </w:tr>
      <w:tr>
        <w:trPr>
          <w:trHeight w:val="201"/>
        </w:trPr>
        <w:tc>
          <w:tcPr>
            <w:tcW w:w="2720" w:type="dxa"/>
            <w:vAlign w:val="bottom"/>
          </w:tcPr>
          <w:p>
            <w:pPr>
              <w:ind w:left="300"/>
              <w:spacing w:after="0" w:line="201" w:lineRule="exact"/>
              <w:rPr>
                <w:sz w:val="20"/>
                <w:szCs w:val="20"/>
                <w:color w:val="auto"/>
              </w:rPr>
            </w:pPr>
            <w:r>
              <w:rPr>
                <w:rFonts w:ascii="Arial" w:cs="Arial" w:eastAsia="Arial" w:hAnsi="Arial"/>
                <w:sz w:val="18"/>
                <w:szCs w:val="18"/>
                <w:color w:val="auto"/>
              </w:rPr>
              <w:t>Adjusted Gross Margin</w:t>
            </w:r>
          </w:p>
        </w:tc>
        <w:tc>
          <w:tcPr>
            <w:tcW w:w="8520" w:type="dxa"/>
            <w:vAlign w:val="bottom"/>
          </w:tcPr>
          <w:p>
            <w:pPr>
              <w:ind w:left="540"/>
              <w:spacing w:after="0" w:line="201" w:lineRule="exact"/>
              <w:rPr>
                <w:sz w:val="20"/>
                <w:szCs w:val="20"/>
                <w:color w:val="auto"/>
              </w:rPr>
            </w:pPr>
            <w:r>
              <w:rPr>
                <w:rFonts w:ascii="Arial" w:cs="Arial" w:eastAsia="Arial" w:hAnsi="Arial"/>
                <w:sz w:val="18"/>
                <w:szCs w:val="18"/>
                <w:color w:val="auto"/>
                <w:w w:val="95"/>
              </w:rPr>
              <w:t>A non-GAAP measure, represents total operating revenues, excluding contract amortization and mark-to-</w:t>
            </w:r>
          </w:p>
        </w:tc>
      </w:tr>
      <w:tr>
        <w:trPr>
          <w:trHeight w:val="185"/>
        </w:trPr>
        <w:tc>
          <w:tcPr>
            <w:tcW w:w="2720" w:type="dxa"/>
            <w:vAlign w:val="bottom"/>
          </w:tcPr>
          <w:p>
            <w:pPr>
              <w:spacing w:after="0"/>
              <w:rPr>
                <w:sz w:val="16"/>
                <w:szCs w:val="16"/>
                <w:color w:val="auto"/>
              </w:rPr>
            </w:pPr>
          </w:p>
        </w:tc>
        <w:tc>
          <w:tcPr>
            <w:tcW w:w="8520" w:type="dxa"/>
            <w:vAlign w:val="bottom"/>
          </w:tcPr>
          <w:p>
            <w:pPr>
              <w:ind w:left="280"/>
              <w:spacing w:after="0" w:line="186" w:lineRule="exact"/>
              <w:rPr>
                <w:sz w:val="20"/>
                <w:szCs w:val="20"/>
                <w:color w:val="auto"/>
              </w:rPr>
            </w:pPr>
            <w:r>
              <w:rPr>
                <w:rFonts w:ascii="Arial" w:cs="Arial" w:eastAsia="Arial" w:hAnsi="Arial"/>
                <w:sz w:val="18"/>
                <w:szCs w:val="18"/>
                <w:color w:val="auto"/>
                <w:w w:val="92"/>
              </w:rPr>
              <w:t>market for economic hedges, less cost of fuels. See Item 2 Management’s Discussion and Analysis of Financial</w:t>
            </w:r>
          </w:p>
        </w:tc>
      </w:tr>
      <w:tr>
        <w:trPr>
          <w:trHeight w:val="186"/>
        </w:trPr>
        <w:tc>
          <w:tcPr>
            <w:tcW w:w="2720" w:type="dxa"/>
            <w:vAlign w:val="bottom"/>
          </w:tcPr>
          <w:p>
            <w:pPr>
              <w:spacing w:after="0"/>
              <w:rPr>
                <w:sz w:val="16"/>
                <w:szCs w:val="16"/>
                <w:color w:val="auto"/>
              </w:rPr>
            </w:pPr>
          </w:p>
        </w:tc>
        <w:tc>
          <w:tcPr>
            <w:tcW w:w="8520" w:type="dxa"/>
            <w:vAlign w:val="bottom"/>
          </w:tcPr>
          <w:p>
            <w:pPr>
              <w:ind w:left="280"/>
              <w:spacing w:after="0" w:line="186" w:lineRule="exact"/>
              <w:rPr>
                <w:sz w:val="20"/>
                <w:szCs w:val="20"/>
                <w:color w:val="auto"/>
              </w:rPr>
            </w:pPr>
            <w:r>
              <w:rPr>
                <w:rFonts w:ascii="Arial" w:cs="Arial" w:eastAsia="Arial" w:hAnsi="Arial"/>
                <w:sz w:val="18"/>
                <w:szCs w:val="18"/>
                <w:color w:val="auto"/>
                <w:w w:val="89"/>
              </w:rPr>
              <w:t>Condition and Results of Operations – Management’s discussion of the results of operations for the quarters ended</w:t>
            </w:r>
          </w:p>
        </w:tc>
      </w:tr>
      <w:tr>
        <w:trPr>
          <w:trHeight w:val="223"/>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June 30, 2021 and 2020 for a discussion of this measure</w:t>
            </w:r>
          </w:p>
        </w:tc>
      </w:tr>
      <w:tr>
        <w:trPr>
          <w:trHeight w:val="238"/>
        </w:trPr>
        <w:tc>
          <w:tcPr>
            <w:tcW w:w="2720" w:type="dxa"/>
            <w:vAlign w:val="bottom"/>
          </w:tcPr>
          <w:p>
            <w:pPr>
              <w:ind w:left="300"/>
              <w:spacing w:after="0"/>
              <w:rPr>
                <w:sz w:val="20"/>
                <w:szCs w:val="20"/>
                <w:color w:val="auto"/>
              </w:rPr>
            </w:pPr>
            <w:r>
              <w:rPr>
                <w:rFonts w:ascii="Arial" w:cs="Arial" w:eastAsia="Arial" w:hAnsi="Arial"/>
                <w:sz w:val="18"/>
                <w:szCs w:val="18"/>
                <w:color w:val="auto"/>
              </w:rPr>
              <w:t>AOCL</w:t>
            </w:r>
          </w:p>
        </w:tc>
        <w:tc>
          <w:tcPr>
            <w:tcW w:w="8520" w:type="dxa"/>
            <w:vAlign w:val="bottom"/>
          </w:tcPr>
          <w:p>
            <w:pPr>
              <w:ind w:left="540"/>
              <w:spacing w:after="0"/>
              <w:rPr>
                <w:sz w:val="20"/>
                <w:szCs w:val="20"/>
                <w:color w:val="auto"/>
              </w:rPr>
            </w:pPr>
            <w:r>
              <w:rPr>
                <w:rFonts w:ascii="Arial" w:cs="Arial" w:eastAsia="Arial" w:hAnsi="Arial"/>
                <w:sz w:val="18"/>
                <w:szCs w:val="18"/>
                <w:color w:val="auto"/>
              </w:rPr>
              <w:t>Accumulated Other Comprehensive Loss</w:t>
            </w:r>
          </w:p>
        </w:tc>
      </w:tr>
      <w:tr>
        <w:trPr>
          <w:trHeight w:val="346"/>
        </w:trPr>
        <w:tc>
          <w:tcPr>
            <w:tcW w:w="2720" w:type="dxa"/>
            <w:vAlign w:val="bottom"/>
          </w:tcPr>
          <w:p>
            <w:pPr>
              <w:ind w:left="300"/>
              <w:spacing w:after="0"/>
              <w:rPr>
                <w:sz w:val="20"/>
                <w:szCs w:val="20"/>
                <w:color w:val="auto"/>
              </w:rPr>
            </w:pPr>
            <w:r>
              <w:rPr>
                <w:rFonts w:ascii="Arial" w:cs="Arial" w:eastAsia="Arial" w:hAnsi="Arial"/>
                <w:sz w:val="18"/>
                <w:szCs w:val="18"/>
                <w:color w:val="auto"/>
              </w:rPr>
              <w:t>ASC</w:t>
            </w:r>
          </w:p>
        </w:tc>
        <w:tc>
          <w:tcPr>
            <w:tcW w:w="8520" w:type="dxa"/>
            <w:vAlign w:val="bottom"/>
          </w:tcPr>
          <w:p>
            <w:pPr>
              <w:ind w:left="54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r>
      <w:tr>
        <w:trPr>
          <w:trHeight w:val="223"/>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authoritative GAAP</w:t>
            </w:r>
          </w:p>
        </w:tc>
      </w:tr>
      <w:tr>
        <w:trPr>
          <w:trHeight w:val="225"/>
        </w:trPr>
        <w:tc>
          <w:tcPr>
            <w:tcW w:w="2720" w:type="dxa"/>
            <w:vAlign w:val="bottom"/>
          </w:tcPr>
          <w:p>
            <w:pPr>
              <w:ind w:left="300"/>
              <w:spacing w:after="0"/>
              <w:rPr>
                <w:sz w:val="20"/>
                <w:szCs w:val="20"/>
                <w:color w:val="auto"/>
              </w:rPr>
            </w:pPr>
            <w:r>
              <w:rPr>
                <w:rFonts w:ascii="Arial" w:cs="Arial" w:eastAsia="Arial" w:hAnsi="Arial"/>
                <w:sz w:val="18"/>
                <w:szCs w:val="18"/>
                <w:color w:val="auto"/>
              </w:rPr>
              <w:t>ASU</w:t>
            </w:r>
          </w:p>
        </w:tc>
        <w:tc>
          <w:tcPr>
            <w:tcW w:w="8520" w:type="dxa"/>
            <w:vAlign w:val="bottom"/>
          </w:tcPr>
          <w:p>
            <w:pPr>
              <w:ind w:left="540"/>
              <w:spacing w:after="0"/>
              <w:rPr>
                <w:sz w:val="20"/>
                <w:szCs w:val="20"/>
                <w:color w:val="auto"/>
              </w:rPr>
            </w:pPr>
            <w:r>
              <w:rPr>
                <w:rFonts w:ascii="Arial" w:cs="Arial" w:eastAsia="Arial" w:hAnsi="Arial"/>
                <w:sz w:val="18"/>
                <w:szCs w:val="18"/>
                <w:color w:val="auto"/>
              </w:rPr>
              <w:t>Accounting Standards Updates - updates to the ASC</w:t>
            </w:r>
          </w:p>
        </w:tc>
      </w:tr>
      <w:tr>
        <w:trPr>
          <w:trHeight w:val="225"/>
        </w:trPr>
        <w:tc>
          <w:tcPr>
            <w:tcW w:w="2720" w:type="dxa"/>
            <w:vAlign w:val="bottom"/>
          </w:tcPr>
          <w:p>
            <w:pPr>
              <w:ind w:left="300"/>
              <w:spacing w:after="0"/>
              <w:rPr>
                <w:sz w:val="20"/>
                <w:szCs w:val="20"/>
                <w:color w:val="auto"/>
              </w:rPr>
            </w:pPr>
            <w:r>
              <w:rPr>
                <w:rFonts w:ascii="Arial" w:cs="Arial" w:eastAsia="Arial" w:hAnsi="Arial"/>
                <w:sz w:val="18"/>
                <w:szCs w:val="18"/>
                <w:color w:val="auto"/>
              </w:rPr>
              <w:t>ATM Programs</w:t>
            </w:r>
          </w:p>
        </w:tc>
        <w:tc>
          <w:tcPr>
            <w:tcW w:w="8520" w:type="dxa"/>
            <w:vAlign w:val="bottom"/>
          </w:tcPr>
          <w:p>
            <w:pPr>
              <w:ind w:left="540"/>
              <w:spacing w:after="0"/>
              <w:rPr>
                <w:sz w:val="20"/>
                <w:szCs w:val="20"/>
                <w:color w:val="auto"/>
              </w:rPr>
            </w:pPr>
            <w:r>
              <w:rPr>
                <w:rFonts w:ascii="Arial" w:cs="Arial" w:eastAsia="Arial" w:hAnsi="Arial"/>
                <w:sz w:val="18"/>
                <w:szCs w:val="18"/>
                <w:color w:val="auto"/>
              </w:rPr>
              <w:t>At-The-Market Equity Offering Programs</w:t>
            </w:r>
          </w:p>
        </w:tc>
      </w:tr>
      <w:tr>
        <w:trPr>
          <w:trHeight w:val="174"/>
        </w:trPr>
        <w:tc>
          <w:tcPr>
            <w:tcW w:w="2720" w:type="dxa"/>
            <w:vAlign w:val="bottom"/>
          </w:tcPr>
          <w:p>
            <w:pPr>
              <w:ind w:left="300"/>
              <w:spacing w:after="0" w:line="174" w:lineRule="exact"/>
              <w:rPr>
                <w:sz w:val="20"/>
                <w:szCs w:val="20"/>
                <w:color w:val="auto"/>
              </w:rPr>
            </w:pPr>
            <w:r>
              <w:rPr>
                <w:rFonts w:ascii="Arial" w:cs="Arial" w:eastAsia="Arial" w:hAnsi="Arial"/>
                <w:sz w:val="18"/>
                <w:szCs w:val="18"/>
                <w:color w:val="auto"/>
              </w:rPr>
              <w:t>CAFD</w:t>
            </w:r>
          </w:p>
        </w:tc>
        <w:tc>
          <w:tcPr>
            <w:tcW w:w="8520" w:type="dxa"/>
            <w:vAlign w:val="bottom"/>
          </w:tcPr>
          <w:p>
            <w:pPr>
              <w:ind w:left="540"/>
              <w:spacing w:after="0" w:line="174" w:lineRule="exact"/>
              <w:rPr>
                <w:sz w:val="20"/>
                <w:szCs w:val="20"/>
                <w:color w:val="auto"/>
              </w:rPr>
            </w:pPr>
            <w:r>
              <w:rPr>
                <w:rFonts w:ascii="Arial" w:cs="Arial" w:eastAsia="Arial" w:hAnsi="Arial"/>
                <w:sz w:val="18"/>
                <w:szCs w:val="18"/>
                <w:color w:val="auto"/>
                <w:w w:val="94"/>
              </w:rPr>
              <w:t>A non-GAAP measure, Cash Available for Distribution is defined as of June 30, 2021 as Adjusted EBITDA</w:t>
            </w:r>
          </w:p>
        </w:tc>
      </w:tr>
      <w:tr>
        <w:trPr>
          <w:trHeight w:val="172"/>
        </w:trPr>
        <w:tc>
          <w:tcPr>
            <w:tcW w:w="2720" w:type="dxa"/>
            <w:vAlign w:val="bottom"/>
          </w:tcPr>
          <w:p>
            <w:pPr>
              <w:spacing w:after="0"/>
              <w:rPr>
                <w:sz w:val="14"/>
                <w:szCs w:val="14"/>
                <w:color w:val="auto"/>
              </w:rPr>
            </w:pPr>
          </w:p>
        </w:tc>
        <w:tc>
          <w:tcPr>
            <w:tcW w:w="8520" w:type="dxa"/>
            <w:vAlign w:val="bottom"/>
          </w:tcPr>
          <w:p>
            <w:pPr>
              <w:ind w:left="280"/>
              <w:spacing w:after="0" w:line="172" w:lineRule="exact"/>
              <w:rPr>
                <w:sz w:val="20"/>
                <w:szCs w:val="20"/>
                <w:color w:val="auto"/>
              </w:rPr>
            </w:pPr>
            <w:r>
              <w:rPr>
                <w:rFonts w:ascii="Arial" w:cs="Arial" w:eastAsia="Arial" w:hAnsi="Arial"/>
                <w:sz w:val="18"/>
                <w:szCs w:val="18"/>
                <w:color w:val="auto"/>
                <w:w w:val="91"/>
              </w:rPr>
              <w:t>plus cash distributions/return of investment from unconsolidated affiliates, adjustments to reflect CAFD generated</w:t>
            </w:r>
          </w:p>
        </w:tc>
      </w:tr>
      <w:tr>
        <w:trPr>
          <w:trHeight w:val="172"/>
        </w:trPr>
        <w:tc>
          <w:tcPr>
            <w:tcW w:w="2720" w:type="dxa"/>
            <w:vAlign w:val="bottom"/>
          </w:tcPr>
          <w:p>
            <w:pPr>
              <w:spacing w:after="0"/>
              <w:rPr>
                <w:sz w:val="14"/>
                <w:szCs w:val="14"/>
                <w:color w:val="auto"/>
              </w:rPr>
            </w:pPr>
          </w:p>
        </w:tc>
        <w:tc>
          <w:tcPr>
            <w:tcW w:w="8520" w:type="dxa"/>
            <w:vAlign w:val="bottom"/>
          </w:tcPr>
          <w:p>
            <w:pPr>
              <w:ind w:left="280"/>
              <w:spacing w:after="0" w:line="172" w:lineRule="exact"/>
              <w:rPr>
                <w:sz w:val="20"/>
                <w:szCs w:val="20"/>
                <w:color w:val="auto"/>
              </w:rPr>
            </w:pPr>
            <w:r>
              <w:rPr>
                <w:rFonts w:ascii="Arial" w:cs="Arial" w:eastAsia="Arial" w:hAnsi="Arial"/>
                <w:sz w:val="18"/>
                <w:szCs w:val="18"/>
                <w:color w:val="auto"/>
                <w:w w:val="91"/>
              </w:rPr>
              <w:t>by unconsolidated investments that were not able to distribute project dividends prior to PG&amp;E's emergence from</w:t>
            </w:r>
          </w:p>
        </w:tc>
      </w:tr>
      <w:tr>
        <w:trPr>
          <w:trHeight w:val="172"/>
        </w:trPr>
        <w:tc>
          <w:tcPr>
            <w:tcW w:w="2720" w:type="dxa"/>
            <w:vAlign w:val="bottom"/>
          </w:tcPr>
          <w:p>
            <w:pPr>
              <w:spacing w:after="0"/>
              <w:rPr>
                <w:sz w:val="14"/>
                <w:szCs w:val="14"/>
                <w:color w:val="auto"/>
              </w:rPr>
            </w:pPr>
          </w:p>
        </w:tc>
        <w:tc>
          <w:tcPr>
            <w:tcW w:w="8520" w:type="dxa"/>
            <w:vAlign w:val="bottom"/>
          </w:tcPr>
          <w:p>
            <w:pPr>
              <w:ind w:left="280"/>
              <w:spacing w:after="0" w:line="172" w:lineRule="exact"/>
              <w:rPr>
                <w:sz w:val="20"/>
                <w:szCs w:val="20"/>
                <w:color w:val="auto"/>
              </w:rPr>
            </w:pPr>
            <w:r>
              <w:rPr>
                <w:rFonts w:ascii="Arial" w:cs="Arial" w:eastAsia="Arial" w:hAnsi="Arial"/>
                <w:sz w:val="18"/>
                <w:szCs w:val="18"/>
                <w:color w:val="auto"/>
                <w:w w:val="92"/>
              </w:rPr>
              <w:t>bankruptcy on July 1, 2020 and subsequent release post-bankruptcy, cash receipts from notes receivable, cash</w:t>
            </w:r>
          </w:p>
        </w:tc>
      </w:tr>
      <w:tr>
        <w:trPr>
          <w:trHeight w:val="172"/>
        </w:trPr>
        <w:tc>
          <w:tcPr>
            <w:tcW w:w="2720" w:type="dxa"/>
            <w:vAlign w:val="bottom"/>
          </w:tcPr>
          <w:p>
            <w:pPr>
              <w:spacing w:after="0"/>
              <w:rPr>
                <w:sz w:val="14"/>
                <w:szCs w:val="14"/>
                <w:color w:val="auto"/>
              </w:rPr>
            </w:pPr>
          </w:p>
        </w:tc>
        <w:tc>
          <w:tcPr>
            <w:tcW w:w="8520" w:type="dxa"/>
            <w:vAlign w:val="bottom"/>
          </w:tcPr>
          <w:p>
            <w:pPr>
              <w:ind w:left="280"/>
              <w:spacing w:after="0" w:line="172" w:lineRule="exact"/>
              <w:rPr>
                <w:sz w:val="20"/>
                <w:szCs w:val="20"/>
                <w:color w:val="auto"/>
              </w:rPr>
            </w:pPr>
            <w:r>
              <w:rPr>
                <w:rFonts w:ascii="Arial" w:cs="Arial" w:eastAsia="Arial" w:hAnsi="Arial"/>
                <w:sz w:val="18"/>
                <w:szCs w:val="18"/>
                <w:color w:val="auto"/>
                <w:w w:val="96"/>
              </w:rPr>
              <w:t>distributions from noncontrolling interests, adjustments to reflect sales-type lease cash payments, less cash</w:t>
            </w:r>
          </w:p>
        </w:tc>
      </w:tr>
      <w:tr>
        <w:trPr>
          <w:trHeight w:val="172"/>
        </w:trPr>
        <w:tc>
          <w:tcPr>
            <w:tcW w:w="2720" w:type="dxa"/>
            <w:vAlign w:val="bottom"/>
          </w:tcPr>
          <w:p>
            <w:pPr>
              <w:spacing w:after="0"/>
              <w:rPr>
                <w:sz w:val="14"/>
                <w:szCs w:val="14"/>
                <w:color w:val="auto"/>
              </w:rPr>
            </w:pPr>
          </w:p>
        </w:tc>
        <w:tc>
          <w:tcPr>
            <w:tcW w:w="8520" w:type="dxa"/>
            <w:vAlign w:val="bottom"/>
          </w:tcPr>
          <w:p>
            <w:pPr>
              <w:ind w:left="280"/>
              <w:spacing w:after="0" w:line="172" w:lineRule="exact"/>
              <w:rPr>
                <w:sz w:val="20"/>
                <w:szCs w:val="20"/>
                <w:color w:val="auto"/>
              </w:rPr>
            </w:pPr>
            <w:r>
              <w:rPr>
                <w:rFonts w:ascii="Arial" w:cs="Arial" w:eastAsia="Arial" w:hAnsi="Arial"/>
                <w:sz w:val="18"/>
                <w:szCs w:val="18"/>
                <w:color w:val="auto"/>
                <w:w w:val="97"/>
              </w:rPr>
              <w:t>distributions to noncontrolling interests, maintenance capital expenditures, pro-rata Adjusted EBITDA from</w:t>
            </w:r>
          </w:p>
        </w:tc>
      </w:tr>
      <w:tr>
        <w:trPr>
          <w:trHeight w:val="172"/>
        </w:trPr>
        <w:tc>
          <w:tcPr>
            <w:tcW w:w="2720" w:type="dxa"/>
            <w:vAlign w:val="bottom"/>
          </w:tcPr>
          <w:p>
            <w:pPr>
              <w:spacing w:after="0"/>
              <w:rPr>
                <w:sz w:val="14"/>
                <w:szCs w:val="14"/>
                <w:color w:val="auto"/>
              </w:rPr>
            </w:pPr>
          </w:p>
        </w:tc>
        <w:tc>
          <w:tcPr>
            <w:tcW w:w="8520" w:type="dxa"/>
            <w:vAlign w:val="bottom"/>
          </w:tcPr>
          <w:p>
            <w:pPr>
              <w:ind w:left="280"/>
              <w:spacing w:after="0" w:line="172" w:lineRule="exact"/>
              <w:rPr>
                <w:sz w:val="20"/>
                <w:szCs w:val="20"/>
                <w:color w:val="auto"/>
              </w:rPr>
            </w:pPr>
            <w:r>
              <w:rPr>
                <w:rFonts w:ascii="Arial" w:cs="Arial" w:eastAsia="Arial" w:hAnsi="Arial"/>
                <w:sz w:val="18"/>
                <w:szCs w:val="18"/>
                <w:color w:val="auto"/>
                <w:w w:val="90"/>
              </w:rPr>
              <w:t>unconsolidated affiliates, cash interest paid, income taxes paid, principal amortization of indebtedness, changes in</w:t>
            </w:r>
          </w:p>
        </w:tc>
      </w:tr>
      <w:tr>
        <w:trPr>
          <w:trHeight w:val="223"/>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prepaid and accrued capacity payments, and adjusted for development expenses</w:t>
            </w:r>
          </w:p>
        </w:tc>
      </w:tr>
      <w:tr>
        <w:trPr>
          <w:trHeight w:val="225"/>
        </w:trPr>
        <w:tc>
          <w:tcPr>
            <w:tcW w:w="2720" w:type="dxa"/>
            <w:vAlign w:val="bottom"/>
          </w:tcPr>
          <w:p>
            <w:pPr>
              <w:ind w:left="300"/>
              <w:spacing w:after="0"/>
              <w:rPr>
                <w:sz w:val="20"/>
                <w:szCs w:val="20"/>
                <w:color w:val="auto"/>
              </w:rPr>
            </w:pPr>
            <w:r>
              <w:rPr>
                <w:rFonts w:ascii="Arial" w:cs="Arial" w:eastAsia="Arial" w:hAnsi="Arial"/>
                <w:sz w:val="18"/>
                <w:szCs w:val="18"/>
                <w:color w:val="auto"/>
              </w:rPr>
              <w:t>CEG</w:t>
            </w:r>
          </w:p>
        </w:tc>
        <w:tc>
          <w:tcPr>
            <w:tcW w:w="8520" w:type="dxa"/>
            <w:vAlign w:val="bottom"/>
          </w:tcPr>
          <w:p>
            <w:pPr>
              <w:ind w:left="540"/>
              <w:spacing w:after="0"/>
              <w:rPr>
                <w:sz w:val="20"/>
                <w:szCs w:val="20"/>
                <w:color w:val="auto"/>
              </w:rPr>
            </w:pPr>
            <w:r>
              <w:rPr>
                <w:rFonts w:ascii="Arial" w:cs="Arial" w:eastAsia="Arial" w:hAnsi="Arial"/>
                <w:sz w:val="18"/>
                <w:szCs w:val="18"/>
                <w:color w:val="auto"/>
              </w:rPr>
              <w:t>Clearway Energy Group LLC (formerly Zephyr Renewables LLC)</w:t>
            </w:r>
          </w:p>
        </w:tc>
      </w:tr>
      <w:tr>
        <w:trPr>
          <w:trHeight w:val="174"/>
        </w:trPr>
        <w:tc>
          <w:tcPr>
            <w:tcW w:w="2720" w:type="dxa"/>
            <w:vAlign w:val="bottom"/>
          </w:tcPr>
          <w:p>
            <w:pPr>
              <w:ind w:left="300"/>
              <w:spacing w:after="0" w:line="174" w:lineRule="exact"/>
              <w:rPr>
                <w:sz w:val="20"/>
                <w:szCs w:val="20"/>
                <w:color w:val="auto"/>
              </w:rPr>
            </w:pPr>
            <w:r>
              <w:rPr>
                <w:rFonts w:ascii="Arial" w:cs="Arial" w:eastAsia="Arial" w:hAnsi="Arial"/>
                <w:sz w:val="18"/>
                <w:szCs w:val="18"/>
                <w:color w:val="auto"/>
                <w:w w:val="90"/>
              </w:rPr>
              <w:t>CEG Master Services Agreement</w:t>
            </w:r>
          </w:p>
        </w:tc>
        <w:tc>
          <w:tcPr>
            <w:tcW w:w="8520" w:type="dxa"/>
            <w:vAlign w:val="bottom"/>
          </w:tcPr>
          <w:p>
            <w:pPr>
              <w:ind w:left="540"/>
              <w:spacing w:after="0" w:line="174" w:lineRule="exact"/>
              <w:rPr>
                <w:sz w:val="20"/>
                <w:szCs w:val="20"/>
                <w:color w:val="auto"/>
              </w:rPr>
            </w:pPr>
            <w:r>
              <w:rPr>
                <w:rFonts w:ascii="Arial" w:cs="Arial" w:eastAsia="Arial" w:hAnsi="Arial"/>
                <w:sz w:val="18"/>
                <w:szCs w:val="18"/>
                <w:color w:val="auto"/>
                <w:w w:val="89"/>
              </w:rPr>
              <w:t>Master Services Agreements entered into as of August 31, 2018 between the Company, Clearway Energy, Inc.,</w:t>
            </w:r>
          </w:p>
        </w:tc>
      </w:tr>
      <w:tr>
        <w:trPr>
          <w:trHeight w:val="223"/>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Clearway Energy Operating LLC, and CEG</w:t>
            </w:r>
          </w:p>
        </w:tc>
      </w:tr>
      <w:tr>
        <w:trPr>
          <w:trHeight w:val="174"/>
        </w:trPr>
        <w:tc>
          <w:tcPr>
            <w:tcW w:w="2720" w:type="dxa"/>
            <w:vAlign w:val="bottom"/>
          </w:tcPr>
          <w:p>
            <w:pPr>
              <w:ind w:left="300"/>
              <w:spacing w:after="0" w:line="174" w:lineRule="exact"/>
              <w:rPr>
                <w:sz w:val="20"/>
                <w:szCs w:val="20"/>
                <w:color w:val="auto"/>
              </w:rPr>
            </w:pPr>
            <w:r>
              <w:rPr>
                <w:rFonts w:ascii="Arial" w:cs="Arial" w:eastAsia="Arial" w:hAnsi="Arial"/>
                <w:sz w:val="18"/>
                <w:szCs w:val="18"/>
                <w:color w:val="auto"/>
              </w:rPr>
              <w:t>CEG ROFO Agreement</w:t>
            </w:r>
          </w:p>
        </w:tc>
        <w:tc>
          <w:tcPr>
            <w:tcW w:w="8520" w:type="dxa"/>
            <w:vAlign w:val="bottom"/>
          </w:tcPr>
          <w:p>
            <w:pPr>
              <w:ind w:left="540"/>
              <w:spacing w:after="0" w:line="174" w:lineRule="exact"/>
              <w:rPr>
                <w:sz w:val="20"/>
                <w:szCs w:val="20"/>
                <w:color w:val="auto"/>
              </w:rPr>
            </w:pPr>
            <w:r>
              <w:rPr>
                <w:rFonts w:ascii="Arial" w:cs="Arial" w:eastAsia="Arial" w:hAnsi="Arial"/>
                <w:sz w:val="18"/>
                <w:szCs w:val="18"/>
                <w:color w:val="auto"/>
                <w:w w:val="92"/>
              </w:rPr>
              <w:t>Right of First Offer Agreement, entered into as of August 31, 2018, by and between Clearway Energy Group</w:t>
            </w:r>
          </w:p>
        </w:tc>
      </w:tr>
      <w:tr>
        <w:trPr>
          <w:trHeight w:val="172"/>
        </w:trPr>
        <w:tc>
          <w:tcPr>
            <w:tcW w:w="2720" w:type="dxa"/>
            <w:vAlign w:val="bottom"/>
          </w:tcPr>
          <w:p>
            <w:pPr>
              <w:spacing w:after="0"/>
              <w:rPr>
                <w:sz w:val="14"/>
                <w:szCs w:val="14"/>
                <w:color w:val="auto"/>
              </w:rPr>
            </w:pPr>
          </w:p>
        </w:tc>
        <w:tc>
          <w:tcPr>
            <w:tcW w:w="8520" w:type="dxa"/>
            <w:vAlign w:val="bottom"/>
          </w:tcPr>
          <w:p>
            <w:pPr>
              <w:ind w:left="280"/>
              <w:spacing w:after="0" w:line="172" w:lineRule="exact"/>
              <w:rPr>
                <w:sz w:val="20"/>
                <w:szCs w:val="20"/>
                <w:color w:val="auto"/>
              </w:rPr>
            </w:pPr>
            <w:r>
              <w:rPr>
                <w:rFonts w:ascii="Arial" w:cs="Arial" w:eastAsia="Arial" w:hAnsi="Arial"/>
                <w:sz w:val="18"/>
                <w:szCs w:val="18"/>
                <w:color w:val="auto"/>
                <w:w w:val="91"/>
              </w:rPr>
              <w:t>LLC and Clearway Energy, Inc., and solely for purposes of Section 2.4, GIP III Zephyr Acquisition Partners, L.P.,</w:t>
            </w:r>
          </w:p>
        </w:tc>
      </w:tr>
      <w:tr>
        <w:trPr>
          <w:trHeight w:val="172"/>
        </w:trPr>
        <w:tc>
          <w:tcPr>
            <w:tcW w:w="2720" w:type="dxa"/>
            <w:vAlign w:val="bottom"/>
          </w:tcPr>
          <w:p>
            <w:pPr>
              <w:spacing w:after="0"/>
              <w:rPr>
                <w:sz w:val="14"/>
                <w:szCs w:val="14"/>
                <w:color w:val="auto"/>
              </w:rPr>
            </w:pPr>
          </w:p>
        </w:tc>
        <w:tc>
          <w:tcPr>
            <w:tcW w:w="8520" w:type="dxa"/>
            <w:vAlign w:val="bottom"/>
          </w:tcPr>
          <w:p>
            <w:pPr>
              <w:ind w:left="280"/>
              <w:spacing w:after="0" w:line="172" w:lineRule="exact"/>
              <w:rPr>
                <w:sz w:val="20"/>
                <w:szCs w:val="20"/>
                <w:color w:val="auto"/>
              </w:rPr>
            </w:pPr>
            <w:r>
              <w:rPr>
                <w:rFonts w:ascii="Arial" w:cs="Arial" w:eastAsia="Arial" w:hAnsi="Arial"/>
                <w:sz w:val="18"/>
                <w:szCs w:val="18"/>
                <w:color w:val="auto"/>
                <w:w w:val="90"/>
              </w:rPr>
              <w:t>as amended by the First Amendment dated February 14, 2019, the Second Amendment dated August 1, 2019, the</w:t>
            </w:r>
          </w:p>
        </w:tc>
      </w:tr>
      <w:tr>
        <w:trPr>
          <w:trHeight w:val="172"/>
        </w:trPr>
        <w:tc>
          <w:tcPr>
            <w:tcW w:w="2720" w:type="dxa"/>
            <w:vAlign w:val="bottom"/>
          </w:tcPr>
          <w:p>
            <w:pPr>
              <w:spacing w:after="0"/>
              <w:rPr>
                <w:sz w:val="14"/>
                <w:szCs w:val="14"/>
                <w:color w:val="auto"/>
              </w:rPr>
            </w:pPr>
          </w:p>
        </w:tc>
        <w:tc>
          <w:tcPr>
            <w:tcW w:w="8520" w:type="dxa"/>
            <w:vAlign w:val="bottom"/>
          </w:tcPr>
          <w:p>
            <w:pPr>
              <w:ind w:left="280"/>
              <w:spacing w:after="0" w:line="172" w:lineRule="exact"/>
              <w:rPr>
                <w:sz w:val="20"/>
                <w:szCs w:val="20"/>
                <w:color w:val="auto"/>
              </w:rPr>
            </w:pPr>
            <w:r>
              <w:rPr>
                <w:rFonts w:ascii="Arial" w:cs="Arial" w:eastAsia="Arial" w:hAnsi="Arial"/>
                <w:sz w:val="18"/>
                <w:szCs w:val="18"/>
                <w:color w:val="auto"/>
                <w:w w:val="96"/>
              </w:rPr>
              <w:t>Third Amendment dated December 6, 2019, the Fourth Amendment dated November 2, 2020 and the Fifth</w:t>
            </w:r>
          </w:p>
        </w:tc>
      </w:tr>
      <w:tr>
        <w:trPr>
          <w:trHeight w:val="223"/>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Amendment dated August 2, 2021</w:t>
            </w:r>
          </w:p>
        </w:tc>
      </w:tr>
      <w:tr>
        <w:trPr>
          <w:trHeight w:val="225"/>
        </w:trPr>
        <w:tc>
          <w:tcPr>
            <w:tcW w:w="2720" w:type="dxa"/>
            <w:vAlign w:val="bottom"/>
          </w:tcPr>
          <w:p>
            <w:pPr>
              <w:ind w:left="300"/>
              <w:spacing w:after="0"/>
              <w:rPr>
                <w:sz w:val="20"/>
                <w:szCs w:val="20"/>
                <w:color w:val="auto"/>
              </w:rPr>
            </w:pPr>
            <w:r>
              <w:rPr>
                <w:rFonts w:ascii="Arial" w:cs="Arial" w:eastAsia="Arial" w:hAnsi="Arial"/>
                <w:sz w:val="18"/>
                <w:szCs w:val="18"/>
                <w:color w:val="auto"/>
              </w:rPr>
              <w:t>CARES Act</w:t>
            </w:r>
          </w:p>
        </w:tc>
        <w:tc>
          <w:tcPr>
            <w:tcW w:w="8520" w:type="dxa"/>
            <w:vAlign w:val="bottom"/>
          </w:tcPr>
          <w:p>
            <w:pPr>
              <w:ind w:left="540"/>
              <w:spacing w:after="0"/>
              <w:rPr>
                <w:sz w:val="20"/>
                <w:szCs w:val="20"/>
                <w:color w:val="auto"/>
              </w:rPr>
            </w:pPr>
            <w:r>
              <w:rPr>
                <w:rFonts w:ascii="Arial" w:cs="Arial" w:eastAsia="Arial" w:hAnsi="Arial"/>
                <w:sz w:val="18"/>
                <w:szCs w:val="18"/>
                <w:color w:val="auto"/>
              </w:rPr>
              <w:t>The Coronavirus Aid, Relief, and Economic Security Act</w:t>
            </w:r>
          </w:p>
        </w:tc>
      </w:tr>
      <w:tr>
        <w:trPr>
          <w:trHeight w:val="174"/>
        </w:trPr>
        <w:tc>
          <w:tcPr>
            <w:tcW w:w="2720" w:type="dxa"/>
            <w:vAlign w:val="bottom"/>
          </w:tcPr>
          <w:p>
            <w:pPr>
              <w:ind w:left="300"/>
              <w:spacing w:after="0" w:line="174" w:lineRule="exact"/>
              <w:rPr>
                <w:sz w:val="20"/>
                <w:szCs w:val="20"/>
                <w:color w:val="auto"/>
              </w:rPr>
            </w:pPr>
            <w:r>
              <w:rPr>
                <w:rFonts w:ascii="Arial" w:cs="Arial" w:eastAsia="Arial" w:hAnsi="Arial"/>
                <w:sz w:val="18"/>
                <w:szCs w:val="18"/>
                <w:color w:val="auto"/>
              </w:rPr>
              <w:t>Clearway Energy LLC</w:t>
            </w:r>
          </w:p>
        </w:tc>
        <w:tc>
          <w:tcPr>
            <w:tcW w:w="8520" w:type="dxa"/>
            <w:vAlign w:val="bottom"/>
          </w:tcPr>
          <w:p>
            <w:pPr>
              <w:ind w:left="540"/>
              <w:spacing w:after="0" w:line="174" w:lineRule="exact"/>
              <w:rPr>
                <w:sz w:val="20"/>
                <w:szCs w:val="20"/>
                <w:color w:val="auto"/>
              </w:rPr>
            </w:pPr>
            <w:r>
              <w:rPr>
                <w:rFonts w:ascii="Arial" w:cs="Arial" w:eastAsia="Arial" w:hAnsi="Arial"/>
                <w:sz w:val="18"/>
                <w:szCs w:val="18"/>
                <w:color w:val="auto"/>
                <w:w w:val="94"/>
              </w:rPr>
              <w:t>The holding company through which the projects are owned by Clearway Energy Group LLC, the holder of</w:t>
            </w:r>
          </w:p>
        </w:tc>
      </w:tr>
      <w:tr>
        <w:trPr>
          <w:trHeight w:val="223"/>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w w:val="89"/>
              </w:rPr>
              <w:t>Class B and Class D units of the Company, and Clearway Energy, Inc., the holder of the Class A and Class C units</w:t>
            </w:r>
          </w:p>
        </w:tc>
      </w:tr>
      <w:tr>
        <w:trPr>
          <w:trHeight w:val="174"/>
        </w:trPr>
        <w:tc>
          <w:tcPr>
            <w:tcW w:w="2720" w:type="dxa"/>
            <w:vAlign w:val="bottom"/>
          </w:tcPr>
          <w:p>
            <w:pPr>
              <w:ind w:left="300"/>
              <w:spacing w:after="0" w:line="174" w:lineRule="exact"/>
              <w:rPr>
                <w:sz w:val="20"/>
                <w:szCs w:val="20"/>
                <w:color w:val="auto"/>
              </w:rPr>
            </w:pPr>
            <w:r>
              <w:rPr>
                <w:rFonts w:ascii="Arial" w:cs="Arial" w:eastAsia="Arial" w:hAnsi="Arial"/>
                <w:sz w:val="18"/>
                <w:szCs w:val="18"/>
                <w:color w:val="auto"/>
              </w:rPr>
              <w:t>Clearway Energy Group LLC</w:t>
            </w:r>
          </w:p>
        </w:tc>
        <w:tc>
          <w:tcPr>
            <w:tcW w:w="8520" w:type="dxa"/>
            <w:vAlign w:val="bottom"/>
          </w:tcPr>
          <w:p>
            <w:pPr>
              <w:ind w:left="540"/>
              <w:spacing w:after="0" w:line="174" w:lineRule="exact"/>
              <w:rPr>
                <w:sz w:val="20"/>
                <w:szCs w:val="20"/>
                <w:color w:val="auto"/>
              </w:rPr>
            </w:pPr>
            <w:r>
              <w:rPr>
                <w:rFonts w:ascii="Arial" w:cs="Arial" w:eastAsia="Arial" w:hAnsi="Arial"/>
                <w:sz w:val="18"/>
                <w:szCs w:val="18"/>
                <w:color w:val="auto"/>
                <w:w w:val="91"/>
              </w:rPr>
              <w:t>The holder of all of Clearway Energy, Inc.'s Class B and Class D common shares stock,and Clearway Energy</w:t>
            </w:r>
          </w:p>
        </w:tc>
      </w:tr>
      <w:tr>
        <w:trPr>
          <w:trHeight w:val="172"/>
        </w:trPr>
        <w:tc>
          <w:tcPr>
            <w:tcW w:w="2720" w:type="dxa"/>
            <w:vAlign w:val="bottom"/>
          </w:tcPr>
          <w:p>
            <w:pPr>
              <w:spacing w:after="0"/>
              <w:rPr>
                <w:sz w:val="14"/>
                <w:szCs w:val="14"/>
                <w:color w:val="auto"/>
              </w:rPr>
            </w:pPr>
          </w:p>
        </w:tc>
        <w:tc>
          <w:tcPr>
            <w:tcW w:w="8520" w:type="dxa"/>
            <w:vAlign w:val="bottom"/>
          </w:tcPr>
          <w:p>
            <w:pPr>
              <w:ind w:left="280"/>
              <w:spacing w:after="0" w:line="172" w:lineRule="exact"/>
              <w:rPr>
                <w:sz w:val="20"/>
                <w:szCs w:val="20"/>
                <w:color w:val="auto"/>
              </w:rPr>
            </w:pPr>
            <w:r>
              <w:rPr>
                <w:rFonts w:ascii="Arial" w:cs="Arial" w:eastAsia="Arial" w:hAnsi="Arial"/>
                <w:sz w:val="18"/>
                <w:szCs w:val="18"/>
                <w:color w:val="auto"/>
                <w:w w:val="90"/>
              </w:rPr>
              <w:t>LLC'sthe Company’s Class B and Class D units and, from time to time, possibly shares of Clearway Energy, Inc.’s</w:t>
            </w:r>
          </w:p>
        </w:tc>
      </w:tr>
      <w:tr>
        <w:trPr>
          <w:trHeight w:val="223"/>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Class A and/or Class C common stock</w:t>
            </w:r>
          </w:p>
        </w:tc>
      </w:tr>
      <w:tr>
        <w:trPr>
          <w:trHeight w:val="225"/>
        </w:trPr>
        <w:tc>
          <w:tcPr>
            <w:tcW w:w="2720" w:type="dxa"/>
            <w:vAlign w:val="bottom"/>
          </w:tcPr>
          <w:p>
            <w:pPr>
              <w:ind w:left="300"/>
              <w:spacing w:after="0"/>
              <w:rPr>
                <w:sz w:val="20"/>
                <w:szCs w:val="20"/>
                <w:color w:val="auto"/>
              </w:rPr>
            </w:pPr>
            <w:r>
              <w:rPr>
                <w:rFonts w:ascii="Arial" w:cs="Arial" w:eastAsia="Arial" w:hAnsi="Arial"/>
                <w:sz w:val="18"/>
                <w:szCs w:val="18"/>
                <w:color w:val="auto"/>
                <w:w w:val="92"/>
              </w:rPr>
              <w:t>Clearway Energy Operating LLC</w:t>
            </w:r>
          </w:p>
        </w:tc>
        <w:tc>
          <w:tcPr>
            <w:tcW w:w="8520" w:type="dxa"/>
            <w:vAlign w:val="bottom"/>
          </w:tcPr>
          <w:p>
            <w:pPr>
              <w:ind w:left="540"/>
              <w:spacing w:after="0"/>
              <w:rPr>
                <w:sz w:val="20"/>
                <w:szCs w:val="20"/>
                <w:color w:val="auto"/>
              </w:rPr>
            </w:pPr>
            <w:r>
              <w:rPr>
                <w:rFonts w:ascii="Arial" w:cs="Arial" w:eastAsia="Arial" w:hAnsi="Arial"/>
                <w:sz w:val="18"/>
                <w:szCs w:val="18"/>
                <w:color w:val="auto"/>
              </w:rPr>
              <w:t>The holder of the project assets that are owned by Clearway Energy LLC</w:t>
            </w:r>
          </w:p>
        </w:tc>
      </w:tr>
      <w:tr>
        <w:trPr>
          <w:trHeight w:val="225"/>
        </w:trPr>
        <w:tc>
          <w:tcPr>
            <w:tcW w:w="2720" w:type="dxa"/>
            <w:vAlign w:val="bottom"/>
          </w:tcPr>
          <w:p>
            <w:pPr>
              <w:ind w:left="300"/>
              <w:spacing w:after="0"/>
              <w:rPr>
                <w:sz w:val="20"/>
                <w:szCs w:val="20"/>
                <w:color w:val="auto"/>
              </w:rPr>
            </w:pPr>
            <w:r>
              <w:rPr>
                <w:rFonts w:ascii="Arial" w:cs="Arial" w:eastAsia="Arial" w:hAnsi="Arial"/>
                <w:sz w:val="18"/>
                <w:szCs w:val="18"/>
                <w:color w:val="auto"/>
              </w:rPr>
              <w:t>COD</w:t>
            </w:r>
          </w:p>
        </w:tc>
        <w:tc>
          <w:tcPr>
            <w:tcW w:w="8520" w:type="dxa"/>
            <w:vAlign w:val="bottom"/>
          </w:tcPr>
          <w:p>
            <w:pPr>
              <w:ind w:left="540"/>
              <w:spacing w:after="0"/>
              <w:rPr>
                <w:sz w:val="20"/>
                <w:szCs w:val="20"/>
                <w:color w:val="auto"/>
              </w:rPr>
            </w:pPr>
            <w:r>
              <w:rPr>
                <w:rFonts w:ascii="Arial" w:cs="Arial" w:eastAsia="Arial" w:hAnsi="Arial"/>
                <w:sz w:val="18"/>
                <w:szCs w:val="18"/>
                <w:color w:val="auto"/>
              </w:rPr>
              <w:t>Commercial Operation Date</w:t>
            </w:r>
          </w:p>
        </w:tc>
      </w:tr>
      <w:tr>
        <w:trPr>
          <w:trHeight w:val="225"/>
        </w:trPr>
        <w:tc>
          <w:tcPr>
            <w:tcW w:w="2720" w:type="dxa"/>
            <w:vAlign w:val="bottom"/>
          </w:tcPr>
          <w:p>
            <w:pPr>
              <w:ind w:left="300"/>
              <w:spacing w:after="0"/>
              <w:rPr>
                <w:sz w:val="20"/>
                <w:szCs w:val="20"/>
                <w:color w:val="auto"/>
              </w:rPr>
            </w:pPr>
            <w:r>
              <w:rPr>
                <w:rFonts w:ascii="Arial" w:cs="Arial" w:eastAsia="Arial" w:hAnsi="Arial"/>
                <w:sz w:val="18"/>
                <w:szCs w:val="18"/>
                <w:color w:val="auto"/>
              </w:rPr>
              <w:t>Company</w:t>
            </w:r>
          </w:p>
        </w:tc>
        <w:tc>
          <w:tcPr>
            <w:tcW w:w="8520" w:type="dxa"/>
            <w:vAlign w:val="bottom"/>
          </w:tcPr>
          <w:p>
            <w:pPr>
              <w:ind w:left="540"/>
              <w:spacing w:after="0"/>
              <w:rPr>
                <w:sz w:val="20"/>
                <w:szCs w:val="20"/>
                <w:color w:val="auto"/>
              </w:rPr>
            </w:pPr>
            <w:r>
              <w:rPr>
                <w:rFonts w:ascii="Arial" w:cs="Arial" w:eastAsia="Arial" w:hAnsi="Arial"/>
                <w:sz w:val="18"/>
                <w:szCs w:val="18"/>
                <w:color w:val="auto"/>
              </w:rPr>
              <w:t>Clearway Energy LLC, together with its consolidated subsidiaries</w:t>
            </w:r>
          </w:p>
        </w:tc>
      </w:tr>
      <w:tr>
        <w:trPr>
          <w:trHeight w:val="225"/>
        </w:trPr>
        <w:tc>
          <w:tcPr>
            <w:tcW w:w="2720" w:type="dxa"/>
            <w:vAlign w:val="bottom"/>
          </w:tcPr>
          <w:p>
            <w:pPr>
              <w:ind w:left="300"/>
              <w:spacing w:after="0"/>
              <w:rPr>
                <w:sz w:val="20"/>
                <w:szCs w:val="20"/>
                <w:color w:val="auto"/>
              </w:rPr>
            </w:pPr>
            <w:r>
              <w:rPr>
                <w:rFonts w:ascii="Arial" w:cs="Arial" w:eastAsia="Arial" w:hAnsi="Arial"/>
                <w:sz w:val="18"/>
                <w:szCs w:val="18"/>
                <w:color w:val="auto"/>
              </w:rPr>
              <w:t>CVSR</w:t>
            </w:r>
          </w:p>
        </w:tc>
        <w:tc>
          <w:tcPr>
            <w:tcW w:w="8520" w:type="dxa"/>
            <w:vAlign w:val="bottom"/>
          </w:tcPr>
          <w:p>
            <w:pPr>
              <w:ind w:left="540"/>
              <w:spacing w:after="0"/>
              <w:rPr>
                <w:sz w:val="20"/>
                <w:szCs w:val="20"/>
                <w:color w:val="auto"/>
              </w:rPr>
            </w:pPr>
            <w:r>
              <w:rPr>
                <w:rFonts w:ascii="Arial" w:cs="Arial" w:eastAsia="Arial" w:hAnsi="Arial"/>
                <w:sz w:val="18"/>
                <w:szCs w:val="18"/>
                <w:color w:val="auto"/>
              </w:rPr>
              <w:t>California Valley Solar Ranch</w:t>
            </w:r>
          </w:p>
        </w:tc>
      </w:tr>
      <w:tr>
        <w:trPr>
          <w:trHeight w:val="225"/>
        </w:trPr>
        <w:tc>
          <w:tcPr>
            <w:tcW w:w="2720" w:type="dxa"/>
            <w:vAlign w:val="bottom"/>
          </w:tcPr>
          <w:p>
            <w:pPr>
              <w:ind w:left="300"/>
              <w:spacing w:after="0"/>
              <w:rPr>
                <w:sz w:val="20"/>
                <w:szCs w:val="20"/>
                <w:color w:val="auto"/>
              </w:rPr>
            </w:pPr>
            <w:r>
              <w:rPr>
                <w:rFonts w:ascii="Arial" w:cs="Arial" w:eastAsia="Arial" w:hAnsi="Arial"/>
                <w:sz w:val="18"/>
                <w:szCs w:val="18"/>
                <w:color w:val="auto"/>
              </w:rPr>
              <w:t>CVSR Holdco</w:t>
            </w:r>
          </w:p>
        </w:tc>
        <w:tc>
          <w:tcPr>
            <w:tcW w:w="8520" w:type="dxa"/>
            <w:vAlign w:val="bottom"/>
          </w:tcPr>
          <w:p>
            <w:pPr>
              <w:ind w:left="540"/>
              <w:spacing w:after="0"/>
              <w:rPr>
                <w:sz w:val="20"/>
                <w:szCs w:val="20"/>
                <w:color w:val="auto"/>
              </w:rPr>
            </w:pPr>
            <w:r>
              <w:rPr>
                <w:rFonts w:ascii="Arial" w:cs="Arial" w:eastAsia="Arial" w:hAnsi="Arial"/>
                <w:sz w:val="18"/>
                <w:szCs w:val="18"/>
                <w:color w:val="auto"/>
              </w:rPr>
              <w:t>CVSR Holdco LLC, the indirect owner of CVSR</w:t>
            </w:r>
          </w:p>
        </w:tc>
      </w:tr>
      <w:tr>
        <w:trPr>
          <w:trHeight w:val="848"/>
        </w:trPr>
        <w:tc>
          <w:tcPr>
            <w:tcW w:w="2720" w:type="dxa"/>
            <w:vAlign w:val="bottom"/>
          </w:tcPr>
          <w:p>
            <w:pPr>
              <w:spacing w:after="0"/>
              <w:rPr>
                <w:sz w:val="24"/>
                <w:szCs w:val="24"/>
                <w:color w:val="auto"/>
              </w:rPr>
            </w:pPr>
          </w:p>
        </w:tc>
        <w:tc>
          <w:tcPr>
            <w:tcW w:w="8520" w:type="dxa"/>
            <w:vAlign w:val="bottom"/>
          </w:tcPr>
          <w:p>
            <w:pPr>
              <w:ind w:left="2860"/>
              <w:spacing w:after="0"/>
              <w:rPr>
                <w:sz w:val="20"/>
                <w:szCs w:val="20"/>
                <w:color w:val="auto"/>
              </w:rPr>
            </w:pPr>
            <w:r>
              <w:rPr>
                <w:rFonts w:ascii="Arial" w:cs="Arial" w:eastAsia="Arial" w:hAnsi="Arial"/>
                <w:sz w:val="18"/>
                <w:szCs w:val="18"/>
                <w:color w:val="auto"/>
              </w:rPr>
              <w:t>4</w:t>
            </w:r>
          </w:p>
        </w:tc>
      </w:tr>
      <w:tr>
        <w:trPr>
          <w:trHeight w:val="113"/>
        </w:trPr>
        <w:tc>
          <w:tcPr>
            <w:tcW w:w="2720" w:type="dxa"/>
            <w:vAlign w:val="bottom"/>
            <w:tcBorders>
              <w:bottom w:val="single" w:sz="8" w:color="9A9A9A"/>
            </w:tcBorders>
          </w:tcPr>
          <w:p>
            <w:pPr>
              <w:spacing w:after="0"/>
              <w:rPr>
                <w:sz w:val="9"/>
                <w:szCs w:val="9"/>
                <w:color w:val="auto"/>
              </w:rPr>
            </w:pPr>
          </w:p>
        </w:tc>
        <w:tc>
          <w:tcPr>
            <w:tcW w:w="8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Distributed Solar</w:t>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color w:val="auto"/>
        </w:rPr>
        <w:t>Drop Down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EPA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Exchange Act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FASB</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GenConn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GIP</w:t>
      </w:r>
    </w:p>
    <w:p>
      <w:pPr>
        <w:spacing w:after="0" w:line="20" w:lineRule="exact"/>
        <w:rPr>
          <w:sz w:val="20"/>
          <w:szCs w:val="20"/>
          <w:color w:val="auto"/>
        </w:rPr>
      </w:pPr>
      <w:r>
        <w:rPr>
          <w:sz w:val="20"/>
          <w:szCs w:val="20"/>
          <w:color w:val="auto"/>
        </w:rPr>
        <w:br w:type="column"/>
      </w:r>
    </w:p>
    <w:p>
      <w:pPr>
        <w:ind w:firstLine="278"/>
        <w:spacing w:after="0" w:line="219" w:lineRule="auto"/>
        <w:rPr>
          <w:sz w:val="20"/>
          <w:szCs w:val="20"/>
          <w:color w:val="auto"/>
        </w:rPr>
      </w:pPr>
      <w:r>
        <w:rPr>
          <w:rFonts w:ascii="Arial" w:cs="Arial" w:eastAsia="Arial" w:hAnsi="Arial"/>
          <w:sz w:val="18"/>
          <w:szCs w:val="18"/>
          <w:color w:val="auto"/>
        </w:rPr>
        <w:t>Solar power projects, typically less than 20 MW in size (on an alternating current, or AC, basis), that primarily sell power produced to customers for usage on site, or are interconnected to sell power into the local distribution grid</w:t>
      </w:r>
    </w:p>
    <w:p>
      <w:pPr>
        <w:spacing w:after="0" w:line="3" w:lineRule="exact"/>
        <w:rPr>
          <w:sz w:val="20"/>
          <w:szCs w:val="20"/>
          <w:color w:val="auto"/>
        </w:rPr>
      </w:pPr>
    </w:p>
    <w:p>
      <w:pPr>
        <w:jc w:val="both"/>
        <w:ind w:firstLine="278"/>
        <w:spacing w:after="0" w:line="310" w:lineRule="auto"/>
        <w:rPr>
          <w:sz w:val="20"/>
          <w:szCs w:val="20"/>
          <w:color w:val="auto"/>
        </w:rPr>
      </w:pPr>
      <w:r>
        <w:rPr>
          <w:rFonts w:ascii="Arial" w:cs="Arial" w:eastAsia="Arial" w:hAnsi="Arial"/>
          <w:sz w:val="15"/>
          <w:szCs w:val="15"/>
          <w:color w:val="auto"/>
        </w:rPr>
        <w:t>Collectively, assets under common control acquired by the Company from NRG from January 1, 2014 through the period ended August 31, 2018 and from CEG from August 31, 2018 through the period ended June 30, 2021</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United States Environmental Protection Agency</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Securities Exchange Act of 1934, as amended</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Financial Accounting Standards Board</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Accounting principles generally accepted in the U.S.</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GenConn Energy LLC</w:t>
      </w:r>
    </w:p>
    <w:p>
      <w:pPr>
        <w:spacing w:after="0" w:line="111" w:lineRule="exact"/>
        <w:rPr>
          <w:sz w:val="20"/>
          <w:szCs w:val="20"/>
          <w:color w:val="auto"/>
        </w:rPr>
      </w:pPr>
    </w:p>
    <w:p>
      <w:pPr>
        <w:jc w:val="both"/>
        <w:ind w:firstLine="278"/>
        <w:spacing w:after="0" w:line="219" w:lineRule="auto"/>
        <w:rPr>
          <w:sz w:val="20"/>
          <w:szCs w:val="20"/>
          <w:color w:val="auto"/>
        </w:rPr>
      </w:pPr>
      <w:r>
        <w:rPr>
          <w:rFonts w:ascii="Arial" w:cs="Arial" w:eastAsia="Arial" w:hAnsi="Arial"/>
          <w:sz w:val="18"/>
          <w:szCs w:val="18"/>
          <w:color w:val="auto"/>
        </w:rPr>
        <w:t>Collectively, Global Infrastructure Partners III-C Intermediate AIV 3, L.P., Global Infrastructure Partners II A/B AIV 3, L.P., Global Infrastructure Partners III-C Intermediate AIV 2, L.P., Global Infrastructure Partners II C2 Intermediate AIV, L.P. and GIP III Zephyr Friends &amp; Family, LLC</w:t>
      </w:r>
    </w:p>
    <w:p>
      <w:pPr>
        <w:spacing w:after="0" w:line="83" w:lineRule="exact"/>
        <w:rPr>
          <w:sz w:val="20"/>
          <w:szCs w:val="20"/>
          <w:color w:val="auto"/>
        </w:rPr>
      </w:pPr>
    </w:p>
    <w:p>
      <w:pPr>
        <w:sectPr>
          <w:pgSz w:w="11900" w:h="16838" w:orient="portrait"/>
          <w:cols w:equalWidth="0" w:num="2">
            <w:col w:w="1960" w:space="720"/>
            <w:col w:w="8080"/>
          </w:cols>
          <w:pgMar w:left="900" w:top="922" w:right="239" w:bottom="1440" w:gutter="0" w:footer="0" w:header="0"/>
        </w:sectPr>
      </w:pPr>
    </w:p>
    <w:p>
      <w:pPr>
        <w:spacing w:after="0"/>
        <w:tabs>
          <w:tab w:leader="none" w:pos="2940" w:val="left"/>
        </w:tabs>
        <w:rPr>
          <w:sz w:val="20"/>
          <w:szCs w:val="20"/>
          <w:color w:val="auto"/>
        </w:rPr>
      </w:pPr>
      <w:r>
        <w:rPr>
          <w:rFonts w:ascii="Arial" w:cs="Arial" w:eastAsia="Arial" w:hAnsi="Arial"/>
          <w:sz w:val="18"/>
          <w:szCs w:val="18"/>
          <w:color w:val="auto"/>
        </w:rPr>
        <w:t>HLBV</w:t>
      </w:r>
      <w:r>
        <w:rPr>
          <w:sz w:val="20"/>
          <w:szCs w:val="20"/>
          <w:color w:val="auto"/>
        </w:rPr>
        <w:tab/>
      </w:r>
      <w:r>
        <w:rPr>
          <w:rFonts w:ascii="Arial" w:cs="Arial" w:eastAsia="Arial" w:hAnsi="Arial"/>
          <w:sz w:val="18"/>
          <w:szCs w:val="18"/>
          <w:color w:val="auto"/>
        </w:rPr>
        <w:t>Hypothetical Liquidation at Book Value</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LIBOR</w:t>
      </w:r>
      <w:r>
        <w:rPr>
          <w:sz w:val="20"/>
          <w:szCs w:val="20"/>
          <w:color w:val="auto"/>
        </w:rPr>
        <w:tab/>
      </w:r>
      <w:r>
        <w:rPr>
          <w:rFonts w:ascii="Arial" w:cs="Arial" w:eastAsia="Arial" w:hAnsi="Arial"/>
          <w:sz w:val="18"/>
          <w:szCs w:val="18"/>
          <w:color w:val="auto"/>
        </w:rPr>
        <w:t>London Inter-Bank Offered Rate</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MBTA</w:t>
      </w:r>
      <w:r>
        <w:rPr>
          <w:sz w:val="20"/>
          <w:szCs w:val="20"/>
          <w:color w:val="auto"/>
        </w:rPr>
        <w:tab/>
      </w:r>
      <w:r>
        <w:rPr>
          <w:rFonts w:ascii="Arial" w:cs="Arial" w:eastAsia="Arial" w:hAnsi="Arial"/>
          <w:sz w:val="18"/>
          <w:szCs w:val="18"/>
          <w:color w:val="auto"/>
        </w:rPr>
        <w:t>Migratory Bird Treaty Act</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Mesquite Star</w:t>
      </w:r>
      <w:r>
        <w:rPr>
          <w:sz w:val="20"/>
          <w:szCs w:val="20"/>
          <w:color w:val="auto"/>
        </w:rPr>
        <w:tab/>
      </w:r>
      <w:r>
        <w:rPr>
          <w:rFonts w:ascii="Arial" w:cs="Arial" w:eastAsia="Arial" w:hAnsi="Arial"/>
          <w:sz w:val="15"/>
          <w:szCs w:val="15"/>
          <w:color w:val="auto"/>
        </w:rPr>
        <w:t>Mesquite Star Special LLC</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MMBtu</w:t>
      </w:r>
      <w:r>
        <w:rPr>
          <w:sz w:val="20"/>
          <w:szCs w:val="20"/>
          <w:color w:val="auto"/>
        </w:rPr>
        <w:tab/>
      </w:r>
      <w:r>
        <w:rPr>
          <w:rFonts w:ascii="Arial" w:cs="Arial" w:eastAsia="Arial" w:hAnsi="Arial"/>
          <w:sz w:val="18"/>
          <w:szCs w:val="18"/>
          <w:color w:val="auto"/>
        </w:rPr>
        <w:t>Million British Thermal Units</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Mt. Storm</w:t>
      </w:r>
      <w:r>
        <w:rPr>
          <w:sz w:val="20"/>
          <w:szCs w:val="20"/>
          <w:color w:val="auto"/>
        </w:rPr>
        <w:tab/>
      </w:r>
      <w:r>
        <w:rPr>
          <w:rFonts w:ascii="Arial" w:cs="Arial" w:eastAsia="Arial" w:hAnsi="Arial"/>
          <w:sz w:val="15"/>
          <w:szCs w:val="15"/>
          <w:color w:val="auto"/>
        </w:rPr>
        <w:t>NedPower Mount Storm LLC</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MW</w:t>
      </w:r>
      <w:r>
        <w:rPr>
          <w:sz w:val="20"/>
          <w:szCs w:val="20"/>
          <w:color w:val="auto"/>
        </w:rPr>
        <w:tab/>
      </w:r>
      <w:r>
        <w:rPr>
          <w:rFonts w:ascii="Arial" w:cs="Arial" w:eastAsia="Arial" w:hAnsi="Arial"/>
          <w:sz w:val="18"/>
          <w:szCs w:val="18"/>
          <w:color w:val="auto"/>
        </w:rPr>
        <w:t>Megawatt</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MWh</w:t>
      </w:r>
      <w:r>
        <w:rPr>
          <w:sz w:val="20"/>
          <w:szCs w:val="20"/>
          <w:color w:val="auto"/>
        </w:rPr>
        <w:tab/>
      </w:r>
      <w:r>
        <w:rPr>
          <w:rFonts w:ascii="Arial" w:cs="Arial" w:eastAsia="Arial" w:hAnsi="Arial"/>
          <w:sz w:val="18"/>
          <w:szCs w:val="18"/>
          <w:color w:val="auto"/>
        </w:rPr>
        <w:t>Saleable megawatt hours, net of internal/parasitic load megawatt-hours</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MWt</w:t>
      </w:r>
      <w:r>
        <w:rPr>
          <w:sz w:val="20"/>
          <w:szCs w:val="20"/>
          <w:color w:val="auto"/>
        </w:rPr>
        <w:tab/>
      </w:r>
      <w:r>
        <w:rPr>
          <w:rFonts w:ascii="Arial" w:cs="Arial" w:eastAsia="Arial" w:hAnsi="Arial"/>
          <w:sz w:val="18"/>
          <w:szCs w:val="18"/>
          <w:color w:val="auto"/>
        </w:rPr>
        <w:t>Megawatts Thermal Equivalent</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Net Exposure</w:t>
      </w:r>
      <w:r>
        <w:rPr>
          <w:sz w:val="20"/>
          <w:szCs w:val="20"/>
          <w:color w:val="auto"/>
        </w:rPr>
        <w:tab/>
      </w:r>
      <w:r>
        <w:rPr>
          <w:rFonts w:ascii="Arial" w:cs="Arial" w:eastAsia="Arial" w:hAnsi="Arial"/>
          <w:sz w:val="15"/>
          <w:szCs w:val="15"/>
          <w:color w:val="auto"/>
        </w:rPr>
        <w:t>Counterparty credit exposure to Clearway Energy, Inc. net of collateral</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NOLs</w:t>
      </w:r>
      <w:r>
        <w:rPr>
          <w:sz w:val="20"/>
          <w:szCs w:val="20"/>
          <w:color w:val="auto"/>
        </w:rPr>
        <w:tab/>
      </w:r>
      <w:r>
        <w:rPr>
          <w:rFonts w:ascii="Arial" w:cs="Arial" w:eastAsia="Arial" w:hAnsi="Arial"/>
          <w:sz w:val="18"/>
          <w:szCs w:val="18"/>
          <w:color w:val="auto"/>
        </w:rPr>
        <w:t>Net Operating Losses</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NPPD</w:t>
      </w:r>
      <w:r>
        <w:rPr>
          <w:sz w:val="20"/>
          <w:szCs w:val="20"/>
          <w:color w:val="auto"/>
        </w:rPr>
        <w:tab/>
      </w:r>
      <w:r>
        <w:rPr>
          <w:rFonts w:ascii="Arial" w:cs="Arial" w:eastAsia="Arial" w:hAnsi="Arial"/>
          <w:sz w:val="18"/>
          <w:szCs w:val="18"/>
          <w:color w:val="auto"/>
        </w:rPr>
        <w:t>Nebraska Public Power District</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NRG</w:t>
      </w:r>
      <w:r>
        <w:rPr>
          <w:sz w:val="20"/>
          <w:szCs w:val="20"/>
          <w:color w:val="auto"/>
        </w:rPr>
        <w:tab/>
      </w:r>
      <w:r>
        <w:rPr>
          <w:rFonts w:ascii="Arial" w:cs="Arial" w:eastAsia="Arial" w:hAnsi="Arial"/>
          <w:sz w:val="18"/>
          <w:szCs w:val="18"/>
          <w:color w:val="auto"/>
        </w:rPr>
        <w:t>NRG Energy, Inc.</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OCL</w:t>
      </w:r>
      <w:r>
        <w:rPr>
          <w:sz w:val="20"/>
          <w:szCs w:val="20"/>
          <w:color w:val="auto"/>
        </w:rPr>
        <w:tab/>
      </w:r>
      <w:r>
        <w:rPr>
          <w:rFonts w:ascii="Arial" w:cs="Arial" w:eastAsia="Arial" w:hAnsi="Arial"/>
          <w:sz w:val="18"/>
          <w:szCs w:val="18"/>
          <w:color w:val="auto"/>
        </w:rPr>
        <w:t>Other comprehensive loss</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O&amp;M</w:t>
      </w:r>
      <w:r>
        <w:rPr>
          <w:sz w:val="20"/>
          <w:szCs w:val="20"/>
          <w:color w:val="auto"/>
        </w:rPr>
        <w:tab/>
      </w:r>
      <w:r>
        <w:rPr>
          <w:rFonts w:ascii="Arial" w:cs="Arial" w:eastAsia="Arial" w:hAnsi="Arial"/>
          <w:sz w:val="18"/>
          <w:szCs w:val="18"/>
          <w:color w:val="auto"/>
        </w:rPr>
        <w:t>Operations and Maintenance</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PG&amp;E</w:t>
      </w:r>
      <w:r>
        <w:rPr>
          <w:sz w:val="20"/>
          <w:szCs w:val="20"/>
          <w:color w:val="auto"/>
        </w:rPr>
        <w:tab/>
      </w:r>
      <w:r>
        <w:rPr>
          <w:rFonts w:ascii="Arial" w:cs="Arial" w:eastAsia="Arial" w:hAnsi="Arial"/>
          <w:sz w:val="18"/>
          <w:szCs w:val="18"/>
          <w:color w:val="auto"/>
        </w:rPr>
        <w:t>Pacific Gas and Electric Company</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PPA</w:t>
      </w:r>
      <w:r>
        <w:rPr>
          <w:sz w:val="20"/>
          <w:szCs w:val="20"/>
          <w:color w:val="auto"/>
        </w:rPr>
        <w:tab/>
      </w:r>
      <w:r>
        <w:rPr>
          <w:rFonts w:ascii="Arial" w:cs="Arial" w:eastAsia="Arial" w:hAnsi="Arial"/>
          <w:sz w:val="18"/>
          <w:szCs w:val="18"/>
          <w:color w:val="auto"/>
        </w:rPr>
        <w:t>Power Purchase Agreement</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PTC</w:t>
      </w:r>
      <w:r>
        <w:rPr>
          <w:sz w:val="20"/>
          <w:szCs w:val="20"/>
          <w:color w:val="auto"/>
        </w:rPr>
        <w:tab/>
      </w:r>
      <w:r>
        <w:rPr>
          <w:rFonts w:ascii="Arial" w:cs="Arial" w:eastAsia="Arial" w:hAnsi="Arial"/>
          <w:sz w:val="18"/>
          <w:szCs w:val="18"/>
          <w:color w:val="auto"/>
        </w:rPr>
        <w:t>Production Tax Credit</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RENOM</w:t>
      </w:r>
      <w:r>
        <w:rPr>
          <w:sz w:val="20"/>
          <w:szCs w:val="20"/>
          <w:color w:val="auto"/>
        </w:rPr>
        <w:tab/>
      </w:r>
      <w:r>
        <w:rPr>
          <w:rFonts w:ascii="Arial" w:cs="Arial" w:eastAsia="Arial" w:hAnsi="Arial"/>
          <w:sz w:val="18"/>
          <w:szCs w:val="18"/>
          <w:color w:val="auto"/>
        </w:rPr>
        <w:t>Clearway Renewable Operation &amp; Maintenance LLC</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RPV Holdco</w:t>
      </w:r>
      <w:r>
        <w:rPr>
          <w:sz w:val="20"/>
          <w:szCs w:val="20"/>
          <w:color w:val="auto"/>
        </w:rPr>
        <w:tab/>
      </w:r>
      <w:r>
        <w:rPr>
          <w:rFonts w:ascii="Arial" w:cs="Arial" w:eastAsia="Arial" w:hAnsi="Arial"/>
          <w:sz w:val="15"/>
          <w:szCs w:val="15"/>
          <w:color w:val="auto"/>
        </w:rPr>
        <w:t>RPV Holdco 1 LLC</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RTO</w:t>
      </w:r>
      <w:r>
        <w:rPr>
          <w:sz w:val="20"/>
          <w:szCs w:val="20"/>
          <w:color w:val="auto"/>
        </w:rPr>
        <w:tab/>
      </w:r>
      <w:r>
        <w:rPr>
          <w:rFonts w:ascii="Arial" w:cs="Arial" w:eastAsia="Arial" w:hAnsi="Arial"/>
          <w:sz w:val="18"/>
          <w:szCs w:val="18"/>
          <w:color w:val="auto"/>
        </w:rPr>
        <w:t>Regional Transmission Organization</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SCE</w:t>
      </w:r>
      <w:r>
        <w:rPr>
          <w:sz w:val="20"/>
          <w:szCs w:val="20"/>
          <w:color w:val="auto"/>
        </w:rPr>
        <w:tab/>
      </w:r>
      <w:r>
        <w:rPr>
          <w:rFonts w:ascii="Arial" w:cs="Arial" w:eastAsia="Arial" w:hAnsi="Arial"/>
          <w:sz w:val="18"/>
          <w:szCs w:val="18"/>
          <w:color w:val="auto"/>
        </w:rPr>
        <w:t>Southern California Edison</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SEC</w:t>
      </w:r>
      <w:r>
        <w:rPr>
          <w:sz w:val="20"/>
          <w:szCs w:val="20"/>
          <w:color w:val="auto"/>
        </w:rPr>
        <w:tab/>
      </w:r>
      <w:r>
        <w:rPr>
          <w:rFonts w:ascii="Arial" w:cs="Arial" w:eastAsia="Arial" w:hAnsi="Arial"/>
          <w:sz w:val="18"/>
          <w:szCs w:val="18"/>
          <w:color w:val="auto"/>
        </w:rPr>
        <w:t>U.S. Securities and Exchange Commission</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Senior Notes</w:t>
      </w:r>
      <w:r>
        <w:rPr>
          <w:sz w:val="20"/>
          <w:szCs w:val="20"/>
          <w:color w:val="auto"/>
        </w:rPr>
        <w:tab/>
      </w:r>
      <w:r>
        <w:rPr>
          <w:rFonts w:ascii="Arial" w:cs="Arial" w:eastAsia="Arial" w:hAnsi="Arial"/>
          <w:sz w:val="15"/>
          <w:szCs w:val="15"/>
          <w:color w:val="auto"/>
        </w:rPr>
        <w:t>Collectively, the 2026 Senior Notes, the 2028 Senior Notes and the 2031 Senior Notes</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SPP</w:t>
      </w:r>
      <w:r>
        <w:rPr>
          <w:sz w:val="20"/>
          <w:szCs w:val="20"/>
          <w:color w:val="auto"/>
        </w:rPr>
        <w:tab/>
      </w:r>
      <w:r>
        <w:rPr>
          <w:rFonts w:ascii="Arial" w:cs="Arial" w:eastAsia="Arial" w:hAnsi="Arial"/>
          <w:sz w:val="18"/>
          <w:szCs w:val="18"/>
          <w:color w:val="auto"/>
        </w:rPr>
        <w:t>Solar Power Partners</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SREC</w:t>
      </w:r>
      <w:r>
        <w:rPr>
          <w:sz w:val="20"/>
          <w:szCs w:val="20"/>
          <w:color w:val="auto"/>
        </w:rPr>
        <w:tab/>
      </w:r>
      <w:r>
        <w:rPr>
          <w:rFonts w:ascii="Arial" w:cs="Arial" w:eastAsia="Arial" w:hAnsi="Arial"/>
          <w:sz w:val="18"/>
          <w:szCs w:val="18"/>
          <w:color w:val="auto"/>
        </w:rPr>
        <w:t>Solar Renewable Energy Credit</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Tax Act</w:t>
      </w:r>
      <w:r>
        <w:rPr>
          <w:sz w:val="20"/>
          <w:szCs w:val="20"/>
          <w:color w:val="auto"/>
        </w:rPr>
        <w:tab/>
      </w:r>
      <w:r>
        <w:rPr>
          <w:rFonts w:ascii="Arial" w:cs="Arial" w:eastAsia="Arial" w:hAnsi="Arial"/>
          <w:sz w:val="15"/>
          <w:szCs w:val="15"/>
          <w:color w:val="auto"/>
        </w:rPr>
        <w:t>Tax Cuts and Jobs Act of 2017</w:t>
      </w:r>
    </w:p>
    <w:p>
      <w:pPr>
        <w:spacing w:after="0"/>
        <w:tabs>
          <w:tab w:leader="none" w:pos="2940" w:val="left"/>
        </w:tabs>
        <w:rPr>
          <w:sz w:val="20"/>
          <w:szCs w:val="20"/>
          <w:color w:val="auto"/>
        </w:rPr>
      </w:pPr>
      <w:r>
        <w:rPr>
          <w:rFonts w:ascii="Arial" w:cs="Arial" w:eastAsia="Arial" w:hAnsi="Arial"/>
          <w:sz w:val="18"/>
          <w:szCs w:val="18"/>
          <w:color w:val="auto"/>
        </w:rPr>
        <w:t>Thermal Business</w:t>
      </w:r>
      <w:r>
        <w:rPr>
          <w:sz w:val="20"/>
          <w:szCs w:val="20"/>
          <w:color w:val="auto"/>
        </w:rPr>
        <w:tab/>
      </w:r>
      <w:r>
        <w:rPr>
          <w:rFonts w:ascii="Arial" w:cs="Arial" w:eastAsia="Arial" w:hAnsi="Arial"/>
          <w:sz w:val="15"/>
          <w:szCs w:val="15"/>
          <w:color w:val="auto"/>
        </w:rPr>
        <w:t>The Company's thermal business, which consists of thermal infrastructure assets that provide steam, hot water</w:t>
      </w:r>
    </w:p>
    <w:p>
      <w:pPr>
        <w:ind w:left="2680" w:right="480"/>
        <w:spacing w:after="0" w:line="221" w:lineRule="auto"/>
        <w:rPr>
          <w:sz w:val="20"/>
          <w:szCs w:val="20"/>
          <w:color w:val="auto"/>
        </w:rPr>
      </w:pPr>
      <w:r>
        <w:rPr>
          <w:rFonts w:ascii="Arial" w:cs="Arial" w:eastAsia="Arial" w:hAnsi="Arial"/>
          <w:sz w:val="18"/>
          <w:szCs w:val="18"/>
          <w:color w:val="auto"/>
        </w:rPr>
        <w:t>and/or chilled water, and in some instances electricity, to commercial businesses, universities, hospitals and governmental units</w:t>
      </w:r>
    </w:p>
    <w:p>
      <w:pPr>
        <w:spacing w:after="0" w:line="2"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8"/>
          <w:szCs w:val="18"/>
          <w:color w:val="auto"/>
        </w:rPr>
        <w:t>United States of America</w:t>
      </w:r>
    </w:p>
    <w:p>
      <w:pPr>
        <w:spacing w:after="0"/>
        <w:tabs>
          <w:tab w:leader="none" w:pos="2940" w:val="left"/>
        </w:tabs>
        <w:rPr>
          <w:sz w:val="20"/>
          <w:szCs w:val="20"/>
          <w:color w:val="auto"/>
        </w:rPr>
      </w:pPr>
      <w:r>
        <w:rPr>
          <w:rFonts w:ascii="Arial" w:cs="Arial" w:eastAsia="Arial" w:hAnsi="Arial"/>
          <w:sz w:val="18"/>
          <w:szCs w:val="18"/>
          <w:color w:val="auto"/>
        </w:rPr>
        <w:t>Utah Solar Portfolio</w:t>
      </w:r>
      <w:r>
        <w:rPr>
          <w:sz w:val="20"/>
          <w:szCs w:val="20"/>
          <w:color w:val="auto"/>
        </w:rPr>
        <w:tab/>
      </w:r>
      <w:r>
        <w:rPr>
          <w:rFonts w:ascii="Arial" w:cs="Arial" w:eastAsia="Arial" w:hAnsi="Arial"/>
          <w:sz w:val="15"/>
          <w:szCs w:val="15"/>
          <w:color w:val="auto"/>
        </w:rPr>
        <w:t>Collection consists of Four Brothers Solar, LLC, Granite Mountain Holdings, LLC, and Iron Springs Holdings</w:t>
      </w:r>
    </w:p>
    <w:p>
      <w:pPr>
        <w:ind w:left="2680" w:right="180"/>
        <w:spacing w:after="0" w:line="221" w:lineRule="auto"/>
        <w:rPr>
          <w:sz w:val="20"/>
          <w:szCs w:val="20"/>
          <w:color w:val="auto"/>
        </w:rPr>
      </w:pPr>
      <w:r>
        <w:rPr>
          <w:rFonts w:ascii="Arial" w:cs="Arial" w:eastAsia="Arial" w:hAnsi="Arial"/>
          <w:sz w:val="18"/>
          <w:szCs w:val="18"/>
          <w:color w:val="auto"/>
        </w:rPr>
        <w:t>LLC, which are equity investments owned by Four Brothers Capital, LLC, Granite Mountain Capital, LLC, and Iron Springs Capital, LLC, respectively</w:t>
      </w:r>
    </w:p>
    <w:p>
      <w:pPr>
        <w:spacing w:after="0"/>
        <w:tabs>
          <w:tab w:leader="none" w:pos="2940" w:val="left"/>
        </w:tabs>
        <w:rPr>
          <w:sz w:val="20"/>
          <w:szCs w:val="20"/>
          <w:color w:val="auto"/>
        </w:rPr>
      </w:pPr>
      <w:r>
        <w:rPr>
          <w:rFonts w:ascii="Arial" w:cs="Arial" w:eastAsia="Arial" w:hAnsi="Arial"/>
          <w:sz w:val="18"/>
          <w:szCs w:val="18"/>
          <w:color w:val="auto"/>
        </w:rPr>
        <w:t>Utility Scale Solar</w:t>
      </w:r>
      <w:r>
        <w:rPr>
          <w:sz w:val="20"/>
          <w:szCs w:val="20"/>
          <w:color w:val="auto"/>
        </w:rPr>
        <w:tab/>
      </w:r>
      <w:r>
        <w:rPr>
          <w:rFonts w:ascii="Arial" w:cs="Arial" w:eastAsia="Arial" w:hAnsi="Arial"/>
          <w:sz w:val="15"/>
          <w:szCs w:val="15"/>
          <w:color w:val="auto"/>
        </w:rPr>
        <w:t>Solar power projects, typically 20 MW or greater in size (on an alternating current, or AC, basis), that are</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interconnected into the transmission or distribution grid to sell power at a wholesale level</w:t>
      </w:r>
    </w:p>
    <w:p>
      <w:pPr>
        <w:spacing w:after="0" w:line="4"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VaR</w:t>
      </w:r>
      <w:r>
        <w:rPr>
          <w:sz w:val="20"/>
          <w:szCs w:val="20"/>
          <w:color w:val="auto"/>
        </w:rPr>
        <w:tab/>
      </w:r>
      <w:r>
        <w:rPr>
          <w:rFonts w:ascii="Arial" w:cs="Arial" w:eastAsia="Arial" w:hAnsi="Arial"/>
          <w:sz w:val="18"/>
          <w:szCs w:val="18"/>
          <w:color w:val="auto"/>
        </w:rPr>
        <w:t>Value at Risk</w:t>
      </w:r>
    </w:p>
    <w:p>
      <w:pPr>
        <w:spacing w:after="0" w:line="18"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VIE</w:t>
      </w:r>
      <w:r>
        <w:rPr>
          <w:sz w:val="20"/>
          <w:szCs w:val="20"/>
          <w:color w:val="auto"/>
        </w:rPr>
        <w:tab/>
      </w:r>
      <w:r>
        <w:rPr>
          <w:rFonts w:ascii="Arial" w:cs="Arial" w:eastAsia="Arial" w:hAnsi="Arial"/>
          <w:sz w:val="18"/>
          <w:szCs w:val="18"/>
          <w:color w:val="auto"/>
        </w:rPr>
        <w:t>Variable Interest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60"/>
          </w:cols>
          <w:pgMar w:left="900" w:top="922"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4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85"/>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revenues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474747"/>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74747"/>
              </w:rPr>
              <w:t>380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6"/>
        </w:trPr>
        <w:tc>
          <w:tcPr>
            <w:tcW w:w="58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Operating Costs and Expenses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840" w:type="dxa"/>
            <w:vAlign w:val="bottom"/>
          </w:tcPr>
          <w:p>
            <w:pPr>
              <w:ind w:left="140"/>
              <w:spacing w:after="0" w:line="173" w:lineRule="exact"/>
              <w:rPr>
                <w:sz w:val="20"/>
                <w:szCs w:val="20"/>
                <w:color w:val="auto"/>
              </w:rPr>
            </w:pPr>
            <w:r>
              <w:rPr>
                <w:rFonts w:ascii="Arial" w:cs="Arial" w:eastAsia="Arial" w:hAnsi="Arial"/>
                <w:sz w:val="18"/>
                <w:szCs w:val="18"/>
                <w:color w:val="auto"/>
                <w:w w:val="89"/>
              </w:rPr>
              <w:t>Cost of operations, exclusive of depreciation, amortization and accretion shown</w:t>
            </w: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474747"/>
              </w:rPr>
              <w:t>107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4"/>
        </w:trPr>
        <w:tc>
          <w:tcPr>
            <w:tcW w:w="5840" w:type="dxa"/>
            <w:vAlign w:val="bottom"/>
          </w:tcPr>
          <w:p>
            <w:pPr>
              <w:ind w:left="140"/>
              <w:spacing w:after="0"/>
              <w:rPr>
                <w:sz w:val="20"/>
                <w:szCs w:val="20"/>
                <w:color w:val="auto"/>
              </w:rPr>
            </w:pPr>
            <w:r>
              <w:rPr>
                <w:rFonts w:ascii="Arial" w:cs="Arial" w:eastAsia="Arial" w:hAnsi="Arial"/>
                <w:sz w:val="18"/>
                <w:szCs w:val="18"/>
                <w:color w:val="auto"/>
              </w:rPr>
              <w:t>separately below</w:t>
            </w: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474747"/>
              </w:rPr>
              <w:t>128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5"/>
        </w:trPr>
        <w:tc>
          <w:tcPr>
            <w:tcW w:w="584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474747"/>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6"/>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474747"/>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5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Development costs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74747"/>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74747"/>
              </w:rPr>
              <w:t>246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8"/>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74747"/>
              </w:rPr>
              <w:t>134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6"/>
        </w:trPr>
        <w:tc>
          <w:tcPr>
            <w:tcW w:w="58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Other Income (Expense)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40" w:type="dxa"/>
            <w:vAlign w:val="bottom"/>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474747"/>
              </w:rPr>
              <w:t>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unconsolidated affiliate</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474747"/>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5"/>
        </w:trPr>
        <w:tc>
          <w:tcPr>
            <w:tcW w:w="584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474747"/>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474747"/>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5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474747"/>
              </w:rPr>
              <w:t>(103)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74747"/>
              </w:rPr>
              <w:t>(94)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8"/>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474747"/>
              </w:rPr>
              <w:t>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Less: Loss attributable to noncontrolling interests and redeemable interests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474747"/>
              </w:rPr>
              <w:t>(35)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Clearway Energy LLC</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CLEARWAY ENERGY LLC</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192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85"/>
        </w:trPr>
        <w:tc>
          <w:tcPr>
            <w:tcW w:w="66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r>
      <w:tr>
        <w:trPr>
          <w:trHeight w:val="219"/>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center"/>
              <w:ind w:left="476"/>
              <w:spacing w:after="0"/>
              <w:rPr>
                <w:sz w:val="20"/>
                <w:szCs w:val="20"/>
                <w:color w:val="auto"/>
              </w:rPr>
            </w:pPr>
            <w:r>
              <w:rPr>
                <w:rFonts w:ascii="Arial" w:cs="Arial" w:eastAsia="Arial" w:hAnsi="Arial"/>
                <w:sz w:val="18"/>
                <w:szCs w:val="18"/>
                <w:color w:val="auto"/>
                <w:w w:val="89"/>
              </w:rPr>
              <w:t>40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662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5"/>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derivatives</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476"/>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8"/>
        </w:trPr>
        <w:tc>
          <w:tcPr>
            <w:tcW w:w="66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1000" w:type="dxa"/>
            <w:vAlign w:val="bottom"/>
            <w:gridSpan w:val="2"/>
          </w:tcPr>
          <w:p>
            <w:pPr>
              <w:jc w:val="center"/>
              <w:ind w:left="336"/>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9"/>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center"/>
              <w:ind w:left="476"/>
              <w:spacing w:after="0"/>
              <w:rPr>
                <w:sz w:val="20"/>
                <w:szCs w:val="20"/>
                <w:color w:val="auto"/>
              </w:rPr>
            </w:pPr>
            <w:r>
              <w:rPr>
                <w:rFonts w:ascii="Arial" w:cs="Arial" w:eastAsia="Arial" w:hAnsi="Arial"/>
                <w:sz w:val="18"/>
                <w:szCs w:val="18"/>
                <w:color w:val="auto"/>
                <w:w w:val="89"/>
              </w:rPr>
              <w:t>40</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8"/>
        </w:trPr>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1"/>
              </w:rPr>
              <w:t>Less: Comprehensive loss attributable to noncontrolling interests and redeemable interests</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436"/>
              <w:spacing w:after="0"/>
              <w:rPr>
                <w:sz w:val="20"/>
                <w:szCs w:val="20"/>
                <w:color w:val="auto"/>
              </w:rPr>
            </w:pPr>
            <w:r>
              <w:rPr>
                <w:rFonts w:ascii="Arial" w:cs="Arial" w:eastAsia="Arial" w:hAnsi="Arial"/>
                <w:sz w:val="18"/>
                <w:szCs w:val="18"/>
                <w:color w:val="auto"/>
                <w:w w:val="93"/>
              </w:rPr>
              <w:t>(38)</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44"/>
        </w:trPr>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Clearway Energy LLC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center"/>
              <w:ind w:left="476"/>
              <w:spacing w:after="0"/>
              <w:rPr>
                <w:sz w:val="20"/>
                <w:szCs w:val="20"/>
                <w:color w:val="auto"/>
              </w:rPr>
            </w:pPr>
            <w:r>
              <w:rPr>
                <w:rFonts w:ascii="Arial" w:cs="Arial" w:eastAsia="Arial" w:hAnsi="Arial"/>
                <w:sz w:val="18"/>
                <w:szCs w:val="18"/>
                <w:color w:val="auto"/>
                <w:w w:val="89"/>
              </w:rPr>
              <w:t>78</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65405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40"/>
          </w:cols>
          <w:pgMar w:left="480" w:top="876" w:right="4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7"/>
              </w:rPr>
              <w:t>June 30, 2021</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94"/>
        </w:trPr>
        <w:tc>
          <w:tcPr>
            <w:tcW w:w="7520" w:type="dxa"/>
            <w:vAlign w:val="bottom"/>
          </w:tcPr>
          <w:p>
            <w:pPr>
              <w:ind w:left="346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6"/>
                <w:szCs w:val="16"/>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(unaudited)</w:t>
            </w: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5"/>
        </w:trPr>
        <w:tc>
          <w:tcPr>
            <w:tcW w:w="752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6"/>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 — trade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5"/>
        </w:trPr>
        <w:tc>
          <w:tcPr>
            <w:tcW w:w="7520" w:type="dxa"/>
            <w:vAlign w:val="bottom"/>
          </w:tcPr>
          <w:p>
            <w:pPr>
              <w:ind w:left="180"/>
              <w:spacing w:after="0"/>
              <w:rPr>
                <w:sz w:val="20"/>
                <w:szCs w:val="20"/>
                <w:color w:val="auto"/>
              </w:rPr>
            </w:pPr>
            <w:r>
              <w:rPr>
                <w:rFonts w:ascii="Arial" w:cs="Arial" w:eastAsia="Arial" w:hAnsi="Arial"/>
                <w:sz w:val="16"/>
                <w:szCs w:val="16"/>
                <w:color w:val="auto"/>
              </w:rPr>
              <w:t>Accounts receivable — affiliates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5"/>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Prepayments and other current assets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8"/>
        </w:trPr>
        <w:tc>
          <w:tcPr>
            <w:tcW w:w="7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8"/>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7,537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520" w:type="dxa"/>
            <w:vAlign w:val="bottom"/>
          </w:tcPr>
          <w:p>
            <w:pPr>
              <w:ind w:left="180"/>
              <w:spacing w:after="0"/>
              <w:rPr>
                <w:sz w:val="20"/>
                <w:szCs w:val="20"/>
                <w:color w:val="auto"/>
              </w:rPr>
            </w:pPr>
            <w:r>
              <w:rPr>
                <w:rFonts w:ascii="Arial" w:cs="Arial" w:eastAsia="Arial" w:hAnsi="Arial"/>
                <w:sz w:val="16"/>
                <w:szCs w:val="16"/>
                <w:color w:val="auto"/>
              </w:rPr>
              <w:t>Equity investments in affiliates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26"/>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Intangible assets for power purchase agreements,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25"/>
        </w:trPr>
        <w:tc>
          <w:tcPr>
            <w:tcW w:w="7520" w:type="dxa"/>
            <w:vAlign w:val="bottom"/>
          </w:tcPr>
          <w:p>
            <w:pPr>
              <w:ind w:left="180"/>
              <w:spacing w:after="0"/>
              <w:rPr>
                <w:sz w:val="20"/>
                <w:szCs w:val="20"/>
                <w:color w:val="auto"/>
              </w:rPr>
            </w:pPr>
            <w:r>
              <w:rPr>
                <w:rFonts w:ascii="Arial" w:cs="Arial" w:eastAsia="Arial" w:hAnsi="Arial"/>
                <w:sz w:val="16"/>
                <w:szCs w:val="16"/>
                <w:color w:val="auto"/>
              </w:rPr>
              <w:t>Other intangible assets,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6"/>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7520" w:type="dxa"/>
            <w:vAlign w:val="bottom"/>
          </w:tcPr>
          <w:p>
            <w:pPr>
              <w:ind w:left="180"/>
              <w:spacing w:after="0"/>
              <w:rPr>
                <w:sz w:val="20"/>
                <w:szCs w:val="20"/>
                <w:color w:val="auto"/>
              </w:rPr>
            </w:pPr>
            <w:r>
              <w:rPr>
                <w:rFonts w:ascii="Arial" w:cs="Arial" w:eastAsia="Arial" w:hAnsi="Arial"/>
                <w:sz w:val="16"/>
                <w:szCs w:val="16"/>
                <w:color w:val="auto"/>
              </w:rPr>
              <w:t>Right of use assets,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5"/>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8"/>
        </w:trPr>
        <w:tc>
          <w:tcPr>
            <w:tcW w:w="75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assets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10,488</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280"/>
              <w:spacing w:after="0"/>
              <w:rPr>
                <w:sz w:val="20"/>
                <w:szCs w:val="20"/>
                <w:color w:val="auto"/>
              </w:rPr>
            </w:pPr>
            <w:r>
              <w:rPr>
                <w:rFonts w:ascii="Arial" w:cs="Arial" w:eastAsia="Arial" w:hAnsi="Arial"/>
                <w:sz w:val="16"/>
                <w:szCs w:val="16"/>
                <w:b w:val="1"/>
                <w:bCs w:val="1"/>
                <w:color w:val="auto"/>
              </w:rPr>
              <w:t>LIABILITIES AND MEMBERS'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520" w:type="dxa"/>
            <w:vAlign w:val="bottom"/>
          </w:tcPr>
          <w:p>
            <w:pPr>
              <w:ind w:left="180"/>
              <w:spacing w:after="0"/>
              <w:rPr>
                <w:sz w:val="20"/>
                <w:szCs w:val="20"/>
                <w:color w:val="auto"/>
              </w:rPr>
            </w:pPr>
            <w:r>
              <w:rPr>
                <w:rFonts w:ascii="Arial" w:cs="Arial" w:eastAsia="Arial" w:hAnsi="Arial"/>
                <w:sz w:val="16"/>
                <w:szCs w:val="16"/>
                <w:color w:val="auto"/>
              </w:rPr>
              <w:t>Current portion of long-term debt — external</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6"/>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 — affiliate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7520" w:type="dxa"/>
            <w:vAlign w:val="bottom"/>
          </w:tcPr>
          <w:p>
            <w:pPr>
              <w:ind w:left="180"/>
              <w:spacing w:after="0"/>
              <w:rPr>
                <w:sz w:val="20"/>
                <w:szCs w:val="20"/>
                <w:color w:val="auto"/>
              </w:rPr>
            </w:pPr>
            <w:r>
              <w:rPr>
                <w:rFonts w:ascii="Arial" w:cs="Arial" w:eastAsia="Arial" w:hAnsi="Arial"/>
                <w:sz w:val="16"/>
                <w:szCs w:val="16"/>
                <w:color w:val="auto"/>
              </w:rPr>
              <w:t>Accounts payable — trade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6"/>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 affiliates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5"/>
        </w:trPr>
        <w:tc>
          <w:tcPr>
            <w:tcW w:w="752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6"/>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interest expense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5"/>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190"/>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Long-term debt — external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w:t>
            </w:r>
          </w:p>
        </w:tc>
        <w:tc>
          <w:tcPr>
            <w:tcW w:w="0" w:type="dxa"/>
            <w:vAlign w:val="bottom"/>
          </w:tcPr>
          <w:p>
            <w:pPr>
              <w:spacing w:after="0"/>
              <w:rPr>
                <w:sz w:val="1"/>
                <w:szCs w:val="1"/>
                <w:color w:val="auto"/>
              </w:rPr>
            </w:pPr>
          </w:p>
        </w:tc>
      </w:tr>
      <w:tr>
        <w:trPr>
          <w:trHeight w:val="225"/>
        </w:trPr>
        <w:tc>
          <w:tcPr>
            <w:tcW w:w="752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6"/>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Long-term lease 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5"/>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0" w:type="dxa"/>
            <w:vAlign w:val="bottom"/>
          </w:tcPr>
          <w:p>
            <w:pPr>
              <w:spacing w:after="0"/>
              <w:rPr>
                <w:sz w:val="1"/>
                <w:szCs w:val="1"/>
                <w:color w:val="auto"/>
              </w:rPr>
            </w:pPr>
          </w:p>
        </w:tc>
      </w:tr>
      <w:tr>
        <w:trPr>
          <w:trHeight w:val="218"/>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7,876</w:t>
            </w:r>
          </w:p>
        </w:tc>
        <w:tc>
          <w:tcPr>
            <w:tcW w:w="0" w:type="dxa"/>
            <w:vAlign w:val="bottom"/>
          </w:tcPr>
          <w:p>
            <w:pPr>
              <w:spacing w:after="0"/>
              <w:rPr>
                <w:sz w:val="1"/>
                <w:szCs w:val="1"/>
                <w:color w:val="auto"/>
              </w:rPr>
            </w:pPr>
          </w:p>
        </w:tc>
      </w:tr>
      <w:tr>
        <w:trPr>
          <w:trHeight w:val="193"/>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Members' Equity</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Contributed capital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25"/>
        </w:trPr>
        <w:tc>
          <w:tcPr>
            <w:tcW w:w="752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6"/>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5"/>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8"/>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Members' Equity</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19"/>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Members’ Equity</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10,488</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80" w:top="876" w:right="3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CLEARWAY ENERGY LLC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r>
      <w:tr>
        <w:trPr>
          <w:trHeight w:val="184"/>
        </w:trPr>
        <w:tc>
          <w:tcPr>
            <w:tcW w:w="84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207"/>
        </w:trPr>
        <w:tc>
          <w:tcPr>
            <w:tcW w:w="84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5"/>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8440" w:type="dxa"/>
            <w:vAlign w:val="bottom"/>
          </w:tcPr>
          <w:p>
            <w:pPr>
              <w:ind w:left="1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in earnings of unconsolidated affiliates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8440" w:type="dxa"/>
            <w:vAlign w:val="bottom"/>
          </w:tcPr>
          <w:p>
            <w:pPr>
              <w:ind w:left="320"/>
              <w:spacing w:after="0"/>
              <w:rPr>
                <w:sz w:val="20"/>
                <w:szCs w:val="20"/>
                <w:color w:val="auto"/>
              </w:rPr>
            </w:pPr>
            <w:r>
              <w:rPr>
                <w:rFonts w:ascii="Arial" w:cs="Arial" w:eastAsia="Arial" w:hAnsi="Arial"/>
                <w:sz w:val="18"/>
                <w:szCs w:val="18"/>
                <w:color w:val="auto"/>
              </w:rPr>
              <w:t>Distributions from unconsolidated affiliates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6"/>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amortization and accretion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5"/>
        </w:trPr>
        <w:tc>
          <w:tcPr>
            <w:tcW w:w="8440" w:type="dxa"/>
            <w:vAlign w:val="bottom"/>
          </w:tcPr>
          <w:p>
            <w:pPr>
              <w:ind w:left="320"/>
              <w:spacing w:after="0"/>
              <w:rPr>
                <w:sz w:val="20"/>
                <w:szCs w:val="20"/>
                <w:color w:val="auto"/>
              </w:rPr>
            </w:pPr>
            <w:r>
              <w:rPr>
                <w:rFonts w:ascii="Arial" w:cs="Arial" w:eastAsia="Arial" w:hAnsi="Arial"/>
                <w:sz w:val="18"/>
                <w:szCs w:val="18"/>
                <w:color w:val="auto"/>
              </w:rPr>
              <w:t>Amortization of financing costs and debt discounts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6"/>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5"/>
        </w:trPr>
        <w:tc>
          <w:tcPr>
            <w:tcW w:w="8440" w:type="dxa"/>
            <w:vAlign w:val="bottom"/>
          </w:tcPr>
          <w:p>
            <w:pPr>
              <w:ind w:left="320"/>
              <w:spacing w:after="0"/>
              <w:rPr>
                <w:sz w:val="20"/>
                <w:szCs w:val="20"/>
                <w:color w:val="auto"/>
              </w:rPr>
            </w:pPr>
            <w:r>
              <w:rPr>
                <w:rFonts w:ascii="Arial" w:cs="Arial" w:eastAsia="Arial" w:hAnsi="Arial"/>
                <w:sz w:val="18"/>
                <w:szCs w:val="18"/>
                <w:color w:val="auto"/>
              </w:rPr>
              <w:t>Loss on debt extinguishment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6"/>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Reduction (increase) in carrying amount of right-of-use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8440" w:type="dxa"/>
            <w:vAlign w:val="bottom"/>
          </w:tcPr>
          <w:p>
            <w:pPr>
              <w:ind w:left="320"/>
              <w:spacing w:after="0"/>
              <w:rPr>
                <w:sz w:val="20"/>
                <w:szCs w:val="20"/>
                <w:color w:val="auto"/>
              </w:rPr>
            </w:pPr>
            <w:r>
              <w:rPr>
                <w:rFonts w:ascii="Arial" w:cs="Arial" w:eastAsia="Arial" w:hAnsi="Arial"/>
                <w:sz w:val="18"/>
                <w:szCs w:val="18"/>
                <w:color w:val="auto"/>
              </w:rPr>
              <w:t>Gain on sale of unconsolidated affiliate</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6"/>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derivative instruments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5"/>
        </w:trPr>
        <w:tc>
          <w:tcPr>
            <w:tcW w:w="8440" w:type="dxa"/>
            <w:vAlign w:val="bottom"/>
          </w:tcPr>
          <w:p>
            <w:pPr>
              <w:ind w:left="100"/>
              <w:spacing w:after="0"/>
              <w:rPr>
                <w:sz w:val="20"/>
                <w:szCs w:val="20"/>
                <w:color w:val="auto"/>
              </w:rPr>
            </w:pPr>
            <w:r>
              <w:rPr>
                <w:rFonts w:ascii="Arial" w:cs="Arial" w:eastAsia="Arial" w:hAnsi="Arial"/>
                <w:sz w:val="18"/>
                <w:szCs w:val="18"/>
                <w:color w:val="auto"/>
              </w:rPr>
              <w:t>Cash used in changes in other working capital</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5"/>
        </w:trPr>
        <w:tc>
          <w:tcPr>
            <w:tcW w:w="84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Changes in other working capital</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19"/>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05"/>
        </w:trPr>
        <w:tc>
          <w:tcPr>
            <w:tcW w:w="8440" w:type="dxa"/>
            <w:vAlign w:val="bottom"/>
          </w:tcPr>
          <w:p>
            <w:pPr>
              <w:spacing w:after="0" w:line="205"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5"/>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440" w:type="dxa"/>
            <w:vAlign w:val="bottom"/>
          </w:tcPr>
          <w:p>
            <w:pPr>
              <w:ind w:left="320"/>
              <w:spacing w:after="0"/>
              <w:rPr>
                <w:sz w:val="20"/>
                <w:szCs w:val="20"/>
                <w:color w:val="auto"/>
              </w:rPr>
            </w:pPr>
            <w:r>
              <w:rPr>
                <w:rFonts w:ascii="Arial" w:cs="Arial" w:eastAsia="Arial" w:hAnsi="Arial"/>
                <w:sz w:val="18"/>
                <w:szCs w:val="18"/>
                <w:color w:val="auto"/>
              </w:rPr>
              <w:t>Acquisition of Drop Down Asset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Consolidation of DGPV Holdco 3 LLC</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5"/>
        </w:trPr>
        <w:tc>
          <w:tcPr>
            <w:tcW w:w="8440" w:type="dxa"/>
            <w:vAlign w:val="bottom"/>
          </w:tcPr>
          <w:p>
            <w:pPr>
              <w:ind w:left="3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6"/>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Asset purchase from affiliate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440" w:type="dxa"/>
            <w:vAlign w:val="bottom"/>
          </w:tcPr>
          <w:p>
            <w:pPr>
              <w:ind w:left="320"/>
              <w:spacing w:after="0"/>
              <w:rPr>
                <w:sz w:val="20"/>
                <w:szCs w:val="20"/>
                <w:color w:val="auto"/>
              </w:rPr>
            </w:pPr>
            <w:r>
              <w:rPr>
                <w:rFonts w:ascii="Arial" w:cs="Arial" w:eastAsia="Arial" w:hAnsi="Arial"/>
                <w:sz w:val="18"/>
                <w:szCs w:val="18"/>
                <w:color w:val="auto"/>
              </w:rPr>
              <w:t>Cash receipts from notes receivable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Return of investment from unconsolidated affiliates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5"/>
        </w:trPr>
        <w:tc>
          <w:tcPr>
            <w:tcW w:w="8440" w:type="dxa"/>
            <w:vAlign w:val="bottom"/>
          </w:tcPr>
          <w:p>
            <w:pPr>
              <w:ind w:left="320"/>
              <w:spacing w:after="0"/>
              <w:rPr>
                <w:sz w:val="20"/>
                <w:szCs w:val="20"/>
                <w:color w:val="auto"/>
              </w:rPr>
            </w:pPr>
            <w:r>
              <w:rPr>
                <w:rFonts w:ascii="Arial" w:cs="Arial" w:eastAsia="Arial" w:hAnsi="Arial"/>
                <w:sz w:val="18"/>
                <w:szCs w:val="18"/>
                <w:color w:val="auto"/>
              </w:rPr>
              <w:t>Investments in unconsolidated affiliates</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6"/>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of assets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5"/>
        </w:trPr>
        <w:tc>
          <w:tcPr>
            <w:tcW w:w="84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9"/>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5"/>
        </w:trPr>
        <w:tc>
          <w:tcPr>
            <w:tcW w:w="8440" w:type="dxa"/>
            <w:vAlign w:val="bottom"/>
          </w:tcPr>
          <w:p>
            <w:pPr>
              <w:spacing w:after="0" w:line="205"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5"/>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contributions from noncontrolling interests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5"/>
        </w:trPr>
        <w:tc>
          <w:tcPr>
            <w:tcW w:w="8440" w:type="dxa"/>
            <w:vAlign w:val="bottom"/>
          </w:tcPr>
          <w:p>
            <w:pPr>
              <w:ind w:left="320"/>
              <w:spacing w:after="0"/>
              <w:rPr>
                <w:sz w:val="20"/>
                <w:szCs w:val="20"/>
                <w:color w:val="auto"/>
              </w:rPr>
            </w:pPr>
            <w:r>
              <w:rPr>
                <w:rFonts w:ascii="Arial" w:cs="Arial" w:eastAsia="Arial" w:hAnsi="Arial"/>
                <w:sz w:val="18"/>
                <w:szCs w:val="18"/>
                <w:color w:val="auto"/>
              </w:rPr>
              <w:t>Contributions from CEG</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Buyout of Repowering Partnership II LLC noncontrolling interest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5"/>
        </w:trPr>
        <w:tc>
          <w:tcPr>
            <w:tcW w:w="8440" w:type="dxa"/>
            <w:vAlign w:val="bottom"/>
          </w:tcPr>
          <w:p>
            <w:pPr>
              <w:ind w:left="320"/>
              <w:spacing w:after="0"/>
              <w:rPr>
                <w:sz w:val="20"/>
                <w:szCs w:val="20"/>
                <w:color w:val="auto"/>
              </w:rPr>
            </w:pPr>
            <w:r>
              <w:rPr>
                <w:rFonts w:ascii="Arial" w:cs="Arial" w:eastAsia="Arial" w:hAnsi="Arial"/>
                <w:sz w:val="18"/>
                <w:szCs w:val="18"/>
                <w:color w:val="auto"/>
              </w:rPr>
              <w:t>Net proceeds from the issuance of Class C units</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6"/>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of distributions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5"/>
        </w:trPr>
        <w:tc>
          <w:tcPr>
            <w:tcW w:w="8440" w:type="dxa"/>
            <w:vAlign w:val="bottom"/>
          </w:tcPr>
          <w:p>
            <w:pPr>
              <w:ind w:left="320"/>
              <w:spacing w:after="0"/>
              <w:rPr>
                <w:sz w:val="20"/>
                <w:szCs w:val="20"/>
                <w:color w:val="auto"/>
              </w:rPr>
            </w:pPr>
            <w:r>
              <w:rPr>
                <w:rFonts w:ascii="Arial" w:cs="Arial" w:eastAsia="Arial" w:hAnsi="Arial"/>
                <w:sz w:val="18"/>
                <w:szCs w:val="18"/>
                <w:color w:val="auto"/>
              </w:rPr>
              <w:t>Proceeds from the revolving credit facility</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26"/>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for the revolving credit facility</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25"/>
        </w:trPr>
        <w:tc>
          <w:tcPr>
            <w:tcW w:w="8440" w:type="dxa"/>
            <w:vAlign w:val="bottom"/>
          </w:tcPr>
          <w:p>
            <w:pPr>
              <w:ind w:left="320"/>
              <w:spacing w:after="0"/>
              <w:rPr>
                <w:sz w:val="20"/>
                <w:szCs w:val="20"/>
                <w:color w:val="auto"/>
              </w:rPr>
            </w:pPr>
            <w:r>
              <w:rPr>
                <w:rFonts w:ascii="Arial" w:cs="Arial" w:eastAsia="Arial" w:hAnsi="Arial"/>
                <w:sz w:val="18"/>
                <w:szCs w:val="18"/>
                <w:color w:val="auto"/>
              </w:rPr>
              <w:t>Proceeds from the issuance of long-term debt — external</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26"/>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the issuance of long-term debt — affiliate</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8440" w:type="dxa"/>
            <w:vAlign w:val="bottom"/>
          </w:tcPr>
          <w:p>
            <w:pPr>
              <w:ind w:left="320"/>
              <w:spacing w:after="0"/>
              <w:rPr>
                <w:sz w:val="20"/>
                <w:szCs w:val="20"/>
                <w:color w:val="auto"/>
              </w:rPr>
            </w:pPr>
            <w:r>
              <w:rPr>
                <w:rFonts w:ascii="Arial" w:cs="Arial" w:eastAsia="Arial" w:hAnsi="Arial"/>
                <w:sz w:val="18"/>
                <w:szCs w:val="18"/>
                <w:color w:val="auto"/>
              </w:rPr>
              <w:t>Payments of debt issuance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6"/>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for long-term debt — external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25"/>
        </w:trPr>
        <w:tc>
          <w:tcPr>
            <w:tcW w:w="8440" w:type="dxa"/>
            <w:vAlign w:val="bottom"/>
          </w:tcPr>
          <w:p>
            <w:pPr>
              <w:ind w:left="320"/>
              <w:spacing w:after="0"/>
              <w:rPr>
                <w:sz w:val="20"/>
                <w:szCs w:val="20"/>
                <w:color w:val="auto"/>
              </w:rPr>
            </w:pPr>
            <w:r>
              <w:rPr>
                <w:rFonts w:ascii="Arial" w:cs="Arial" w:eastAsia="Arial" w:hAnsi="Arial"/>
                <w:sz w:val="18"/>
                <w:szCs w:val="18"/>
                <w:color w:val="auto"/>
              </w:rPr>
              <w:t>Payments for long-term debt — affiliate</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6"/>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r>
      <w:tr>
        <w:trPr>
          <w:trHeight w:val="219"/>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r>
      <w:tr>
        <w:trPr>
          <w:trHeight w:val="243"/>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876"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Contributed</w:t>
            </w:r>
          </w:p>
        </w:tc>
        <w:tc>
          <w:tcPr>
            <w:tcW w:w="12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82"/>
              <w:spacing w:after="0" w:line="133" w:lineRule="exact"/>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85"/>
        </w:trPr>
        <w:tc>
          <w:tcPr>
            <w:tcW w:w="50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Loss</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6"/>
                <w:szCs w:val="16"/>
                <w:color w:val="auto"/>
              </w:rPr>
            </w:pPr>
          </w:p>
        </w:tc>
        <w:tc>
          <w:tcPr>
            <w:tcW w:w="900" w:type="dxa"/>
            <w:vAlign w:val="bottom"/>
          </w:tcPr>
          <w:p>
            <w:pPr>
              <w:jc w:val="center"/>
              <w:ind w:right="8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6"/>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972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2,612</w:t>
            </w:r>
          </w:p>
        </w:tc>
        <w:tc>
          <w:tcPr>
            <w:tcW w:w="0" w:type="dxa"/>
            <w:vAlign w:val="bottom"/>
          </w:tcPr>
          <w:p>
            <w:pPr>
              <w:spacing w:after="0"/>
              <w:rPr>
                <w:sz w:val="1"/>
                <w:szCs w:val="1"/>
                <w:color w:val="auto"/>
              </w:rPr>
            </w:pPr>
          </w:p>
        </w:tc>
      </w:tr>
      <w:tr>
        <w:trPr>
          <w:trHeight w:val="209"/>
        </w:trPr>
        <w:tc>
          <w:tcPr>
            <w:tcW w:w="504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4"/>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Unrealized gain on derivatives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0"/>
        </w:trPr>
        <w:tc>
          <w:tcPr>
            <w:tcW w:w="5040" w:type="dxa"/>
            <w:vAlign w:val="bottom"/>
          </w:tcPr>
          <w:p>
            <w:pPr>
              <w:ind w:left="120"/>
              <w:spacing w:after="0"/>
              <w:rPr>
                <w:sz w:val="20"/>
                <w:szCs w:val="20"/>
                <w:color w:val="auto"/>
              </w:rPr>
            </w:pPr>
            <w:r>
              <w:rPr>
                <w:rFonts w:ascii="Arial" w:cs="Arial" w:eastAsia="Arial" w:hAnsi="Arial"/>
                <w:sz w:val="16"/>
                <w:szCs w:val="16"/>
                <w:color w:val="auto"/>
              </w:rPr>
              <w:t>(Distributions) contributions from CEG, non-cash</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4"/>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Contributions from CEG, cash</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0"/>
        </w:trPr>
        <w:tc>
          <w:tcPr>
            <w:tcW w:w="5040" w:type="dxa"/>
            <w:vAlign w:val="bottom"/>
          </w:tcPr>
          <w:p>
            <w:pPr>
              <w:ind w:left="120"/>
              <w:spacing w:after="0"/>
              <w:rPr>
                <w:sz w:val="20"/>
                <w:szCs w:val="20"/>
                <w:color w:val="auto"/>
              </w:rPr>
            </w:pPr>
            <w:r>
              <w:rPr>
                <w:rFonts w:ascii="Arial" w:cs="Arial" w:eastAsia="Arial" w:hAnsi="Arial"/>
                <w:sz w:val="16"/>
                <w:szCs w:val="16"/>
                <w:color w:val="auto"/>
              </w:rPr>
              <w:t>Contributions from noncontrolling interests, net of distributions, cash</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4"/>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Agua Caliente acquisition</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09"/>
        </w:trPr>
        <w:tc>
          <w:tcPr>
            <w:tcW w:w="5040" w:type="dxa"/>
            <w:vAlign w:val="bottom"/>
          </w:tcPr>
          <w:p>
            <w:pPr>
              <w:ind w:left="120"/>
              <w:spacing w:after="0"/>
              <w:rPr>
                <w:sz w:val="20"/>
                <w:szCs w:val="20"/>
                <w:color w:val="auto"/>
              </w:rPr>
            </w:pPr>
            <w:r>
              <w:rPr>
                <w:rFonts w:ascii="Arial" w:cs="Arial" w:eastAsia="Arial" w:hAnsi="Arial"/>
                <w:sz w:val="16"/>
                <w:szCs w:val="16"/>
                <w:color w:val="auto"/>
              </w:rPr>
              <w:t>Rattlesnake Drop Down</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5"/>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paid to CEG on Class B and Class D units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9"/>
        </w:trPr>
        <w:tc>
          <w:tcPr>
            <w:tcW w:w="5040" w:type="dxa"/>
            <w:vAlign w:val="bottom"/>
          </w:tcPr>
          <w:p>
            <w:pPr>
              <w:ind w:left="120"/>
              <w:spacing w:after="0"/>
              <w:rPr>
                <w:sz w:val="20"/>
                <w:szCs w:val="20"/>
                <w:color w:val="auto"/>
              </w:rPr>
            </w:pPr>
            <w:r>
              <w:rPr>
                <w:rFonts w:ascii="Arial" w:cs="Arial" w:eastAsia="Arial" w:hAnsi="Arial"/>
                <w:sz w:val="16"/>
                <w:szCs w:val="16"/>
                <w:color w:val="auto"/>
              </w:rPr>
              <w:t>Distributions paid to Clearway Energy, Inc.</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8"/>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1,335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0" w:type="dxa"/>
            <w:vAlign w:val="bottom"/>
          </w:tcPr>
          <w:p>
            <w:pPr>
              <w:spacing w:after="0"/>
              <w:rPr>
                <w:sz w:val="1"/>
                <w:szCs w:val="1"/>
                <w:color w:val="auto"/>
              </w:rPr>
            </w:pPr>
          </w:p>
        </w:tc>
      </w:tr>
      <w:tr>
        <w:trPr>
          <w:trHeight w:val="225"/>
        </w:trPr>
        <w:tc>
          <w:tcPr>
            <w:tcW w:w="504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8"/>
                <w:szCs w:val="18"/>
                <w:color w:val="474747"/>
              </w:rPr>
              <w:t>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Unrealized gain (loss) on derivatives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5040" w:type="dxa"/>
            <w:vAlign w:val="bottom"/>
          </w:tcPr>
          <w:p>
            <w:pPr>
              <w:ind w:left="120"/>
              <w:spacing w:after="0"/>
              <w:rPr>
                <w:sz w:val="20"/>
                <w:szCs w:val="20"/>
                <w:color w:val="auto"/>
              </w:rPr>
            </w:pPr>
            <w:r>
              <w:rPr>
                <w:rFonts w:ascii="Arial" w:cs="Arial" w:eastAsia="Arial" w:hAnsi="Arial"/>
                <w:sz w:val="16"/>
                <w:szCs w:val="16"/>
                <w:color w:val="auto"/>
              </w:rPr>
              <w:t>Contributions from CEG, non-cash</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4"/>
        </w:trPr>
        <w:tc>
          <w:tcPr>
            <w:tcW w:w="5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Contributions from noncontrolling interests, net of distributions, cash</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9"/>
        </w:trPr>
        <w:tc>
          <w:tcPr>
            <w:tcW w:w="5040" w:type="dxa"/>
            <w:vAlign w:val="bottom"/>
          </w:tcPr>
          <w:p>
            <w:pPr>
              <w:ind w:left="120"/>
              <w:spacing w:after="0"/>
              <w:rPr>
                <w:sz w:val="20"/>
                <w:szCs w:val="20"/>
                <w:color w:val="auto"/>
              </w:rPr>
            </w:pPr>
            <w:r>
              <w:rPr>
                <w:rFonts w:ascii="Arial" w:cs="Arial" w:eastAsia="Arial" w:hAnsi="Arial"/>
                <w:sz w:val="16"/>
                <w:szCs w:val="16"/>
                <w:color w:val="auto"/>
              </w:rPr>
              <w:t>Rattlesnake Drop Down</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paid to CEG on Class B and Class D units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9"/>
        </w:trPr>
        <w:tc>
          <w:tcPr>
            <w:tcW w:w="5040" w:type="dxa"/>
            <w:vAlign w:val="bottom"/>
          </w:tcPr>
          <w:p>
            <w:pPr>
              <w:ind w:left="120"/>
              <w:spacing w:after="0"/>
              <w:rPr>
                <w:sz w:val="20"/>
                <w:szCs w:val="20"/>
                <w:color w:val="auto"/>
              </w:rPr>
            </w:pPr>
            <w:r>
              <w:rPr>
                <w:rFonts w:ascii="Arial" w:cs="Arial" w:eastAsia="Arial" w:hAnsi="Arial"/>
                <w:sz w:val="16"/>
                <w:szCs w:val="16"/>
                <w:color w:val="auto"/>
              </w:rPr>
              <w:t>Distributions paid to Clearway Energy, Inc.</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0"/>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Retained</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3"/>
        </w:trPr>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Contributed</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Earnings</w:t>
            </w: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Noncontrolling</w:t>
            </w: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2"/>
              </w:rPr>
              <w:t>(Accumulated</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62"/>
              <w:spacing w:after="0" w:line="133" w:lineRule="exact"/>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84"/>
        </w:trPr>
        <w:tc>
          <w:tcPr>
            <w:tcW w:w="5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Deficit)</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9"/>
              </w:rPr>
              <w:t>Loss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5"/>
                <w:szCs w:val="15"/>
                <w:color w:val="auto"/>
              </w:rPr>
            </w:pPr>
          </w:p>
        </w:tc>
        <w:tc>
          <w:tcPr>
            <w:tcW w:w="88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4"/>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Balances at December 31, 2019</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1,882</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214"/>
        </w:trPr>
        <w:tc>
          <w:tcPr>
            <w:tcW w:w="5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9"/>
        </w:trPr>
        <w:tc>
          <w:tcPr>
            <w:tcW w:w="5140" w:type="dxa"/>
            <w:vAlign w:val="bottom"/>
          </w:tcPr>
          <w:p>
            <w:pPr>
              <w:ind w:left="120"/>
              <w:spacing w:after="0"/>
              <w:rPr>
                <w:sz w:val="20"/>
                <w:szCs w:val="20"/>
                <w:color w:val="auto"/>
              </w:rPr>
            </w:pPr>
            <w:r>
              <w:rPr>
                <w:rFonts w:ascii="Arial" w:cs="Arial" w:eastAsia="Arial" w:hAnsi="Arial"/>
                <w:sz w:val="16"/>
                <w:szCs w:val="16"/>
                <w:color w:val="auto"/>
              </w:rPr>
              <w:t>Unrealized loss on derivatives</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Contributions from CEG, cash</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5140" w:type="dxa"/>
            <w:vAlign w:val="bottom"/>
          </w:tcPr>
          <w:p>
            <w:pPr>
              <w:ind w:left="120"/>
              <w:spacing w:after="0"/>
              <w:rPr>
                <w:sz w:val="20"/>
                <w:szCs w:val="20"/>
                <w:color w:val="auto"/>
              </w:rPr>
            </w:pPr>
            <w:r>
              <w:rPr>
                <w:rFonts w:ascii="Arial" w:cs="Arial" w:eastAsia="Arial" w:hAnsi="Arial"/>
                <w:sz w:val="16"/>
                <w:szCs w:val="16"/>
                <w:color w:val="auto"/>
              </w:rPr>
              <w:t>Contributions from tax equity interests, net of distributions, cash</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4"/>
        </w:trPr>
        <w:tc>
          <w:tcPr>
            <w:tcW w:w="5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proceeds from the sales of units, Clearway Energy, Inc.</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5140" w:type="dxa"/>
            <w:vAlign w:val="bottom"/>
          </w:tcPr>
          <w:p>
            <w:pPr>
              <w:ind w:left="120"/>
              <w:spacing w:after="0"/>
              <w:rPr>
                <w:sz w:val="20"/>
                <w:szCs w:val="20"/>
                <w:color w:val="auto"/>
              </w:rPr>
            </w:pPr>
            <w:r>
              <w:rPr>
                <w:rFonts w:ascii="Arial" w:cs="Arial" w:eastAsia="Arial" w:hAnsi="Arial"/>
                <w:sz w:val="16"/>
                <w:szCs w:val="16"/>
                <w:color w:val="auto"/>
              </w:rPr>
              <w:t>Distributions to tax equity investors, non-cash</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4"/>
        </w:trPr>
        <w:tc>
          <w:tcPr>
            <w:tcW w:w="5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paid to CEG on Class B and Class D units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0"/>
        </w:trPr>
        <w:tc>
          <w:tcPr>
            <w:tcW w:w="5140" w:type="dxa"/>
            <w:vAlign w:val="bottom"/>
          </w:tcPr>
          <w:p>
            <w:pPr>
              <w:ind w:left="120"/>
              <w:spacing w:after="0"/>
              <w:rPr>
                <w:sz w:val="20"/>
                <w:szCs w:val="20"/>
                <w:color w:val="auto"/>
              </w:rPr>
            </w:pPr>
            <w:r>
              <w:rPr>
                <w:rFonts w:ascii="Arial" w:cs="Arial" w:eastAsia="Arial" w:hAnsi="Arial"/>
                <w:sz w:val="16"/>
                <w:szCs w:val="16"/>
                <w:color w:val="auto"/>
              </w:rPr>
              <w:t>Distributions paid to Clearway Energy, Inc.</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8"/>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March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2,151</w:t>
            </w:r>
          </w:p>
        </w:tc>
        <w:tc>
          <w:tcPr>
            <w:tcW w:w="0" w:type="dxa"/>
            <w:vAlign w:val="bottom"/>
          </w:tcPr>
          <w:p>
            <w:pPr>
              <w:spacing w:after="0"/>
              <w:rPr>
                <w:sz w:val="1"/>
                <w:szCs w:val="1"/>
                <w:color w:val="auto"/>
              </w:rPr>
            </w:pPr>
          </w:p>
        </w:tc>
      </w:tr>
      <w:tr>
        <w:trPr>
          <w:trHeight w:val="210"/>
        </w:trPr>
        <w:tc>
          <w:tcPr>
            <w:tcW w:w="514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4"/>
        </w:trPr>
        <w:tc>
          <w:tcPr>
            <w:tcW w:w="5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Unrealized gain on derivatives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5140" w:type="dxa"/>
            <w:vAlign w:val="bottom"/>
          </w:tcPr>
          <w:p>
            <w:pPr>
              <w:ind w:left="120"/>
              <w:spacing w:after="0"/>
              <w:rPr>
                <w:sz w:val="20"/>
                <w:szCs w:val="20"/>
                <w:color w:val="auto"/>
              </w:rPr>
            </w:pPr>
            <w:r>
              <w:rPr>
                <w:rFonts w:ascii="Arial" w:cs="Arial" w:eastAsia="Arial" w:hAnsi="Arial"/>
                <w:sz w:val="16"/>
                <w:szCs w:val="16"/>
                <w:color w:val="auto"/>
              </w:rPr>
              <w:t>Contributions from CEG, non-cash</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4"/>
        </w:trPr>
        <w:tc>
          <w:tcPr>
            <w:tcW w:w="5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Contributions from CEG, cash</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5140" w:type="dxa"/>
            <w:vAlign w:val="bottom"/>
          </w:tcPr>
          <w:p>
            <w:pPr>
              <w:ind w:left="120"/>
              <w:spacing w:after="0"/>
              <w:rPr>
                <w:sz w:val="20"/>
                <w:szCs w:val="20"/>
                <w:color w:val="auto"/>
              </w:rPr>
            </w:pPr>
            <w:r>
              <w:rPr>
                <w:rFonts w:ascii="Arial" w:cs="Arial" w:eastAsia="Arial" w:hAnsi="Arial"/>
                <w:sz w:val="16"/>
                <w:szCs w:val="16"/>
                <w:color w:val="auto"/>
              </w:rPr>
              <w:t>Distributions to tax equity interests, net of contributions, cash</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4"/>
        </w:trPr>
        <w:tc>
          <w:tcPr>
            <w:tcW w:w="5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proceeds from the sales of units, Clearway Energy, Inc.</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9"/>
        </w:trPr>
        <w:tc>
          <w:tcPr>
            <w:tcW w:w="5140" w:type="dxa"/>
            <w:vAlign w:val="bottom"/>
          </w:tcPr>
          <w:p>
            <w:pPr>
              <w:ind w:left="120"/>
              <w:spacing w:after="0"/>
              <w:rPr>
                <w:sz w:val="20"/>
                <w:szCs w:val="20"/>
                <w:color w:val="auto"/>
              </w:rPr>
            </w:pPr>
            <w:r>
              <w:rPr>
                <w:rFonts w:ascii="Arial" w:cs="Arial" w:eastAsia="Arial" w:hAnsi="Arial"/>
                <w:sz w:val="16"/>
                <w:szCs w:val="16"/>
                <w:color w:val="auto"/>
              </w:rPr>
              <w:t>Distributions to tax equity investors, non-cash</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Consolidation of DGPV Holdco 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0"/>
        </w:trPr>
        <w:tc>
          <w:tcPr>
            <w:tcW w:w="5140" w:type="dxa"/>
            <w:vAlign w:val="bottom"/>
          </w:tcPr>
          <w:p>
            <w:pPr>
              <w:ind w:left="120"/>
              <w:spacing w:after="0"/>
              <w:rPr>
                <w:sz w:val="20"/>
                <w:szCs w:val="20"/>
                <w:color w:val="auto"/>
              </w:rPr>
            </w:pPr>
            <w:r>
              <w:rPr>
                <w:rFonts w:ascii="Arial" w:cs="Arial" w:eastAsia="Arial" w:hAnsi="Arial"/>
                <w:sz w:val="16"/>
                <w:szCs w:val="16"/>
                <w:color w:val="auto"/>
              </w:rPr>
              <w:t>Buyout of Repowering Partnership II LLC noncontrolling interest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paid to CEG on Class B and Class D units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9"/>
        </w:trPr>
        <w:tc>
          <w:tcPr>
            <w:tcW w:w="5140" w:type="dxa"/>
            <w:vAlign w:val="bottom"/>
          </w:tcPr>
          <w:p>
            <w:pPr>
              <w:ind w:left="120"/>
              <w:spacing w:after="0"/>
              <w:rPr>
                <w:sz w:val="20"/>
                <w:szCs w:val="20"/>
                <w:color w:val="auto"/>
              </w:rPr>
            </w:pPr>
            <w:r>
              <w:rPr>
                <w:rFonts w:ascii="Arial" w:cs="Arial" w:eastAsia="Arial" w:hAnsi="Arial"/>
                <w:sz w:val="16"/>
                <w:szCs w:val="16"/>
                <w:color w:val="auto"/>
              </w:rPr>
              <w:t>Distributions paid to Clearway Energy, Inc.</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0"/>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June 30,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0" w:lineRule="exact"/>
        <w:rPr>
          <w:sz w:val="20"/>
          <w:szCs w:val="20"/>
          <w:color w:val="auto"/>
        </w:rPr>
      </w:pPr>
    </w:p>
    <w:p>
      <w:pPr>
        <w:jc w:val="both"/>
        <w:ind w:firstLine="397"/>
        <w:spacing w:after="0" w:line="271" w:lineRule="auto"/>
        <w:rPr>
          <w:sz w:val="20"/>
          <w:szCs w:val="20"/>
          <w:color w:val="auto"/>
        </w:rPr>
      </w:pPr>
      <w:r>
        <w:rPr>
          <w:rFonts w:ascii="Arial" w:cs="Arial" w:eastAsia="Arial" w:hAnsi="Arial"/>
          <w:sz w:val="17"/>
          <w:szCs w:val="17"/>
          <w:color w:val="auto"/>
        </w:rPr>
        <w:t>Clearway Energy LLC, together with its consolidated subsidiaries, or the Company, is an energy infrastructure investor in and owner of modern, sustainable and long-term contracted assets across North America. The Company is indirectly owned by Global Infrastructure Partners III. Global Infrastructure Management, LLC is an independent fund manager that invests in infrastructure assets in energy and transport sectors, and Global Infrastructure Partners III is its third equity fund. The Company is sponsored by GIP through GIP's portfolio company, CEG.</w:t>
      </w:r>
    </w:p>
    <w:p>
      <w:pPr>
        <w:spacing w:after="0" w:line="124" w:lineRule="exact"/>
        <w:rPr>
          <w:sz w:val="20"/>
          <w:szCs w:val="20"/>
          <w:color w:val="auto"/>
        </w:rPr>
      </w:pPr>
    </w:p>
    <w:p>
      <w:pPr>
        <w:jc w:val="both"/>
        <w:ind w:firstLine="397"/>
        <w:spacing w:after="0" w:line="250" w:lineRule="auto"/>
        <w:rPr>
          <w:sz w:val="20"/>
          <w:szCs w:val="20"/>
          <w:color w:val="auto"/>
        </w:rPr>
      </w:pPr>
      <w:r>
        <w:rPr>
          <w:rFonts w:ascii="Arial" w:cs="Arial" w:eastAsia="Arial" w:hAnsi="Arial"/>
          <w:sz w:val="18"/>
          <w:szCs w:val="18"/>
          <w:color w:val="auto"/>
        </w:rPr>
        <w:t>The Company is one of the largest renewable energy owners in the U.S. with over 4,700 net MW of installed wind and solar generation projects. The Company's over 8,000 net MW of assets also includes approximately 2,500 net MW of environmentally-sound, highly efficient generation facilities as well as a portfolio of district energy systems.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w:t>
      </w:r>
    </w:p>
    <w:p>
      <w:pPr>
        <w:spacing w:after="0" w:line="379" w:lineRule="exact"/>
        <w:rPr>
          <w:sz w:val="20"/>
          <w:szCs w:val="20"/>
          <w:color w:val="auto"/>
        </w:rPr>
      </w:pPr>
    </w:p>
    <w:p>
      <w:pPr>
        <w:jc w:val="both"/>
        <w:ind w:firstLine="397"/>
        <w:spacing w:after="0" w:line="277" w:lineRule="auto"/>
        <w:rPr>
          <w:sz w:val="20"/>
          <w:szCs w:val="20"/>
          <w:color w:val="auto"/>
        </w:rPr>
      </w:pPr>
      <w:r>
        <w:rPr>
          <w:rFonts w:ascii="Arial" w:cs="Arial" w:eastAsia="Arial" w:hAnsi="Arial"/>
          <w:sz w:val="17"/>
          <w:szCs w:val="17"/>
          <w:color w:val="231F20"/>
        </w:rPr>
        <w:t>Clearway Energy, Inc. consolidates the results of the Company through its controlling interest, with CEG's interest shown as non-controlling interest in the financial statements. The holders of Clearway Energy, Inc.'s outstanding shares of Class A and Class C common stock are entitled to dividends as declared. CEG receives its distributions from the Company through its ownership of the Company's Class B and Class D units.</w:t>
      </w:r>
    </w:p>
    <w:p>
      <w:pPr>
        <w:spacing w:after="0" w:line="118"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Clearway Energy, Inc. owns 57.65% of the economic interests of the Company, with CEG owning 42.35% of the economic interests of the Company as of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2" w:name="page13"/>
    <w:bookmarkEnd w:id="12"/>
    <w:p>
      <w:pPr>
        <w:ind w:left="400"/>
        <w:spacing w:after="0"/>
        <w:rPr>
          <w:sz w:val="20"/>
          <w:szCs w:val="20"/>
          <w:color w:val="auto"/>
        </w:rPr>
      </w:pPr>
      <w:r>
        <w:rPr>
          <w:rFonts w:ascii="Arial" w:cs="Arial" w:eastAsia="Arial" w:hAnsi="Arial"/>
          <w:sz w:val="18"/>
          <w:szCs w:val="18"/>
          <w:color w:val="auto"/>
        </w:rPr>
        <w:t>The following table represents the structure of the Company 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5755005" cy="42487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5005" cy="424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64" w:lineRule="exact"/>
        <w:rPr>
          <w:sz w:val="20"/>
          <w:szCs w:val="20"/>
          <w:color w:val="auto"/>
        </w:rPr>
      </w:pPr>
    </w:p>
    <w:p>
      <w:pPr>
        <w:jc w:val="both"/>
        <w:ind w:firstLine="397"/>
        <w:spacing w:after="0" w:line="318" w:lineRule="auto"/>
        <w:rPr>
          <w:sz w:val="20"/>
          <w:szCs w:val="20"/>
          <w:color w:val="auto"/>
        </w:rPr>
      </w:pPr>
      <w:r>
        <w:rPr>
          <w:rFonts w:ascii="Arial" w:cs="Arial" w:eastAsia="Arial" w:hAnsi="Arial"/>
          <w:sz w:val="15"/>
          <w:szCs w:val="15"/>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2020 Form 10-K. Interim results are not necessarily indicative of results for a full year.</w:t>
      </w:r>
    </w:p>
    <w:p>
      <w:pPr>
        <w:spacing w:after="0" w:line="93"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June 30, 2021, and results of operations, comprehensive income (loss) and cash flows for the six months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164" w:lineRule="exact"/>
        <w:rPr>
          <w:sz w:val="20"/>
          <w:szCs w:val="20"/>
          <w:color w:val="auto"/>
        </w:rPr>
      </w:pPr>
    </w:p>
    <w:p>
      <w:pPr>
        <w:jc w:val="both"/>
        <w:ind w:firstLine="437"/>
        <w:spacing w:after="0" w:line="294" w:lineRule="auto"/>
        <w:rPr>
          <w:sz w:val="20"/>
          <w:szCs w:val="20"/>
          <w:color w:val="auto"/>
        </w:rPr>
      </w:pPr>
      <w:r>
        <w:rPr>
          <w:rFonts w:ascii="Arial" w:cs="Arial" w:eastAsia="Arial" w:hAnsi="Arial"/>
          <w:sz w:val="17"/>
          <w:szCs w:val="17"/>
          <w:color w:val="auto"/>
        </w:rPr>
        <w:t>Cash and cash equivalents include highly liquid investments with an original maturity of three months or less at the time of purchase. Cash and cash equivalents held at project subsidiaries was $125 million and $149 million as of June 30, 2021 and December 31, 2020, respectively.</w:t>
      </w:r>
    </w:p>
    <w:p>
      <w:pPr>
        <w:spacing w:after="0" w:line="104" w:lineRule="exact"/>
        <w:rPr>
          <w:sz w:val="20"/>
          <w:szCs w:val="20"/>
          <w:color w:val="auto"/>
        </w:rPr>
      </w:pPr>
    </w:p>
    <w:p>
      <w:pPr>
        <w:jc w:val="both"/>
        <w:ind w:firstLine="437"/>
        <w:spacing w:after="0" w:line="26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r>
      <w:tr>
        <w:trPr>
          <w:trHeight w:val="226"/>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340" w:type="dxa"/>
            <w:vAlign w:val="bottom"/>
            <w:shd w:val="clear" w:color="auto" w:fill="CCEEFF"/>
          </w:tcPr>
          <w:p>
            <w:pPr>
              <w:jc w:val="right"/>
              <w:ind w:right="1138"/>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8"/>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25"/>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cash</w:t>
            </w:r>
          </w:p>
        </w:tc>
        <w:tc>
          <w:tcPr>
            <w:tcW w:w="1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44"/>
        </w:trPr>
        <w:tc>
          <w:tcPr>
            <w:tcW w:w="7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cash equivalents and restricted cash shown in the statement of cash flows</w:t>
            </w:r>
          </w:p>
        </w:tc>
        <w:tc>
          <w:tcPr>
            <w:tcW w:w="1340" w:type="dxa"/>
            <w:vAlign w:val="bottom"/>
            <w:tcBorders>
              <w:bottom w:val="single" w:sz="8" w:color="auto"/>
            </w:tcBorders>
            <w:shd w:val="clear" w:color="auto" w:fill="CCEEFF"/>
          </w:tcPr>
          <w:p>
            <w:pPr>
              <w:jc w:val="right"/>
              <w:ind w:right="1138"/>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8"/>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97"/>
        <w:spacing w:after="0" w:line="271" w:lineRule="auto"/>
        <w:rPr>
          <w:sz w:val="20"/>
          <w:szCs w:val="20"/>
          <w:color w:val="auto"/>
        </w:rPr>
      </w:pPr>
      <w:r>
        <w:rPr>
          <w:rFonts w:ascii="Arial" w:cs="Arial" w:eastAsia="Arial" w:hAnsi="Arial"/>
          <w:sz w:val="17"/>
          <w:szCs w:val="17"/>
          <w:color w:val="auto"/>
        </w:rPr>
        <w:t>Restricted cash consists primarily of funds held to satisfy the requirements of certain debt agreements and funds held within the Company's projects that are restricted in their use. As of June 30, 2021, these restricted funds were comprised of $131 million designated to fund operating expenses, approximately $38 million designated for current debt service payments, and $130 million restricted for reserves including debt service, performance obligations and other reserves, as well as capital expenditures. The remaining $33 million is held in distribution reserve accounts.</w:t>
      </w:r>
    </w:p>
    <w:p>
      <w:pPr>
        <w:spacing w:after="0" w:line="12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2020, the members of the partnerships holding the Oahu Solar and Kawailoa Solar projects submitted applications to the state of Hawaii for refundable tax credits based on the cost of construction of the projects. In April 2021, the members of the partnerships contributed their respective portions of the tax credits in the amount of $49 million to the Oahu Solar and Kawailoa project companies, which is reflected in restricted cash on the Company's consolidated balance sheet with an offsetting adjustment to noncontrolling interests. In accordance with the projects' related agreements, the cash will be held in a restricted account and utilized to offset future invoiced amounts under the projects' PPAs.</w:t>
      </w:r>
    </w:p>
    <w:p>
      <w:pPr>
        <w:spacing w:after="0" w:line="128"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Accumulated Depreciation, Accumulated Amortization</w:t>
      </w:r>
    </w:p>
    <w:p>
      <w:pPr>
        <w:spacing w:after="0" w:line="164"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June 30,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June 30, 2021</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w w:val="92"/>
              </w:rPr>
              <w:t>December 31, 2020</w:t>
            </w:r>
          </w:p>
        </w:tc>
      </w:tr>
      <w:tr>
        <w:trPr>
          <w:trHeight w:val="180"/>
        </w:trPr>
        <w:tc>
          <w:tcPr>
            <w:tcW w:w="7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40" w:type="dxa"/>
            <w:vAlign w:val="bottom"/>
            <w:gridSpan w:val="3"/>
          </w:tcPr>
          <w:p>
            <w:pPr>
              <w:jc w:val="right"/>
              <w:ind w:right="1395"/>
              <w:spacing w:after="0"/>
              <w:rPr>
                <w:sz w:val="20"/>
                <w:szCs w:val="20"/>
                <w:color w:val="auto"/>
              </w:rPr>
            </w:pPr>
            <w:r>
              <w:rPr>
                <w:rFonts w:ascii="Arial" w:cs="Arial" w:eastAsia="Arial" w:hAnsi="Arial"/>
                <w:sz w:val="14"/>
                <w:szCs w:val="14"/>
                <w:b w:val="1"/>
                <w:bCs w:val="1"/>
                <w:color w:val="auto"/>
              </w:rPr>
              <w:t>(In millions)</w:t>
            </w:r>
          </w:p>
        </w:tc>
      </w:tr>
      <w:tr>
        <w:trPr>
          <w:trHeight w:val="22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Accumulated Depreciation</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r>
      <w:tr>
        <w:trPr>
          <w:trHeight w:val="224"/>
        </w:trPr>
        <w:tc>
          <w:tcPr>
            <w:tcW w:w="7180" w:type="dxa"/>
            <w:vAlign w:val="bottom"/>
          </w:tcPr>
          <w:p>
            <w:pPr>
              <w:ind w:left="20"/>
              <w:spacing w:after="0"/>
              <w:rPr>
                <w:sz w:val="20"/>
                <w:szCs w:val="20"/>
                <w:color w:val="auto"/>
              </w:rPr>
            </w:pPr>
            <w:r>
              <w:rPr>
                <w:rFonts w:ascii="Arial" w:cs="Arial" w:eastAsia="Arial" w:hAnsi="Arial"/>
                <w:sz w:val="18"/>
                <w:szCs w:val="18"/>
                <w:color w:val="auto"/>
              </w:rPr>
              <w:t>Intangible Assets Accumulated Amortization</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556</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487</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lists distributions paid on the Company's Class A, B, C and D units during the six months ended June 30,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Second Quarter 2021</w:t>
            </w:r>
          </w:p>
        </w:tc>
        <w:tc>
          <w:tcPr>
            <w:tcW w:w="13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First Quarter 2021</w:t>
            </w:r>
          </w:p>
        </w:tc>
      </w:tr>
      <w:tr>
        <w:trPr>
          <w:trHeight w:val="224"/>
        </w:trPr>
        <w:tc>
          <w:tcPr>
            <w:tcW w:w="8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per Class A, B, C and D unit</w:t>
            </w: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2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0.324</w:t>
            </w:r>
          </w:p>
        </w:tc>
      </w:tr>
    </w:tbl>
    <w:p>
      <w:pPr>
        <w:spacing w:after="0" w:line="239"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On July 23, 2021 the Company declared a distribution on its Class A, Class B, Class C and Class D units of $0.3345 per unit payable on September 15, 2021 to unit holders of record as of September 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64"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 xml:space="preserve">The Company applies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revenue streams detailed below, except in circumstances where the invoiced amount does not represent the value transferred to the customer.</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Thermal Revenues</w:t>
      </w:r>
    </w:p>
    <w:p>
      <w:pPr>
        <w:spacing w:after="0" w:line="164"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7"/>
          <w:szCs w:val="17"/>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128" w:lineRule="exact"/>
        <w:rPr>
          <w:sz w:val="20"/>
          <w:szCs w:val="20"/>
          <w:color w:val="auto"/>
        </w:rPr>
      </w:pPr>
    </w:p>
    <w:p>
      <w:pPr>
        <w:jc w:val="both"/>
        <w:ind w:firstLine="397"/>
        <w:spacing w:after="0" w:line="318" w:lineRule="auto"/>
        <w:rPr>
          <w:sz w:val="20"/>
          <w:szCs w:val="20"/>
          <w:color w:val="auto"/>
        </w:rPr>
      </w:pPr>
      <w:r>
        <w:rPr>
          <w:rFonts w:ascii="Arial" w:cs="Arial" w:eastAsia="Arial" w:hAnsi="Arial"/>
          <w:sz w:val="15"/>
          <w:szCs w:val="15"/>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Power Purchase Agreements, or PPAs</w:t>
      </w:r>
    </w:p>
    <w:p>
      <w:pPr>
        <w:spacing w:after="0" w:line="164"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7"/>
          <w:szCs w:val="17"/>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as the Company retained its historical lease assessments and classification upon adoption of ASC 842. ASC 842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 Certain of these leases have no minimum lease payments and all of the rental income under these leases is recorded as contingent rent on an actual basis when the electricity is delivered.</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Renewable Energy Credits, or RECs</w:t>
      </w:r>
    </w:p>
    <w:p>
      <w:pPr>
        <w:spacing w:after="0" w:line="164" w:lineRule="exact"/>
        <w:rPr>
          <w:sz w:val="20"/>
          <w:szCs w:val="20"/>
          <w:color w:val="auto"/>
        </w:rPr>
      </w:pPr>
    </w:p>
    <w:p>
      <w:pPr>
        <w:jc w:val="both"/>
        <w:ind w:right="20" w:firstLine="397"/>
        <w:spacing w:after="0" w:line="365" w:lineRule="auto"/>
        <w:rPr>
          <w:sz w:val="20"/>
          <w:szCs w:val="20"/>
          <w:color w:val="auto"/>
        </w:rPr>
      </w:pPr>
      <w:r>
        <w:rPr>
          <w:rFonts w:ascii="Arial" w:cs="Arial" w:eastAsia="Arial" w:hAnsi="Arial"/>
          <w:sz w:val="15"/>
          <w:szCs w:val="15"/>
          <w:color w:val="auto"/>
        </w:rPr>
        <w:t>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58"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5" w:name="page16"/>
    <w:bookmarkEnd w:id="15"/>
    <w:p>
      <w:pPr>
        <w:ind w:left="400"/>
        <w:spacing w:after="0"/>
        <w:rPr>
          <w:sz w:val="20"/>
          <w:szCs w:val="20"/>
          <w:color w:val="auto"/>
        </w:rPr>
      </w:pPr>
      <w:r>
        <w:rPr>
          <w:rFonts w:ascii="Arial" w:cs="Arial" w:eastAsia="Arial" w:hAnsi="Arial"/>
          <w:sz w:val="18"/>
          <w:szCs w:val="18"/>
          <w:i w:val="1"/>
          <w:iCs w:val="1"/>
          <w:color w:val="auto"/>
        </w:rPr>
        <w:t>Disaggregated Revenues</w:t>
      </w:r>
    </w:p>
    <w:p>
      <w:pPr>
        <w:spacing w:after="0" w:line="164"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along with the reportable segment for each category for the three and six months ended June 30, 2021 and 2020, respectively:</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Three months ended June 30, 2021</w:t>
            </w:r>
          </w:p>
        </w:tc>
        <w:tc>
          <w:tcPr>
            <w:tcW w:w="6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5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1"/>
                <w:szCs w:val="11"/>
                <w:color w:val="auto"/>
              </w:rPr>
            </w:pPr>
          </w:p>
        </w:tc>
        <w:tc>
          <w:tcPr>
            <w:tcW w:w="1300" w:type="dxa"/>
            <w:vAlign w:val="bottom"/>
            <w:gridSpan w:val="2"/>
          </w:tcPr>
          <w:p>
            <w:pPr>
              <w:ind w:left="140"/>
              <w:spacing w:after="0" w:line="131" w:lineRule="exact"/>
              <w:rPr>
                <w:sz w:val="20"/>
                <w:szCs w:val="20"/>
                <w:color w:val="auto"/>
              </w:rPr>
            </w:pPr>
            <w:r>
              <w:rPr>
                <w:rFonts w:ascii="Arial" w:cs="Arial" w:eastAsia="Arial" w:hAnsi="Arial"/>
                <w:sz w:val="14"/>
                <w:szCs w:val="14"/>
                <w:b w:val="1"/>
                <w:bCs w:val="1"/>
                <w:color w:val="auto"/>
              </w:rPr>
              <w:t>Conventional</w:t>
            </w:r>
          </w:p>
        </w:tc>
        <w:tc>
          <w:tcPr>
            <w:tcW w:w="540" w:type="dxa"/>
            <w:vAlign w:val="bottom"/>
          </w:tcPr>
          <w:p>
            <w:pPr>
              <w:spacing w:after="0"/>
              <w:rPr>
                <w:sz w:val="11"/>
                <w:szCs w:val="11"/>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Renewables</w:t>
            </w:r>
          </w:p>
        </w:tc>
        <w:tc>
          <w:tcPr>
            <w:tcW w:w="56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Thermal</w:t>
            </w:r>
          </w:p>
        </w:tc>
        <w:tc>
          <w:tcPr>
            <w:tcW w:w="620" w:type="dxa"/>
            <w:vAlign w:val="bottom"/>
          </w:tcPr>
          <w:p>
            <w:pPr>
              <w:spacing w:after="0"/>
              <w:rPr>
                <w:sz w:val="11"/>
                <w:szCs w:val="11"/>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5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Generation</w:t>
            </w:r>
          </w:p>
        </w:tc>
        <w:tc>
          <w:tcPr>
            <w:tcW w:w="5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458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Energy revenue</w:t>
            </w:r>
            <w:r>
              <w:rPr>
                <w:rFonts w:ascii="Arial" w:cs="Arial" w:eastAsia="Arial" w:hAnsi="Arial"/>
                <w:sz w:val="22"/>
                <w:szCs w:val="22"/>
                <w:color w:val="auto"/>
                <w:vertAlign w:val="superscript"/>
              </w:rPr>
              <w:t>(a)</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92"/>
        </w:trPr>
        <w:tc>
          <w:tcPr>
            <w:tcW w:w="4580" w:type="dxa"/>
            <w:vAlign w:val="bottom"/>
          </w:tcPr>
          <w:p>
            <w:pPr>
              <w:ind w:left="4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2"/>
                <w:szCs w:val="22"/>
                <w:color w:val="auto"/>
                <w:vertAlign w:val="superscript"/>
              </w:rPr>
              <w:t>(a)</w:t>
            </w:r>
          </w:p>
        </w:tc>
        <w:tc>
          <w:tcPr>
            <w:tcW w:w="5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5"/>
        </w:trPr>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amortization</w:t>
            </w: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5"/>
        </w:trPr>
        <w:tc>
          <w:tcPr>
            <w:tcW w:w="4580" w:type="dxa"/>
            <w:vAlign w:val="bottom"/>
          </w:tcPr>
          <w:p>
            <w:pPr>
              <w:ind w:left="420"/>
              <w:spacing w:after="0"/>
              <w:rPr>
                <w:sz w:val="20"/>
                <w:szCs w:val="20"/>
                <w:color w:val="auto"/>
              </w:rPr>
            </w:pPr>
            <w:r>
              <w:rPr>
                <w:rFonts w:ascii="Arial" w:cs="Arial" w:eastAsia="Arial" w:hAnsi="Arial"/>
                <w:sz w:val="18"/>
                <w:szCs w:val="18"/>
                <w:color w:val="auto"/>
              </w:rPr>
              <w:t>Other revenue</w:t>
            </w:r>
          </w:p>
        </w:tc>
        <w:tc>
          <w:tcPr>
            <w:tcW w:w="5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6"/>
        </w:trPr>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Mark-to-market for economic hedges</w:t>
            </w:r>
          </w:p>
        </w:tc>
        <w:tc>
          <w:tcPr>
            <w:tcW w:w="5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8"/>
        </w:trPr>
        <w:tc>
          <w:tcPr>
            <w:tcW w:w="4580" w:type="dxa"/>
            <w:vAlign w:val="bottom"/>
          </w:tcPr>
          <w:p>
            <w:pPr>
              <w:ind w:left="520"/>
              <w:spacing w:after="0"/>
              <w:rPr>
                <w:sz w:val="20"/>
                <w:szCs w:val="20"/>
                <w:color w:val="auto"/>
              </w:rPr>
            </w:pPr>
            <w:r>
              <w:rPr>
                <w:rFonts w:ascii="Arial" w:cs="Arial" w:eastAsia="Arial" w:hAnsi="Arial"/>
                <w:sz w:val="18"/>
                <w:szCs w:val="18"/>
                <w:color w:val="auto"/>
              </w:rPr>
              <w:t>Total operating revenue</w:t>
            </w:r>
          </w:p>
        </w:tc>
        <w:tc>
          <w:tcPr>
            <w:tcW w:w="5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6"/>
        </w:trPr>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Mark-to-market for economic hedges</w:t>
            </w:r>
          </w:p>
        </w:tc>
        <w:tc>
          <w:tcPr>
            <w:tcW w:w="5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5"/>
        </w:trPr>
        <w:tc>
          <w:tcPr>
            <w:tcW w:w="4580" w:type="dxa"/>
            <w:vAlign w:val="bottom"/>
          </w:tcPr>
          <w:p>
            <w:pPr>
              <w:ind w:left="420"/>
              <w:spacing w:after="0"/>
              <w:rPr>
                <w:sz w:val="20"/>
                <w:szCs w:val="20"/>
                <w:color w:val="auto"/>
              </w:rPr>
            </w:pPr>
            <w:r>
              <w:rPr>
                <w:rFonts w:ascii="Arial" w:cs="Arial" w:eastAsia="Arial" w:hAnsi="Arial"/>
                <w:sz w:val="18"/>
                <w:szCs w:val="18"/>
                <w:color w:val="auto"/>
              </w:rPr>
              <w:t>Less: Lease revenue</w:t>
            </w: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333333"/>
              </w:rPr>
              <w:t>(115)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333333"/>
              </w:rPr>
              <w:t>(228)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333333"/>
              </w:rPr>
              <w:t>—</w:t>
            </w:r>
          </w:p>
        </w:tc>
        <w:tc>
          <w:tcPr>
            <w:tcW w:w="6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5"/>
        </w:trPr>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Contract amortization</w:t>
            </w: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9"/>
        </w:trPr>
        <w:tc>
          <w:tcPr>
            <w:tcW w:w="4580" w:type="dxa"/>
            <w:vAlign w:val="bottom"/>
          </w:tcPr>
          <w:p>
            <w:pPr>
              <w:ind w:left="500"/>
              <w:spacing w:after="0"/>
              <w:rPr>
                <w:sz w:val="20"/>
                <w:szCs w:val="20"/>
                <w:color w:val="auto"/>
              </w:rPr>
            </w:pPr>
            <w:r>
              <w:rPr>
                <w:rFonts w:ascii="Arial" w:cs="Arial" w:eastAsia="Arial" w:hAnsi="Arial"/>
                <w:sz w:val="18"/>
                <w:szCs w:val="18"/>
                <w:color w:val="auto"/>
              </w:rPr>
              <w:t>Total revenue from contracts with customers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400" w:hanging="156"/>
        <w:spacing w:after="0"/>
        <w:tabs>
          <w:tab w:leader="none" w:pos="400" w:val="left"/>
        </w:tabs>
        <w:numPr>
          <w:ilvl w:val="0"/>
          <w:numId w:val="4"/>
        </w:numPr>
        <w:rPr>
          <w:rFonts w:ascii="Arial" w:cs="Arial" w:eastAsia="Arial" w:hAnsi="Arial"/>
          <w:sz w:val="19"/>
          <w:szCs w:val="19"/>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228"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Conventional</w:t>
            </w:r>
          </w:p>
        </w:tc>
        <w:tc>
          <w:tcPr>
            <w:tcW w:w="240" w:type="dxa"/>
            <w:vAlign w:val="bottom"/>
          </w:tcPr>
          <w:p>
            <w:pPr>
              <w:spacing w:after="0"/>
              <w:rPr>
                <w:sz w:val="14"/>
                <w:szCs w:val="14"/>
                <w:color w:val="auto"/>
              </w:rPr>
            </w:pPr>
          </w:p>
        </w:tc>
        <w:tc>
          <w:tcPr>
            <w:tcW w:w="12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Renewables</w:t>
            </w:r>
          </w:p>
        </w:tc>
        <w:tc>
          <w:tcPr>
            <w:tcW w:w="120" w:type="dxa"/>
            <w:vAlign w:val="bottom"/>
            <w:vMerge w:val="restart"/>
          </w:tcPr>
          <w:p>
            <w:pPr>
              <w:spacing w:after="0"/>
              <w:rPr>
                <w:sz w:val="14"/>
                <w:szCs w:val="14"/>
                <w:color w:val="auto"/>
              </w:rPr>
            </w:pPr>
          </w:p>
        </w:tc>
        <w:tc>
          <w:tcPr>
            <w:tcW w:w="1020" w:type="dxa"/>
            <w:vAlign w:val="bottom"/>
            <w:vMerge w:val="restart"/>
          </w:tcPr>
          <w:p>
            <w:pPr>
              <w:jc w:val="right"/>
              <w:ind w:right="25"/>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Generation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65"/>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5"/>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Capacity revenue</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9"/>
        </w:trPr>
        <w:tc>
          <w:tcPr>
            <w:tcW w:w="2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65"/>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tbl>
      <w:tblPr>
        <w:tblLayout w:type="fixed"/>
        <w:tblInd w:w="40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Six months ended June 30, 2021</w:t>
            </w:r>
          </w:p>
        </w:tc>
        <w:tc>
          <w:tcPr>
            <w:tcW w:w="6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60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(In millions)</w:t>
            </w:r>
          </w:p>
        </w:tc>
        <w:tc>
          <w:tcPr>
            <w:tcW w:w="520" w:type="dxa"/>
            <w:vAlign w:val="bottom"/>
          </w:tcPr>
          <w:p>
            <w:pPr>
              <w:spacing w:after="0"/>
              <w:rPr>
                <w:sz w:val="11"/>
                <w:szCs w:val="11"/>
                <w:color w:val="auto"/>
              </w:rPr>
            </w:pPr>
          </w:p>
        </w:tc>
        <w:tc>
          <w:tcPr>
            <w:tcW w:w="1300" w:type="dxa"/>
            <w:vAlign w:val="bottom"/>
            <w:gridSpan w:val="2"/>
          </w:tcPr>
          <w:p>
            <w:pPr>
              <w:ind w:left="140"/>
              <w:spacing w:after="0" w:line="131" w:lineRule="exact"/>
              <w:rPr>
                <w:sz w:val="20"/>
                <w:szCs w:val="20"/>
                <w:color w:val="auto"/>
              </w:rPr>
            </w:pPr>
            <w:r>
              <w:rPr>
                <w:rFonts w:ascii="Arial" w:cs="Arial" w:eastAsia="Arial" w:hAnsi="Arial"/>
                <w:sz w:val="14"/>
                <w:szCs w:val="14"/>
                <w:b w:val="1"/>
                <w:bCs w:val="1"/>
                <w:color w:val="auto"/>
              </w:rPr>
              <w:t>Conventional</w:t>
            </w:r>
          </w:p>
        </w:tc>
        <w:tc>
          <w:tcPr>
            <w:tcW w:w="52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Renewables</w:t>
            </w:r>
          </w:p>
        </w:tc>
        <w:tc>
          <w:tcPr>
            <w:tcW w:w="5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Thermal</w:t>
            </w:r>
          </w:p>
        </w:tc>
        <w:tc>
          <w:tcPr>
            <w:tcW w:w="620" w:type="dxa"/>
            <w:vAlign w:val="bottom"/>
          </w:tcPr>
          <w:p>
            <w:pPr>
              <w:spacing w:after="0"/>
              <w:rPr>
                <w:sz w:val="11"/>
                <w:szCs w:val="11"/>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60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Generation</w:t>
            </w:r>
          </w:p>
        </w:tc>
        <w:tc>
          <w:tcPr>
            <w:tcW w:w="5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600" w:type="dxa"/>
            <w:vAlign w:val="bottom"/>
            <w:tcBorders>
              <w:top w:val="single" w:sz="8" w:color="CCEEFF"/>
            </w:tcBorders>
            <w:shd w:val="clear" w:color="auto" w:fill="CCEEFF"/>
          </w:tcPr>
          <w:p>
            <w:pPr>
              <w:ind w:left="420"/>
              <w:spacing w:after="0" w:line="220" w:lineRule="exact"/>
              <w:rPr>
                <w:sz w:val="20"/>
                <w:szCs w:val="20"/>
                <w:color w:val="auto"/>
              </w:rPr>
            </w:pPr>
            <w:r>
              <w:rPr>
                <w:rFonts w:ascii="Arial" w:cs="Arial" w:eastAsia="Arial" w:hAnsi="Arial"/>
                <w:sz w:val="18"/>
                <w:szCs w:val="18"/>
                <w:color w:val="auto"/>
              </w:rPr>
              <w:t>Energy revenue</w:t>
            </w:r>
            <w:r>
              <w:rPr>
                <w:rFonts w:ascii="Arial" w:cs="Arial" w:eastAsia="Arial" w:hAnsi="Arial"/>
                <w:sz w:val="22"/>
                <w:szCs w:val="22"/>
                <w:color w:val="auto"/>
                <w:vertAlign w:val="superscript"/>
              </w:rPr>
              <w:t>(a)</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5"/>
        </w:trPr>
        <w:tc>
          <w:tcPr>
            <w:tcW w:w="4600" w:type="dxa"/>
            <w:vAlign w:val="bottom"/>
          </w:tcPr>
          <w:p>
            <w:pPr>
              <w:ind w:left="420"/>
              <w:spacing w:after="0" w:line="225" w:lineRule="exact"/>
              <w:rPr>
                <w:sz w:val="20"/>
                <w:szCs w:val="20"/>
                <w:color w:val="auto"/>
              </w:rPr>
            </w:pPr>
            <w:r>
              <w:rPr>
                <w:rFonts w:ascii="Arial" w:cs="Arial" w:eastAsia="Arial" w:hAnsi="Arial"/>
                <w:sz w:val="18"/>
                <w:szCs w:val="18"/>
                <w:color w:val="auto"/>
              </w:rPr>
              <w:t>Capacity revenue</w:t>
            </w:r>
            <w:r>
              <w:rPr>
                <w:rFonts w:ascii="Arial" w:cs="Arial" w:eastAsia="Arial" w:hAnsi="Arial"/>
                <w:sz w:val="22"/>
                <w:szCs w:val="22"/>
                <w:color w:val="auto"/>
                <w:vertAlign w:val="superscript"/>
              </w:rPr>
              <w:t>(a)</w:t>
            </w: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amortization</w:t>
            </w: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5"/>
        </w:trPr>
        <w:tc>
          <w:tcPr>
            <w:tcW w:w="4600" w:type="dxa"/>
            <w:vAlign w:val="bottom"/>
          </w:tcPr>
          <w:p>
            <w:pPr>
              <w:ind w:left="420"/>
              <w:spacing w:after="0"/>
              <w:rPr>
                <w:sz w:val="20"/>
                <w:szCs w:val="20"/>
                <w:color w:val="auto"/>
              </w:rPr>
            </w:pPr>
            <w:r>
              <w:rPr>
                <w:rFonts w:ascii="Arial" w:cs="Arial" w:eastAsia="Arial" w:hAnsi="Arial"/>
                <w:sz w:val="18"/>
                <w:szCs w:val="18"/>
                <w:color w:val="auto"/>
              </w:rPr>
              <w:t>Other revenue</w:t>
            </w:r>
          </w:p>
        </w:tc>
        <w:tc>
          <w:tcPr>
            <w:tcW w:w="5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6"/>
        </w:trPr>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Mark-to-market for economic hedges</w:t>
            </w:r>
          </w:p>
        </w:tc>
        <w:tc>
          <w:tcPr>
            <w:tcW w:w="5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8"/>
        </w:trPr>
        <w:tc>
          <w:tcPr>
            <w:tcW w:w="4600" w:type="dxa"/>
            <w:vAlign w:val="bottom"/>
          </w:tcPr>
          <w:p>
            <w:pPr>
              <w:ind w:left="520"/>
              <w:spacing w:after="0"/>
              <w:rPr>
                <w:sz w:val="20"/>
                <w:szCs w:val="20"/>
                <w:color w:val="auto"/>
              </w:rPr>
            </w:pPr>
            <w:r>
              <w:rPr>
                <w:rFonts w:ascii="Arial" w:cs="Arial" w:eastAsia="Arial" w:hAnsi="Arial"/>
                <w:sz w:val="18"/>
                <w:szCs w:val="18"/>
                <w:color w:val="auto"/>
              </w:rPr>
              <w:t>Total operating revenue</w:t>
            </w:r>
          </w:p>
        </w:tc>
        <w:tc>
          <w:tcPr>
            <w:tcW w:w="5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6"/>
        </w:trPr>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Mark-to-market for economic hedges</w:t>
            </w:r>
          </w:p>
        </w:tc>
        <w:tc>
          <w:tcPr>
            <w:tcW w:w="5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5"/>
        </w:trPr>
        <w:tc>
          <w:tcPr>
            <w:tcW w:w="4600" w:type="dxa"/>
            <w:vAlign w:val="bottom"/>
          </w:tcPr>
          <w:p>
            <w:pPr>
              <w:ind w:left="420"/>
              <w:spacing w:after="0"/>
              <w:rPr>
                <w:sz w:val="20"/>
                <w:szCs w:val="20"/>
                <w:color w:val="auto"/>
              </w:rPr>
            </w:pPr>
            <w:r>
              <w:rPr>
                <w:rFonts w:ascii="Arial" w:cs="Arial" w:eastAsia="Arial" w:hAnsi="Arial"/>
                <w:sz w:val="18"/>
                <w:szCs w:val="18"/>
                <w:color w:val="auto"/>
              </w:rPr>
              <w:t>Less: Lease revenue</w:t>
            </w: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Contract amortization</w:t>
            </w: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9"/>
        </w:trPr>
        <w:tc>
          <w:tcPr>
            <w:tcW w:w="4600" w:type="dxa"/>
            <w:vAlign w:val="bottom"/>
          </w:tcPr>
          <w:p>
            <w:pPr>
              <w:ind w:left="520"/>
              <w:spacing w:after="0"/>
              <w:rPr>
                <w:sz w:val="20"/>
                <w:szCs w:val="20"/>
                <w:color w:val="auto"/>
              </w:rPr>
            </w:pPr>
            <w:r>
              <w:rPr>
                <w:rFonts w:ascii="Arial" w:cs="Arial" w:eastAsia="Arial" w:hAnsi="Arial"/>
                <w:sz w:val="18"/>
                <w:szCs w:val="18"/>
                <w:color w:val="auto"/>
              </w:rPr>
              <w:t>Total revenue from contracts with customers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160" w:hanging="154"/>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149"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2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Conventional</w:t>
            </w:r>
          </w:p>
        </w:tc>
        <w:tc>
          <w:tcPr>
            <w:tcW w:w="260" w:type="dxa"/>
            <w:vAlign w:val="bottom"/>
          </w:tcPr>
          <w:p>
            <w:pPr>
              <w:spacing w:after="0"/>
              <w:rPr>
                <w:sz w:val="14"/>
                <w:szCs w:val="14"/>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Renewables</w:t>
            </w:r>
          </w:p>
        </w:tc>
        <w:tc>
          <w:tcPr>
            <w:tcW w:w="106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Generation</w:t>
            </w:r>
          </w:p>
        </w:tc>
        <w:tc>
          <w:tcPr>
            <w:tcW w:w="2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8"/>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5"/>
        </w:trPr>
        <w:tc>
          <w:tcPr>
            <w:tcW w:w="206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4"/>
        </w:trPr>
        <w:tc>
          <w:tcPr>
            <w:tcW w:w="20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878"/>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6" w:name="page17"/>
    <w:bookmarkEnd w:id="16"/>
    <w:tbl>
      <w:tblPr>
        <w:tblLayout w:type="fixed"/>
        <w:tblInd w:w="500" w:type="dxa"/>
        <w:tblCellMar>
          <w:top w:w="0" w:type="dxa"/>
          <w:left w:w="0" w:type="dxa"/>
          <w:bottom w:w="0" w:type="dxa"/>
          <w:right w:w="0" w:type="dxa"/>
        </w:tblCellMar>
      </w:tblPr>
      <w:tr>
        <w:trPr>
          <w:trHeight w:val="189"/>
        </w:trPr>
        <w:tc>
          <w:tcPr>
            <w:tcW w:w="43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4"/>
                <w:szCs w:val="14"/>
                <w:b w:val="1"/>
                <w:bCs w:val="1"/>
                <w:color w:val="auto"/>
              </w:rPr>
              <w:t>Three months ended June 30, 2020</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3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1"/>
                <w:szCs w:val="11"/>
                <w:color w:val="auto"/>
              </w:rPr>
            </w:pPr>
          </w:p>
        </w:tc>
        <w:tc>
          <w:tcPr>
            <w:tcW w:w="1320" w:type="dxa"/>
            <w:vAlign w:val="bottom"/>
            <w:gridSpan w:val="2"/>
          </w:tcPr>
          <w:p>
            <w:pPr>
              <w:ind w:left="140"/>
              <w:spacing w:after="0" w:line="131" w:lineRule="exact"/>
              <w:rPr>
                <w:sz w:val="20"/>
                <w:szCs w:val="20"/>
                <w:color w:val="auto"/>
              </w:rPr>
            </w:pPr>
            <w:r>
              <w:rPr>
                <w:rFonts w:ascii="Arial" w:cs="Arial" w:eastAsia="Arial" w:hAnsi="Arial"/>
                <w:sz w:val="14"/>
                <w:szCs w:val="14"/>
                <w:b w:val="1"/>
                <w:bCs w:val="1"/>
                <w:color w:val="auto"/>
              </w:rPr>
              <w:t>Conventional</w:t>
            </w:r>
          </w:p>
        </w:tc>
        <w:tc>
          <w:tcPr>
            <w:tcW w:w="54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Renewables</w:t>
            </w: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Generation</w:t>
            </w:r>
          </w:p>
        </w:tc>
        <w:tc>
          <w:tcPr>
            <w:tcW w:w="5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434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Energy revenue</w:t>
            </w:r>
            <w:r>
              <w:rPr>
                <w:rFonts w:ascii="Arial" w:cs="Arial" w:eastAsia="Arial" w:hAnsi="Arial"/>
                <w:sz w:val="22"/>
                <w:szCs w:val="22"/>
                <w:color w:val="auto"/>
                <w:vertAlign w:val="superscript"/>
              </w:rPr>
              <w:t>(a)</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CEEFF"/>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jc w:val="right"/>
              <w:ind w:right="598"/>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3"/>
              </w:rPr>
              <w:t>22</w:t>
            </w:r>
          </w:p>
        </w:tc>
        <w:tc>
          <w:tcPr>
            <w:tcW w:w="12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91"/>
        </w:trPr>
        <w:tc>
          <w:tcPr>
            <w:tcW w:w="4340" w:type="dxa"/>
            <w:vAlign w:val="bottom"/>
          </w:tcPr>
          <w:p>
            <w:pPr>
              <w:ind w:left="40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2"/>
                <w:szCs w:val="22"/>
                <w:color w:val="auto"/>
                <w:vertAlign w:val="superscript"/>
              </w:rPr>
              <w:t>(a)</w:t>
            </w: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w w:val="73"/>
              </w:rPr>
              <w:t>12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Contract amortization</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7"/>
              </w:rPr>
              <w:t>—</w:t>
            </w:r>
          </w:p>
        </w:tc>
        <w:tc>
          <w:tcPr>
            <w:tcW w:w="6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5"/>
        </w:trPr>
        <w:tc>
          <w:tcPr>
            <w:tcW w:w="4340" w:type="dxa"/>
            <w:vAlign w:val="bottom"/>
          </w:tcPr>
          <w:p>
            <w:pPr>
              <w:ind w:left="400"/>
              <w:spacing w:after="0"/>
              <w:rPr>
                <w:sz w:val="20"/>
                <w:szCs w:val="20"/>
                <w:color w:val="auto"/>
              </w:rPr>
            </w:pPr>
            <w:r>
              <w:rPr>
                <w:rFonts w:ascii="Arial" w:cs="Arial" w:eastAsia="Arial" w:hAnsi="Arial"/>
                <w:sz w:val="18"/>
                <w:szCs w:val="18"/>
                <w:color w:val="auto"/>
              </w:rPr>
              <w:t>Other revenue</w:t>
            </w:r>
          </w:p>
        </w:tc>
        <w:tc>
          <w:tcPr>
            <w:tcW w:w="5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Mark-to-market for economic hedges</w:t>
            </w:r>
          </w:p>
        </w:tc>
        <w:tc>
          <w:tcPr>
            <w:tcW w:w="5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7"/>
              </w:rPr>
              <w:t>—</w:t>
            </w:r>
          </w:p>
        </w:tc>
        <w:tc>
          <w:tcPr>
            <w:tcW w:w="6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8"/>
        </w:trPr>
        <w:tc>
          <w:tcPr>
            <w:tcW w:w="4340" w:type="dxa"/>
            <w:vAlign w:val="bottom"/>
          </w:tcPr>
          <w:p>
            <w:pPr>
              <w:ind w:left="520"/>
              <w:spacing w:after="0"/>
              <w:rPr>
                <w:sz w:val="20"/>
                <w:szCs w:val="20"/>
                <w:color w:val="auto"/>
              </w:rPr>
            </w:pPr>
            <w:r>
              <w:rPr>
                <w:rFonts w:ascii="Arial" w:cs="Arial" w:eastAsia="Arial" w:hAnsi="Arial"/>
                <w:sz w:val="18"/>
                <w:szCs w:val="18"/>
                <w:color w:val="auto"/>
              </w:rPr>
              <w:t>Total operating revenue</w:t>
            </w:r>
          </w:p>
        </w:tc>
        <w:tc>
          <w:tcPr>
            <w:tcW w:w="5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73"/>
              </w:rPr>
              <w:t>42</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Mark-to-market for economic hedges</w:t>
            </w:r>
          </w:p>
        </w:tc>
        <w:tc>
          <w:tcPr>
            <w:tcW w:w="5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7"/>
              </w:rPr>
              <w:t>—</w:t>
            </w:r>
          </w:p>
        </w:tc>
        <w:tc>
          <w:tcPr>
            <w:tcW w:w="6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4340" w:type="dxa"/>
            <w:vAlign w:val="bottom"/>
          </w:tcPr>
          <w:p>
            <w:pPr>
              <w:ind w:left="400"/>
              <w:spacing w:after="0"/>
              <w:rPr>
                <w:sz w:val="20"/>
                <w:szCs w:val="20"/>
                <w:color w:val="auto"/>
              </w:rPr>
            </w:pPr>
            <w:r>
              <w:rPr>
                <w:rFonts w:ascii="Arial" w:cs="Arial" w:eastAsia="Arial" w:hAnsi="Arial"/>
                <w:sz w:val="18"/>
                <w:szCs w:val="18"/>
                <w:color w:val="auto"/>
              </w:rPr>
              <w:t>Less: Lease revenue</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w w:val="77"/>
              </w:rPr>
              <w:t>—</w:t>
            </w:r>
          </w:p>
        </w:tc>
        <w:tc>
          <w:tcPr>
            <w:tcW w:w="6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Contract amortization</w:t>
            </w: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9"/>
        </w:trPr>
        <w:tc>
          <w:tcPr>
            <w:tcW w:w="4340" w:type="dxa"/>
            <w:vAlign w:val="bottom"/>
          </w:tcPr>
          <w:p>
            <w:pPr>
              <w:ind w:left="500"/>
              <w:spacing w:after="0"/>
              <w:rPr>
                <w:sz w:val="20"/>
                <w:szCs w:val="20"/>
                <w:color w:val="auto"/>
              </w:rPr>
            </w:pPr>
            <w:r>
              <w:rPr>
                <w:rFonts w:ascii="Arial" w:cs="Arial" w:eastAsia="Arial" w:hAnsi="Arial"/>
                <w:sz w:val="18"/>
                <w:szCs w:val="18"/>
                <w:color w:val="auto"/>
              </w:rPr>
              <w:t>Total revenue from contracts with customers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180" w:type="dxa"/>
            <w:vAlign w:val="bottom"/>
          </w:tcPr>
          <w:p>
            <w:pPr>
              <w:jc w:val="right"/>
              <w:ind w:right="598"/>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w w:val="73"/>
              </w:rPr>
              <w:t>42</w:t>
            </w:r>
          </w:p>
        </w:tc>
        <w:tc>
          <w:tcPr>
            <w:tcW w:w="120" w:type="dxa"/>
            <w:vAlign w:val="bottom"/>
          </w:tcPr>
          <w:p>
            <w:pPr>
              <w:spacing w:after="0"/>
              <w:rPr>
                <w:sz w:val="19"/>
                <w:szCs w:val="19"/>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560" w:hanging="157"/>
        <w:spacing w:after="0"/>
        <w:tabs>
          <w:tab w:leader="none" w:pos="560" w:val="left"/>
        </w:tabs>
        <w:numPr>
          <w:ilvl w:val="0"/>
          <w:numId w:val="6"/>
        </w:numPr>
        <w:rPr>
          <w:rFonts w:ascii="Arial" w:cs="Arial" w:eastAsia="Arial" w:hAnsi="Arial"/>
          <w:sz w:val="19"/>
          <w:szCs w:val="19"/>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149"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60" w:type="dxa"/>
            <w:vAlign w:val="bottom"/>
          </w:tcPr>
          <w:p>
            <w:pPr>
              <w:jc w:val="center"/>
              <w:ind w:left="269"/>
              <w:spacing w:after="0"/>
              <w:rPr>
                <w:sz w:val="20"/>
                <w:szCs w:val="20"/>
                <w:color w:val="auto"/>
              </w:rPr>
            </w:pPr>
            <w:r>
              <w:rPr>
                <w:rFonts w:ascii="Arial" w:cs="Arial" w:eastAsia="Arial" w:hAnsi="Arial"/>
                <w:sz w:val="14"/>
                <w:szCs w:val="14"/>
                <w:b w:val="1"/>
                <w:bCs w:val="1"/>
                <w:color w:val="auto"/>
                <w:w w:val="90"/>
              </w:rPr>
              <w:t>Conventional</w:t>
            </w:r>
          </w:p>
        </w:tc>
        <w:tc>
          <w:tcPr>
            <w:tcW w:w="14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Renewables</w:t>
            </w:r>
          </w:p>
        </w:tc>
        <w:tc>
          <w:tcPr>
            <w:tcW w:w="14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Thermal</w:t>
            </w:r>
          </w:p>
        </w:tc>
        <w:tc>
          <w:tcPr>
            <w:tcW w:w="820" w:type="dxa"/>
            <w:vAlign w:val="bottom"/>
            <w:vMerge w:val="restart"/>
          </w:tcPr>
          <w:p>
            <w:pPr>
              <w:ind w:left="5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84"/>
        </w:trPr>
        <w:tc>
          <w:tcPr>
            <w:tcW w:w="1460" w:type="dxa"/>
            <w:vAlign w:val="bottom"/>
            <w:vMerge w:val="continue"/>
          </w:tcPr>
          <w:p>
            <w:pPr>
              <w:spacing w:after="0"/>
              <w:rPr>
                <w:sz w:val="15"/>
                <w:szCs w:val="15"/>
                <w:color w:val="auto"/>
              </w:rPr>
            </w:pPr>
          </w:p>
        </w:tc>
        <w:tc>
          <w:tcPr>
            <w:tcW w:w="1860" w:type="dxa"/>
            <w:vAlign w:val="bottom"/>
          </w:tcPr>
          <w:p>
            <w:pPr>
              <w:jc w:val="center"/>
              <w:ind w:left="269"/>
              <w:spacing w:after="0"/>
              <w:rPr>
                <w:sz w:val="20"/>
                <w:szCs w:val="20"/>
                <w:color w:val="auto"/>
              </w:rPr>
            </w:pPr>
            <w:r>
              <w:rPr>
                <w:rFonts w:ascii="Arial" w:cs="Arial" w:eastAsia="Arial" w:hAnsi="Arial"/>
                <w:sz w:val="14"/>
                <w:szCs w:val="14"/>
                <w:b w:val="1"/>
                <w:bCs w:val="1"/>
                <w:color w:val="auto"/>
                <w:w w:val="91"/>
              </w:rPr>
              <w:t>Generation</w:t>
            </w:r>
          </w:p>
        </w:tc>
        <w:tc>
          <w:tcPr>
            <w:tcW w:w="146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40" w:type="dxa"/>
            <w:vAlign w:val="bottom"/>
          </w:tcPr>
          <w:p>
            <w:pPr>
              <w:spacing w:after="0"/>
              <w:rPr>
                <w:sz w:val="19"/>
                <w:szCs w:val="19"/>
                <w:color w:val="auto"/>
              </w:rPr>
            </w:pPr>
          </w:p>
        </w:tc>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52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40" w:type="dxa"/>
            <w:vAlign w:val="bottom"/>
          </w:tcPr>
          <w:p>
            <w:pPr>
              <w:spacing w:after="0"/>
              <w:rPr>
                <w:sz w:val="19"/>
                <w:szCs w:val="19"/>
                <w:color w:val="auto"/>
              </w:rPr>
            </w:pPr>
          </w:p>
        </w:tc>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Capacity revenue</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840" w:type="dxa"/>
            <w:vAlign w:val="bottom"/>
          </w:tcPr>
          <w:p>
            <w:pPr>
              <w:spacing w:after="0"/>
              <w:rPr>
                <w:sz w:val="20"/>
                <w:szCs w:val="20"/>
                <w:color w:val="auto"/>
              </w:rPr>
            </w:pPr>
          </w:p>
        </w:tc>
        <w:tc>
          <w:tcPr>
            <w:tcW w:w="1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9"/>
        </w:trPr>
        <w:tc>
          <w:tcPr>
            <w:tcW w:w="1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rPr>
              <w:t>Six months ended June 30, 2020</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4"/>
          </w:tcPr>
          <w:p>
            <w:pPr>
              <w:ind w:left="80"/>
              <w:spacing w:after="0" w:line="131" w:lineRule="exact"/>
              <w:rPr>
                <w:sz w:val="20"/>
                <w:szCs w:val="20"/>
                <w:color w:val="auto"/>
              </w:rPr>
            </w:pPr>
            <w:r>
              <w:rPr>
                <w:rFonts w:ascii="Arial" w:cs="Arial" w:eastAsia="Arial" w:hAnsi="Arial"/>
                <w:sz w:val="14"/>
                <w:szCs w:val="14"/>
                <w:b w:val="1"/>
                <w:bCs w:val="1"/>
                <w:color w:val="auto"/>
              </w:rPr>
              <w:t>Conventional</w:t>
            </w:r>
          </w:p>
        </w:tc>
        <w:tc>
          <w:tcPr>
            <w:tcW w:w="1140" w:type="dxa"/>
            <w:vAlign w:val="bottom"/>
            <w:gridSpan w:val="4"/>
            <w:vMerge w:val="restart"/>
          </w:tcPr>
          <w:p>
            <w:pPr>
              <w:jc w:val="right"/>
              <w:ind w:right="132"/>
              <w:spacing w:after="0"/>
              <w:rPr>
                <w:sz w:val="20"/>
                <w:szCs w:val="20"/>
                <w:color w:val="auto"/>
              </w:rPr>
            </w:pPr>
            <w:r>
              <w:rPr>
                <w:rFonts w:ascii="Arial" w:cs="Arial" w:eastAsia="Arial" w:hAnsi="Arial"/>
                <w:sz w:val="14"/>
                <w:szCs w:val="14"/>
                <w:b w:val="1"/>
                <w:bCs w:val="1"/>
                <w:color w:val="auto"/>
              </w:rPr>
              <w:t>Renewables</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800" w:type="dxa"/>
            <w:vAlign w:val="bottom"/>
            <w:tcBorders>
              <w:bottom w:val="single" w:sz="8" w:color="CCEEFF"/>
            </w:tcBorders>
            <w:gridSpan w:val="2"/>
            <w:vMerge w:val="continue"/>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Generation</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8"/>
                <w:szCs w:val="18"/>
                <w:color w:val="auto"/>
              </w:rPr>
              <w:t>Energy revenue</w:t>
            </w:r>
            <w:r>
              <w:rPr>
                <w:rFonts w:ascii="Arial" w:cs="Arial" w:eastAsia="Arial" w:hAnsi="Arial"/>
                <w:sz w:val="22"/>
                <w:szCs w:val="22"/>
                <w:color w:val="auto"/>
                <w:vertAlign w:val="superscript"/>
              </w:rPr>
              <w:t>(a)</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320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5"/>
        </w:trPr>
        <w:tc>
          <w:tcPr>
            <w:tcW w:w="38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Capacity revenue</w:t>
            </w:r>
            <w:r>
              <w:rPr>
                <w:rFonts w:ascii="Arial" w:cs="Arial" w:eastAsia="Arial" w:hAnsi="Arial"/>
                <w:sz w:val="22"/>
                <w:szCs w:val="22"/>
                <w:color w:val="auto"/>
                <w:vertAlign w:val="superscript"/>
              </w:rPr>
              <w:t>(a)</w:t>
            </w: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5"/>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5"/>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Other revenue</w:t>
            </w: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6"/>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Mark-to-market for economic hedges</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8"/>
        </w:trPr>
        <w:tc>
          <w:tcPr>
            <w:tcW w:w="3800" w:type="dxa"/>
            <w:vAlign w:val="bottom"/>
            <w:gridSpan w:val="2"/>
          </w:tcPr>
          <w:p>
            <w:pPr>
              <w:ind w:left="120"/>
              <w:spacing w:after="0"/>
              <w:rPr>
                <w:sz w:val="20"/>
                <w:szCs w:val="20"/>
                <w:color w:val="auto"/>
              </w:rPr>
            </w:pPr>
            <w:r>
              <w:rPr>
                <w:rFonts w:ascii="Arial" w:cs="Arial" w:eastAsia="Arial" w:hAnsi="Arial"/>
                <w:sz w:val="18"/>
                <w:szCs w:val="18"/>
                <w:color w:val="auto"/>
              </w:rPr>
              <w:t>Total operating revenue</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6"/>
              </w:rPr>
              <w:t>287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26"/>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Mark-to-market for economic hedges</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5"/>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Less: Lease revenue</w:t>
            </w: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5"/>
              </w:rPr>
              <w:t>(222)</w:t>
            </w:r>
          </w:p>
        </w:tc>
        <w:tc>
          <w:tcPr>
            <w:tcW w:w="10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5"/>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9"/>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240" w:hanging="155"/>
        <w:spacing w:after="0"/>
        <w:tabs>
          <w:tab w:leader="none" w:pos="240" w:val="left"/>
        </w:tabs>
        <w:numPr>
          <w:ilvl w:val="0"/>
          <w:numId w:val="7"/>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149"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1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199"/>
              <w:spacing w:after="0"/>
              <w:rPr>
                <w:sz w:val="20"/>
                <w:szCs w:val="20"/>
                <w:color w:val="auto"/>
              </w:rPr>
            </w:pPr>
            <w:r>
              <w:rPr>
                <w:rFonts w:ascii="Arial" w:cs="Arial" w:eastAsia="Arial" w:hAnsi="Arial"/>
                <w:sz w:val="14"/>
                <w:szCs w:val="14"/>
                <w:b w:val="1"/>
                <w:bCs w:val="1"/>
                <w:color w:val="auto"/>
                <w:w w:val="96"/>
              </w:rPr>
              <w:t>Conventional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Renewables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Thermal</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16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Arial" w:cs="Arial" w:eastAsia="Arial" w:hAnsi="Arial"/>
                <w:sz w:val="14"/>
                <w:szCs w:val="14"/>
                <w:b w:val="1"/>
                <w:bCs w:val="1"/>
                <w:color w:val="auto"/>
              </w:rPr>
              <w:t>Generation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Energy revenue</w:t>
            </w: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0" w:type="dxa"/>
            <w:vAlign w:val="bottom"/>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776"/>
              <w:spacing w:after="0"/>
              <w:rPr>
                <w:sz w:val="20"/>
                <w:szCs w:val="20"/>
                <w:color w:val="auto"/>
              </w:rPr>
            </w:pPr>
            <w:r>
              <w:rPr>
                <w:rFonts w:ascii="Arial" w:cs="Arial" w:eastAsia="Arial" w:hAnsi="Arial"/>
                <w:sz w:val="18"/>
                <w:szCs w:val="18"/>
                <w:color w:val="auto"/>
                <w:w w:val="99"/>
              </w:rPr>
              <w:t>1</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5"/>
        </w:trPr>
        <w:tc>
          <w:tcPr>
            <w:tcW w:w="1640" w:type="dxa"/>
            <w:vAlign w:val="bottom"/>
            <w:gridSpan w:val="2"/>
          </w:tcPr>
          <w:p>
            <w:pPr>
              <w:spacing w:after="0"/>
              <w:rPr>
                <w:sz w:val="20"/>
                <w:szCs w:val="20"/>
                <w:color w:val="auto"/>
              </w:rPr>
            </w:pPr>
            <w:r>
              <w:rPr>
                <w:rFonts w:ascii="Arial" w:cs="Arial" w:eastAsia="Arial" w:hAnsi="Arial"/>
                <w:sz w:val="18"/>
                <w:szCs w:val="18"/>
                <w:color w:val="auto"/>
              </w:rPr>
              <w:t>Capacity revenue</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center"/>
              <w:ind w:left="77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0" w:type="dxa"/>
            <w:vAlign w:val="bottom"/>
          </w:tcPr>
          <w:p>
            <w:pPr>
              <w:spacing w:after="0"/>
              <w:rPr>
                <w:sz w:val="20"/>
                <w:szCs w:val="20"/>
                <w:color w:val="auto"/>
              </w:rPr>
            </w:pPr>
          </w:p>
        </w:tc>
        <w:tc>
          <w:tcPr>
            <w:tcW w:w="1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776"/>
              <w:spacing w:after="0"/>
              <w:rPr>
                <w:sz w:val="20"/>
                <w:szCs w:val="20"/>
                <w:color w:val="auto"/>
              </w:rPr>
            </w:pPr>
            <w:r>
              <w:rPr>
                <w:rFonts w:ascii="Arial" w:cs="Arial" w:eastAsia="Arial" w:hAnsi="Arial"/>
                <w:sz w:val="18"/>
                <w:szCs w:val="18"/>
                <w:color w:val="auto"/>
                <w:w w:val="99"/>
              </w:rPr>
              <w:t>1</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Contract Amortization</w:t>
      </w:r>
    </w:p>
    <w:p>
      <w:pPr>
        <w:spacing w:after="0" w:line="164"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17" w:name="page18"/>
    <w:bookmarkEnd w:id="17"/>
    <w:p>
      <w:pPr>
        <w:ind w:left="480"/>
        <w:spacing w:after="0"/>
        <w:rPr>
          <w:sz w:val="20"/>
          <w:szCs w:val="20"/>
          <w:color w:val="auto"/>
        </w:rPr>
      </w:pPr>
      <w:r>
        <w:rPr>
          <w:rFonts w:ascii="Arial" w:cs="Arial" w:eastAsia="Arial" w:hAnsi="Arial"/>
          <w:sz w:val="18"/>
          <w:szCs w:val="18"/>
          <w:i w:val="1"/>
          <w:iCs w:val="1"/>
          <w:color w:val="auto"/>
        </w:rPr>
        <w:t>Contract Balances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reflects the contract assets and liabilities included on the Company’s balance sheet as of June 30, 2021 and December 31, 2020:</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6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w w:val="88"/>
              </w:rPr>
              <w:t>December 31, 2020</w:t>
            </w:r>
          </w:p>
        </w:tc>
      </w:tr>
      <w:tr>
        <w:trPr>
          <w:trHeight w:val="221"/>
        </w:trPr>
        <w:tc>
          <w:tcPr>
            <w:tcW w:w="66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1660" w:type="dxa"/>
            <w:vAlign w:val="bottom"/>
          </w:tcPr>
          <w:p>
            <w:pPr>
              <w:spacing w:after="0"/>
              <w:rPr>
                <w:sz w:val="19"/>
                <w:szCs w:val="19"/>
                <w:color w:val="auto"/>
              </w:rPr>
            </w:pPr>
          </w:p>
        </w:tc>
      </w:tr>
      <w:tr>
        <w:trPr>
          <w:trHeight w:val="225"/>
        </w:trPr>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 - Contracts with customers</w:t>
            </w:r>
          </w:p>
        </w:tc>
        <w:tc>
          <w:tcPr>
            <w:tcW w:w="1740" w:type="dxa"/>
            <w:vAlign w:val="bottom"/>
            <w:shd w:val="clear" w:color="auto" w:fill="CCEEFF"/>
          </w:tcPr>
          <w:p>
            <w:pPr>
              <w:jc w:val="right"/>
              <w:ind w:right="123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5"/>
        </w:trPr>
        <w:tc>
          <w:tcPr>
            <w:tcW w:w="6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Accounts receivable, net - Leases</w:t>
            </w:r>
          </w:p>
        </w:tc>
        <w:tc>
          <w:tcPr>
            <w:tcW w:w="1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44"/>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accounts receivable, net</w:t>
            </w:r>
          </w:p>
        </w:tc>
        <w:tc>
          <w:tcPr>
            <w:tcW w:w="1740" w:type="dxa"/>
            <w:vAlign w:val="bottom"/>
            <w:tcBorders>
              <w:bottom w:val="single" w:sz="8" w:color="auto"/>
            </w:tcBorders>
            <w:shd w:val="clear" w:color="auto" w:fill="CCEEFF"/>
          </w:tcPr>
          <w:p>
            <w:pPr>
              <w:jc w:val="right"/>
              <w:ind w:right="1235"/>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64"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7"/>
          <w:szCs w:val="17"/>
          <w:color w:val="auto"/>
        </w:rPr>
        <w:t>In March 2020, the FASB issued ASU No. 2020-4, Facilitation of the Effects of Reference Rate Reform on Financial Reporting. The amendments provide for optional expedients and exceptions for applying GAAP to contracts, hedging relationships and other transactions affected by reference rate reform if certain criteria is met. These amendments apply only to contracts that reference LIBOR or another reference rate expected to be discontinued because of reference rate reform. The guidance is effective for all entities as of March 12, 2020 through December 31, 2022. The Company intends to apply the amendments to all its eligible contract modifications where applicable during the reference rate reform period.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Acquisitions and Dispositions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204" w:lineRule="exact"/>
        <w:rPr>
          <w:sz w:val="20"/>
          <w:szCs w:val="20"/>
          <w:color w:val="auto"/>
        </w:rPr>
      </w:pPr>
    </w:p>
    <w:p>
      <w:pPr>
        <w:jc w:val="both"/>
        <w:ind w:firstLine="397"/>
        <w:spacing w:after="0" w:line="305" w:lineRule="auto"/>
        <w:rPr>
          <w:sz w:val="20"/>
          <w:szCs w:val="20"/>
          <w:color w:val="auto"/>
        </w:rPr>
      </w:pPr>
      <w:r>
        <w:rPr>
          <w:rFonts w:ascii="Arial" w:cs="Arial" w:eastAsia="Arial" w:hAnsi="Arial"/>
          <w:sz w:val="15"/>
          <w:szCs w:val="15"/>
          <w:b w:val="1"/>
          <w:bCs w:val="1"/>
          <w:i w:val="1"/>
          <w:iCs w:val="1"/>
          <w:color w:val="auto"/>
        </w:rPr>
        <w:t xml:space="preserve">Rattlesnake Drop Down — </w:t>
      </w:r>
      <w:r>
        <w:rPr>
          <w:rFonts w:ascii="Arial" w:cs="Arial" w:eastAsia="Arial" w:hAnsi="Arial"/>
          <w:sz w:val="15"/>
          <w:szCs w:val="15"/>
          <w:color w:val="auto"/>
        </w:rPr>
        <w:t>On January 12, 2021, the Company acquired CEG's equity interest and a third party investor's minority interest in CWSP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Rattlesnake Holding LLC for $132 million. CWSP Rattlesnake Holding LLC indirectly consolidates the Rattlesnake wind project, a 160 MW wind facility with 144 MW of deliverable capacity in Adams County, Washington, as further described in Note 4, </w:t>
      </w:r>
      <w:r>
        <w:rPr>
          <w:rFonts w:ascii="Arial" w:cs="Arial" w:eastAsia="Arial" w:hAnsi="Arial"/>
          <w:sz w:val="15"/>
          <w:szCs w:val="15"/>
          <w:i w:val="1"/>
          <w:iCs w:val="1"/>
          <w:color w:val="auto"/>
        </w:rPr>
        <w:t>Investments Accounted for by the Equity Method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Variable Interest Entities. </w:t>
      </w:r>
      <w:r>
        <w:rPr>
          <w:rFonts w:ascii="Arial" w:cs="Arial" w:eastAsia="Arial" w:hAnsi="Arial"/>
          <w:sz w:val="15"/>
          <w:szCs w:val="15"/>
          <w:color w:val="auto"/>
        </w:rPr>
        <w:t>The project has a 20-year PPA with Avista Corporation, which began when the facility reached commercial operations in December</w:t>
      </w:r>
      <w:r>
        <w:rPr>
          <w:rFonts w:ascii="Arial" w:cs="Arial" w:eastAsia="Arial" w:hAnsi="Arial"/>
          <w:sz w:val="15"/>
          <w:szCs w:val="15"/>
          <w:i w:val="1"/>
          <w:iCs w:val="1"/>
          <w:color w:val="auto"/>
        </w:rPr>
        <w:t xml:space="preserve"> </w:t>
      </w:r>
      <w:r>
        <w:rPr>
          <w:rFonts w:ascii="Arial" w:cs="Arial" w:eastAsia="Arial" w:hAnsi="Arial"/>
          <w:sz w:val="15"/>
          <w:szCs w:val="15"/>
          <w:color w:val="auto"/>
        </w:rPr>
        <w:t>2020. The Rattlesnake operations are included in the Company's Renewables segment. The acquisition was determined to be an asset acquisition and not a business combination, therefore the Company consolidated the financial information for Rattlesnake on a prospective basis. The membership interests acquired by the Company relate to interests under common control by GIP and were recorded at historical cost. The difference between the cash paid of $132 million and the historical cost of the Company's acquired interests of $14 million was recorded as an adjustment to contributed capital.</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3"/>
        </w:trPr>
        <w:tc>
          <w:tcPr>
            <w:tcW w:w="3840" w:type="dxa"/>
            <w:vAlign w:val="bottom"/>
          </w:tcPr>
          <w:p>
            <w:pPr>
              <w:ind w:left="400"/>
              <w:spacing w:after="0"/>
              <w:rPr>
                <w:sz w:val="20"/>
                <w:szCs w:val="20"/>
                <w:color w:val="auto"/>
              </w:rPr>
            </w:pPr>
            <w:r>
              <w:rPr>
                <w:rFonts w:ascii="Arial" w:cs="Arial" w:eastAsia="Arial" w:hAnsi="Arial"/>
                <w:sz w:val="18"/>
                <w:szCs w:val="18"/>
                <w:color w:val="auto"/>
              </w:rPr>
              <w:t>The  following  is  a  summary  of  assets</w:t>
            </w:r>
          </w:p>
        </w:tc>
        <w:tc>
          <w:tcPr>
            <w:tcW w:w="6540" w:type="dxa"/>
            <w:vAlign w:val="bottom"/>
            <w:gridSpan w:val="2"/>
          </w:tcPr>
          <w:p>
            <w:pPr>
              <w:jc w:val="right"/>
              <w:ind w:right="9"/>
              <w:spacing w:after="0"/>
              <w:rPr>
                <w:sz w:val="20"/>
                <w:szCs w:val="20"/>
                <w:color w:val="auto"/>
              </w:rPr>
            </w:pPr>
            <w:r>
              <w:rPr>
                <w:rFonts w:ascii="Arial" w:cs="Arial" w:eastAsia="Arial" w:hAnsi="Arial"/>
                <w:sz w:val="18"/>
                <w:szCs w:val="18"/>
                <w:color w:val="auto"/>
              </w:rPr>
              <w:t>and  liabilities  transferred  in  connection  with  the  acquisition  as  of  January</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  2021:</w:t>
            </w:r>
          </w:p>
        </w:tc>
      </w:tr>
      <w:tr>
        <w:trPr>
          <w:trHeight w:val="237"/>
        </w:trPr>
        <w:tc>
          <w:tcPr>
            <w:tcW w:w="3840" w:type="dxa"/>
            <w:vAlign w:val="bottom"/>
            <w:tcBorders>
              <w:bottom w:val="single" w:sz="8" w:color="CCEEFF"/>
            </w:tcBorders>
          </w:tcPr>
          <w:p>
            <w:pPr>
              <w:ind w:left="420"/>
              <w:spacing w:after="0"/>
              <w:rPr>
                <w:sz w:val="20"/>
                <w:szCs w:val="20"/>
                <w:color w:val="auto"/>
              </w:rPr>
            </w:pPr>
            <w:r>
              <w:rPr>
                <w:rFonts w:ascii="Arial" w:cs="Arial" w:eastAsia="Arial" w:hAnsi="Arial"/>
                <w:sz w:val="16"/>
                <w:szCs w:val="16"/>
                <w:b w:val="1"/>
                <w:bCs w:val="1"/>
                <w:color w:val="auto"/>
              </w:rPr>
              <w:t>(In millions)</w:t>
            </w:r>
          </w:p>
        </w:tc>
        <w:tc>
          <w:tcPr>
            <w:tcW w:w="424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Rattlesnake</w:t>
            </w:r>
          </w:p>
        </w:tc>
        <w:tc>
          <w:tcPr>
            <w:tcW w:w="8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1"/>
        </w:trPr>
        <w:tc>
          <w:tcPr>
            <w:tcW w:w="3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Current Assets</w:t>
            </w:r>
          </w:p>
        </w:tc>
        <w:tc>
          <w:tcPr>
            <w:tcW w:w="6540" w:type="dxa"/>
            <w:vAlign w:val="bottom"/>
            <w:gridSpan w:val="2"/>
            <w:shd w:val="clear" w:color="auto" w:fill="CCEEFF"/>
          </w:tcPr>
          <w:p>
            <w:pPr>
              <w:jc w:val="right"/>
              <w:ind w:right="172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r>
      <w:tr>
        <w:trPr>
          <w:trHeight w:val="225"/>
        </w:trPr>
        <w:tc>
          <w:tcPr>
            <w:tcW w:w="3840" w:type="dxa"/>
            <w:vAlign w:val="bottom"/>
          </w:tcPr>
          <w:p>
            <w:pPr>
              <w:ind w:left="540"/>
              <w:spacing w:after="0"/>
              <w:rPr>
                <w:sz w:val="20"/>
                <w:szCs w:val="20"/>
                <w:color w:val="auto"/>
              </w:rPr>
            </w:pPr>
            <w:r>
              <w:rPr>
                <w:rFonts w:ascii="Arial" w:cs="Arial" w:eastAsia="Arial" w:hAnsi="Arial"/>
                <w:sz w:val="18"/>
                <w:szCs w:val="18"/>
                <w:color w:val="auto"/>
              </w:rPr>
              <w:t>Property, plant and equipment</w:t>
            </w:r>
          </w:p>
        </w:tc>
        <w:tc>
          <w:tcPr>
            <w:tcW w:w="42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9"/>
                <w:szCs w:val="19"/>
                <w:color w:val="auto"/>
              </w:rPr>
            </w:pPr>
          </w:p>
        </w:tc>
      </w:tr>
      <w:tr>
        <w:trPr>
          <w:trHeight w:val="226"/>
        </w:trPr>
        <w:tc>
          <w:tcPr>
            <w:tcW w:w="3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Right-of-use asset</w:t>
            </w:r>
          </w:p>
        </w:tc>
        <w:tc>
          <w:tcPr>
            <w:tcW w:w="4240" w:type="dxa"/>
            <w:vAlign w:val="bottom"/>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r>
      <w:tr>
        <w:trPr>
          <w:trHeight w:val="218"/>
        </w:trPr>
        <w:tc>
          <w:tcPr>
            <w:tcW w:w="384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Total assets acquired</w:t>
            </w:r>
          </w:p>
        </w:tc>
        <w:tc>
          <w:tcPr>
            <w:tcW w:w="424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18"/>
                <w:szCs w:val="18"/>
                <w:color w:val="auto"/>
              </w:rPr>
            </w:pPr>
          </w:p>
        </w:tc>
      </w:tr>
      <w:tr>
        <w:trPr>
          <w:trHeight w:val="245"/>
        </w:trPr>
        <w:tc>
          <w:tcPr>
            <w:tcW w:w="3840" w:type="dxa"/>
            <w:vAlign w:val="bottom"/>
            <w:shd w:val="clear" w:color="auto" w:fill="CCEEFF"/>
          </w:tcPr>
          <w:p>
            <w:pPr>
              <w:spacing w:after="0"/>
              <w:rPr>
                <w:sz w:val="21"/>
                <w:szCs w:val="21"/>
                <w:color w:val="auto"/>
              </w:rPr>
            </w:pPr>
          </w:p>
        </w:tc>
        <w:tc>
          <w:tcPr>
            <w:tcW w:w="424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25"/>
        </w:trPr>
        <w:tc>
          <w:tcPr>
            <w:tcW w:w="3840" w:type="dxa"/>
            <w:vAlign w:val="bottom"/>
          </w:tcPr>
          <w:p>
            <w:pPr>
              <w:ind w:left="540"/>
              <w:spacing w:after="0" w:line="225" w:lineRule="exact"/>
              <w:rPr>
                <w:sz w:val="20"/>
                <w:szCs w:val="20"/>
                <w:color w:val="auto"/>
              </w:rPr>
            </w:pPr>
            <w:r>
              <w:rPr>
                <w:rFonts w:ascii="Arial" w:cs="Arial" w:eastAsia="Arial" w:hAnsi="Arial"/>
                <w:sz w:val="18"/>
                <w:szCs w:val="18"/>
                <w:color w:val="auto"/>
              </w:rPr>
              <w:t>Debt</w:t>
            </w:r>
            <w:r>
              <w:rPr>
                <w:rFonts w:ascii="Arial" w:cs="Arial" w:eastAsia="Arial" w:hAnsi="Arial"/>
                <w:sz w:val="22"/>
                <w:szCs w:val="22"/>
                <w:color w:val="auto"/>
                <w:vertAlign w:val="superscript"/>
              </w:rPr>
              <w:t>(a)</w:t>
            </w:r>
          </w:p>
        </w:tc>
        <w:tc>
          <w:tcPr>
            <w:tcW w:w="42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w:t>
            </w:r>
          </w:p>
        </w:tc>
        <w:tc>
          <w:tcPr>
            <w:tcW w:w="40" w:type="dxa"/>
            <w:vAlign w:val="bottom"/>
          </w:tcPr>
          <w:p>
            <w:pPr>
              <w:spacing w:after="0"/>
              <w:rPr>
                <w:sz w:val="19"/>
                <w:szCs w:val="19"/>
                <w:color w:val="auto"/>
              </w:rPr>
            </w:pPr>
          </w:p>
        </w:tc>
      </w:tr>
      <w:tr>
        <w:trPr>
          <w:trHeight w:val="225"/>
        </w:trPr>
        <w:tc>
          <w:tcPr>
            <w:tcW w:w="3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Long-term lease liabilities</w:t>
            </w:r>
          </w:p>
        </w:tc>
        <w:tc>
          <w:tcPr>
            <w:tcW w:w="42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r>
      <w:tr>
        <w:trPr>
          <w:trHeight w:val="225"/>
        </w:trPr>
        <w:tc>
          <w:tcPr>
            <w:tcW w:w="38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Other current and non-current liabilities</w:t>
            </w:r>
          </w:p>
        </w:tc>
        <w:tc>
          <w:tcPr>
            <w:tcW w:w="424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r>
      <w:tr>
        <w:trPr>
          <w:trHeight w:val="218"/>
        </w:trPr>
        <w:tc>
          <w:tcPr>
            <w:tcW w:w="3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liabilities assumed</w:t>
            </w:r>
          </w:p>
        </w:tc>
        <w:tc>
          <w:tcPr>
            <w:tcW w:w="4240" w:type="dxa"/>
            <w:vAlign w:val="bottom"/>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0" w:type="dxa"/>
            <w:vAlign w:val="bottom"/>
          </w:tcPr>
          <w:p>
            <w:pPr>
              <w:spacing w:after="0"/>
              <w:rPr>
                <w:sz w:val="19"/>
                <w:szCs w:val="19"/>
                <w:color w:val="auto"/>
              </w:rPr>
            </w:pPr>
          </w:p>
        </w:tc>
      </w:tr>
      <w:tr>
        <w:trPr>
          <w:trHeight w:val="219"/>
        </w:trPr>
        <w:tc>
          <w:tcPr>
            <w:tcW w:w="3840" w:type="dxa"/>
            <w:vAlign w:val="bottom"/>
          </w:tcPr>
          <w:p>
            <w:pPr>
              <w:ind w:left="640"/>
              <w:spacing w:after="0"/>
              <w:rPr>
                <w:sz w:val="20"/>
                <w:szCs w:val="20"/>
                <w:color w:val="auto"/>
              </w:rPr>
            </w:pPr>
            <w:r>
              <w:rPr>
                <w:rFonts w:ascii="Arial" w:cs="Arial" w:eastAsia="Arial" w:hAnsi="Arial"/>
                <w:sz w:val="18"/>
                <w:szCs w:val="18"/>
                <w:color w:val="auto"/>
              </w:rPr>
              <w:t>Net assets acquired</w:t>
            </w:r>
          </w:p>
        </w:tc>
        <w:tc>
          <w:tcPr>
            <w:tcW w:w="6540" w:type="dxa"/>
            <w:vAlign w:val="bottom"/>
            <w:gridSpan w:val="2"/>
          </w:tcPr>
          <w:p>
            <w:pPr>
              <w:jc w:val="right"/>
              <w:ind w:right="1729"/>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403"/>
        <w:spacing w:after="0" w:line="536" w:lineRule="auto"/>
        <w:tabs>
          <w:tab w:leader="none" w:pos="522"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Repaid at acquisition date utilizing $107 million contributed by tax equity investor recorded in noncontrolling interest and $103 million contributed by CEG, both recorded as contributed capital. Of the $210 million contributed, $176 million was utilized to pay down the acquired debt, $29 million was utilized to fund project reserve accounts and $5 million was utilized to pay associated fees.</w:t>
      </w:r>
    </w:p>
    <w:p>
      <w:pPr>
        <w:jc w:val="both"/>
        <w:ind w:firstLine="318"/>
        <w:spacing w:after="0" w:line="305" w:lineRule="auto"/>
        <w:rPr>
          <w:sz w:val="20"/>
          <w:szCs w:val="20"/>
          <w:color w:val="auto"/>
        </w:rPr>
      </w:pPr>
      <w:r>
        <w:rPr>
          <w:rFonts w:ascii="Arial" w:cs="Arial" w:eastAsia="Arial" w:hAnsi="Arial"/>
          <w:sz w:val="15"/>
          <w:szCs w:val="15"/>
          <w:b w:val="1"/>
          <w:bCs w:val="1"/>
          <w:i w:val="1"/>
          <w:iCs w:val="1"/>
          <w:color w:val="auto"/>
        </w:rPr>
        <w:t xml:space="preserve">Agua Caliente Acquisition — </w:t>
      </w:r>
      <w:r>
        <w:rPr>
          <w:rFonts w:ascii="Arial" w:cs="Arial" w:eastAsia="Arial" w:hAnsi="Arial"/>
          <w:sz w:val="15"/>
          <w:szCs w:val="15"/>
          <w:color w:val="auto"/>
        </w:rPr>
        <w:t>On February 3, 2021, the Company acquired Agua Caliente Borrower 1 LLC from NRG Energy, Inc. for $202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Agua Caliente Borrower 1 LLC indirectly owns a 35% equity interest in Agua Caliente, a 290 MW solar project located in Dateland, Arizona in which the Company previously owned a 16% equity interest. The project has a 25-year PPA with PG&amp;E, with approximately 19 years remaining under the agreement. Following the close of the transaction, the Company owns a 51% equity interest in Agua Caliente and consolidates Agua Caliente. The Agua Caliente operations are included in the Company's Renewables segment. The acquisition was determined to be an asset acquisition and the cash consideration of $202 million, net of restricted cash acquired of $91 million, represented a net cash outflow of $111 million, which was allocated to the fair value of the assets and liabilities acquired on the acquisition date. A third party investor holds the remaining 49% equity interest in Agua Caliente, which is reflected in noncontrolling interest and was valued at historical carrying amount increased for the incremental fair value determined at the acquisition date.</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summary of assets and liabilities acquired in connection with the acquisition as of February 3, 2021:</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5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Agua Caliente</w:t>
            </w:r>
          </w:p>
        </w:tc>
      </w:tr>
      <w:tr>
        <w:trPr>
          <w:trHeight w:val="221"/>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for power purchase agreement</w:t>
            </w:r>
          </w:p>
        </w:tc>
        <w:tc>
          <w:tcPr>
            <w:tcW w:w="54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25"/>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currents assets</w:t>
            </w:r>
          </w:p>
        </w:tc>
        <w:tc>
          <w:tcPr>
            <w:tcW w:w="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19"/>
        </w:trPr>
        <w:tc>
          <w:tcPr>
            <w:tcW w:w="8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 acquired</w:t>
            </w:r>
          </w:p>
        </w:tc>
        <w:tc>
          <w:tcPr>
            <w:tcW w:w="54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r>
      <w:tr>
        <w:trPr>
          <w:trHeight w:val="245"/>
        </w:trPr>
        <w:tc>
          <w:tcPr>
            <w:tcW w:w="8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25"/>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other current liabilities</w:t>
            </w:r>
          </w:p>
        </w:tc>
        <w:tc>
          <w:tcPr>
            <w:tcW w:w="54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Debt</w:t>
            </w:r>
          </w:p>
        </w:tc>
        <w:tc>
          <w:tcPr>
            <w:tcW w:w="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r>
      <w:tr>
        <w:trPr>
          <w:trHeight w:val="219"/>
        </w:trPr>
        <w:tc>
          <w:tcPr>
            <w:tcW w:w="8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 assumed</w:t>
            </w:r>
          </w:p>
        </w:tc>
        <w:tc>
          <w:tcPr>
            <w:tcW w:w="54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18"/>
        </w:trPr>
        <w:tc>
          <w:tcPr>
            <w:tcW w:w="838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5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25"/>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method investment removed</w:t>
            </w:r>
          </w:p>
        </w:tc>
        <w:tc>
          <w:tcPr>
            <w:tcW w:w="54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9"/>
        </w:trPr>
        <w:tc>
          <w:tcPr>
            <w:tcW w:w="8380" w:type="dxa"/>
            <w:vAlign w:val="bottom"/>
          </w:tcPr>
          <w:p>
            <w:pPr>
              <w:ind w:left="240"/>
              <w:spacing w:after="0"/>
              <w:rPr>
                <w:sz w:val="20"/>
                <w:szCs w:val="20"/>
                <w:color w:val="auto"/>
              </w:rPr>
            </w:pPr>
            <w:r>
              <w:rPr>
                <w:rFonts w:ascii="Arial" w:cs="Arial" w:eastAsia="Arial" w:hAnsi="Arial"/>
                <w:sz w:val="18"/>
                <w:szCs w:val="18"/>
                <w:color w:val="auto"/>
              </w:rPr>
              <w:t>Net assets acquired</w:t>
            </w: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8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Fair value measurement</w:t>
      </w:r>
      <w:r>
        <w:rPr>
          <w:rFonts w:ascii="Arial" w:cs="Arial" w:eastAsia="Arial" w:hAnsi="Arial"/>
          <w:sz w:val="18"/>
          <w:szCs w:val="18"/>
          <w:color w:val="auto"/>
        </w:rPr>
        <w:t>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fair values of the property, plant and equipment, and intangible assets at the acquisition date were measured primarily based on significant inputs that are not observable in the market and thus represent a Level 3 measurement as defined in ASC 820, Fair Value Measurement. Significant inputs were as follows:</w:t>
      </w:r>
    </w:p>
    <w:p>
      <w:pPr>
        <w:spacing w:after="0" w:line="13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 xml:space="preserve">Property, plant and equipment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The estimated fair values were determined primarily based on an income method using discounted cash flows and</w:t>
      </w:r>
      <w:r>
        <w:rPr>
          <w:rFonts w:ascii="Arial" w:cs="Arial" w:eastAsia="Arial" w:hAnsi="Arial"/>
          <w:sz w:val="15"/>
          <w:szCs w:val="15"/>
          <w:i w:val="1"/>
          <w:iCs w:val="1"/>
          <w:color w:val="auto"/>
        </w:rPr>
        <w:t xml:space="preserve"> </w:t>
      </w:r>
      <w:r>
        <w:rPr>
          <w:rFonts w:ascii="Arial" w:cs="Arial" w:eastAsia="Arial" w:hAnsi="Arial"/>
          <w:sz w:val="15"/>
          <w:szCs w:val="15"/>
          <w:color w:val="auto"/>
        </w:rPr>
        <w:t>validated using a cost approach based on the replacement cost of the assets less economic obsolescence. The income approach was applied by determining the enterprise value for each acquired entity and subtracting the fair value of the intangible assets and working capital to determine the implied value of the tangible fixed assets. This methodology was primarily relied upon as the forecasted cash flows incorporate the specific attributes of each asset including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9" w:name="page20"/>
    <w:bookmarkEnd w:id="19"/>
    <w:p>
      <w:pPr>
        <w:jc w:val="both"/>
        <w:ind w:left="80"/>
        <w:spacing w:after="0" w:line="264" w:lineRule="auto"/>
        <w:rPr>
          <w:sz w:val="20"/>
          <w:szCs w:val="20"/>
          <w:color w:val="auto"/>
        </w:rPr>
      </w:pPr>
      <w:r>
        <w:rPr>
          <w:rFonts w:ascii="Arial" w:cs="Arial" w:eastAsia="Arial" w:hAnsi="Arial"/>
          <w:sz w:val="18"/>
          <w:szCs w:val="18"/>
          <w:color w:val="auto"/>
        </w:rPr>
        <w:t>age, useful life, equipment condition, and technology. The income approach also allows for an accurate reflection of current and expected market dynamics such as supply and demand and the regulatory environment as of the acquisition date.</w:t>
      </w:r>
    </w:p>
    <w:p>
      <w:pPr>
        <w:spacing w:after="0" w:line="128" w:lineRule="exact"/>
        <w:rPr>
          <w:sz w:val="20"/>
          <w:szCs w:val="20"/>
          <w:color w:val="auto"/>
        </w:rPr>
      </w:pPr>
    </w:p>
    <w:p>
      <w:pPr>
        <w:jc w:val="both"/>
        <w:ind w:left="80" w:firstLine="318"/>
        <w:spacing w:after="0" w:line="252"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PPA acquired was determined utilizing a variation of the income approach where the incremental future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resulting from the acquired PPA compared to the cash flows based on current market prices were discounted to present value at the weighted average cost of debt of the utility off-taker, as the PPA was determined to be a debt-like instrument for the off-taker. The values were corroborated with available market data. The PPA value will be amortized over a period of 19 years.</w:t>
      </w:r>
    </w:p>
    <w:p>
      <w:pPr>
        <w:spacing w:after="0" w:line="138" w:lineRule="exact"/>
        <w:rPr>
          <w:sz w:val="20"/>
          <w:szCs w:val="20"/>
          <w:color w:val="auto"/>
        </w:rPr>
      </w:pPr>
    </w:p>
    <w:p>
      <w:pPr>
        <w:jc w:val="both"/>
        <w:ind w:left="80" w:firstLine="318"/>
        <w:spacing w:after="0" w:line="264"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long-term debt was determined by discounting future cash flows at current interest rates for similar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equivalent credit quality.</w:t>
      </w:r>
    </w:p>
    <w:p>
      <w:pPr>
        <w:spacing w:after="0" w:line="128" w:lineRule="exact"/>
        <w:rPr>
          <w:sz w:val="20"/>
          <w:szCs w:val="20"/>
          <w:color w:val="auto"/>
        </w:rPr>
      </w:pPr>
    </w:p>
    <w:p>
      <w:pPr>
        <w:jc w:val="both"/>
        <w:ind w:left="80" w:firstLine="318"/>
        <w:spacing w:after="0" w:line="255" w:lineRule="auto"/>
        <w:rPr>
          <w:sz w:val="20"/>
          <w:szCs w:val="20"/>
          <w:color w:val="auto"/>
        </w:rPr>
      </w:pPr>
      <w:r>
        <w:rPr>
          <w:rFonts w:ascii="Arial" w:cs="Arial" w:eastAsia="Arial" w:hAnsi="Arial"/>
          <w:sz w:val="18"/>
          <w:szCs w:val="18"/>
          <w:i w:val="1"/>
          <w:iCs w:val="1"/>
          <w:color w:val="auto"/>
        </w:rPr>
        <w:t xml:space="preserve">Noncontrolling interest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recorded the noncontrolling interest utilizing the cost accumulation model, as the acquisition was an asset</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which maintained the carrying value for the pre-existing equity, with the value increased incrementally based on the value of the Company's newly acquired interest.</w:t>
      </w:r>
    </w:p>
    <w:p>
      <w:pPr>
        <w:spacing w:after="0" w:line="135" w:lineRule="exact"/>
        <w:rPr>
          <w:sz w:val="20"/>
          <w:szCs w:val="20"/>
          <w:color w:val="auto"/>
        </w:rPr>
      </w:pPr>
    </w:p>
    <w:p>
      <w:pPr>
        <w:jc w:val="both"/>
        <w:ind w:left="80" w:firstLine="397"/>
        <w:spacing w:after="0" w:line="268" w:lineRule="auto"/>
        <w:rPr>
          <w:sz w:val="20"/>
          <w:szCs w:val="20"/>
          <w:color w:val="auto"/>
        </w:rPr>
      </w:pPr>
      <w:r>
        <w:rPr>
          <w:rFonts w:ascii="Arial" w:cs="Arial" w:eastAsia="Arial" w:hAnsi="Arial"/>
          <w:sz w:val="17"/>
          <w:szCs w:val="17"/>
          <w:b w:val="1"/>
          <w:bCs w:val="1"/>
          <w:i w:val="1"/>
          <w:iCs w:val="1"/>
          <w:color w:val="auto"/>
        </w:rPr>
        <w:t xml:space="preserve">Mt. Storm Wind Acquisition — </w:t>
      </w:r>
      <w:r>
        <w:rPr>
          <w:rFonts w:ascii="Arial" w:cs="Arial" w:eastAsia="Arial" w:hAnsi="Arial"/>
          <w:sz w:val="17"/>
          <w:szCs w:val="17"/>
          <w:color w:val="auto"/>
        </w:rPr>
        <w:t>On April 23, 2021, the Company acquired 100% of the equity interests in NedPower Mount Storm LLC, or Mt. Storm,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Castleton Commodities International for approximately $96 million before working capital and purchase price adjustments in the net amount of $4 million, representing a total cash outflow of $100 million. Mt. Storm is a 264 MW wind project located in Grant County, West Virginia. Mt. Storm has a 10 year energy hedge with an investment-grade counterparty. The acquisition was determined to be an asset acquisition and the purchase price was allocated to the fair value of the assets acquired and liabilities assumed on the acquisition date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In millions)</w:t>
            </w:r>
          </w:p>
        </w:tc>
        <w:tc>
          <w:tcPr>
            <w:tcW w:w="28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1054"/>
              <w:spacing w:after="0"/>
              <w:rPr>
                <w:sz w:val="20"/>
                <w:szCs w:val="20"/>
                <w:color w:val="auto"/>
              </w:rPr>
            </w:pPr>
            <w:r>
              <w:rPr>
                <w:rFonts w:ascii="Arial" w:cs="Arial" w:eastAsia="Arial" w:hAnsi="Arial"/>
                <w:sz w:val="14"/>
                <w:szCs w:val="14"/>
                <w:b w:val="1"/>
                <w:bCs w:val="1"/>
                <w:color w:val="auto"/>
              </w:rPr>
              <w:t>Mt. Storm</w:t>
            </w:r>
          </w:p>
        </w:tc>
      </w:tr>
      <w:tr>
        <w:trPr>
          <w:trHeight w:val="221"/>
        </w:trPr>
        <w:tc>
          <w:tcPr>
            <w:tcW w:w="5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Assets</w:t>
            </w:r>
          </w:p>
        </w:tc>
        <w:tc>
          <w:tcPr>
            <w:tcW w:w="3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5540" w:type="dxa"/>
            <w:vAlign w:val="bottom"/>
          </w:tcPr>
          <w:p>
            <w:pPr>
              <w:ind w:left="60"/>
              <w:spacing w:after="0"/>
              <w:rPr>
                <w:sz w:val="20"/>
                <w:szCs w:val="20"/>
                <w:color w:val="auto"/>
              </w:rPr>
            </w:pPr>
            <w:r>
              <w:rPr>
                <w:rFonts w:ascii="Arial" w:cs="Arial" w:eastAsia="Arial" w:hAnsi="Arial"/>
                <w:sz w:val="18"/>
                <w:szCs w:val="18"/>
                <w:color w:val="auto"/>
              </w:rPr>
              <w:t>Property, plant and equipment</w:t>
            </w:r>
          </w:p>
        </w:tc>
        <w:tc>
          <w:tcPr>
            <w:tcW w:w="2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6"/>
        </w:trPr>
        <w:tc>
          <w:tcPr>
            <w:tcW w:w="5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Intangible asset</w:t>
            </w:r>
          </w:p>
        </w:tc>
        <w:tc>
          <w:tcPr>
            <w:tcW w:w="28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8"/>
        </w:trPr>
        <w:tc>
          <w:tcPr>
            <w:tcW w:w="55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 acquired</w:t>
            </w:r>
          </w:p>
        </w:tc>
        <w:tc>
          <w:tcPr>
            <w:tcW w:w="28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46"/>
        </w:trPr>
        <w:tc>
          <w:tcPr>
            <w:tcW w:w="554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r>
      <w:tr>
        <w:trPr>
          <w:trHeight w:val="225"/>
        </w:trPr>
        <w:tc>
          <w:tcPr>
            <w:tcW w:w="5540" w:type="dxa"/>
            <w:vAlign w:val="bottom"/>
          </w:tcPr>
          <w:p>
            <w:pPr>
              <w:ind w:left="60"/>
              <w:spacing w:after="0"/>
              <w:rPr>
                <w:sz w:val="20"/>
                <w:szCs w:val="20"/>
                <w:color w:val="auto"/>
              </w:rPr>
            </w:pPr>
            <w:r>
              <w:rPr>
                <w:rFonts w:ascii="Arial" w:cs="Arial" w:eastAsia="Arial" w:hAnsi="Arial"/>
                <w:sz w:val="18"/>
                <w:szCs w:val="18"/>
                <w:color w:val="auto"/>
              </w:rPr>
              <w:t>Accounts payable and other liabilities</w:t>
            </w:r>
          </w:p>
        </w:tc>
        <w:tc>
          <w:tcPr>
            <w:tcW w:w="2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6"/>
        </w:trPr>
        <w:tc>
          <w:tcPr>
            <w:tcW w:w="5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Derivative instruments</w:t>
            </w:r>
          </w:p>
        </w:tc>
        <w:tc>
          <w:tcPr>
            <w:tcW w:w="28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8"/>
        </w:trPr>
        <w:tc>
          <w:tcPr>
            <w:tcW w:w="55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liabilities assumed</w:t>
            </w:r>
          </w:p>
        </w:tc>
        <w:tc>
          <w:tcPr>
            <w:tcW w:w="28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39"/>
        </w:trPr>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assets acquired</w:t>
            </w:r>
          </w:p>
        </w:tc>
        <w:tc>
          <w:tcPr>
            <w:tcW w:w="3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Fair value measurement</w:t>
      </w:r>
      <w:r>
        <w:rPr>
          <w:rFonts w:ascii="Arial" w:cs="Arial" w:eastAsia="Arial" w:hAnsi="Arial"/>
          <w:sz w:val="18"/>
          <w:szCs w:val="18"/>
          <w:color w:val="auto"/>
        </w:rPr>
        <w:t>s</w:t>
      </w:r>
    </w:p>
    <w:p>
      <w:pPr>
        <w:spacing w:after="0" w:line="170" w:lineRule="exact"/>
        <w:rPr>
          <w:sz w:val="20"/>
          <w:szCs w:val="20"/>
          <w:color w:val="auto"/>
        </w:rPr>
      </w:pPr>
    </w:p>
    <w:p>
      <w:pPr>
        <w:jc w:val="both"/>
        <w:ind w:left="80" w:firstLine="318"/>
        <w:spacing w:after="0" w:line="365" w:lineRule="auto"/>
        <w:rPr>
          <w:sz w:val="20"/>
          <w:szCs w:val="20"/>
          <w:color w:val="auto"/>
        </w:rPr>
      </w:pPr>
      <w:r>
        <w:rPr>
          <w:rFonts w:ascii="Arial" w:cs="Arial" w:eastAsia="Arial" w:hAnsi="Arial"/>
          <w:sz w:val="15"/>
          <w:szCs w:val="15"/>
          <w:color w:val="auto"/>
        </w:rPr>
        <w:t>The fair values of the property, plant and equipment, derivative instrument and intangible asset at the acquisition date were measured primarily based on significant inputs that are not observable in the market and thus represent a Level 3 measurement as defined in ASC 820, Fair Value Measurement.</w:t>
      </w:r>
    </w:p>
    <w:p>
      <w:pPr>
        <w:spacing w:after="0" w:line="58" w:lineRule="exact"/>
        <w:rPr>
          <w:sz w:val="20"/>
          <w:szCs w:val="20"/>
          <w:color w:val="auto"/>
        </w:rPr>
      </w:pPr>
    </w:p>
    <w:p>
      <w:pPr>
        <w:jc w:val="both"/>
        <w:ind w:left="80" w:firstLine="318"/>
        <w:spacing w:after="0" w:line="264"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estimated fair values of property, plant and equipment were determined primarily based on an income method</w:t>
      </w:r>
      <w:r>
        <w:rPr>
          <w:rFonts w:ascii="Arial" w:cs="Arial" w:eastAsia="Arial" w:hAnsi="Arial"/>
          <w:sz w:val="18"/>
          <w:szCs w:val="18"/>
          <w:i w:val="1"/>
          <w:iCs w:val="1"/>
          <w:color w:val="auto"/>
        </w:rPr>
        <w:t xml:space="preserve"> </w:t>
      </w:r>
      <w:r>
        <w:rPr>
          <w:rFonts w:ascii="Arial" w:cs="Arial" w:eastAsia="Arial" w:hAnsi="Arial"/>
          <w:sz w:val="18"/>
          <w:szCs w:val="18"/>
          <w:color w:val="auto"/>
        </w:rPr>
        <w:t>using discounted cash flows.</w:t>
      </w:r>
    </w:p>
    <w:p>
      <w:pPr>
        <w:spacing w:after="0" w:line="128" w:lineRule="exact"/>
        <w:rPr>
          <w:sz w:val="20"/>
          <w:szCs w:val="20"/>
          <w:color w:val="auto"/>
        </w:rPr>
      </w:pPr>
    </w:p>
    <w:p>
      <w:pPr>
        <w:ind w:left="80" w:right="220" w:firstLine="318"/>
        <w:spacing w:after="0" w:line="264"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estimated fair value of the intangible asset was using a market approach based on quoted prices of renewable energy credits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applicable market.</w:t>
      </w:r>
    </w:p>
    <w:p>
      <w:pPr>
        <w:spacing w:after="0" w:line="128" w:lineRule="exact"/>
        <w:rPr>
          <w:sz w:val="20"/>
          <w:szCs w:val="20"/>
          <w:color w:val="auto"/>
        </w:rPr>
      </w:pPr>
    </w:p>
    <w:p>
      <w:pPr>
        <w:jc w:val="both"/>
        <w:ind w:left="80" w:firstLine="318"/>
        <w:spacing w:after="0" w:line="264" w:lineRule="auto"/>
        <w:rPr>
          <w:sz w:val="20"/>
          <w:szCs w:val="20"/>
          <w:color w:val="auto"/>
        </w:rPr>
      </w:pPr>
      <w:r>
        <w:rPr>
          <w:rFonts w:ascii="Arial" w:cs="Arial" w:eastAsia="Arial" w:hAnsi="Arial"/>
          <w:sz w:val="18"/>
          <w:szCs w:val="18"/>
          <w:i w:val="1"/>
          <w:iCs w:val="1"/>
          <w:color w:val="auto"/>
        </w:rPr>
        <w:t xml:space="preserve">Derivative instruments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estimated fair value of the derivative instruments was determined based on the discounted cash flows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commodity contract.</w:t>
      </w:r>
    </w:p>
    <w:p>
      <w:pPr>
        <w:spacing w:after="0" w:line="36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2020 Dispositions</w:t>
      </w:r>
    </w:p>
    <w:p>
      <w:pPr>
        <w:spacing w:after="0" w:line="164" w:lineRule="exact"/>
        <w:rPr>
          <w:sz w:val="20"/>
          <w:szCs w:val="20"/>
          <w:color w:val="auto"/>
        </w:rPr>
      </w:pPr>
    </w:p>
    <w:p>
      <w:pPr>
        <w:jc w:val="both"/>
        <w:ind w:left="80" w:firstLine="636"/>
        <w:spacing w:after="0" w:line="255" w:lineRule="auto"/>
        <w:rPr>
          <w:sz w:val="20"/>
          <w:szCs w:val="20"/>
          <w:color w:val="auto"/>
        </w:rPr>
      </w:pPr>
      <w:r>
        <w:rPr>
          <w:rFonts w:ascii="Arial" w:cs="Arial" w:eastAsia="Arial" w:hAnsi="Arial"/>
          <w:sz w:val="18"/>
          <w:szCs w:val="18"/>
          <w:b w:val="1"/>
          <w:bCs w:val="1"/>
          <w:i w:val="1"/>
          <w:iCs w:val="1"/>
          <w:color w:val="auto"/>
        </w:rPr>
        <w:t xml:space="preserve">Sale of RPV Holdco 1 LLC </w:t>
      </w:r>
      <w:r>
        <w:rPr>
          <w:rFonts w:ascii="Arial" w:cs="Arial" w:eastAsia="Arial" w:hAnsi="Arial"/>
          <w:sz w:val="18"/>
          <w:szCs w:val="18"/>
          <w:color w:val="auto"/>
        </w:rPr>
        <w:t>— On May 14, 2020, the Company sold its interests in RPV Holdco 1 LLC, or RPV Holdco, to Spruce Power for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of approximately $75 million. The Company previously accounted for its interest in RPV Holdco as an equity method investment. The sale of the investment resulted in a gain of approximately $49 million.</w:t>
      </w:r>
    </w:p>
    <w:p>
      <w:pPr>
        <w:spacing w:after="0" w:line="135" w:lineRule="exact"/>
        <w:rPr>
          <w:sz w:val="20"/>
          <w:szCs w:val="20"/>
          <w:color w:val="auto"/>
        </w:rPr>
      </w:pPr>
    </w:p>
    <w:p>
      <w:pPr>
        <w:jc w:val="both"/>
        <w:ind w:left="80" w:firstLine="397"/>
        <w:spacing w:after="0" w:line="255" w:lineRule="auto"/>
        <w:rPr>
          <w:sz w:val="20"/>
          <w:szCs w:val="20"/>
          <w:color w:val="auto"/>
        </w:rPr>
      </w:pPr>
      <w:r>
        <w:rPr>
          <w:rFonts w:ascii="Arial" w:cs="Arial" w:eastAsia="Arial" w:hAnsi="Arial"/>
          <w:sz w:val="18"/>
          <w:szCs w:val="18"/>
          <w:b w:val="1"/>
          <w:bCs w:val="1"/>
          <w:i w:val="1"/>
          <w:iCs w:val="1"/>
          <w:color w:val="auto"/>
        </w:rPr>
        <w:t xml:space="preserve">Sale of Energy Center Dover LLC and Energy Center Smyrna LLC Assets </w:t>
      </w:r>
      <w:r>
        <w:rPr>
          <w:rFonts w:ascii="Arial" w:cs="Arial" w:eastAsia="Arial" w:hAnsi="Arial"/>
          <w:sz w:val="18"/>
          <w:szCs w:val="18"/>
          <w:color w:val="auto"/>
        </w:rPr>
        <w:t>— On March 3, 2020, the Company, through Clearway Thermal LLC, sold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 of its interests in Energy Center Dover LLC and Energy Center Smyrna LLC to DB Energy Assets, LLC for cash proceeds of approximately $15 million.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20"/>
          </w:cols>
          <w:pgMar w:left="240" w:top="922" w:right="339" w:bottom="1440" w:gutter="0" w:footer="0" w:header="0"/>
        </w:sectPr>
      </w:pPr>
    </w:p>
    <w:bookmarkStart w:id="20" w:name="page21"/>
    <w:bookmarkEnd w:id="20"/>
    <w:p>
      <w:pPr>
        <w:ind w:right="4740"/>
        <w:spacing w:after="0" w:line="271"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Consolidated</w:t>
      </w:r>
    </w:p>
    <w:p>
      <w:pPr>
        <w:spacing w:after="0" w:line="122"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These arrangements are primarily related to tax equity arrangements entered into with third parties in order to monetize certain tax attributes associated with wind and solar facilities, as further described under Item 15 —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w:t>
      </w:r>
      <w:r>
        <w:rPr>
          <w:rFonts w:ascii="Arial" w:cs="Arial" w:eastAsia="Arial" w:hAnsi="Arial"/>
          <w:sz w:val="18"/>
          <w:szCs w:val="18"/>
          <w:color w:val="231F20"/>
        </w:rPr>
        <w:t>to the</w:t>
      </w:r>
      <w:r>
        <w:rPr>
          <w:rFonts w:ascii="Arial" w:cs="Arial" w:eastAsia="Arial" w:hAnsi="Arial"/>
          <w:sz w:val="18"/>
          <w:szCs w:val="18"/>
          <w:color w:val="auto"/>
        </w:rPr>
        <w:t xml:space="preserve"> </w:t>
      </w:r>
      <w:r>
        <w:rPr>
          <w:rFonts w:ascii="Arial" w:cs="Arial" w:eastAsia="Arial" w:hAnsi="Arial"/>
          <w:sz w:val="18"/>
          <w:szCs w:val="18"/>
          <w:color w:val="231F20"/>
        </w:rPr>
        <w:t xml:space="preserve">consolidated financial statements included in the Company's </w:t>
      </w:r>
      <w:r>
        <w:rPr>
          <w:rFonts w:ascii="Arial" w:cs="Arial" w:eastAsia="Arial" w:hAnsi="Arial"/>
          <w:sz w:val="18"/>
          <w:szCs w:val="18"/>
          <w:color w:val="000000"/>
        </w:rPr>
        <w:t>2020</w:t>
      </w:r>
      <w:r>
        <w:rPr>
          <w:rFonts w:ascii="Arial" w:cs="Arial" w:eastAsia="Arial" w:hAnsi="Arial"/>
          <w:sz w:val="18"/>
          <w:szCs w:val="18"/>
          <w:color w:val="231F20"/>
        </w:rPr>
        <w:t xml:space="preserve"> Form 10</w:t>
      </w:r>
      <w:r>
        <w:rPr>
          <w:rFonts w:ascii="Arial" w:cs="Arial" w:eastAsia="Arial" w:hAnsi="Arial"/>
          <w:sz w:val="18"/>
          <w:szCs w:val="18"/>
          <w:color w:val="000000"/>
        </w:rPr>
        <w:t>-K.</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60" w:type="dxa"/>
            <w:vAlign w:val="bottom"/>
            <w:gridSpan w:val="2"/>
          </w:tcPr>
          <w:p>
            <w:pPr>
              <w:ind w:left="400"/>
              <w:spacing w:after="0"/>
              <w:rPr>
                <w:sz w:val="20"/>
                <w:szCs w:val="20"/>
                <w:color w:val="auto"/>
              </w:rPr>
            </w:pPr>
            <w:r>
              <w:rPr>
                <w:rFonts w:ascii="Arial" w:cs="Arial" w:eastAsia="Arial" w:hAnsi="Arial"/>
                <w:sz w:val="18"/>
                <w:szCs w:val="18"/>
                <w:color w:val="auto"/>
              </w:rPr>
              <w:t>Summarized  financial</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information</w:t>
            </w:r>
          </w:p>
        </w:tc>
        <w:tc>
          <w:tcPr>
            <w:tcW w:w="3500" w:type="dxa"/>
            <w:vAlign w:val="bottom"/>
            <w:gridSpan w:val="7"/>
          </w:tcPr>
          <w:p>
            <w:pPr>
              <w:jc w:val="right"/>
              <w:ind w:right="75"/>
              <w:spacing w:after="0"/>
              <w:rPr>
                <w:sz w:val="20"/>
                <w:szCs w:val="20"/>
                <w:color w:val="auto"/>
              </w:rPr>
            </w:pPr>
            <w:r>
              <w:rPr>
                <w:rFonts w:ascii="Arial" w:cs="Arial" w:eastAsia="Arial" w:hAnsi="Arial"/>
                <w:sz w:val="18"/>
                <w:szCs w:val="18"/>
                <w:color w:val="auto"/>
              </w:rPr>
              <w:t>for  the  Company's  consolidated  VIEs</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6"/>
              </w:rPr>
              <w:t>consisted</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of  the</w:t>
            </w:r>
          </w:p>
        </w:tc>
        <w:tc>
          <w:tcPr>
            <w:tcW w:w="880" w:type="dxa"/>
            <w:vAlign w:val="bottom"/>
            <w:gridSpan w:val="2"/>
          </w:tcPr>
          <w:p>
            <w:pPr>
              <w:jc w:val="right"/>
              <w:ind w:right="38"/>
              <w:spacing w:after="0"/>
              <w:rPr>
                <w:sz w:val="20"/>
                <w:szCs w:val="20"/>
                <w:color w:val="auto"/>
              </w:rPr>
            </w:pPr>
            <w:r>
              <w:rPr>
                <w:rFonts w:ascii="Arial" w:cs="Arial" w:eastAsia="Arial" w:hAnsi="Arial"/>
                <w:sz w:val="18"/>
                <w:szCs w:val="18"/>
                <w:color w:val="auto"/>
              </w:rPr>
              <w:t>following</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as  of</w:t>
            </w:r>
          </w:p>
        </w:tc>
        <w:tc>
          <w:tcPr>
            <w:tcW w:w="540" w:type="dxa"/>
            <w:vAlign w:val="bottom"/>
          </w:tcPr>
          <w:p>
            <w:pPr>
              <w:ind w:left="60"/>
              <w:spacing w:after="0"/>
              <w:rPr>
                <w:sz w:val="20"/>
                <w:szCs w:val="20"/>
                <w:color w:val="auto"/>
              </w:rPr>
            </w:pPr>
            <w:r>
              <w:rPr>
                <w:rFonts w:ascii="Arial" w:cs="Arial" w:eastAsia="Arial" w:hAnsi="Arial"/>
                <w:sz w:val="18"/>
                <w:szCs w:val="18"/>
                <w:color w:val="auto"/>
              </w:rPr>
              <w:t>June</w:t>
            </w:r>
          </w:p>
        </w:tc>
        <w:tc>
          <w:tcPr>
            <w:tcW w:w="860" w:type="dxa"/>
            <w:vAlign w:val="bottom"/>
          </w:tcPr>
          <w:p>
            <w:pPr>
              <w:jc w:val="right"/>
              <w:spacing w:after="0"/>
              <w:rPr>
                <w:sz w:val="20"/>
                <w:szCs w:val="20"/>
                <w:color w:val="auto"/>
              </w:rPr>
            </w:pPr>
            <w:r>
              <w:rPr>
                <w:rFonts w:ascii="Arial" w:cs="Arial" w:eastAsia="Arial" w:hAnsi="Arial"/>
                <w:sz w:val="18"/>
                <w:szCs w:val="18"/>
                <w:color w:val="auto"/>
              </w:rPr>
              <w:t>30,  2021:</w:t>
            </w:r>
          </w:p>
        </w:tc>
        <w:tc>
          <w:tcPr>
            <w:tcW w:w="0" w:type="dxa"/>
            <w:vAlign w:val="bottom"/>
          </w:tcPr>
          <w:p>
            <w:pPr>
              <w:spacing w:after="0"/>
              <w:rPr>
                <w:sz w:val="1"/>
                <w:szCs w:val="1"/>
                <w:color w:val="auto"/>
              </w:rPr>
            </w:pPr>
          </w:p>
        </w:tc>
      </w:tr>
      <w:tr>
        <w:trPr>
          <w:trHeight w:val="147"/>
        </w:trPr>
        <w:tc>
          <w:tcPr>
            <w:tcW w:w="22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 millions)</w:t>
            </w:r>
          </w:p>
        </w:tc>
        <w:tc>
          <w:tcPr>
            <w:tcW w:w="1440" w:type="dxa"/>
            <w:vAlign w:val="bottom"/>
            <w:gridSpan w:val="2"/>
            <w:vMerge w:val="restart"/>
          </w:tcPr>
          <w:p>
            <w:pPr>
              <w:jc w:val="right"/>
              <w:ind w:right="12"/>
              <w:spacing w:after="0"/>
              <w:rPr>
                <w:sz w:val="20"/>
                <w:szCs w:val="20"/>
                <w:color w:val="auto"/>
              </w:rPr>
            </w:pPr>
            <w:r>
              <w:rPr>
                <w:rFonts w:ascii="Arial" w:cs="Arial" w:eastAsia="Arial" w:hAnsi="Arial"/>
                <w:sz w:val="12"/>
                <w:szCs w:val="12"/>
                <w:b w:val="1"/>
                <w:bCs w:val="1"/>
                <w:color w:val="auto"/>
              </w:rPr>
              <w:t>Alta TE Holdco</w:t>
            </w:r>
          </w:p>
        </w:tc>
        <w:tc>
          <w:tcPr>
            <w:tcW w:w="10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Buckthorn</w:t>
            </w:r>
          </w:p>
        </w:tc>
        <w:tc>
          <w:tcPr>
            <w:tcW w:w="5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2"/>
              </w:rPr>
              <w:t>DGPV Funds</w:t>
            </w:r>
            <w:r>
              <w:rPr>
                <w:rFonts w:ascii="Arial" w:cs="Arial" w:eastAsia="Arial" w:hAnsi="Arial"/>
                <w:sz w:val="16"/>
                <w:szCs w:val="16"/>
                <w:b w:val="1"/>
                <w:bCs w:val="1"/>
                <w:color w:val="auto"/>
                <w:w w:val="92"/>
                <w:vertAlign w:val="superscript"/>
              </w:rPr>
              <w:t>(a)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jc w:val="right"/>
              <w:ind w:right="154"/>
              <w:spacing w:after="0"/>
              <w:rPr>
                <w:sz w:val="20"/>
                <w:szCs w:val="20"/>
                <w:color w:val="auto"/>
              </w:rPr>
            </w:pPr>
            <w:r>
              <w:rPr>
                <w:rFonts w:ascii="Arial" w:cs="Arial" w:eastAsia="Arial" w:hAnsi="Arial"/>
                <w:sz w:val="12"/>
                <w:szCs w:val="12"/>
                <w:b w:val="1"/>
                <w:bCs w:val="1"/>
                <w:color w:val="auto"/>
              </w:rPr>
              <w:t>Kawailoa</w:t>
            </w:r>
          </w:p>
        </w:tc>
        <w:tc>
          <w:tcPr>
            <w:tcW w:w="100" w:type="dxa"/>
            <w:vAlign w:val="bottom"/>
          </w:tcPr>
          <w:p>
            <w:pPr>
              <w:spacing w:after="0"/>
              <w:rPr>
                <w:sz w:val="12"/>
                <w:szCs w:val="12"/>
                <w:color w:val="auto"/>
              </w:rPr>
            </w:pPr>
          </w:p>
        </w:tc>
        <w:tc>
          <w:tcPr>
            <w:tcW w:w="1480" w:type="dxa"/>
            <w:vAlign w:val="bottom"/>
            <w:gridSpan w:val="3"/>
          </w:tcPr>
          <w:p>
            <w:pPr>
              <w:ind w:left="540"/>
              <w:spacing w:after="0"/>
              <w:rPr>
                <w:sz w:val="20"/>
                <w:szCs w:val="20"/>
                <w:color w:val="auto"/>
              </w:rPr>
            </w:pPr>
            <w:r>
              <w:rPr>
                <w:rFonts w:ascii="Arial" w:cs="Arial" w:eastAsia="Arial" w:hAnsi="Arial"/>
                <w:sz w:val="12"/>
                <w:szCs w:val="12"/>
                <w:b w:val="1"/>
                <w:bCs w:val="1"/>
                <w:color w:val="auto"/>
              </w:rPr>
              <w:t>Langford TE</w:t>
            </w:r>
          </w:p>
        </w:tc>
        <w:tc>
          <w:tcPr>
            <w:tcW w:w="540" w:type="dxa"/>
            <w:vAlign w:val="bottom"/>
          </w:tcPr>
          <w:p>
            <w:pPr>
              <w:spacing w:after="0"/>
              <w:rPr>
                <w:sz w:val="12"/>
                <w:szCs w:val="12"/>
                <w:color w:val="auto"/>
              </w:rPr>
            </w:pPr>
          </w:p>
        </w:tc>
        <w:tc>
          <w:tcPr>
            <w:tcW w:w="860" w:type="dxa"/>
            <w:vAlign w:val="bottom"/>
          </w:tcPr>
          <w:p>
            <w:pPr>
              <w:jc w:val="right"/>
              <w:ind w:right="114"/>
              <w:spacing w:after="0"/>
              <w:rPr>
                <w:sz w:val="20"/>
                <w:szCs w:val="20"/>
                <w:color w:val="auto"/>
              </w:rPr>
            </w:pPr>
            <w:r>
              <w:rPr>
                <w:rFonts w:ascii="Arial" w:cs="Arial" w:eastAsia="Arial" w:hAnsi="Arial"/>
                <w:sz w:val="12"/>
                <w:szCs w:val="12"/>
                <w:b w:val="1"/>
                <w:bCs w:val="1"/>
                <w:color w:val="auto"/>
                <w:w w:val="98"/>
              </w:rPr>
              <w:t>Lighthouse</w:t>
            </w:r>
          </w:p>
        </w:tc>
        <w:tc>
          <w:tcPr>
            <w:tcW w:w="0" w:type="dxa"/>
            <w:vAlign w:val="bottom"/>
          </w:tcPr>
          <w:p>
            <w:pPr>
              <w:spacing w:after="0"/>
              <w:rPr>
                <w:sz w:val="1"/>
                <w:szCs w:val="1"/>
                <w:color w:val="auto"/>
              </w:rPr>
            </w:pPr>
          </w:p>
        </w:tc>
      </w:tr>
      <w:tr>
        <w:trPr>
          <w:trHeight w:val="172"/>
        </w:trPr>
        <w:tc>
          <w:tcPr>
            <w:tcW w:w="2260" w:type="dxa"/>
            <w:vAlign w:val="bottom"/>
            <w:tcBorders>
              <w:bottom w:val="single" w:sz="8" w:color="CCEEFF"/>
            </w:tcBorders>
            <w:gridSpan w:val="2"/>
            <w:vMerge w:val="continue"/>
          </w:tcPr>
          <w:p>
            <w:pPr>
              <w:spacing w:after="0"/>
              <w:rPr>
                <w:sz w:val="14"/>
                <w:szCs w:val="14"/>
                <w:color w:val="auto"/>
              </w:rPr>
            </w:pPr>
          </w:p>
        </w:tc>
        <w:tc>
          <w:tcPr>
            <w:tcW w:w="14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4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2"/>
                <w:szCs w:val="12"/>
                <w:b w:val="1"/>
                <w:bCs w:val="1"/>
                <w:color w:val="auto"/>
              </w:rPr>
              <w:t>Renewables, LLC</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2"/>
          </w:tcPr>
          <w:p>
            <w:pPr>
              <w:jc w:val="right"/>
              <w:ind w:right="294"/>
              <w:spacing w:after="0"/>
              <w:rPr>
                <w:sz w:val="20"/>
                <w:szCs w:val="20"/>
                <w:color w:val="auto"/>
              </w:rPr>
            </w:pPr>
            <w:r>
              <w:rPr>
                <w:rFonts w:ascii="Arial" w:cs="Arial" w:eastAsia="Arial" w:hAnsi="Arial"/>
                <w:sz w:val="12"/>
                <w:szCs w:val="12"/>
                <w:b w:val="1"/>
                <w:bCs w:val="1"/>
                <w:color w:val="auto"/>
              </w:rPr>
              <w:t>Partnership</w:t>
            </w: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2"/>
                <w:szCs w:val="12"/>
                <w:b w:val="1"/>
                <w:bCs w:val="1"/>
                <w:color w:val="auto"/>
              </w:rPr>
              <w:t>Partnership LLC</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w w:val="98"/>
              </w:rPr>
              <w:t>Renewable Holdco LLC</w:t>
            </w:r>
          </w:p>
        </w:tc>
        <w:tc>
          <w:tcPr>
            <w:tcW w:w="0" w:type="dxa"/>
            <w:vAlign w:val="bottom"/>
          </w:tcPr>
          <w:p>
            <w:pPr>
              <w:spacing w:after="0"/>
              <w:rPr>
                <w:sz w:val="1"/>
                <w:szCs w:val="1"/>
                <w:color w:val="auto"/>
              </w:rPr>
            </w:pPr>
          </w:p>
        </w:tc>
      </w:tr>
      <w:tr>
        <w:trPr>
          <w:trHeight w:val="153"/>
        </w:trPr>
        <w:tc>
          <w:tcPr>
            <w:tcW w:w="2260" w:type="dxa"/>
            <w:vAlign w:val="bottom"/>
            <w:gridSpan w:val="2"/>
            <w:shd w:val="clear" w:color="auto" w:fill="CCEEFF"/>
          </w:tcPr>
          <w:p>
            <w:pPr>
              <w:ind w:left="420"/>
              <w:spacing w:after="0" w:line="154" w:lineRule="exact"/>
              <w:rPr>
                <w:sz w:val="20"/>
                <w:szCs w:val="20"/>
                <w:color w:val="auto"/>
              </w:rPr>
            </w:pPr>
            <w:r>
              <w:rPr>
                <w:rFonts w:ascii="Arial" w:cs="Arial" w:eastAsia="Arial" w:hAnsi="Arial"/>
                <w:sz w:val="17"/>
                <w:szCs w:val="17"/>
                <w:color w:val="auto"/>
              </w:rPr>
              <w:t>Other current and non-</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740" w:type="dxa"/>
            <w:vAlign w:val="bottom"/>
            <w:gridSpan w:val="3"/>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80" w:type="dxa"/>
            <w:vAlign w:val="bottom"/>
            <w:gridSpan w:val="2"/>
            <w:vMerge w:val="restart"/>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4"/>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96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740" w:type="dxa"/>
            <w:vAlign w:val="bottom"/>
            <w:gridSpan w:val="3"/>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260" w:type="dxa"/>
            <w:vAlign w:val="bottom"/>
            <w:gridSpan w:val="2"/>
          </w:tcPr>
          <w:p>
            <w:pPr>
              <w:ind w:left="420"/>
              <w:spacing w:after="0" w:line="173" w:lineRule="exact"/>
              <w:rPr>
                <w:sz w:val="20"/>
                <w:szCs w:val="20"/>
                <w:color w:val="auto"/>
              </w:rPr>
            </w:pPr>
            <w:r>
              <w:rPr>
                <w:rFonts w:ascii="Arial" w:cs="Arial" w:eastAsia="Arial" w:hAnsi="Arial"/>
                <w:sz w:val="18"/>
                <w:szCs w:val="18"/>
                <w:color w:val="auto"/>
              </w:rPr>
              <w:t>Property, plant and</w:t>
            </w:r>
          </w:p>
        </w:tc>
        <w:tc>
          <w:tcPr>
            <w:tcW w:w="96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611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4"/>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equipment</w:t>
            </w:r>
          </w:p>
        </w:tc>
        <w:tc>
          <w:tcPr>
            <w:tcW w:w="96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260" w:type="dxa"/>
            <w:vAlign w:val="bottom"/>
            <w:gridSpan w:val="2"/>
          </w:tcPr>
          <w:p>
            <w:pPr>
              <w:ind w:left="580"/>
              <w:spacing w:after="0"/>
              <w:rPr>
                <w:sz w:val="20"/>
                <w:szCs w:val="20"/>
                <w:color w:val="auto"/>
              </w:rPr>
            </w:pPr>
            <w:r>
              <w:rPr>
                <w:rFonts w:ascii="Arial" w:cs="Arial" w:eastAsia="Arial" w:hAnsi="Arial"/>
                <w:sz w:val="18"/>
                <w:szCs w:val="18"/>
                <w:color w:val="auto"/>
              </w:rPr>
              <w:t>Total assets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174"/>
        </w:trPr>
        <w:tc>
          <w:tcPr>
            <w:tcW w:w="2260" w:type="dxa"/>
            <w:vAlign w:val="bottom"/>
            <w:gridSpan w:val="2"/>
            <w:shd w:val="clear" w:color="auto" w:fill="CCEEFF"/>
          </w:tcPr>
          <w:p>
            <w:pPr>
              <w:ind w:left="420"/>
              <w:spacing w:after="0" w:line="174" w:lineRule="exact"/>
              <w:rPr>
                <w:sz w:val="20"/>
                <w:szCs w:val="20"/>
                <w:color w:val="auto"/>
              </w:rPr>
            </w:pPr>
            <w:r>
              <w:rPr>
                <w:rFonts w:ascii="Arial" w:cs="Arial" w:eastAsia="Arial" w:hAnsi="Arial"/>
                <w:sz w:val="18"/>
                <w:szCs w:val="18"/>
                <w:color w:val="auto"/>
                <w:w w:val="94"/>
              </w:rPr>
              <w:t>Current and non-current</w:t>
            </w:r>
          </w:p>
        </w:tc>
        <w:tc>
          <w:tcPr>
            <w:tcW w:w="96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4"/>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260" w:type="dxa"/>
            <w:vAlign w:val="bottom"/>
            <w:gridSpan w:val="2"/>
          </w:tcPr>
          <w:p>
            <w:pPr>
              <w:ind w:left="580"/>
              <w:spacing w:after="0"/>
              <w:rPr>
                <w:sz w:val="20"/>
                <w:szCs w:val="20"/>
                <w:color w:val="auto"/>
              </w:rPr>
            </w:pPr>
            <w:r>
              <w:rPr>
                <w:rFonts w:ascii="Arial" w:cs="Arial" w:eastAsia="Arial" w:hAnsi="Arial"/>
                <w:sz w:val="18"/>
                <w:szCs w:val="18"/>
                <w:color w:val="auto"/>
              </w:rPr>
              <w:t>Total liabilities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6"/>
        </w:trPr>
        <w:tc>
          <w:tcPr>
            <w:tcW w:w="2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Noncontrolling interest</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153"/>
        </w:trPr>
        <w:tc>
          <w:tcPr>
            <w:tcW w:w="2260" w:type="dxa"/>
            <w:vAlign w:val="bottom"/>
            <w:gridSpan w:val="2"/>
          </w:tcPr>
          <w:p>
            <w:pPr>
              <w:ind w:left="520"/>
              <w:spacing w:after="0" w:line="154" w:lineRule="exact"/>
              <w:rPr>
                <w:sz w:val="20"/>
                <w:szCs w:val="20"/>
                <w:color w:val="auto"/>
              </w:rPr>
            </w:pPr>
            <w:r>
              <w:rPr>
                <w:rFonts w:ascii="Arial" w:cs="Arial" w:eastAsia="Arial" w:hAnsi="Arial"/>
                <w:sz w:val="17"/>
                <w:szCs w:val="17"/>
                <w:color w:val="auto"/>
              </w:rPr>
              <w:t>Net assets less</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642</w:t>
            </w:r>
          </w:p>
        </w:tc>
        <w:tc>
          <w:tcPr>
            <w:tcW w:w="740" w:type="dxa"/>
            <w:vAlign w:val="bottom"/>
            <w:gridSpan w:val="3"/>
            <w:vMerge w:val="restart"/>
          </w:tcPr>
          <w:p>
            <w:pPr>
              <w:jc w:val="right"/>
              <w:ind w:right="18"/>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880" w:type="dxa"/>
            <w:vAlign w:val="bottom"/>
            <w:gridSpan w:val="2"/>
            <w:vMerge w:val="restart"/>
          </w:tcPr>
          <w:p>
            <w:pPr>
              <w:jc w:val="right"/>
              <w:ind w:right="218"/>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8"/>
        </w:trPr>
        <w:tc>
          <w:tcPr>
            <w:tcW w:w="2260" w:type="dxa"/>
            <w:vAlign w:val="bottom"/>
            <w:gridSpan w:val="2"/>
          </w:tcPr>
          <w:p>
            <w:pPr>
              <w:ind w:left="120"/>
              <w:spacing w:after="0" w:line="198" w:lineRule="exact"/>
              <w:rPr>
                <w:sz w:val="20"/>
                <w:szCs w:val="20"/>
                <w:color w:val="auto"/>
              </w:rPr>
            </w:pPr>
            <w:r>
              <w:rPr>
                <w:rFonts w:ascii="Arial" w:cs="Arial" w:eastAsia="Arial" w:hAnsi="Arial"/>
                <w:sz w:val="18"/>
                <w:szCs w:val="18"/>
                <w:color w:val="auto"/>
              </w:rPr>
              <w:t>noncontrolling interests</w:t>
            </w:r>
          </w:p>
        </w:tc>
        <w:tc>
          <w:tcPr>
            <w:tcW w:w="96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80" w:hanging="174"/>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3"/>
          <w:szCs w:val="13"/>
          <w:color w:val="auto"/>
        </w:rPr>
        <w:t>DGPV Funds is comprised of DGPV Fund 2 LLC, Clearway &amp; EFS Distributed Solar LLC, DGPV Fund 4 LLC, Golden Puma Fund LLC, Renew Solar CS4 Fund LLC and Chestnut Fund LLC.</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7"/>
              </w:rPr>
              <w:t>Oahu</w:t>
            </w:r>
          </w:p>
        </w:tc>
        <w:tc>
          <w:tcPr>
            <w:tcW w:w="13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2"/>
              </w:rPr>
              <w:t>Pinnacle Repowering</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Rattlesnake TE Holdco</w:t>
            </w:r>
          </w:p>
        </w:tc>
        <w:tc>
          <w:tcPr>
            <w:tcW w:w="13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Rosie TargetCo LLC</w:t>
            </w:r>
          </w:p>
        </w:tc>
        <w:tc>
          <w:tcPr>
            <w:tcW w:w="240" w:type="dxa"/>
            <w:vAlign w:val="bottom"/>
          </w:tcPr>
          <w:p>
            <w:pPr>
              <w:spacing w:after="0"/>
              <w:rPr>
                <w:sz w:val="12"/>
                <w:szCs w:val="12"/>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Wildorado</w:t>
            </w:r>
          </w:p>
        </w:tc>
        <w:tc>
          <w:tcPr>
            <w:tcW w:w="240" w:type="dxa"/>
            <w:vAlign w:val="bottom"/>
          </w:tcPr>
          <w:p>
            <w:pPr>
              <w:spacing w:after="0"/>
              <w:rPr>
                <w:sz w:val="12"/>
                <w:szCs w:val="12"/>
                <w:color w:val="auto"/>
              </w:rPr>
            </w:pPr>
          </w:p>
        </w:tc>
        <w:tc>
          <w:tcPr>
            <w:tcW w:w="920" w:type="dxa"/>
            <w:vAlign w:val="bottom"/>
            <w:vMerge w:val="restart"/>
          </w:tcPr>
          <w:p>
            <w:pPr>
              <w:jc w:val="right"/>
              <w:ind w:right="275"/>
              <w:spacing w:after="0"/>
              <w:rPr>
                <w:sz w:val="20"/>
                <w:szCs w:val="20"/>
                <w:color w:val="auto"/>
              </w:rPr>
            </w:pPr>
            <w:r>
              <w:rPr>
                <w:rFonts w:ascii="Arial" w:cs="Arial" w:eastAsia="Arial" w:hAnsi="Arial"/>
                <w:sz w:val="12"/>
                <w:szCs w:val="12"/>
                <w:b w:val="1"/>
                <w:bCs w:val="1"/>
                <w:color w:val="auto"/>
              </w:rPr>
              <w:t xml:space="preserve">Other </w:t>
            </w:r>
            <w:r>
              <w:rPr>
                <w:rFonts w:ascii="Arial" w:cs="Arial" w:eastAsia="Arial" w:hAnsi="Arial"/>
                <w:sz w:val="16"/>
                <w:szCs w:val="16"/>
                <w:b w:val="1"/>
                <w:bCs w:val="1"/>
                <w:color w:val="auto"/>
                <w:vertAlign w:val="superscript"/>
              </w:rPr>
              <w:t>(a)</w:t>
            </w:r>
          </w:p>
        </w:tc>
        <w:tc>
          <w:tcPr>
            <w:tcW w:w="0" w:type="dxa"/>
            <w:vAlign w:val="bottom"/>
          </w:tcPr>
          <w:p>
            <w:pPr>
              <w:spacing w:after="0"/>
              <w:rPr>
                <w:sz w:val="1"/>
                <w:szCs w:val="1"/>
                <w:color w:val="auto"/>
              </w:rPr>
            </w:pPr>
          </w:p>
        </w:tc>
      </w:tr>
      <w:tr>
        <w:trPr>
          <w:trHeight w:val="172"/>
        </w:trPr>
        <w:tc>
          <w:tcPr>
            <w:tcW w:w="3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Solar Partnership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Partnership LLC</w:t>
            </w:r>
          </w:p>
        </w:tc>
        <w:tc>
          <w:tcPr>
            <w:tcW w:w="300" w:type="dxa"/>
            <w:vAlign w:val="bottom"/>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Arial" w:cs="Arial" w:eastAsia="Arial" w:hAnsi="Arial"/>
                <w:sz w:val="12"/>
                <w:szCs w:val="12"/>
                <w:b w:val="1"/>
                <w:bCs w:val="1"/>
                <w:color w:val="auto"/>
              </w:rPr>
              <w:t>LLC</w:t>
            </w:r>
          </w:p>
        </w:tc>
        <w:tc>
          <w:tcPr>
            <w:tcW w:w="13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TE Holdco</w:t>
            </w: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5"/>
        </w:trPr>
        <w:tc>
          <w:tcPr>
            <w:tcW w:w="33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33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8"/>
        </w:trPr>
        <w:tc>
          <w:tcPr>
            <w:tcW w:w="332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5"/>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9"/>
        </w:trPr>
        <w:tc>
          <w:tcPr>
            <w:tcW w:w="3320" w:type="dxa"/>
            <w:vAlign w:val="bottom"/>
          </w:tcPr>
          <w:p>
            <w:pPr>
              <w:ind w:left="120"/>
              <w:spacing w:after="0"/>
              <w:rPr>
                <w:sz w:val="20"/>
                <w:szCs w:val="20"/>
                <w:color w:val="auto"/>
              </w:rPr>
            </w:pPr>
            <w:r>
              <w:rPr>
                <w:rFonts w:ascii="Arial" w:cs="Arial" w:eastAsia="Arial" w:hAnsi="Arial"/>
                <w:sz w:val="18"/>
                <w:szCs w:val="18"/>
                <w:color w:val="auto"/>
              </w:rPr>
              <w:t>Net assets less noncontrolling interests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4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ind w:left="180" w:hanging="174"/>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3"/>
          <w:szCs w:val="13"/>
          <w:color w:val="auto"/>
        </w:rPr>
        <w:t>Other is comprised of Crosswind Transmission, LLC, Hardin Hilltop Wind LLC, Elbow Creek TE Holdco and Spring Canyon TE Holdco projects.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21" w:name="page22"/>
    <w:bookmarkEnd w:id="21"/>
    <w:p>
      <w:pPr>
        <w:ind w:left="400"/>
        <w:spacing w:after="0"/>
        <w:rPr>
          <w:sz w:val="20"/>
          <w:szCs w:val="20"/>
          <w:color w:val="auto"/>
        </w:rPr>
      </w:pPr>
      <w:r>
        <w:rPr>
          <w:rFonts w:ascii="Arial" w:cs="Arial" w:eastAsia="Arial" w:hAnsi="Arial"/>
          <w:sz w:val="18"/>
          <w:szCs w:val="18"/>
          <w:color w:val="auto"/>
        </w:rPr>
        <w:t>The discussion below describes material changes to VIEs during the six months ended June 30, 2021.</w:t>
      </w:r>
    </w:p>
    <w:p>
      <w:pPr>
        <w:spacing w:after="0" w:line="151" w:lineRule="exact"/>
        <w:rPr>
          <w:sz w:val="20"/>
          <w:szCs w:val="20"/>
          <w:color w:val="auto"/>
        </w:rPr>
      </w:pPr>
    </w:p>
    <w:p>
      <w:pPr>
        <w:jc w:val="both"/>
        <w:ind w:firstLine="318"/>
        <w:spacing w:after="0" w:line="220" w:lineRule="auto"/>
        <w:rPr>
          <w:sz w:val="20"/>
          <w:szCs w:val="20"/>
          <w:color w:val="auto"/>
        </w:rPr>
      </w:pPr>
      <w:r>
        <w:rPr>
          <w:rFonts w:ascii="Arial" w:cs="Arial" w:eastAsia="Arial" w:hAnsi="Arial"/>
          <w:sz w:val="17"/>
          <w:szCs w:val="17"/>
          <w:b w:val="1"/>
          <w:bCs w:val="1"/>
          <w:i w:val="1"/>
          <w:iCs w:val="1"/>
          <w:color w:val="auto"/>
        </w:rPr>
        <w:t xml:space="preserve">Rattlesnake TE Holdco LLC — </w:t>
      </w:r>
      <w:r>
        <w:rPr>
          <w:rFonts w:ascii="Arial" w:cs="Arial" w:eastAsia="Arial" w:hAnsi="Arial"/>
          <w:sz w:val="17"/>
          <w:szCs w:val="17"/>
          <w:color w:val="auto"/>
        </w:rPr>
        <w:t>As described in Note 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on January 12, 2021, the Company acquired CEG's equity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 third party investor's minority interest in CWSP Rattlesnake Holding LLC for $132 million. CWSP Rattlesnake Holding LLC owns Rattlesnake Class B LLC, which owns the Class B membership interests in Rattlesnake TE Holdco LLC, which is a VIE. Rattlesnake Class B LLC is the primary beneficiary and managing member and consolidates its interest in Rattlesnake TE Holdco LLC, which owns the Rattlesnake wind project. Subsequent to the acquisition, on January 12, 2021 the third party tax equity investor contributed $107 million into Rattlesnake TE Holdco LLC in exchange for the Class A membership interests. The proceeds from the tax equity contribution along with cash contributed by CEG were used to repay a portion of the $176 million of the outstanding principal under the Rattlesnake Class B LLC credit facility.</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utilizes the HLBV method to determine the net income or loss allocated to tax equity noncontrolling interest.</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b w:val="1"/>
          <w:bCs w:val="1"/>
          <w:i w:val="1"/>
          <w:iCs w:val="1"/>
          <w:color w:val="auto"/>
        </w:rPr>
        <w:t>Pinnacle Repowering Partnership LL</w:t>
      </w:r>
      <w:r>
        <w:rPr>
          <w:rFonts w:ascii="Arial" w:cs="Arial" w:eastAsia="Arial" w:hAnsi="Arial"/>
          <w:sz w:val="15"/>
          <w:szCs w:val="15"/>
          <w:color w:val="auto"/>
        </w:rPr>
        <w:t>C</w:t>
      </w:r>
      <w:r>
        <w:rPr>
          <w:rFonts w:ascii="Arial" w:cs="Arial" w:eastAsia="Arial" w:hAnsi="Arial"/>
          <w:sz w:val="15"/>
          <w:szCs w:val="15"/>
          <w:b w:val="1"/>
          <w:bCs w:val="1"/>
          <w:i w:val="1"/>
          <w:iCs w:val="1"/>
          <w:color w:val="auto"/>
        </w:rPr>
        <w:t xml:space="preserve"> — </w:t>
      </w:r>
      <w:r>
        <w:rPr>
          <w:rFonts w:ascii="Arial" w:cs="Arial" w:eastAsia="Arial" w:hAnsi="Arial"/>
          <w:sz w:val="15"/>
          <w:szCs w:val="15"/>
          <w:color w:val="auto"/>
        </w:rPr>
        <w:t>On February 26, 2021, the Company entered into an amended agreement with CWSP Pinnacle Holding LLC,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an indirect subsidiary of CEG, with respect to Pinnacle Repowering Partnership LLC in order to facilitate the repowering of the Pinnacle wind project, a 55 MW wind facility located in Mineral County, West Virginia. On March 10, 2021, the Company contributed its interest in the Pinnacle wind project to Pinnacle Repowering Partnership LLC concurrent with entering into a financing agreement as further described in Note 7, </w:t>
      </w:r>
      <w:r>
        <w:rPr>
          <w:rFonts w:ascii="Arial" w:cs="Arial" w:eastAsia="Arial" w:hAnsi="Arial"/>
          <w:sz w:val="15"/>
          <w:szCs w:val="15"/>
          <w:i w:val="1"/>
          <w:iCs w:val="1"/>
          <w:color w:val="auto"/>
        </w:rPr>
        <w:t>Long-term Debt</w:t>
      </w:r>
      <w:r>
        <w:rPr>
          <w:rFonts w:ascii="Arial" w:cs="Arial" w:eastAsia="Arial" w:hAnsi="Arial"/>
          <w:sz w:val="15"/>
          <w:szCs w:val="15"/>
          <w:color w:val="auto"/>
        </w:rPr>
        <w:t>. The Company owns 100% of the Class A membership interests in Pinnacle Repowering Partnership LLC, which is a VIE, and the Company consolidates its interest as the primary beneficiary and managing member. CWSP Pinnacle Holding LLC owns 100% of the Class B membership interests in Pinnacle Repowering Partnership LLC and is entitled to allocations of 15% of the cash distributions from the partnership. On March 10, 2021, CWSP Pinnacle Holding LLC contributed $27 million in equipment to the partnership, which was a transfer of assets under common control and recorded at historical cost in property, plant and equipment, with a corresponding non-cash contribution in Pinnacle Repowering Partnership LLC's noncontrolling interests. Additionally, on March 10, 2021, the Pinnacle wind project acquired equipment from CEG for $21 million in cash consideration.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164" w:lineRule="exact"/>
        <w:rPr>
          <w:sz w:val="20"/>
          <w:szCs w:val="20"/>
          <w:color w:val="auto"/>
        </w:rPr>
      </w:pPr>
    </w:p>
    <w:p>
      <w:pPr>
        <w:jc w:val="both"/>
        <w:ind w:firstLine="397"/>
        <w:spacing w:after="0" w:line="300" w:lineRule="auto"/>
        <w:rPr>
          <w:sz w:val="20"/>
          <w:szCs w:val="20"/>
          <w:color w:val="auto"/>
        </w:rPr>
      </w:pPr>
      <w:r>
        <w:rPr>
          <w:rFonts w:ascii="Arial" w:cs="Arial" w:eastAsia="Arial" w:hAnsi="Arial"/>
          <w:sz w:val="15"/>
          <w:szCs w:val="15"/>
          <w:color w:val="auto"/>
        </w:rPr>
        <w:t xml:space="preserve">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 </w:t>
      </w:r>
      <w:r>
        <w:rPr>
          <w:rFonts w:ascii="Arial" w:cs="Arial" w:eastAsia="Arial" w:hAnsi="Arial"/>
          <w:sz w:val="15"/>
          <w:szCs w:val="15"/>
          <w:i w:val="1"/>
          <w:iCs w:val="1"/>
          <w:color w:val="auto"/>
        </w:rPr>
        <w:t>Investments Accounted for by the Equity Method and Variable Interest Entities,</w:t>
      </w:r>
      <w:r>
        <w:rPr>
          <w:rFonts w:ascii="Arial" w:cs="Arial" w:eastAsia="Arial" w:hAnsi="Arial"/>
          <w:sz w:val="15"/>
          <w:szCs w:val="15"/>
          <w:color w:val="auto"/>
        </w:rPr>
        <w:t xml:space="preserve"> </w:t>
      </w:r>
      <w:r>
        <w:rPr>
          <w:rFonts w:ascii="Arial" w:cs="Arial" w:eastAsia="Arial" w:hAnsi="Arial"/>
          <w:sz w:val="15"/>
          <w:szCs w:val="15"/>
          <w:color w:val="221F1F"/>
        </w:rPr>
        <w:t>to the consolidated financial statements included 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21F1F"/>
        </w:rPr>
        <w:t xml:space="preserve">Company's </w:t>
      </w:r>
      <w:r>
        <w:rPr>
          <w:rFonts w:ascii="Arial" w:cs="Arial" w:eastAsia="Arial" w:hAnsi="Arial"/>
          <w:sz w:val="18"/>
          <w:szCs w:val="18"/>
          <w:color w:val="000000"/>
        </w:rPr>
        <w:t>2020</w:t>
      </w:r>
      <w:r>
        <w:rPr>
          <w:rFonts w:ascii="Arial" w:cs="Arial" w:eastAsia="Arial" w:hAnsi="Arial"/>
          <w:sz w:val="18"/>
          <w:szCs w:val="18"/>
          <w:color w:val="221F1F"/>
        </w:rPr>
        <w:t xml:space="preserve"> Form 10-K</w:t>
      </w:r>
      <w:r>
        <w:rPr>
          <w:rFonts w:ascii="Arial" w:cs="Arial" w:eastAsia="Arial" w:hAnsi="Arial"/>
          <w:sz w:val="18"/>
          <w:szCs w:val="18"/>
          <w:color w:val="000000"/>
        </w:rPr>
        <w:t>.</w:t>
      </w:r>
    </w:p>
    <w:p>
      <w:pPr>
        <w:spacing w:after="0" w:line="153" w:lineRule="exact"/>
        <w:rPr>
          <w:sz w:val="20"/>
          <w:szCs w:val="20"/>
          <w:color w:val="auto"/>
        </w:rPr>
      </w:pPr>
    </w:p>
    <w:p>
      <w:pPr>
        <w:jc w:val="both"/>
        <w:ind w:firstLine="397"/>
        <w:spacing w:after="0" w:line="262" w:lineRule="auto"/>
        <w:rPr>
          <w:sz w:val="20"/>
          <w:szCs w:val="20"/>
          <w:color w:val="auto"/>
        </w:rPr>
      </w:pPr>
      <w:r>
        <w:rPr>
          <w:rFonts w:ascii="Arial" w:cs="Arial" w:eastAsia="Arial" w:hAnsi="Arial"/>
          <w:sz w:val="18"/>
          <w:szCs w:val="18"/>
          <w:color w:val="auto"/>
        </w:rPr>
        <w:t>The Company's maximum exposure to loss as of June 30, 2021 is limited to its equity investment in the unconsolidated entities, as further summarized in the table below:</w:t>
      </w:r>
    </w:p>
    <w:tbl>
      <w:tblPr>
        <w:tblLayout w:type="fixed"/>
        <w:tblInd w:w="0" w:type="dxa"/>
        <w:tblCellMar>
          <w:top w:w="0" w:type="dxa"/>
          <w:left w:w="0" w:type="dxa"/>
          <w:bottom w:w="0" w:type="dxa"/>
          <w:right w:w="0" w:type="dxa"/>
        </w:tblCellMar>
      </w:tblPr>
      <w:tr>
        <w:trPr>
          <w:trHeight w:val="143"/>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4320" w:type="dxa"/>
            <w:vAlign w:val="bottom"/>
          </w:tcPr>
          <w:p>
            <w:pPr>
              <w:jc w:val="center"/>
              <w:ind w:left="2476"/>
              <w:spacing w:after="0" w:line="143" w:lineRule="exact"/>
              <w:rPr>
                <w:sz w:val="20"/>
                <w:szCs w:val="20"/>
                <w:color w:val="auto"/>
              </w:rPr>
            </w:pPr>
            <w:r>
              <w:rPr>
                <w:rFonts w:ascii="Arial" w:cs="Arial" w:eastAsia="Arial" w:hAnsi="Arial"/>
                <w:sz w:val="14"/>
                <w:szCs w:val="14"/>
                <w:b w:val="1"/>
                <w:bCs w:val="1"/>
                <w:color w:val="auto"/>
                <w:w w:val="89"/>
              </w:rPr>
              <w:t>Economic</w:t>
            </w:r>
          </w:p>
        </w:tc>
        <w:tc>
          <w:tcPr>
            <w:tcW w:w="260" w:type="dxa"/>
            <w:vAlign w:val="bottom"/>
          </w:tcPr>
          <w:p>
            <w:pPr>
              <w:spacing w:after="0"/>
              <w:rPr>
                <w:sz w:val="12"/>
                <w:szCs w:val="12"/>
                <w:color w:val="auto"/>
              </w:rPr>
            </w:pPr>
          </w:p>
        </w:tc>
        <w:tc>
          <w:tcPr>
            <w:tcW w:w="172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Investment Balance</w:t>
            </w:r>
          </w:p>
        </w:tc>
        <w:tc>
          <w:tcPr>
            <w:tcW w:w="0" w:type="dxa"/>
            <w:vAlign w:val="bottom"/>
          </w:tcPr>
          <w:p>
            <w:pPr>
              <w:spacing w:after="0"/>
              <w:rPr>
                <w:sz w:val="1"/>
                <w:szCs w:val="1"/>
                <w:color w:val="auto"/>
              </w:rPr>
            </w:pPr>
          </w:p>
        </w:tc>
      </w:tr>
      <w:tr>
        <w:trPr>
          <w:trHeight w:val="185"/>
        </w:trPr>
        <w:tc>
          <w:tcPr>
            <w:tcW w:w="4740" w:type="dxa"/>
            <w:vAlign w:val="bottom"/>
            <w:tcBorders>
              <w:bottom w:val="single" w:sz="8" w:color="auto"/>
            </w:tcBorders>
            <w:vMerge w:val="continue"/>
          </w:tcPr>
          <w:p>
            <w:pPr>
              <w:spacing w:after="0"/>
              <w:rPr>
                <w:sz w:val="16"/>
                <w:szCs w:val="16"/>
                <w:color w:val="auto"/>
              </w:rPr>
            </w:pPr>
          </w:p>
        </w:tc>
        <w:tc>
          <w:tcPr>
            <w:tcW w:w="4320" w:type="dxa"/>
            <w:vAlign w:val="bottom"/>
            <w:tcBorders>
              <w:bottom w:val="single" w:sz="8" w:color="auto"/>
            </w:tcBorders>
          </w:tcPr>
          <w:p>
            <w:pPr>
              <w:jc w:val="center"/>
              <w:ind w:left="2516"/>
              <w:spacing w:after="0"/>
              <w:rPr>
                <w:sz w:val="20"/>
                <w:szCs w:val="20"/>
                <w:color w:val="auto"/>
              </w:rPr>
            </w:pPr>
            <w:r>
              <w:rPr>
                <w:rFonts w:ascii="Arial" w:cs="Arial" w:eastAsia="Arial" w:hAnsi="Arial"/>
                <w:sz w:val="14"/>
                <w:szCs w:val="14"/>
                <w:b w:val="1"/>
                <w:bCs w:val="1"/>
                <w:color w:val="auto"/>
                <w:w w:val="94"/>
              </w:rPr>
              <w:t>Interest</w:t>
            </w: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74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ind w:right="53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Avenal</w:t>
            </w:r>
          </w:p>
        </w:tc>
        <w:tc>
          <w:tcPr>
            <w:tcW w:w="4320" w:type="dxa"/>
            <w:vAlign w:val="bottom"/>
            <w:shd w:val="clear" w:color="auto" w:fill="CCEEFF"/>
          </w:tcPr>
          <w:p>
            <w:pPr>
              <w:jc w:val="center"/>
              <w:ind w:left="2476"/>
              <w:spacing w:after="0"/>
              <w:rPr>
                <w:sz w:val="20"/>
                <w:szCs w:val="20"/>
                <w:color w:val="auto"/>
              </w:rPr>
            </w:pPr>
            <w:r>
              <w:rPr>
                <w:rFonts w:ascii="Arial" w:cs="Arial" w:eastAsia="Arial" w:hAnsi="Arial"/>
                <w:sz w:val="18"/>
                <w:szCs w:val="18"/>
                <w:color w:val="auto"/>
                <w:w w:val="88"/>
              </w:rPr>
              <w:t>50%</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Desert Sunlight</w:t>
            </w:r>
          </w:p>
        </w:tc>
        <w:tc>
          <w:tcPr>
            <w:tcW w:w="4320" w:type="dxa"/>
            <w:vAlign w:val="bottom"/>
          </w:tcPr>
          <w:p>
            <w:pPr>
              <w:jc w:val="center"/>
              <w:ind w:left="2476"/>
              <w:spacing w:after="0"/>
              <w:rPr>
                <w:sz w:val="20"/>
                <w:szCs w:val="20"/>
                <w:color w:val="auto"/>
              </w:rPr>
            </w:pPr>
            <w:r>
              <w:rPr>
                <w:rFonts w:ascii="Arial" w:cs="Arial" w:eastAsia="Arial" w:hAnsi="Arial"/>
                <w:sz w:val="18"/>
                <w:szCs w:val="18"/>
                <w:color w:val="auto"/>
                <w:w w:val="88"/>
              </w:rPr>
              <w:t>25%</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Elkhorn Ridge</w:t>
            </w:r>
          </w:p>
        </w:tc>
        <w:tc>
          <w:tcPr>
            <w:tcW w:w="4320" w:type="dxa"/>
            <w:vAlign w:val="bottom"/>
            <w:shd w:val="clear" w:color="auto" w:fill="CCEEFF"/>
          </w:tcPr>
          <w:p>
            <w:pPr>
              <w:jc w:val="center"/>
              <w:ind w:left="2476"/>
              <w:spacing w:after="0"/>
              <w:rPr>
                <w:sz w:val="20"/>
                <w:szCs w:val="20"/>
                <w:color w:val="auto"/>
              </w:rPr>
            </w:pPr>
            <w:r>
              <w:rPr>
                <w:rFonts w:ascii="Arial" w:cs="Arial" w:eastAsia="Arial" w:hAnsi="Arial"/>
                <w:sz w:val="18"/>
                <w:szCs w:val="18"/>
                <w:color w:val="auto"/>
                <w:w w:val="88"/>
              </w:rPr>
              <w:t>67%</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line="225" w:lineRule="exact"/>
              <w:rPr>
                <w:sz w:val="20"/>
                <w:szCs w:val="20"/>
                <w:color w:val="auto"/>
              </w:rPr>
            </w:pPr>
            <w:r>
              <w:rPr>
                <w:rFonts w:ascii="Arial" w:cs="Arial" w:eastAsia="Arial" w:hAnsi="Arial"/>
                <w:sz w:val="18"/>
                <w:szCs w:val="18"/>
                <w:color w:val="auto"/>
              </w:rPr>
              <w:t>GenConn</w:t>
            </w:r>
            <w:r>
              <w:rPr>
                <w:rFonts w:ascii="Arial" w:cs="Arial" w:eastAsia="Arial" w:hAnsi="Arial"/>
                <w:sz w:val="22"/>
                <w:szCs w:val="22"/>
                <w:color w:val="auto"/>
                <w:vertAlign w:val="superscript"/>
              </w:rPr>
              <w:t>(a)</w:t>
            </w:r>
          </w:p>
        </w:tc>
        <w:tc>
          <w:tcPr>
            <w:tcW w:w="4320" w:type="dxa"/>
            <w:vAlign w:val="bottom"/>
          </w:tcPr>
          <w:p>
            <w:pPr>
              <w:jc w:val="center"/>
              <w:ind w:left="2476"/>
              <w:spacing w:after="0"/>
              <w:rPr>
                <w:sz w:val="20"/>
                <w:szCs w:val="20"/>
                <w:color w:val="auto"/>
              </w:rPr>
            </w:pPr>
            <w:r>
              <w:rPr>
                <w:rFonts w:ascii="Arial" w:cs="Arial" w:eastAsia="Arial" w:hAnsi="Arial"/>
                <w:sz w:val="18"/>
                <w:szCs w:val="18"/>
                <w:color w:val="auto"/>
                <w:w w:val="88"/>
              </w:rPr>
              <w:t>50%</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 Juan Mesa</w:t>
            </w:r>
          </w:p>
        </w:tc>
        <w:tc>
          <w:tcPr>
            <w:tcW w:w="4320" w:type="dxa"/>
            <w:vAlign w:val="bottom"/>
            <w:shd w:val="clear" w:color="auto" w:fill="CCEEFF"/>
          </w:tcPr>
          <w:p>
            <w:pPr>
              <w:jc w:val="center"/>
              <w:ind w:left="2476"/>
              <w:spacing w:after="0"/>
              <w:rPr>
                <w:sz w:val="20"/>
                <w:szCs w:val="20"/>
                <w:color w:val="auto"/>
              </w:rPr>
            </w:pPr>
            <w:r>
              <w:rPr>
                <w:rFonts w:ascii="Arial" w:cs="Arial" w:eastAsia="Arial" w:hAnsi="Arial"/>
                <w:sz w:val="18"/>
                <w:szCs w:val="18"/>
                <w:color w:val="auto"/>
                <w:w w:val="88"/>
              </w:rPr>
              <w:t>75%</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5"/>
        </w:trPr>
        <w:tc>
          <w:tcPr>
            <w:tcW w:w="474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Utah Solar Portfolio</w:t>
            </w:r>
            <w:r>
              <w:rPr>
                <w:rFonts w:ascii="Arial" w:cs="Arial" w:eastAsia="Arial" w:hAnsi="Arial"/>
                <w:sz w:val="22"/>
                <w:szCs w:val="22"/>
                <w:color w:val="auto"/>
                <w:vertAlign w:val="superscript"/>
              </w:rPr>
              <w:t>(b)</w:t>
            </w:r>
          </w:p>
        </w:tc>
        <w:tc>
          <w:tcPr>
            <w:tcW w:w="4320" w:type="dxa"/>
            <w:vAlign w:val="bottom"/>
            <w:tcBorders>
              <w:bottom w:val="single" w:sz="8" w:color="CCEEFF"/>
            </w:tcBorders>
          </w:tcPr>
          <w:p>
            <w:pPr>
              <w:jc w:val="center"/>
              <w:ind w:left="2476"/>
              <w:spacing w:after="0"/>
              <w:rPr>
                <w:sz w:val="20"/>
                <w:szCs w:val="20"/>
                <w:color w:val="auto"/>
              </w:rPr>
            </w:pPr>
            <w:r>
              <w:rPr>
                <w:rFonts w:ascii="Arial" w:cs="Arial" w:eastAsia="Arial" w:hAnsi="Arial"/>
                <w:sz w:val="18"/>
                <w:szCs w:val="18"/>
                <w:color w:val="auto"/>
                <w:w w:val="88"/>
              </w:rPr>
              <w:t>50%</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shd w:val="clear" w:color="auto" w:fill="CCEEFF"/>
          </w:tcPr>
          <w:p>
            <w:pPr>
              <w:spacing w:after="0"/>
              <w:rPr>
                <w:sz w:val="20"/>
                <w:szCs w:val="20"/>
                <w:color w:val="auto"/>
              </w:rPr>
            </w:pPr>
          </w:p>
        </w:tc>
        <w:tc>
          <w:tcPr>
            <w:tcW w:w="4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w:t>
      </w:r>
      <w:r>
        <w:rPr>
          <w:rFonts w:ascii="Arial" w:cs="Arial" w:eastAsia="Arial" w:hAnsi="Arial"/>
          <w:sz w:val="20"/>
          <w:szCs w:val="20"/>
          <w:color w:val="auto"/>
          <w:vertAlign w:val="superscript"/>
        </w:rPr>
        <w:t>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GenConn is a variable interest entity.</w:t>
      </w:r>
    </w:p>
    <w:p>
      <w:pPr>
        <w:ind w:right="80" w:firstLine="6"/>
        <w:spacing w:after="0"/>
        <w:tabs>
          <w:tab w:leader="none" w:pos="146"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Economic interest based on cash to be distributed. Four Brothers Solar, LLC, Granite Mountain Holdings, LLC and Iron Springs Holdings, LLC are tax equity structures and VIEs.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ASC 820 establishes a fair value hierarchy that prioritizes the inputs to valuation techniques used to measure fair value into three levels as follows:</w:t>
      </w:r>
    </w:p>
    <w:p>
      <w:pPr>
        <w:spacing w:after="0" w:line="93" w:lineRule="exact"/>
        <w:rPr>
          <w:sz w:val="20"/>
          <w:szCs w:val="20"/>
          <w:color w:val="auto"/>
        </w:rPr>
      </w:pPr>
    </w:p>
    <w:p>
      <w:pPr>
        <w:ind w:left="1200" w:hanging="240"/>
        <w:spacing w:after="0" w:line="264" w:lineRule="auto"/>
        <w:tabs>
          <w:tab w:leader="none" w:pos="11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21" w:lineRule="exact"/>
        <w:rPr>
          <w:rFonts w:ascii="Arial" w:cs="Arial" w:eastAsia="Arial" w:hAnsi="Arial"/>
          <w:sz w:val="18"/>
          <w:szCs w:val="18"/>
          <w:color w:val="auto"/>
        </w:rPr>
      </w:pPr>
    </w:p>
    <w:p>
      <w:pPr>
        <w:ind w:left="1200" w:hanging="240"/>
        <w:spacing w:after="0" w:line="264" w:lineRule="auto"/>
        <w:tabs>
          <w:tab w:leader="none" w:pos="11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21" w:lineRule="exact"/>
        <w:rPr>
          <w:rFonts w:ascii="Arial" w:cs="Arial" w:eastAsia="Arial" w:hAnsi="Arial"/>
          <w:sz w:val="18"/>
          <w:szCs w:val="18"/>
          <w:color w:val="auto"/>
        </w:rPr>
      </w:pPr>
    </w:p>
    <w:p>
      <w:pPr>
        <w:ind w:left="1200" w:hanging="240"/>
        <w:spacing w:after="0" w:line="264" w:lineRule="auto"/>
        <w:tabs>
          <w:tab w:leader="none" w:pos="11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128"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28"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For cash and cash equivalents, restricted cash, accounts receivable — trade, accounts payable — trade, current portion of accounts payable — affiliates, accrued expenses and other liabilities, the carrying amounts approximate fair value because of the short-term maturity of those instruments and are classified as Level 1 within the fair value hierarchy.</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40" w:type="dxa"/>
            <w:vAlign w:val="bottom"/>
            <w:gridSpan w:val="4"/>
          </w:tcPr>
          <w:p>
            <w:pPr>
              <w:ind w:left="280"/>
              <w:spacing w:after="0"/>
              <w:rPr>
                <w:sz w:val="20"/>
                <w:szCs w:val="20"/>
                <w:color w:val="auto"/>
              </w:rPr>
            </w:pPr>
            <w:r>
              <w:rPr>
                <w:rFonts w:ascii="Arial" w:cs="Arial" w:eastAsia="Arial" w:hAnsi="Arial"/>
                <w:sz w:val="14"/>
                <w:szCs w:val="14"/>
                <w:b w:val="1"/>
                <w:bCs w:val="1"/>
                <w:color w:val="auto"/>
              </w:rPr>
              <w:t>As of June 30, 2021</w:t>
            </w:r>
          </w:p>
        </w:tc>
        <w:tc>
          <w:tcPr>
            <w:tcW w:w="400" w:type="dxa"/>
            <w:vAlign w:val="bottom"/>
          </w:tcPr>
          <w:p>
            <w:pPr>
              <w:spacing w:after="0"/>
              <w:rPr>
                <w:sz w:val="16"/>
                <w:szCs w:val="16"/>
                <w:color w:val="auto"/>
              </w:rPr>
            </w:pPr>
          </w:p>
        </w:tc>
        <w:tc>
          <w:tcPr>
            <w:tcW w:w="2100" w:type="dxa"/>
            <w:vAlign w:val="bottom"/>
            <w:gridSpan w:val="3"/>
          </w:tcPr>
          <w:p>
            <w:pPr>
              <w:jc w:val="right"/>
              <w:ind w:right="418"/>
              <w:spacing w:after="0"/>
              <w:rPr>
                <w:sz w:val="20"/>
                <w:szCs w:val="20"/>
                <w:color w:val="auto"/>
              </w:rPr>
            </w:pPr>
            <w:r>
              <w:rPr>
                <w:rFonts w:ascii="Arial" w:cs="Arial" w:eastAsia="Arial" w:hAnsi="Arial"/>
                <w:sz w:val="14"/>
                <w:szCs w:val="14"/>
                <w:b w:val="1"/>
                <w:bCs w:val="1"/>
                <w:color w:val="auto"/>
                <w:w w:val="95"/>
              </w:rPr>
              <w:t>As of December 31, 2020</w:t>
            </w:r>
          </w:p>
        </w:tc>
      </w:tr>
      <w:tr>
        <w:trPr>
          <w:trHeight w:val="183"/>
        </w:trPr>
        <w:tc>
          <w:tcPr>
            <w:tcW w:w="6000" w:type="dxa"/>
            <w:vAlign w:val="bottom"/>
          </w:tcPr>
          <w:p>
            <w:pPr>
              <w:spacing w:after="0"/>
              <w:rPr>
                <w:sz w:val="15"/>
                <w:szCs w:val="15"/>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Carrying Amount</w:t>
            </w: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Carrying Amount</w:t>
            </w: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Fair Value</w:t>
            </w:r>
          </w:p>
        </w:tc>
      </w:tr>
      <w:tr>
        <w:trPr>
          <w:trHeight w:val="174"/>
        </w:trPr>
        <w:tc>
          <w:tcPr>
            <w:tcW w:w="6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3"/>
          </w:tcPr>
          <w:p>
            <w:pPr>
              <w:jc w:val="right"/>
              <w:ind w:right="18"/>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including current portion — affiliate</w:t>
            </w:r>
          </w:p>
        </w:tc>
        <w:tc>
          <w:tcPr>
            <w:tcW w:w="40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300"/>
        </w:trPr>
        <w:tc>
          <w:tcPr>
            <w:tcW w:w="6000" w:type="dxa"/>
            <w:vAlign w:val="bottom"/>
          </w:tcPr>
          <w:p>
            <w:pPr>
              <w:ind w:left="140"/>
              <w:spacing w:after="0"/>
              <w:rPr>
                <w:sz w:val="20"/>
                <w:szCs w:val="20"/>
                <w:color w:val="auto"/>
              </w:rPr>
            </w:pPr>
            <w:r>
              <w:rPr>
                <w:rFonts w:ascii="Arial" w:cs="Arial" w:eastAsia="Arial" w:hAnsi="Arial"/>
                <w:sz w:val="18"/>
                <w:szCs w:val="18"/>
                <w:color w:val="auto"/>
              </w:rPr>
              <w:t xml:space="preserve">Long-term debt, including current portion — external </w:t>
            </w:r>
            <w:r>
              <w:rPr>
                <w:rFonts w:ascii="Arial" w:cs="Arial" w:eastAsia="Arial" w:hAnsi="Arial"/>
                <w:sz w:val="22"/>
                <w:szCs w:val="22"/>
                <w:color w:val="auto"/>
                <w:vertAlign w:val="superscript"/>
              </w:rPr>
              <w:t>(a)</w:t>
            </w:r>
          </w:p>
        </w:tc>
        <w:tc>
          <w:tcPr>
            <w:tcW w:w="400" w:type="dxa"/>
            <w:vAlign w:val="bottom"/>
          </w:tcPr>
          <w:p>
            <w:pPr>
              <w:jc w:val="right"/>
              <w:ind w:right="198"/>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8,030</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8,006</w:t>
            </w:r>
          </w:p>
        </w:tc>
        <w:tc>
          <w:tcPr>
            <w:tcW w:w="120" w:type="dxa"/>
            <w:vAlign w:val="bottom"/>
          </w:tcPr>
          <w:p>
            <w:pPr>
              <w:spacing w:after="0"/>
              <w:rPr>
                <w:sz w:val="24"/>
                <w:szCs w:val="24"/>
                <w:color w:val="auto"/>
              </w:rPr>
            </w:pPr>
          </w:p>
        </w:tc>
        <w:tc>
          <w:tcPr>
            <w:tcW w:w="400" w:type="dxa"/>
            <w:vAlign w:val="bottom"/>
          </w:tcPr>
          <w:p>
            <w:pPr>
              <w:jc w:val="right"/>
              <w:ind w:right="218"/>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7,048</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62230</wp:posOffset>
            </wp:positionV>
            <wp:extent cx="13798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52" w:lineRule="exact"/>
        <w:rPr>
          <w:sz w:val="20"/>
          <w:szCs w:val="20"/>
          <w:color w:val="auto"/>
        </w:rPr>
      </w:pPr>
    </w:p>
    <w:p>
      <w:pPr>
        <w:ind w:left="140" w:hanging="134"/>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Excludes net debt issuance costs, which are recorded as a reduction to long-term debt on the Company's consolidated balance sheets.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3" w:name="page24"/>
    <w:bookmarkEnd w:id="23"/>
    <w:p>
      <w:pPr>
        <w:jc w:val="both"/>
        <w:ind w:right="100" w:firstLine="397"/>
        <w:spacing w:after="0" w:line="250"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June 30, 2021 and December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4"/>
          </w:tcPr>
          <w:p>
            <w:pPr>
              <w:ind w:left="440"/>
              <w:spacing w:after="0"/>
              <w:rPr>
                <w:sz w:val="20"/>
                <w:szCs w:val="20"/>
                <w:color w:val="auto"/>
              </w:rPr>
            </w:pPr>
            <w:r>
              <w:rPr>
                <w:rFonts w:ascii="Arial" w:cs="Arial" w:eastAsia="Arial" w:hAnsi="Arial"/>
                <w:sz w:val="14"/>
                <w:szCs w:val="14"/>
                <w:b w:val="1"/>
                <w:bCs w:val="1"/>
                <w:color w:val="auto"/>
              </w:rPr>
              <w:t>As of June 30, 2021</w:t>
            </w:r>
          </w:p>
        </w:tc>
        <w:tc>
          <w:tcPr>
            <w:tcW w:w="340" w:type="dxa"/>
            <w:vAlign w:val="bottom"/>
          </w:tcPr>
          <w:p>
            <w:pPr>
              <w:spacing w:after="0"/>
              <w:rPr>
                <w:sz w:val="16"/>
                <w:szCs w:val="16"/>
                <w:color w:val="auto"/>
              </w:rPr>
            </w:pPr>
          </w:p>
        </w:tc>
        <w:tc>
          <w:tcPr>
            <w:tcW w:w="218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w w:val="99"/>
              </w:rPr>
              <w:t>As of December 31, 2020</w:t>
            </w:r>
          </w:p>
        </w:tc>
      </w:tr>
      <w:tr>
        <w:trPr>
          <w:trHeight w:val="183"/>
        </w:trPr>
        <w:tc>
          <w:tcPr>
            <w:tcW w:w="60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w w:val="96"/>
              </w:rPr>
              <w:t>Level 2</w:t>
            </w:r>
          </w:p>
        </w:tc>
        <w:tc>
          <w:tcPr>
            <w:tcW w:w="3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Level 3</w:t>
            </w:r>
          </w:p>
        </w:tc>
      </w:tr>
      <w:tr>
        <w:trPr>
          <w:trHeight w:val="179"/>
        </w:trPr>
        <w:tc>
          <w:tcPr>
            <w:tcW w:w="6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6"/>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including current portion</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2,166</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5,841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1,906</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5,115</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64" w:lineRule="exact"/>
        <w:rPr>
          <w:sz w:val="20"/>
          <w:szCs w:val="20"/>
          <w:color w:val="auto"/>
        </w:rPr>
      </w:pPr>
    </w:p>
    <w:p>
      <w:pPr>
        <w:jc w:val="both"/>
        <w:ind w:right="100" w:firstLine="397"/>
        <w:spacing w:after="0" w:line="255" w:lineRule="auto"/>
        <w:rPr>
          <w:sz w:val="20"/>
          <w:szCs w:val="20"/>
          <w:color w:val="auto"/>
        </w:rPr>
      </w:pPr>
      <w:r>
        <w:rPr>
          <w:rFonts w:ascii="Arial" w:cs="Arial" w:eastAsia="Arial" w:hAnsi="Arial"/>
          <w:sz w:val="18"/>
          <w:szCs w:val="18"/>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ind w:left="600"/>
              <w:spacing w:after="0"/>
              <w:rPr>
                <w:sz w:val="20"/>
                <w:szCs w:val="20"/>
                <w:color w:val="auto"/>
              </w:rPr>
            </w:pPr>
            <w:r>
              <w:rPr>
                <w:rFonts w:ascii="Arial" w:cs="Arial" w:eastAsia="Arial" w:hAnsi="Arial"/>
                <w:sz w:val="14"/>
                <w:szCs w:val="14"/>
                <w:b w:val="1"/>
                <w:bCs w:val="1"/>
                <w:color w:val="auto"/>
              </w:rPr>
              <w:t>As of June 30, 2021</w:t>
            </w:r>
          </w:p>
        </w:tc>
        <w:tc>
          <w:tcPr>
            <w:tcW w:w="340" w:type="dxa"/>
            <w:vAlign w:val="bottom"/>
          </w:tcPr>
          <w:p>
            <w:pPr>
              <w:spacing w:after="0"/>
              <w:rPr>
                <w:sz w:val="16"/>
                <w:szCs w:val="16"/>
                <w:color w:val="auto"/>
              </w:rPr>
            </w:pPr>
          </w:p>
        </w:tc>
        <w:tc>
          <w:tcPr>
            <w:tcW w:w="2940" w:type="dxa"/>
            <w:vAlign w:val="bottom"/>
            <w:gridSpan w:val="4"/>
          </w:tcPr>
          <w:p>
            <w:pPr>
              <w:ind w:left="560"/>
              <w:spacing w:after="0"/>
              <w:rPr>
                <w:sz w:val="20"/>
                <w:szCs w:val="20"/>
                <w:color w:val="auto"/>
              </w:rPr>
            </w:pPr>
            <w:r>
              <w:rPr>
                <w:rFonts w:ascii="Arial" w:cs="Arial" w:eastAsia="Arial" w:hAnsi="Arial"/>
                <w:sz w:val="14"/>
                <w:szCs w:val="14"/>
                <w:b w:val="1"/>
                <w:bCs w:val="1"/>
                <w:color w:val="auto"/>
              </w:rPr>
              <w:t>As of December 31, 2020</w:t>
            </w:r>
          </w:p>
        </w:tc>
      </w:tr>
      <w:tr>
        <w:trPr>
          <w:trHeight w:val="184"/>
        </w:trPr>
        <w:tc>
          <w:tcPr>
            <w:tcW w:w="48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640" w:type="dxa"/>
            <w:vAlign w:val="bottom"/>
            <w:tcBorders>
              <w:top w:val="single" w:sz="8" w:color="auto"/>
              <w:bottom w:val="single" w:sz="8" w:color="auto"/>
            </w:tcBorders>
            <w:gridSpan w:val="3"/>
          </w:tcPr>
          <w:p>
            <w:pPr>
              <w:jc w:val="right"/>
              <w:spacing w:after="0" w:line="184"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100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800" w:type="dxa"/>
            <w:vAlign w:val="bottom"/>
            <w:tcBorders>
              <w:top w:val="single" w:sz="8" w:color="auto"/>
              <w:bottom w:val="single" w:sz="8" w:color="auto"/>
            </w:tcBorders>
            <w:gridSpan w:val="3"/>
          </w:tcPr>
          <w:p>
            <w:pPr>
              <w:jc w:val="right"/>
              <w:ind w:right="12"/>
              <w:spacing w:after="0" w:line="184"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1140" w:type="dxa"/>
            <w:vAlign w:val="bottom"/>
            <w:tcBorders>
              <w:top w:val="single" w:sz="8" w:color="auto"/>
              <w:bottom w:val="single" w:sz="8" w:color="auto"/>
            </w:tcBorders>
          </w:tcPr>
          <w:p>
            <w:pPr>
              <w:spacing w:after="0"/>
              <w:rPr>
                <w:sz w:val="16"/>
                <w:szCs w:val="16"/>
                <w:color w:val="auto"/>
              </w:rPr>
            </w:pPr>
          </w:p>
        </w:tc>
      </w:tr>
      <w:tr>
        <w:trPr>
          <w:trHeight w:val="178"/>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5"/>
                <w:szCs w:val="15"/>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460" w:type="dxa"/>
            <w:vAlign w:val="bottom"/>
          </w:tcPr>
          <w:p>
            <w:pPr>
              <w:spacing w:after="0"/>
              <w:rPr>
                <w:sz w:val="15"/>
                <w:szCs w:val="15"/>
                <w:color w:val="auto"/>
              </w:rPr>
            </w:pPr>
          </w:p>
        </w:tc>
        <w:tc>
          <w:tcPr>
            <w:tcW w:w="114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0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25"/>
        </w:trPr>
        <w:tc>
          <w:tcPr>
            <w:tcW w:w="4820" w:type="dxa"/>
            <w:vAlign w:val="bottom"/>
          </w:tcPr>
          <w:p>
            <w:pPr>
              <w:ind w:left="340"/>
              <w:spacing w:after="0"/>
              <w:rPr>
                <w:sz w:val="20"/>
                <w:szCs w:val="20"/>
                <w:color w:val="auto"/>
              </w:rPr>
            </w:pPr>
            <w:r>
              <w:rPr>
                <w:rFonts w:ascii="Arial" w:cs="Arial" w:eastAsia="Arial" w:hAnsi="Arial"/>
                <w:sz w:val="18"/>
                <w:szCs w:val="18"/>
                <w:color w:val="auto"/>
              </w:rPr>
              <w:t>Interest rate contracts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26"/>
        </w:trPr>
        <w:tc>
          <w:tcPr>
            <w:tcW w:w="48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b w:val="1"/>
                <w:bCs w:val="1"/>
                <w:color w:val="auto"/>
              </w:rPr>
              <w:t xml:space="preserve">Other financial instruments </w:t>
            </w:r>
            <w:r>
              <w:rPr>
                <w:rFonts w:ascii="Arial" w:cs="Arial" w:eastAsia="Arial" w:hAnsi="Arial"/>
                <w:sz w:val="22"/>
                <w:szCs w:val="22"/>
                <w:b w:val="1"/>
                <w:bCs w:val="1"/>
                <w:color w:val="auto"/>
                <w:vertAlign w:val="superscript"/>
              </w:rPr>
              <w:t>(b)</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29</w:t>
            </w:r>
          </w:p>
        </w:tc>
      </w:tr>
      <w:tr>
        <w:trPr>
          <w:trHeight w:val="218"/>
        </w:trPr>
        <w:tc>
          <w:tcPr>
            <w:tcW w:w="4820" w:type="dxa"/>
            <w:vAlign w:val="bottom"/>
          </w:tcPr>
          <w:p>
            <w:pPr>
              <w:ind w:left="5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29</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2"/>
        </w:trPr>
        <w:tc>
          <w:tcPr>
            <w:tcW w:w="482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Derivative liabilities: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5"/>
        </w:trPr>
        <w:tc>
          <w:tcPr>
            <w:tcW w:w="4820" w:type="dxa"/>
            <w:vAlign w:val="bottom"/>
          </w:tcPr>
          <w:p>
            <w:pPr>
              <w:ind w:left="180"/>
              <w:spacing w:after="0"/>
              <w:rPr>
                <w:sz w:val="20"/>
                <w:szCs w:val="20"/>
                <w:color w:val="auto"/>
              </w:rPr>
            </w:pPr>
            <w:r>
              <w:rPr>
                <w:rFonts w:ascii="Arial" w:cs="Arial" w:eastAsia="Arial" w:hAnsi="Arial"/>
                <w:sz w:val="18"/>
                <w:szCs w:val="18"/>
                <w:color w:val="auto"/>
              </w:rPr>
              <w:t>Commodity contracts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00"/>
              <w:spacing w:after="0"/>
              <w:rPr>
                <w:sz w:val="20"/>
                <w:szCs w:val="20"/>
                <w:color w:val="auto"/>
              </w:rPr>
            </w:pPr>
            <w:r>
              <w:rPr>
                <w:rFonts w:ascii="Arial" w:cs="Arial" w:eastAsia="Arial" w:hAnsi="Arial"/>
                <w:sz w:val="18"/>
                <w:szCs w:val="18"/>
                <w:color w:val="auto"/>
              </w:rPr>
              <w:t>44</w:t>
            </w:r>
          </w:p>
        </w:tc>
      </w:tr>
      <w:tr>
        <w:trPr>
          <w:trHeight w:val="225"/>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contracts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9"/>
        </w:trPr>
        <w:tc>
          <w:tcPr>
            <w:tcW w:w="482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44</w:t>
            </w:r>
          </w:p>
        </w:tc>
      </w:tr>
      <w:tr>
        <w:trPr>
          <w:trHeight w:val="20"/>
        </w:trPr>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80" w:hanging="156"/>
        <w:spacing w:after="0"/>
        <w:tabs>
          <w:tab w:leader="none" w:pos="4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There were no derivative assets classified as Level 1 or Level 3 and no liabilities classified as Level 1 as of June 30, 2021 and December 31, 2020.</w:t>
      </w:r>
    </w:p>
    <w:p>
      <w:pPr>
        <w:spacing w:after="0" w:line="35" w:lineRule="exact"/>
        <w:rPr>
          <w:rFonts w:ascii="Arial" w:cs="Arial" w:eastAsia="Arial" w:hAnsi="Arial"/>
          <w:sz w:val="19"/>
          <w:szCs w:val="19"/>
          <w:color w:val="auto"/>
          <w:vertAlign w:val="superscript"/>
        </w:rPr>
      </w:pPr>
    </w:p>
    <w:p>
      <w:pPr>
        <w:ind w:left="460" w:hanging="136"/>
        <w:spacing w:after="0"/>
        <w:tabs>
          <w:tab w:leader="none" w:pos="460" w:val="left"/>
        </w:tabs>
        <w:numPr>
          <w:ilvl w:val="0"/>
          <w:numId w:val="14"/>
        </w:numPr>
        <w:rPr>
          <w:rFonts w:ascii="Arial" w:cs="Arial" w:eastAsia="Arial" w:hAnsi="Arial"/>
          <w:sz w:val="9"/>
          <w:szCs w:val="9"/>
          <w:color w:val="auto"/>
        </w:rPr>
      </w:pPr>
      <w:r>
        <w:rPr>
          <w:rFonts w:ascii="Arial" w:cs="Arial" w:eastAsia="Arial" w:hAnsi="Arial"/>
          <w:sz w:val="16"/>
          <w:szCs w:val="16"/>
          <w:color w:val="auto"/>
        </w:rPr>
        <w:t>SREC contract acquired on November 2, 2020.</w:t>
      </w:r>
    </w:p>
    <w:p>
      <w:pPr>
        <w:spacing w:after="0" w:line="144" w:lineRule="exact"/>
        <w:rPr>
          <w:sz w:val="20"/>
          <w:szCs w:val="20"/>
          <w:color w:val="auto"/>
        </w:rPr>
      </w:pPr>
    </w:p>
    <w:p>
      <w:pPr>
        <w:ind w:right="740" w:firstLine="397"/>
        <w:spacing w:after="0" w:line="264" w:lineRule="auto"/>
        <w:rPr>
          <w:sz w:val="20"/>
          <w:szCs w:val="20"/>
          <w:color w:val="auto"/>
        </w:rPr>
      </w:pPr>
      <w:r>
        <w:rPr>
          <w:rFonts w:ascii="Arial" w:cs="Arial" w:eastAsia="Arial" w:hAnsi="Arial"/>
          <w:sz w:val="18"/>
          <w:szCs w:val="18"/>
          <w:color w:val="auto"/>
        </w:rPr>
        <w:t>The following table reconciles the beginning and ending balances for instruments that are recognized at fair value in the condensed consolidated financial statements using significant unobservable inputs:</w:t>
      </w:r>
    </w:p>
    <w:p>
      <w:pPr>
        <w:spacing w:after="0" w:line="78"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4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3040" w:type="dxa"/>
            <w:vAlign w:val="bottom"/>
            <w:gridSpan w:val="4"/>
          </w:tcPr>
          <w:p>
            <w:pPr>
              <w:jc w:val="center"/>
              <w:ind w:left="722"/>
              <w:spacing w:after="0"/>
              <w:rPr>
                <w:sz w:val="20"/>
                <w:szCs w:val="20"/>
                <w:color w:val="auto"/>
              </w:rPr>
            </w:pPr>
            <w:r>
              <w:rPr>
                <w:rFonts w:ascii="Arial" w:cs="Arial" w:eastAsia="Arial" w:hAnsi="Arial"/>
                <w:sz w:val="14"/>
                <w:szCs w:val="14"/>
                <w:b w:val="1"/>
                <w:bCs w:val="1"/>
                <w:color w:val="auto"/>
                <w:w w:val="88"/>
              </w:rPr>
              <w:t>Six months ended June 30,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3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3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1"/>
                <w:szCs w:val="11"/>
                <w:color w:val="auto"/>
              </w:rPr>
            </w:pPr>
          </w:p>
        </w:tc>
        <w:tc>
          <w:tcPr>
            <w:tcW w:w="2700" w:type="dxa"/>
            <w:vAlign w:val="bottom"/>
            <w:gridSpan w:val="4"/>
          </w:tcPr>
          <w:p>
            <w:pPr>
              <w:jc w:val="right"/>
              <w:ind w:right="35"/>
              <w:spacing w:after="0" w:line="131" w:lineRule="exact"/>
              <w:rPr>
                <w:sz w:val="20"/>
                <w:szCs w:val="20"/>
                <w:color w:val="auto"/>
              </w:rPr>
            </w:pPr>
            <w:r>
              <w:rPr>
                <w:rFonts w:ascii="Arial" w:cs="Arial" w:eastAsia="Arial" w:hAnsi="Arial"/>
                <w:sz w:val="14"/>
                <w:szCs w:val="14"/>
                <w:b w:val="1"/>
                <w:bCs w:val="1"/>
                <w:color w:val="auto"/>
                <w:w w:val="91"/>
              </w:rPr>
              <w:t>Fair Value Measurement Using Significant</w:t>
            </w:r>
          </w:p>
        </w:tc>
        <w:tc>
          <w:tcPr>
            <w:tcW w:w="120" w:type="dxa"/>
            <w:vAlign w:val="bottom"/>
          </w:tcPr>
          <w:p>
            <w:pPr>
              <w:spacing w:after="0"/>
              <w:rPr>
                <w:sz w:val="11"/>
                <w:szCs w:val="11"/>
                <w:color w:val="auto"/>
              </w:rPr>
            </w:pPr>
          </w:p>
        </w:tc>
        <w:tc>
          <w:tcPr>
            <w:tcW w:w="3220" w:type="dxa"/>
            <w:vAlign w:val="bottom"/>
            <w:gridSpan w:val="5"/>
          </w:tcPr>
          <w:p>
            <w:pPr>
              <w:jc w:val="center"/>
              <w:ind w:left="542"/>
              <w:spacing w:after="0" w:line="131" w:lineRule="exact"/>
              <w:rPr>
                <w:sz w:val="20"/>
                <w:szCs w:val="20"/>
                <w:color w:val="auto"/>
              </w:rPr>
            </w:pPr>
            <w:r>
              <w:rPr>
                <w:rFonts w:ascii="Arial" w:cs="Arial" w:eastAsia="Arial" w:hAnsi="Arial"/>
                <w:sz w:val="14"/>
                <w:szCs w:val="14"/>
                <w:b w:val="1"/>
                <w:bCs w:val="1"/>
                <w:color w:val="auto"/>
                <w:w w:val="91"/>
              </w:rPr>
              <w:t>Fair Value Measurement Using Significant</w:t>
            </w:r>
          </w:p>
        </w:tc>
        <w:tc>
          <w:tcPr>
            <w:tcW w:w="0" w:type="dxa"/>
            <w:vAlign w:val="bottom"/>
          </w:tcPr>
          <w:p>
            <w:pPr>
              <w:spacing w:after="0"/>
              <w:rPr>
                <w:sz w:val="1"/>
                <w:szCs w:val="1"/>
                <w:color w:val="auto"/>
              </w:rPr>
            </w:pPr>
          </w:p>
        </w:tc>
      </w:tr>
      <w:tr>
        <w:trPr>
          <w:trHeight w:val="185"/>
        </w:trPr>
        <w:tc>
          <w:tcPr>
            <w:tcW w:w="430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820" w:type="dxa"/>
            <w:vAlign w:val="bottom"/>
            <w:gridSpan w:val="5"/>
          </w:tcPr>
          <w:p>
            <w:pPr>
              <w:ind w:left="180"/>
              <w:spacing w:after="0"/>
              <w:rPr>
                <w:sz w:val="20"/>
                <w:szCs w:val="20"/>
                <w:color w:val="auto"/>
              </w:rPr>
            </w:pPr>
            <w:r>
              <w:rPr>
                <w:rFonts w:ascii="Arial" w:cs="Arial" w:eastAsia="Arial" w:hAnsi="Arial"/>
                <w:sz w:val="14"/>
                <w:szCs w:val="14"/>
                <w:b w:val="1"/>
                <w:bCs w:val="1"/>
                <w:color w:val="auto"/>
              </w:rPr>
              <w:t>Unobservable Inputs (Level 3)</w:t>
            </w:r>
          </w:p>
        </w:tc>
        <w:tc>
          <w:tcPr>
            <w:tcW w:w="3040" w:type="dxa"/>
            <w:vAlign w:val="bottom"/>
            <w:gridSpan w:val="4"/>
          </w:tcPr>
          <w:p>
            <w:pPr>
              <w:jc w:val="right"/>
              <w:ind w:right="338"/>
              <w:spacing w:after="0"/>
              <w:rPr>
                <w:sz w:val="20"/>
                <w:szCs w:val="20"/>
                <w:color w:val="auto"/>
              </w:rPr>
            </w:pPr>
            <w:r>
              <w:rPr>
                <w:rFonts w:ascii="Arial" w:cs="Arial" w:eastAsia="Arial" w:hAnsi="Arial"/>
                <w:sz w:val="14"/>
                <w:szCs w:val="14"/>
                <w:b w:val="1"/>
                <w:bCs w:val="1"/>
                <w:color w:val="auto"/>
              </w:rPr>
              <w:t>Unobservable Inputs (Level 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0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Beginning balance</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678"/>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00" w:type="dxa"/>
            <w:vAlign w:val="bottom"/>
          </w:tcPr>
          <w:p>
            <w:pPr>
              <w:ind w:left="180"/>
              <w:spacing w:after="0"/>
              <w:rPr>
                <w:sz w:val="20"/>
                <w:szCs w:val="20"/>
                <w:color w:val="auto"/>
              </w:rPr>
            </w:pPr>
            <w:r>
              <w:rPr>
                <w:rFonts w:ascii="Arial" w:cs="Arial" w:eastAsia="Arial" w:hAnsi="Arial"/>
                <w:sz w:val="18"/>
                <w:szCs w:val="18"/>
                <w:color w:val="auto"/>
              </w:rPr>
              <w:t>Total losses for the period included in earnings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00" w:type="dxa"/>
            <w:vAlign w:val="bottom"/>
          </w:tcPr>
          <w:p>
            <w:pPr>
              <w:ind w:left="520"/>
              <w:spacing w:after="0"/>
              <w:rPr>
                <w:sz w:val="20"/>
                <w:szCs w:val="20"/>
                <w:color w:val="auto"/>
              </w:rPr>
            </w:pPr>
            <w:r>
              <w:rPr>
                <w:rFonts w:ascii="Arial" w:cs="Arial" w:eastAsia="Arial" w:hAnsi="Arial"/>
                <w:sz w:val="18"/>
                <w:szCs w:val="18"/>
                <w:color w:val="auto"/>
              </w:rPr>
              <w:t>Settlements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Ending balance</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auto"/>
            </w:tcBorders>
            <w:shd w:val="clear" w:color="auto" w:fill="CCEEFF"/>
          </w:tcPr>
          <w:p>
            <w:pPr>
              <w:jc w:val="right"/>
              <w:ind w:right="678"/>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180"/>
              <w:spacing w:after="0" w:line="160" w:lineRule="exact"/>
              <w:rPr>
                <w:sz w:val="20"/>
                <w:szCs w:val="20"/>
                <w:color w:val="auto"/>
              </w:rPr>
            </w:pPr>
            <w:r>
              <w:rPr>
                <w:rFonts w:ascii="Arial" w:cs="Arial" w:eastAsia="Arial" w:hAnsi="Arial"/>
                <w:sz w:val="18"/>
                <w:szCs w:val="18"/>
                <w:color w:val="auto"/>
                <w:w w:val="98"/>
              </w:rPr>
              <w:t>Change in unrealized losses included in earnings for</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30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300" w:type="dxa"/>
            <w:vAlign w:val="bottom"/>
          </w:tcPr>
          <w:p>
            <w:pPr>
              <w:ind w:left="20"/>
              <w:spacing w:after="0" w:line="172" w:lineRule="exact"/>
              <w:rPr>
                <w:sz w:val="20"/>
                <w:szCs w:val="20"/>
                <w:color w:val="auto"/>
              </w:rPr>
            </w:pPr>
            <w:r>
              <w:rPr>
                <w:rFonts w:ascii="Arial" w:cs="Arial" w:eastAsia="Arial" w:hAnsi="Arial"/>
                <w:sz w:val="18"/>
                <w:szCs w:val="18"/>
                <w:color w:val="auto"/>
              </w:rPr>
              <w:t>derivatives and other financial instruments held as of</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restart"/>
          </w:tcPr>
          <w:p>
            <w:pPr>
              <w:jc w:val="right"/>
              <w:ind w:right="682"/>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June 30, 2021</w:t>
            </w:r>
          </w:p>
        </w:tc>
        <w:tc>
          <w:tcPr>
            <w:tcW w:w="5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8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Derivative and Financial Instruments Fair Value Measurements</w:t>
      </w:r>
    </w:p>
    <w:p>
      <w:pPr>
        <w:spacing w:after="0" w:line="164"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8"/>
          <w:szCs w:val="18"/>
          <w:color w:val="auto"/>
        </w:rPr>
        <w:t>The Company's contracts are non-exchange-traded and valued using prices provided by external sources. The Company uses quoted observable forward prices to value its energy contracts. To the extent that observable forward prices are not available, the quoted prices reflect the average of the forward prices from the prior year, adjusted for inflation. As of June 30, 2021, contracts valued with prices provided by models and other valuation techniques make up 54% of derivative liabilities and 100% of other financial instruments.</w:t>
      </w:r>
    </w:p>
    <w:p>
      <w:pPr>
        <w:spacing w:after="0" w:line="138"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8"/>
          <w:szCs w:val="18"/>
          <w:color w:val="auto"/>
        </w:rPr>
        <w:t>The Company’s significant positions classified as Level 3 include physical power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138" w:lineRule="exact"/>
        <w:rPr>
          <w:sz w:val="20"/>
          <w:szCs w:val="20"/>
          <w:color w:val="auto"/>
        </w:rPr>
      </w:pPr>
    </w:p>
    <w:p>
      <w:pPr>
        <w:ind w:right="280" w:firstLine="397"/>
        <w:spacing w:after="0" w:line="264" w:lineRule="auto"/>
        <w:rPr>
          <w:sz w:val="20"/>
          <w:szCs w:val="20"/>
          <w:color w:val="auto"/>
        </w:rPr>
      </w:pPr>
      <w:r>
        <w:rPr>
          <w:rFonts w:ascii="Arial" w:cs="Arial" w:eastAsia="Arial" w:hAnsi="Arial"/>
          <w:sz w:val="18"/>
          <w:szCs w:val="18"/>
          <w:color w:val="auto"/>
        </w:rPr>
        <w:t>The following table quantifies the significant unobservable inputs used in developing the fair value of the Company's Level 3 positions as of June 30,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June 30, 2021</w:t>
            </w:r>
          </w:p>
        </w:tc>
        <w:tc>
          <w:tcPr>
            <w:tcW w:w="1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5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b w:val="1"/>
                <w:bCs w:val="1"/>
                <w:color w:val="auto"/>
                <w:w w:val="90"/>
              </w:rPr>
              <w:t>Fair Value</w:t>
            </w:r>
          </w:p>
        </w:tc>
        <w:tc>
          <w:tcPr>
            <w:tcW w:w="1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Input/Range</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Valuation</w:t>
            </w:r>
          </w:p>
        </w:tc>
        <w:tc>
          <w:tcPr>
            <w:tcW w:w="1780" w:type="dxa"/>
            <w:vAlign w:val="bottom"/>
          </w:tcPr>
          <w:p>
            <w:pPr>
              <w:jc w:val="center"/>
              <w:spacing w:after="0" w:line="165" w:lineRule="exact"/>
              <w:rPr>
                <w:sz w:val="20"/>
                <w:szCs w:val="20"/>
                <w:color w:val="auto"/>
              </w:rPr>
            </w:pPr>
            <w:r>
              <w:rPr>
                <w:rFonts w:ascii="Arial" w:cs="Arial" w:eastAsia="Arial" w:hAnsi="Arial"/>
                <w:sz w:val="18"/>
                <w:szCs w:val="18"/>
                <w:b w:val="1"/>
                <w:bCs w:val="1"/>
                <w:color w:val="auto"/>
                <w:w w:val="86"/>
              </w:rPr>
              <w:t>Significant</w:t>
            </w: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4"/>
                <w:szCs w:val="14"/>
                <w:color w:val="auto"/>
              </w:rPr>
            </w:pPr>
          </w:p>
        </w:tc>
        <w:tc>
          <w:tcPr>
            <w:tcW w:w="1240" w:type="dxa"/>
            <w:vAlign w:val="bottom"/>
            <w:vMerge w:val="restart"/>
          </w:tcPr>
          <w:p>
            <w:pPr>
              <w:jc w:val="right"/>
              <w:ind w:right="276"/>
              <w:spacing w:after="0"/>
              <w:rPr>
                <w:sz w:val="20"/>
                <w:szCs w:val="20"/>
                <w:color w:val="auto"/>
              </w:rPr>
            </w:pPr>
            <w:r>
              <w:rPr>
                <w:rFonts w:ascii="Arial" w:cs="Arial" w:eastAsia="Arial" w:hAnsi="Arial"/>
                <w:sz w:val="18"/>
                <w:szCs w:val="18"/>
                <w:b w:val="1"/>
                <w:bCs w:val="1"/>
                <w:color w:val="auto"/>
              </w:rPr>
              <w:t>Liabilities</w:t>
            </w:r>
          </w:p>
        </w:tc>
        <w:tc>
          <w:tcPr>
            <w:tcW w:w="1200" w:type="dxa"/>
            <w:vAlign w:val="bottom"/>
            <w:vMerge w:val="continue"/>
          </w:tcPr>
          <w:p>
            <w:pPr>
              <w:spacing w:after="0"/>
              <w:rPr>
                <w:sz w:val="14"/>
                <w:szCs w:val="14"/>
                <w:color w:val="auto"/>
              </w:rPr>
            </w:pPr>
          </w:p>
        </w:tc>
        <w:tc>
          <w:tcPr>
            <w:tcW w:w="1780" w:type="dxa"/>
            <w:vAlign w:val="bottom"/>
          </w:tcPr>
          <w:p>
            <w:pPr>
              <w:jc w:val="center"/>
              <w:ind w:right="257"/>
              <w:spacing w:after="0" w:line="172" w:lineRule="exact"/>
              <w:rPr>
                <w:sz w:val="20"/>
                <w:szCs w:val="20"/>
                <w:color w:val="auto"/>
              </w:rPr>
            </w:pPr>
            <w:r>
              <w:rPr>
                <w:rFonts w:ascii="Arial" w:cs="Arial" w:eastAsia="Arial" w:hAnsi="Arial"/>
                <w:sz w:val="18"/>
                <w:szCs w:val="18"/>
                <w:b w:val="1"/>
                <w:bCs w:val="1"/>
                <w:color w:val="auto"/>
                <w:w w:val="87"/>
              </w:rPr>
              <w:t>Unobservable</w:t>
            </w:r>
          </w:p>
        </w:tc>
        <w:tc>
          <w:tcPr>
            <w:tcW w:w="1100" w:type="dxa"/>
            <w:vAlign w:val="bottom"/>
            <w:vMerge w:val="restart"/>
          </w:tcPr>
          <w:p>
            <w:pPr>
              <w:jc w:val="right"/>
              <w:ind w:right="338"/>
              <w:spacing w:after="0"/>
              <w:rPr>
                <w:sz w:val="20"/>
                <w:szCs w:val="20"/>
                <w:color w:val="auto"/>
              </w:rPr>
            </w:pPr>
            <w:r>
              <w:rPr>
                <w:rFonts w:ascii="Arial" w:cs="Arial" w:eastAsia="Arial" w:hAnsi="Arial"/>
                <w:sz w:val="18"/>
                <w:szCs w:val="18"/>
                <w:b w:val="1"/>
                <w:bCs w:val="1"/>
                <w:color w:val="auto"/>
              </w:rPr>
              <w:t>Low</w:t>
            </w:r>
          </w:p>
        </w:tc>
        <w:tc>
          <w:tcPr>
            <w:tcW w:w="1300" w:type="dxa"/>
            <w:vAlign w:val="bottom"/>
            <w:vMerge w:val="restart"/>
          </w:tcPr>
          <w:p>
            <w:pPr>
              <w:jc w:val="right"/>
              <w:ind w:right="377"/>
              <w:spacing w:after="0"/>
              <w:rPr>
                <w:sz w:val="20"/>
                <w:szCs w:val="20"/>
                <w:color w:val="auto"/>
              </w:rPr>
            </w:pPr>
            <w:r>
              <w:rPr>
                <w:rFonts w:ascii="Arial" w:cs="Arial" w:eastAsia="Arial" w:hAnsi="Arial"/>
                <w:sz w:val="18"/>
                <w:szCs w:val="18"/>
                <w:b w:val="1"/>
                <w:bCs w:val="1"/>
                <w:color w:val="auto"/>
              </w:rPr>
              <w:t>High</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5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tcPr>
          <w:p>
            <w:pPr>
              <w:jc w:val="center"/>
              <w:ind w:right="58"/>
              <w:spacing w:after="0"/>
              <w:rPr>
                <w:sz w:val="20"/>
                <w:szCs w:val="20"/>
                <w:color w:val="auto"/>
              </w:rPr>
            </w:pPr>
            <w:r>
              <w:rPr>
                <w:rFonts w:ascii="Arial" w:cs="Arial" w:eastAsia="Arial" w:hAnsi="Arial"/>
                <w:sz w:val="18"/>
                <w:szCs w:val="18"/>
                <w:b w:val="1"/>
                <w:bCs w:val="1"/>
                <w:color w:val="auto"/>
                <w:w w:val="86"/>
              </w:rPr>
              <w:t>Technique</w:t>
            </w:r>
          </w:p>
        </w:tc>
        <w:tc>
          <w:tcPr>
            <w:tcW w:w="1780" w:type="dxa"/>
            <w:vAlign w:val="bottom"/>
            <w:tcBorders>
              <w:bottom w:val="single" w:sz="8" w:color="auto"/>
            </w:tcBorders>
          </w:tcPr>
          <w:p>
            <w:pPr>
              <w:jc w:val="center"/>
              <w:ind w:right="237"/>
              <w:spacing w:after="0"/>
              <w:rPr>
                <w:sz w:val="20"/>
                <w:szCs w:val="20"/>
                <w:color w:val="auto"/>
              </w:rPr>
            </w:pPr>
            <w:r>
              <w:rPr>
                <w:rFonts w:ascii="Arial" w:cs="Arial" w:eastAsia="Arial" w:hAnsi="Arial"/>
                <w:sz w:val="18"/>
                <w:szCs w:val="18"/>
                <w:b w:val="1"/>
                <w:bCs w:val="1"/>
                <w:color w:val="auto"/>
                <w:w w:val="95"/>
              </w:rPr>
              <w:t>Input</w:t>
            </w:r>
          </w:p>
        </w:tc>
        <w:tc>
          <w:tcPr>
            <w:tcW w:w="110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8"/>
        </w:trPr>
        <w:tc>
          <w:tcPr>
            <w:tcW w:w="1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w w:val="91"/>
              </w:rPr>
              <w:t>(In millions)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1520" w:type="dxa"/>
            <w:vAlign w:val="bottom"/>
            <w:shd w:val="clear" w:color="auto" w:fill="CCEEFF"/>
          </w:tcPr>
          <w:p>
            <w:pPr>
              <w:ind w:left="420"/>
              <w:spacing w:after="0" w:line="159" w:lineRule="exact"/>
              <w:rPr>
                <w:sz w:val="20"/>
                <w:szCs w:val="20"/>
                <w:color w:val="auto"/>
              </w:rPr>
            </w:pPr>
            <w:r>
              <w:rPr>
                <w:rFonts w:ascii="Arial" w:cs="Arial" w:eastAsia="Arial" w:hAnsi="Arial"/>
                <w:sz w:val="16"/>
                <w:szCs w:val="16"/>
                <w:b w:val="1"/>
                <w:bCs w:val="1"/>
                <w:color w:val="auto"/>
              </w:rPr>
              <w:t>Power</w:t>
            </w:r>
          </w:p>
        </w:tc>
        <w:tc>
          <w:tcPr>
            <w:tcW w:w="6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56"/>
              <w:spacing w:after="0"/>
              <w:rPr>
                <w:sz w:val="20"/>
                <w:szCs w:val="20"/>
                <w:color w:val="auto"/>
              </w:rPr>
            </w:pPr>
            <w:r>
              <w:rPr>
                <w:rFonts w:ascii="Arial" w:cs="Arial" w:eastAsia="Arial" w:hAnsi="Arial"/>
                <w:sz w:val="16"/>
                <w:szCs w:val="16"/>
                <w:color w:val="auto"/>
              </w:rPr>
              <w:t>(103)</w:t>
            </w:r>
          </w:p>
        </w:tc>
        <w:tc>
          <w:tcPr>
            <w:tcW w:w="1200" w:type="dxa"/>
            <w:vAlign w:val="bottom"/>
            <w:shd w:val="clear" w:color="auto" w:fill="CCEEFF"/>
          </w:tcPr>
          <w:p>
            <w:pPr>
              <w:ind w:left="360"/>
              <w:spacing w:after="0" w:line="159" w:lineRule="exact"/>
              <w:rPr>
                <w:sz w:val="20"/>
                <w:szCs w:val="20"/>
                <w:color w:val="auto"/>
              </w:rPr>
            </w:pPr>
            <w:r>
              <w:rPr>
                <w:rFonts w:ascii="Arial" w:cs="Arial" w:eastAsia="Arial" w:hAnsi="Arial"/>
                <w:sz w:val="16"/>
                <w:szCs w:val="16"/>
                <w:color w:val="auto"/>
              </w:rPr>
              <w:t>Discounted</w:t>
            </w:r>
          </w:p>
        </w:tc>
        <w:tc>
          <w:tcPr>
            <w:tcW w:w="1780" w:type="dxa"/>
            <w:vAlign w:val="bottom"/>
            <w:shd w:val="clear" w:color="auto" w:fill="CCEEFF"/>
          </w:tcPr>
          <w:p>
            <w:pPr>
              <w:jc w:val="center"/>
              <w:spacing w:after="0" w:line="159" w:lineRule="exact"/>
              <w:rPr>
                <w:sz w:val="20"/>
                <w:szCs w:val="20"/>
                <w:color w:val="auto"/>
              </w:rPr>
            </w:pPr>
            <w:r>
              <w:rPr>
                <w:rFonts w:ascii="Arial" w:cs="Arial" w:eastAsia="Arial" w:hAnsi="Arial"/>
                <w:sz w:val="16"/>
                <w:szCs w:val="16"/>
                <w:color w:val="auto"/>
                <w:w w:val="92"/>
              </w:rPr>
              <w:t>Forward Market</w:t>
            </w:r>
          </w:p>
        </w:tc>
        <w:tc>
          <w:tcPr>
            <w:tcW w:w="1100" w:type="dxa"/>
            <w:vAlign w:val="bottom"/>
            <w:vMerge w:val="restart"/>
            <w:shd w:val="clear" w:color="auto" w:fill="CCEEFF"/>
          </w:tcPr>
          <w:p>
            <w:pPr>
              <w:jc w:val="right"/>
              <w:ind w:right="158"/>
              <w:spacing w:after="0"/>
              <w:rPr>
                <w:sz w:val="20"/>
                <w:szCs w:val="20"/>
                <w:color w:val="auto"/>
              </w:rPr>
            </w:pPr>
            <w:r>
              <w:rPr>
                <w:rFonts w:ascii="Arial" w:cs="Arial" w:eastAsia="Arial" w:hAnsi="Arial"/>
                <w:sz w:val="16"/>
                <w:szCs w:val="16"/>
                <w:color w:val="auto"/>
              </w:rPr>
              <w:t>12.56</w:t>
            </w:r>
          </w:p>
        </w:tc>
        <w:tc>
          <w:tcPr>
            <w:tcW w:w="1300" w:type="dxa"/>
            <w:vAlign w:val="bottom"/>
            <w:vMerge w:val="restart"/>
            <w:shd w:val="clear" w:color="auto" w:fill="CCEEFF"/>
          </w:tcPr>
          <w:p>
            <w:pPr>
              <w:jc w:val="right"/>
              <w:ind w:right="197"/>
              <w:spacing w:after="0"/>
              <w:rPr>
                <w:sz w:val="20"/>
                <w:szCs w:val="20"/>
                <w:color w:val="auto"/>
              </w:rPr>
            </w:pPr>
            <w:r>
              <w:rPr>
                <w:rFonts w:ascii="Arial" w:cs="Arial" w:eastAsia="Arial" w:hAnsi="Arial"/>
                <w:sz w:val="16"/>
                <w:szCs w:val="16"/>
                <w:color w:val="auto"/>
              </w:rPr>
              <w:t>58.94</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25.95</w:t>
            </w:r>
          </w:p>
        </w:tc>
        <w:tc>
          <w:tcPr>
            <w:tcW w:w="0" w:type="dxa"/>
            <w:vAlign w:val="bottom"/>
          </w:tcPr>
          <w:p>
            <w:pPr>
              <w:spacing w:after="0"/>
              <w:rPr>
                <w:sz w:val="1"/>
                <w:szCs w:val="1"/>
                <w:color w:val="auto"/>
              </w:rPr>
            </w:pPr>
          </w:p>
        </w:tc>
      </w:tr>
      <w:tr>
        <w:trPr>
          <w:trHeight w:val="212"/>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Contracts</w:t>
            </w:r>
          </w:p>
        </w:tc>
        <w:tc>
          <w:tcPr>
            <w:tcW w:w="62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center"/>
              <w:ind w:right="78"/>
              <w:spacing w:after="0"/>
              <w:rPr>
                <w:sz w:val="20"/>
                <w:szCs w:val="20"/>
                <w:color w:val="auto"/>
              </w:rPr>
            </w:pPr>
            <w:r>
              <w:rPr>
                <w:rFonts w:ascii="Arial" w:cs="Arial" w:eastAsia="Arial" w:hAnsi="Arial"/>
                <w:sz w:val="16"/>
                <w:szCs w:val="16"/>
                <w:color w:val="auto"/>
                <w:w w:val="89"/>
              </w:rPr>
              <w:t>Cash Flow</w:t>
            </w:r>
          </w:p>
        </w:tc>
        <w:tc>
          <w:tcPr>
            <w:tcW w:w="1780" w:type="dxa"/>
            <w:vAlign w:val="bottom"/>
            <w:shd w:val="clear" w:color="auto" w:fill="CCEEFF"/>
          </w:tcPr>
          <w:p>
            <w:pPr>
              <w:jc w:val="center"/>
              <w:ind w:right="257"/>
              <w:spacing w:after="0"/>
              <w:rPr>
                <w:sz w:val="20"/>
                <w:szCs w:val="20"/>
                <w:color w:val="auto"/>
              </w:rPr>
            </w:pPr>
            <w:r>
              <w:rPr>
                <w:rFonts w:ascii="Arial" w:cs="Arial" w:eastAsia="Arial" w:hAnsi="Arial"/>
                <w:sz w:val="16"/>
                <w:szCs w:val="16"/>
                <w:color w:val="auto"/>
                <w:w w:val="92"/>
              </w:rPr>
              <w:t>Price (per MWh)</w:t>
            </w:r>
          </w:p>
        </w:tc>
        <w:tc>
          <w:tcPr>
            <w:tcW w:w="110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Arial" w:cs="Arial" w:eastAsia="Arial" w:hAnsi="Arial"/>
                <w:sz w:val="16"/>
                <w:szCs w:val="16"/>
                <w:color w:val="auto"/>
                <w:w w:val="87"/>
              </w:rPr>
              <w:t>Forecast annual</w:t>
            </w: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520" w:type="dxa"/>
            <w:vAlign w:val="bottom"/>
            <w:vMerge w:val="restart"/>
          </w:tcPr>
          <w:p>
            <w:pPr>
              <w:ind w:left="420"/>
              <w:spacing w:after="0"/>
              <w:rPr>
                <w:sz w:val="20"/>
                <w:szCs w:val="20"/>
                <w:color w:val="auto"/>
              </w:rPr>
            </w:pPr>
            <w:r>
              <w:rPr>
                <w:rFonts w:ascii="Arial" w:cs="Arial" w:eastAsia="Arial" w:hAnsi="Arial"/>
                <w:sz w:val="16"/>
                <w:szCs w:val="16"/>
                <w:b w:val="1"/>
                <w:bCs w:val="1"/>
                <w:color w:val="auto"/>
                <w:w w:val="92"/>
              </w:rPr>
              <w:t>Other Financial</w:t>
            </w:r>
          </w:p>
        </w:tc>
        <w:tc>
          <w:tcPr>
            <w:tcW w:w="6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vMerge w:val="restart"/>
          </w:tcPr>
          <w:p>
            <w:pPr>
              <w:ind w:left="360"/>
              <w:spacing w:after="0"/>
              <w:rPr>
                <w:sz w:val="20"/>
                <w:szCs w:val="20"/>
                <w:color w:val="auto"/>
              </w:rPr>
            </w:pPr>
            <w:r>
              <w:rPr>
                <w:rFonts w:ascii="Arial" w:cs="Arial" w:eastAsia="Arial" w:hAnsi="Arial"/>
                <w:sz w:val="16"/>
                <w:szCs w:val="16"/>
                <w:color w:val="auto"/>
              </w:rPr>
              <w:t>Discounted</w:t>
            </w:r>
          </w:p>
        </w:tc>
        <w:tc>
          <w:tcPr>
            <w:tcW w:w="1780" w:type="dxa"/>
            <w:vAlign w:val="bottom"/>
          </w:tcPr>
          <w:p>
            <w:pPr>
              <w:jc w:val="center"/>
              <w:ind w:right="237"/>
              <w:spacing w:after="0" w:line="159" w:lineRule="exact"/>
              <w:rPr>
                <w:sz w:val="20"/>
                <w:szCs w:val="20"/>
                <w:color w:val="auto"/>
              </w:rPr>
            </w:pPr>
            <w:r>
              <w:rPr>
                <w:rFonts w:ascii="Arial" w:cs="Arial" w:eastAsia="Arial" w:hAnsi="Arial"/>
                <w:sz w:val="16"/>
                <w:szCs w:val="16"/>
                <w:color w:val="auto"/>
                <w:w w:val="90"/>
              </w:rPr>
              <w:t>generation levels of</w:t>
            </w:r>
          </w:p>
        </w:tc>
        <w:tc>
          <w:tcPr>
            <w:tcW w:w="1100" w:type="dxa"/>
            <w:vAlign w:val="bottom"/>
            <w:vMerge w:val="restart"/>
          </w:tcPr>
          <w:p>
            <w:pPr>
              <w:jc w:val="right"/>
              <w:ind w:right="118"/>
              <w:spacing w:after="0"/>
              <w:rPr>
                <w:sz w:val="20"/>
                <w:szCs w:val="20"/>
                <w:color w:val="auto"/>
              </w:rPr>
            </w:pPr>
            <w:r>
              <w:rPr>
                <w:rFonts w:ascii="Arial" w:cs="Arial" w:eastAsia="Arial" w:hAnsi="Arial"/>
                <w:sz w:val="16"/>
                <w:szCs w:val="16"/>
                <w:color w:val="auto"/>
              </w:rPr>
              <w:t>80,872</w:t>
            </w:r>
          </w:p>
        </w:tc>
        <w:tc>
          <w:tcPr>
            <w:tcW w:w="1300" w:type="dxa"/>
            <w:vAlign w:val="bottom"/>
            <w:vMerge w:val="restart"/>
          </w:tcPr>
          <w:p>
            <w:pPr>
              <w:jc w:val="right"/>
              <w:ind w:right="157"/>
              <w:spacing w:after="0"/>
              <w:rPr>
                <w:sz w:val="20"/>
                <w:szCs w:val="20"/>
                <w:color w:val="auto"/>
              </w:rPr>
            </w:pPr>
            <w:r>
              <w:rPr>
                <w:rFonts w:ascii="Arial" w:cs="Arial" w:eastAsia="Arial" w:hAnsi="Arial"/>
                <w:sz w:val="16"/>
                <w:szCs w:val="16"/>
                <w:color w:val="auto"/>
              </w:rPr>
              <w:t>129,913</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124,783</w:t>
            </w:r>
          </w:p>
        </w:tc>
        <w:tc>
          <w:tcPr>
            <w:tcW w:w="0" w:type="dxa"/>
            <w:vAlign w:val="bottom"/>
          </w:tcPr>
          <w:p>
            <w:pPr>
              <w:spacing w:after="0"/>
              <w:rPr>
                <w:sz w:val="1"/>
                <w:szCs w:val="1"/>
                <w:color w:val="auto"/>
              </w:rPr>
            </w:pPr>
          </w:p>
        </w:tc>
      </w:tr>
      <w:tr>
        <w:trPr>
          <w:trHeight w:val="156"/>
        </w:trPr>
        <w:tc>
          <w:tcPr>
            <w:tcW w:w="1520" w:type="dxa"/>
            <w:vAlign w:val="bottom"/>
            <w:vMerge w:val="continue"/>
          </w:tcPr>
          <w:p>
            <w:pPr>
              <w:spacing w:after="0"/>
              <w:rPr>
                <w:sz w:val="13"/>
                <w:szCs w:val="13"/>
                <w:color w:val="auto"/>
              </w:rPr>
            </w:pPr>
          </w:p>
        </w:tc>
        <w:tc>
          <w:tcPr>
            <w:tcW w:w="62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ind w:left="680"/>
              <w:spacing w:after="0"/>
              <w:rPr>
                <w:sz w:val="20"/>
                <w:szCs w:val="20"/>
                <w:color w:val="auto"/>
              </w:rPr>
            </w:pPr>
            <w:r>
              <w:rPr>
                <w:rFonts w:ascii="Arial" w:cs="Arial" w:eastAsia="Arial" w:hAnsi="Arial"/>
                <w:sz w:val="16"/>
                <w:szCs w:val="16"/>
                <w:color w:val="auto"/>
              </w:rPr>
              <w:t>24</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96"/>
              <w:spacing w:after="0"/>
              <w:rPr>
                <w:sz w:val="20"/>
                <w:szCs w:val="20"/>
                <w:color w:val="auto"/>
              </w:rPr>
            </w:pPr>
            <w:r>
              <w:rPr>
                <w:rFonts w:ascii="Arial" w:cs="Arial" w:eastAsia="Arial" w:hAnsi="Arial"/>
                <w:sz w:val="16"/>
                <w:szCs w:val="16"/>
                <w:color w:val="auto"/>
              </w:rPr>
              <w:t>—</w:t>
            </w:r>
          </w:p>
        </w:tc>
        <w:tc>
          <w:tcPr>
            <w:tcW w:w="1200" w:type="dxa"/>
            <w:vAlign w:val="bottom"/>
            <w:vMerge w:val="continue"/>
          </w:tcPr>
          <w:p>
            <w:pPr>
              <w:spacing w:after="0"/>
              <w:rPr>
                <w:sz w:val="13"/>
                <w:szCs w:val="13"/>
                <w:color w:val="auto"/>
              </w:rPr>
            </w:pPr>
          </w:p>
        </w:tc>
        <w:tc>
          <w:tcPr>
            <w:tcW w:w="1780" w:type="dxa"/>
            <w:vAlign w:val="bottom"/>
          </w:tcPr>
          <w:p>
            <w:pPr>
              <w:jc w:val="center"/>
              <w:ind w:right="257"/>
              <w:spacing w:after="0" w:line="156" w:lineRule="exact"/>
              <w:rPr>
                <w:sz w:val="20"/>
                <w:szCs w:val="20"/>
                <w:color w:val="auto"/>
              </w:rPr>
            </w:pPr>
            <w:r>
              <w:rPr>
                <w:rFonts w:ascii="Arial" w:cs="Arial" w:eastAsia="Arial" w:hAnsi="Arial"/>
                <w:sz w:val="16"/>
                <w:szCs w:val="16"/>
                <w:color w:val="auto"/>
                <w:w w:val="89"/>
              </w:rPr>
              <w:t>certain DG solar</w:t>
            </w:r>
          </w:p>
        </w:tc>
        <w:tc>
          <w:tcPr>
            <w:tcW w:w="11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52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6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200" w:type="dxa"/>
            <w:vAlign w:val="bottom"/>
          </w:tcPr>
          <w:p>
            <w:pPr>
              <w:jc w:val="center"/>
              <w:ind w:right="78"/>
              <w:spacing w:after="0"/>
              <w:rPr>
                <w:sz w:val="20"/>
                <w:szCs w:val="20"/>
                <w:color w:val="auto"/>
              </w:rPr>
            </w:pPr>
            <w:r>
              <w:rPr>
                <w:rFonts w:ascii="Arial" w:cs="Arial" w:eastAsia="Arial" w:hAnsi="Arial"/>
                <w:sz w:val="16"/>
                <w:szCs w:val="16"/>
                <w:color w:val="auto"/>
                <w:w w:val="89"/>
              </w:rPr>
              <w:t>Cash Flow</w:t>
            </w:r>
          </w:p>
        </w:tc>
        <w:tc>
          <w:tcPr>
            <w:tcW w:w="1780" w:type="dxa"/>
            <w:vAlign w:val="bottom"/>
          </w:tcPr>
          <w:p>
            <w:pPr>
              <w:jc w:val="center"/>
              <w:ind w:right="237"/>
              <w:spacing w:after="0"/>
              <w:rPr>
                <w:sz w:val="20"/>
                <w:szCs w:val="20"/>
                <w:color w:val="auto"/>
              </w:rPr>
            </w:pPr>
            <w:r>
              <w:rPr>
                <w:rFonts w:ascii="Arial" w:cs="Arial" w:eastAsia="Arial" w:hAnsi="Arial"/>
                <w:sz w:val="16"/>
                <w:szCs w:val="16"/>
                <w:color w:val="auto"/>
                <w:w w:val="94"/>
              </w:rPr>
              <w:t>facilities</w:t>
            </w:r>
          </w:p>
        </w:tc>
        <w:tc>
          <w:tcPr>
            <w:tcW w:w="1100" w:type="dxa"/>
            <w:vAlign w:val="bottom"/>
          </w:tcPr>
          <w:p>
            <w:pPr>
              <w:jc w:val="right"/>
              <w:ind w:right="118"/>
              <w:spacing w:after="0"/>
              <w:rPr>
                <w:sz w:val="20"/>
                <w:szCs w:val="20"/>
                <w:color w:val="auto"/>
              </w:rPr>
            </w:pPr>
            <w:r>
              <w:rPr>
                <w:rFonts w:ascii="Arial" w:cs="Arial" w:eastAsia="Arial" w:hAnsi="Arial"/>
                <w:sz w:val="16"/>
                <w:szCs w:val="16"/>
                <w:color w:val="auto"/>
              </w:rPr>
              <w:t>MWh</w:t>
            </w:r>
          </w:p>
        </w:tc>
        <w:tc>
          <w:tcPr>
            <w:tcW w:w="1300" w:type="dxa"/>
            <w:vAlign w:val="bottom"/>
          </w:tcPr>
          <w:p>
            <w:pPr>
              <w:jc w:val="right"/>
              <w:ind w:right="157"/>
              <w:spacing w:after="0"/>
              <w:rPr>
                <w:sz w:val="20"/>
                <w:szCs w:val="20"/>
                <w:color w:val="auto"/>
              </w:rPr>
            </w:pPr>
            <w:r>
              <w:rPr>
                <w:rFonts w:ascii="Arial" w:cs="Arial" w:eastAsia="Arial" w:hAnsi="Arial"/>
                <w:sz w:val="16"/>
                <w:szCs w:val="16"/>
                <w:color w:val="auto"/>
              </w:rPr>
              <w:t>MWh</w:t>
            </w:r>
          </w:p>
        </w:tc>
        <w:tc>
          <w:tcPr>
            <w:tcW w:w="1080" w:type="dxa"/>
            <w:vAlign w:val="bottom"/>
          </w:tcPr>
          <w:p>
            <w:pPr>
              <w:jc w:val="right"/>
              <w:spacing w:after="0"/>
              <w:rPr>
                <w:sz w:val="20"/>
                <w:szCs w:val="20"/>
                <w:color w:val="auto"/>
              </w:rPr>
            </w:pPr>
            <w:r>
              <w:rPr>
                <w:rFonts w:ascii="Arial" w:cs="Arial" w:eastAsia="Arial" w:hAnsi="Arial"/>
                <w:sz w:val="16"/>
                <w:szCs w:val="16"/>
                <w:color w:val="auto"/>
              </w:rPr>
              <w:t>MWh</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provides sensitivity of fair value measurements to increases/(decreases) in significant unobservable inputs as of June 30, 2021:</w:t>
      </w:r>
    </w:p>
    <w:p>
      <w:pPr>
        <w:spacing w:after="0" w:line="176"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3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Significant Observable Input</w:t>
            </w:r>
          </w:p>
        </w:tc>
        <w:tc>
          <w:tcPr>
            <w:tcW w:w="2060" w:type="dxa"/>
            <w:vAlign w:val="bottom"/>
            <w:vMerge w:val="restart"/>
          </w:tcPr>
          <w:p>
            <w:pPr>
              <w:jc w:val="center"/>
              <w:ind w:left="172"/>
              <w:spacing w:after="0"/>
              <w:rPr>
                <w:sz w:val="20"/>
                <w:szCs w:val="20"/>
                <w:color w:val="auto"/>
              </w:rPr>
            </w:pPr>
            <w:r>
              <w:rPr>
                <w:rFonts w:ascii="Arial" w:cs="Arial" w:eastAsia="Arial" w:hAnsi="Arial"/>
                <w:sz w:val="18"/>
                <w:szCs w:val="18"/>
                <w:b w:val="1"/>
                <w:bCs w:val="1"/>
                <w:color w:val="auto"/>
                <w:w w:val="84"/>
              </w:rPr>
              <w:t>Position</w:t>
            </w:r>
          </w:p>
        </w:tc>
        <w:tc>
          <w:tcPr>
            <w:tcW w:w="2340" w:type="dxa"/>
            <w:vAlign w:val="bottom"/>
            <w:vMerge w:val="restart"/>
          </w:tcPr>
          <w:p>
            <w:pPr>
              <w:jc w:val="center"/>
              <w:ind w:left="152"/>
              <w:spacing w:after="0"/>
              <w:rPr>
                <w:sz w:val="20"/>
                <w:szCs w:val="20"/>
                <w:color w:val="auto"/>
              </w:rPr>
            </w:pPr>
            <w:r>
              <w:rPr>
                <w:rFonts w:ascii="Arial" w:cs="Arial" w:eastAsia="Arial" w:hAnsi="Arial"/>
                <w:sz w:val="18"/>
                <w:szCs w:val="18"/>
                <w:b w:val="1"/>
                <w:bCs w:val="1"/>
                <w:color w:val="auto"/>
                <w:w w:val="92"/>
              </w:rPr>
              <w:t>Change In Input</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0"/>
              </w:rPr>
              <w:t>Impact on Fair Value</w:t>
            </w:r>
          </w:p>
        </w:tc>
        <w:tc>
          <w:tcPr>
            <w:tcW w:w="0" w:type="dxa"/>
            <w:vAlign w:val="bottom"/>
          </w:tcPr>
          <w:p>
            <w:pPr>
              <w:spacing w:after="0"/>
              <w:rPr>
                <w:sz w:val="1"/>
                <w:szCs w:val="1"/>
                <w:color w:val="auto"/>
              </w:rPr>
            </w:pPr>
          </w:p>
        </w:tc>
      </w:tr>
      <w:tr>
        <w:trPr>
          <w:trHeight w:val="225"/>
        </w:trPr>
        <w:tc>
          <w:tcPr>
            <w:tcW w:w="396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Measurement</w:t>
            </w: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Forward Market Price Power</w:t>
            </w:r>
          </w:p>
        </w:tc>
        <w:tc>
          <w:tcPr>
            <w:tcW w:w="206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96"/>
              </w:rPr>
              <w:t>Buy</w:t>
            </w:r>
          </w:p>
        </w:tc>
        <w:tc>
          <w:tcPr>
            <w:tcW w:w="234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85"/>
              </w:rPr>
              <w:t>Increase/(Decrease)</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Higher/(Lower)</w:t>
            </w:r>
          </w:p>
        </w:tc>
        <w:tc>
          <w:tcPr>
            <w:tcW w:w="0" w:type="dxa"/>
            <w:vAlign w:val="bottom"/>
          </w:tcPr>
          <w:p>
            <w:pPr>
              <w:spacing w:after="0"/>
              <w:rPr>
                <w:sz w:val="1"/>
                <w:szCs w:val="1"/>
                <w:color w:val="auto"/>
              </w:rPr>
            </w:pPr>
          </w:p>
        </w:tc>
      </w:tr>
      <w:tr>
        <w:trPr>
          <w:trHeight w:val="225"/>
        </w:trPr>
        <w:tc>
          <w:tcPr>
            <w:tcW w:w="3960" w:type="dxa"/>
            <w:vAlign w:val="bottom"/>
          </w:tcPr>
          <w:p>
            <w:pPr>
              <w:jc w:val="center"/>
              <w:spacing w:after="0"/>
              <w:rPr>
                <w:sz w:val="20"/>
                <w:szCs w:val="20"/>
                <w:color w:val="auto"/>
              </w:rPr>
            </w:pPr>
            <w:r>
              <w:rPr>
                <w:rFonts w:ascii="Arial" w:cs="Arial" w:eastAsia="Arial" w:hAnsi="Arial"/>
                <w:sz w:val="18"/>
                <w:szCs w:val="18"/>
                <w:color w:val="auto"/>
                <w:w w:val="90"/>
              </w:rPr>
              <w:t>Forward Market Price Power</w:t>
            </w:r>
          </w:p>
        </w:tc>
        <w:tc>
          <w:tcPr>
            <w:tcW w:w="2060" w:type="dxa"/>
            <w:vAlign w:val="bottom"/>
          </w:tcPr>
          <w:p>
            <w:pPr>
              <w:jc w:val="center"/>
              <w:ind w:left="172"/>
              <w:spacing w:after="0"/>
              <w:rPr>
                <w:sz w:val="20"/>
                <w:szCs w:val="20"/>
                <w:color w:val="auto"/>
              </w:rPr>
            </w:pPr>
            <w:r>
              <w:rPr>
                <w:rFonts w:ascii="Arial" w:cs="Arial" w:eastAsia="Arial" w:hAnsi="Arial"/>
                <w:sz w:val="18"/>
                <w:szCs w:val="18"/>
                <w:color w:val="auto"/>
                <w:w w:val="93"/>
              </w:rPr>
              <w:t>Sell</w:t>
            </w:r>
          </w:p>
        </w:tc>
        <w:tc>
          <w:tcPr>
            <w:tcW w:w="2340" w:type="dxa"/>
            <w:vAlign w:val="bottom"/>
          </w:tcPr>
          <w:p>
            <w:pPr>
              <w:jc w:val="center"/>
              <w:ind w:left="172"/>
              <w:spacing w:after="0"/>
              <w:rPr>
                <w:sz w:val="20"/>
                <w:szCs w:val="20"/>
                <w:color w:val="auto"/>
              </w:rPr>
            </w:pPr>
            <w:r>
              <w:rPr>
                <w:rFonts w:ascii="Arial" w:cs="Arial" w:eastAsia="Arial" w:hAnsi="Arial"/>
                <w:sz w:val="18"/>
                <w:szCs w:val="18"/>
                <w:color w:val="auto"/>
                <w:w w:val="85"/>
              </w:rPr>
              <w:t>Increase/(Decrease)</w:t>
            </w:r>
          </w:p>
        </w:tc>
        <w:tc>
          <w:tcPr>
            <w:tcW w:w="2260" w:type="dxa"/>
            <w:vAlign w:val="bottom"/>
          </w:tcPr>
          <w:p>
            <w:pPr>
              <w:jc w:val="center"/>
              <w:spacing w:after="0"/>
              <w:rPr>
                <w:sz w:val="20"/>
                <w:szCs w:val="20"/>
                <w:color w:val="auto"/>
              </w:rPr>
            </w:pPr>
            <w:r>
              <w:rPr>
                <w:rFonts w:ascii="Arial" w:cs="Arial" w:eastAsia="Arial" w:hAnsi="Arial"/>
                <w:sz w:val="18"/>
                <w:szCs w:val="18"/>
                <w:color w:val="auto"/>
                <w:w w:val="94"/>
              </w:rPr>
              <w:t>Lower/(Higher)</w:t>
            </w: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Forecast Generation Levels</w:t>
            </w:r>
          </w:p>
        </w:tc>
        <w:tc>
          <w:tcPr>
            <w:tcW w:w="206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3"/>
              </w:rPr>
              <w:t>Sell</w:t>
            </w:r>
          </w:p>
        </w:tc>
        <w:tc>
          <w:tcPr>
            <w:tcW w:w="234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85"/>
              </w:rPr>
              <w:t>Increase/(Decrease)</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Higher/(Lower)</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firstLine="397"/>
        <w:spacing w:after="0" w:line="306" w:lineRule="auto"/>
        <w:rPr>
          <w:sz w:val="20"/>
          <w:szCs w:val="20"/>
          <w:color w:val="auto"/>
        </w:rPr>
      </w:pPr>
      <w:r>
        <w:rPr>
          <w:rFonts w:ascii="Arial" w:cs="Arial" w:eastAsia="Arial" w:hAnsi="Arial"/>
          <w:sz w:val="15"/>
          <w:szCs w:val="15"/>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June 30, 2021, the non-performance reserve was a $9 million gain recorded primarily to total operating revenues in the consolidated statement of operations. It is possible that future market prices could vary from those used in recording assets and liabilities and such variations could be material.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64" w:lineRule="exact"/>
        <w:rPr>
          <w:sz w:val="20"/>
          <w:szCs w:val="20"/>
          <w:color w:val="auto"/>
        </w:rPr>
      </w:pPr>
    </w:p>
    <w:p>
      <w:pPr>
        <w:jc w:val="both"/>
        <w:ind w:firstLine="397"/>
        <w:spacing w:after="0" w:line="305" w:lineRule="auto"/>
        <w:rPr>
          <w:sz w:val="20"/>
          <w:szCs w:val="20"/>
          <w:color w:val="auto"/>
        </w:rPr>
      </w:pPr>
      <w:r>
        <w:rPr>
          <w:rFonts w:ascii="Arial" w:cs="Arial" w:eastAsia="Arial" w:hAnsi="Arial"/>
          <w:sz w:val="15"/>
          <w:szCs w:val="15"/>
          <w:color w:val="auto"/>
        </w:rPr>
        <w:t xml:space="preserve">In addition to the credit risk discussion as disclosed under Item 15 — Note 2,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xml:space="preserve">, </w:t>
      </w:r>
      <w:r>
        <w:rPr>
          <w:rFonts w:ascii="Arial" w:cs="Arial" w:eastAsia="Arial" w:hAnsi="Arial"/>
          <w:sz w:val="15"/>
          <w:szCs w:val="15"/>
          <w:color w:val="231F20"/>
        </w:rPr>
        <w:t>to the consolidated financial</w:t>
      </w:r>
      <w:r>
        <w:rPr>
          <w:rFonts w:ascii="Arial" w:cs="Arial" w:eastAsia="Arial" w:hAnsi="Arial"/>
          <w:sz w:val="15"/>
          <w:szCs w:val="15"/>
          <w:color w:val="auto"/>
        </w:rPr>
        <w:t xml:space="preserve"> statements </w:t>
      </w:r>
      <w:r>
        <w:rPr>
          <w:rFonts w:ascii="Arial" w:cs="Arial" w:eastAsia="Arial" w:hAnsi="Arial"/>
          <w:sz w:val="15"/>
          <w:szCs w:val="15"/>
          <w:color w:val="231F20"/>
        </w:rPr>
        <w:t>included in the Company's</w:t>
      </w:r>
      <w:r>
        <w:rPr>
          <w:rFonts w:ascii="Arial" w:cs="Arial" w:eastAsia="Arial" w:hAnsi="Arial"/>
          <w:sz w:val="15"/>
          <w:szCs w:val="15"/>
          <w:color w:val="auto"/>
        </w:rPr>
        <w:t xml:space="preserve"> 2020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88" w:lineRule="exact"/>
        <w:rPr>
          <w:sz w:val="20"/>
          <w:szCs w:val="20"/>
          <w:color w:val="auto"/>
        </w:rPr>
      </w:pPr>
    </w:p>
    <w:p>
      <w:pPr>
        <w:jc w:val="both"/>
        <w:ind w:firstLine="397"/>
        <w:spacing w:after="0" w:line="234" w:lineRule="auto"/>
        <w:rPr>
          <w:sz w:val="20"/>
          <w:szCs w:val="20"/>
          <w:color w:val="auto"/>
        </w:rPr>
      </w:pPr>
      <w:r>
        <w:rPr>
          <w:rFonts w:ascii="Arial" w:cs="Arial" w:eastAsia="Arial" w:hAnsi="Arial"/>
          <w:sz w:val="17"/>
          <w:szCs w:val="17"/>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power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 grade.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Derivative Instruments and Hedging Activities</w:t>
      </w:r>
    </w:p>
    <w:p>
      <w:pPr>
        <w:spacing w:after="0" w:line="170"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 xml:space="preserve">This footnote should be read in conjunction with the complete description under Item 15 — Note 7, </w:t>
      </w:r>
      <w:r>
        <w:rPr>
          <w:rFonts w:ascii="Arial" w:cs="Arial" w:eastAsia="Arial" w:hAnsi="Arial"/>
          <w:sz w:val="18"/>
          <w:szCs w:val="18"/>
          <w:i w:val="1"/>
          <w:iCs w:val="1"/>
          <w:color w:val="auto"/>
        </w:rPr>
        <w:t>Accounting for Derivative Instruments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Activities</w:t>
      </w:r>
      <w:r>
        <w:rPr>
          <w:rFonts w:ascii="Arial" w:cs="Arial" w:eastAsia="Arial" w:hAnsi="Arial"/>
          <w:sz w:val="18"/>
          <w:szCs w:val="18"/>
          <w:i w:val="1"/>
          <w:iCs w:val="1"/>
          <w:color w:val="231F20"/>
        </w:rPr>
        <w:t>,</w:t>
      </w:r>
      <w:r>
        <w:rPr>
          <w:rFonts w:ascii="Arial" w:cs="Arial" w:eastAsia="Arial" w:hAnsi="Arial"/>
          <w:sz w:val="18"/>
          <w:szCs w:val="18"/>
          <w:i w:val="1"/>
          <w:iCs w:val="1"/>
          <w:color w:val="auto"/>
        </w:rPr>
        <w:t xml:space="preserve"> </w:t>
      </w:r>
      <w:r>
        <w:rPr>
          <w:rFonts w:ascii="Arial" w:cs="Arial" w:eastAsia="Arial" w:hAnsi="Arial"/>
          <w:sz w:val="18"/>
          <w:szCs w:val="18"/>
          <w:color w:val="231F20"/>
        </w:rPr>
        <w:t>to the consolidated financial statements included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2020 Form 10-K.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64" w:lineRule="exact"/>
        <w:rPr>
          <w:sz w:val="20"/>
          <w:szCs w:val="20"/>
          <w:color w:val="auto"/>
        </w:rPr>
      </w:pPr>
    </w:p>
    <w:p>
      <w:pPr>
        <w:jc w:val="both"/>
        <w:ind w:firstLine="397"/>
        <w:spacing w:after="0" w:line="330" w:lineRule="auto"/>
        <w:rPr>
          <w:sz w:val="20"/>
          <w:szCs w:val="20"/>
          <w:color w:val="auto"/>
        </w:rPr>
      </w:pPr>
      <w:r>
        <w:rPr>
          <w:rFonts w:ascii="Arial" w:cs="Arial" w:eastAsia="Arial" w:hAnsi="Arial"/>
          <w:sz w:val="15"/>
          <w:szCs w:val="15"/>
          <w:color w:val="auto"/>
        </w:rPr>
        <w:t>The Company enters into interest rate swap agreements in order to hedge the variability of expected future cash interest payments. As of June 30, 2021, the Company had interest rate derivative instruments on non-recourse debt extending through 2044, a portion of which were designated as cash flow hedges. Under the interest rate swap agreements, the Company pays a fixed rate and the counterparties to the agreements pay a variable interest rate.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64"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As of June 30, 2021, the Company had energy-related derivative instruments extending through 2032. At June 30, 2021, these contracts were not designated as cash flow or fair value hedges.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the net notional volume buy/(sell) of the Company's open derivative transactions broken out by commodity as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December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88"/>
              </w:rPr>
              <w:t>Total Volume</w:t>
            </w:r>
          </w:p>
        </w:tc>
        <w:tc>
          <w:tcPr>
            <w:tcW w:w="150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5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0"/>
              </w:rPr>
              <w:t>December 31, 2020</w:t>
            </w:r>
          </w:p>
        </w:tc>
      </w:tr>
      <w:tr>
        <w:trPr>
          <w:trHeight w:val="151"/>
        </w:trPr>
        <w:tc>
          <w:tcPr>
            <w:tcW w:w="20" w:type="dxa"/>
            <w:vAlign w:val="bottom"/>
          </w:tcPr>
          <w:p>
            <w:pPr>
              <w:spacing w:after="0"/>
              <w:rPr>
                <w:sz w:val="13"/>
                <w:szCs w:val="13"/>
                <w:color w:val="auto"/>
              </w:rPr>
            </w:pPr>
          </w:p>
        </w:tc>
        <w:tc>
          <w:tcPr>
            <w:tcW w:w="72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90"/>
              </w:rPr>
              <w:t>Commodity</w:t>
            </w:r>
          </w:p>
        </w:tc>
        <w:tc>
          <w:tcPr>
            <w:tcW w:w="600" w:type="dxa"/>
            <w:vAlign w:val="bottom"/>
          </w:tcPr>
          <w:p>
            <w:pPr>
              <w:spacing w:after="0"/>
              <w:rPr>
                <w:sz w:val="13"/>
                <w:szCs w:val="13"/>
                <w:color w:val="auto"/>
              </w:rPr>
            </w:pPr>
          </w:p>
        </w:tc>
        <w:tc>
          <w:tcPr>
            <w:tcW w:w="34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91"/>
              </w:rPr>
              <w:t>Units</w:t>
            </w:r>
          </w:p>
        </w:tc>
        <w:tc>
          <w:tcPr>
            <w:tcW w:w="5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40" w:type="dxa"/>
            <w:vAlign w:val="bottom"/>
            <w:gridSpan w:val="2"/>
          </w:tcPr>
          <w:p>
            <w:pPr>
              <w:ind w:left="180"/>
              <w:spacing w:after="0" w:line="141" w:lineRule="exact"/>
              <w:rPr>
                <w:sz w:val="20"/>
                <w:szCs w:val="20"/>
                <w:color w:val="auto"/>
              </w:rPr>
            </w:pPr>
            <w:r>
              <w:rPr>
                <w:rFonts w:ascii="Arial" w:cs="Arial" w:eastAsia="Arial" w:hAnsi="Arial"/>
                <w:sz w:val="14"/>
                <w:szCs w:val="14"/>
                <w:b w:val="1"/>
                <w:bCs w:val="1"/>
                <w:color w:val="auto"/>
                <w:w w:val="94"/>
              </w:rPr>
              <w:t>(In millions)</w:t>
            </w:r>
          </w:p>
        </w:tc>
        <w:tc>
          <w:tcPr>
            <w:tcW w:w="1500" w:type="dxa"/>
            <w:vAlign w:val="bottom"/>
          </w:tcPr>
          <w:p>
            <w:pPr>
              <w:spacing w:after="0"/>
              <w:rPr>
                <w:sz w:val="13"/>
                <w:szCs w:val="13"/>
                <w:color w:val="auto"/>
              </w:rPr>
            </w:pPr>
          </w:p>
        </w:tc>
      </w:tr>
      <w:tr>
        <w:trPr>
          <w:trHeight w:val="235"/>
        </w:trPr>
        <w:tc>
          <w:tcPr>
            <w:tcW w:w="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w:t>
            </w: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13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Power</w:t>
            </w:r>
          </w:p>
        </w:tc>
        <w:tc>
          <w:tcPr>
            <w:tcW w:w="6080" w:type="dxa"/>
            <w:vAlign w:val="bottom"/>
            <w:gridSpan w:val="2"/>
          </w:tcPr>
          <w:p>
            <w:pPr>
              <w:spacing w:after="0"/>
              <w:rPr>
                <w:sz w:val="20"/>
                <w:szCs w:val="20"/>
                <w:color w:val="auto"/>
              </w:rPr>
            </w:pPr>
            <w:r>
              <w:rPr>
                <w:rFonts w:ascii="Arial" w:cs="Arial" w:eastAsia="Arial" w:hAnsi="Arial"/>
                <w:sz w:val="18"/>
                <w:szCs w:val="18"/>
                <w:color w:val="auto"/>
              </w:rPr>
              <w:t>MWh</w:t>
            </w:r>
          </w:p>
        </w:tc>
        <w:tc>
          <w:tcPr>
            <w:tcW w:w="1340" w:type="dxa"/>
            <w:vAlign w:val="bottom"/>
          </w:tcPr>
          <w:p>
            <w:pPr>
              <w:spacing w:after="0"/>
              <w:rPr>
                <w:sz w:val="19"/>
                <w:szCs w:val="19"/>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6"/>
        </w:trPr>
        <w:tc>
          <w:tcPr>
            <w:tcW w:w="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Dollars</w:t>
            </w:r>
          </w:p>
        </w:tc>
        <w:tc>
          <w:tcPr>
            <w:tcW w:w="1340" w:type="dxa"/>
            <w:vAlign w:val="bottom"/>
            <w:shd w:val="clear" w:color="auto" w:fill="CCEEFF"/>
          </w:tcPr>
          <w:p>
            <w:pPr>
              <w:jc w:val="right"/>
              <w:ind w:right="116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88"/>
              </w:rPr>
              <w:t>1,486</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6" w:name="page27"/>
    <w:bookmarkEnd w:id="26"/>
    <w:p>
      <w:pPr>
        <w:ind w:left="400"/>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5"/>
          </w:tcPr>
          <w:p>
            <w:pPr>
              <w:jc w:val="right"/>
              <w:ind w:right="933"/>
              <w:spacing w:after="0"/>
              <w:rPr>
                <w:sz w:val="20"/>
                <w:szCs w:val="20"/>
                <w:color w:val="auto"/>
              </w:rPr>
            </w:pPr>
            <w:r>
              <w:rPr>
                <w:rFonts w:ascii="Arial" w:cs="Arial" w:eastAsia="Arial" w:hAnsi="Arial"/>
                <w:sz w:val="14"/>
                <w:szCs w:val="14"/>
                <w:b w:val="1"/>
                <w:bCs w:val="1"/>
                <w:color w:val="auto"/>
              </w:rPr>
              <w:t>Derivative Assets</w:t>
            </w:r>
          </w:p>
        </w:tc>
        <w:tc>
          <w:tcPr>
            <w:tcW w:w="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Derivative Liabilities</w:t>
            </w:r>
          </w:p>
        </w:tc>
        <w:tc>
          <w:tcPr>
            <w:tcW w:w="0" w:type="dxa"/>
            <w:vAlign w:val="bottom"/>
          </w:tcPr>
          <w:p>
            <w:pPr>
              <w:spacing w:after="0"/>
              <w:rPr>
                <w:sz w:val="1"/>
                <w:szCs w:val="1"/>
                <w:color w:val="auto"/>
              </w:rPr>
            </w:pPr>
          </w:p>
        </w:tc>
      </w:tr>
      <w:tr>
        <w:trPr>
          <w:trHeight w:val="179"/>
        </w:trPr>
        <w:tc>
          <w:tcPr>
            <w:tcW w:w="39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2"/>
              </w:rPr>
              <w:t>June 30, 2021</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December 31, 2020</w:t>
            </w: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2021</w:t>
            </w:r>
          </w:p>
        </w:tc>
        <w:tc>
          <w:tcPr>
            <w:tcW w:w="5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79"/>
        </w:trPr>
        <w:tc>
          <w:tcPr>
            <w:tcW w:w="3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1"/>
              </w:rPr>
              <w:t>(In millions)</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w w:val="89"/>
              </w:rPr>
              <w:t>Derivatives Designated as Cash Flow Hedges:</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60" w:type="dxa"/>
            <w:vAlign w:val="bottom"/>
          </w:tcPr>
          <w:p>
            <w:pPr>
              <w:ind w:left="540"/>
              <w:spacing w:after="0"/>
              <w:rPr>
                <w:sz w:val="20"/>
                <w:szCs w:val="20"/>
                <w:color w:val="auto"/>
              </w:rPr>
            </w:pPr>
            <w:r>
              <w:rPr>
                <w:rFonts w:ascii="Arial" w:cs="Arial" w:eastAsia="Arial" w:hAnsi="Arial"/>
                <w:sz w:val="18"/>
                <w:szCs w:val="18"/>
                <w:color w:val="auto"/>
              </w:rPr>
              <w:t>Interest rate contracts current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Interest rate contracts long-term</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52"/>
        </w:trPr>
        <w:tc>
          <w:tcPr>
            <w:tcW w:w="3960" w:type="dxa"/>
            <w:vAlign w:val="bottom"/>
          </w:tcPr>
          <w:p>
            <w:pPr>
              <w:ind w:left="580"/>
              <w:spacing w:after="0" w:line="152" w:lineRule="exact"/>
              <w:rPr>
                <w:sz w:val="20"/>
                <w:szCs w:val="20"/>
                <w:color w:val="auto"/>
              </w:rPr>
            </w:pPr>
            <w:r>
              <w:rPr>
                <w:rFonts w:ascii="Arial" w:cs="Arial" w:eastAsia="Arial" w:hAnsi="Arial"/>
                <w:sz w:val="17"/>
                <w:szCs w:val="17"/>
                <w:b w:val="1"/>
                <w:bCs w:val="1"/>
                <w:color w:val="auto"/>
                <w:w w:val="97"/>
              </w:rPr>
              <w:t>Total Derivatives Designated as Cash Flow</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5"/>
        </w:trPr>
        <w:tc>
          <w:tcPr>
            <w:tcW w:w="3960" w:type="dxa"/>
            <w:vAlign w:val="bottom"/>
          </w:tcPr>
          <w:p>
            <w:pPr>
              <w:ind w:left="180"/>
              <w:spacing w:after="0"/>
              <w:rPr>
                <w:sz w:val="20"/>
                <w:szCs w:val="20"/>
                <w:color w:val="auto"/>
              </w:rPr>
            </w:pPr>
            <w:r>
              <w:rPr>
                <w:rFonts w:ascii="Arial" w:cs="Arial" w:eastAsia="Arial" w:hAnsi="Arial"/>
                <w:sz w:val="18"/>
                <w:szCs w:val="18"/>
                <w:b w:val="1"/>
                <w:bCs w:val="1"/>
                <w:color w:val="auto"/>
              </w:rPr>
              <w:t>Hedges</w:t>
            </w:r>
          </w:p>
        </w:tc>
        <w:tc>
          <w:tcPr>
            <w:tcW w:w="5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70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960" w:type="dxa"/>
            <w:vAlign w:val="bottom"/>
            <w:tcBorders>
              <w:top w:val="single" w:sz="8" w:color="CCEEFF"/>
            </w:tcBorders>
            <w:shd w:val="clear" w:color="auto" w:fill="CCEEFF"/>
          </w:tcPr>
          <w:p>
            <w:pPr>
              <w:ind w:left="420"/>
              <w:spacing w:after="0" w:line="152" w:lineRule="exact"/>
              <w:rPr>
                <w:sz w:val="20"/>
                <w:szCs w:val="20"/>
                <w:color w:val="auto"/>
              </w:rPr>
            </w:pPr>
            <w:r>
              <w:rPr>
                <w:rFonts w:ascii="Arial" w:cs="Arial" w:eastAsia="Arial" w:hAnsi="Arial"/>
                <w:sz w:val="17"/>
                <w:szCs w:val="17"/>
                <w:b w:val="1"/>
                <w:bCs w:val="1"/>
                <w:color w:val="auto"/>
              </w:rPr>
              <w:t>Derivatives Not Designated as Cash Flow</w:t>
            </w:r>
          </w:p>
        </w:tc>
        <w:tc>
          <w:tcPr>
            <w:tcW w:w="5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Hedges:</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60" w:type="dxa"/>
            <w:vAlign w:val="bottom"/>
          </w:tcPr>
          <w:p>
            <w:pPr>
              <w:ind w:left="540"/>
              <w:spacing w:after="0"/>
              <w:rPr>
                <w:sz w:val="20"/>
                <w:szCs w:val="20"/>
                <w:color w:val="auto"/>
              </w:rPr>
            </w:pPr>
            <w:r>
              <w:rPr>
                <w:rFonts w:ascii="Arial" w:cs="Arial" w:eastAsia="Arial" w:hAnsi="Arial"/>
                <w:sz w:val="18"/>
                <w:szCs w:val="18"/>
                <w:color w:val="auto"/>
              </w:rPr>
              <w:t>Interest rate contracts current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Interest rate contracts long-term</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5"/>
        </w:trPr>
        <w:tc>
          <w:tcPr>
            <w:tcW w:w="3960" w:type="dxa"/>
            <w:vAlign w:val="bottom"/>
          </w:tcPr>
          <w:p>
            <w:pPr>
              <w:ind w:left="540"/>
              <w:spacing w:after="0"/>
              <w:rPr>
                <w:sz w:val="20"/>
                <w:szCs w:val="20"/>
                <w:color w:val="auto"/>
              </w:rPr>
            </w:pPr>
            <w:r>
              <w:rPr>
                <w:rFonts w:ascii="Arial" w:cs="Arial" w:eastAsia="Arial" w:hAnsi="Arial"/>
                <w:sz w:val="18"/>
                <w:szCs w:val="18"/>
                <w:color w:val="auto"/>
              </w:rPr>
              <w:t>Commodity contracts current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Commodity contracts long-term</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52"/>
        </w:trPr>
        <w:tc>
          <w:tcPr>
            <w:tcW w:w="3960" w:type="dxa"/>
            <w:vAlign w:val="bottom"/>
          </w:tcPr>
          <w:p>
            <w:pPr>
              <w:ind w:left="580"/>
              <w:spacing w:after="0" w:line="152" w:lineRule="exact"/>
              <w:rPr>
                <w:sz w:val="20"/>
                <w:szCs w:val="20"/>
                <w:color w:val="auto"/>
              </w:rPr>
            </w:pPr>
            <w:r>
              <w:rPr>
                <w:rFonts w:ascii="Arial" w:cs="Arial" w:eastAsia="Arial" w:hAnsi="Arial"/>
                <w:sz w:val="17"/>
                <w:szCs w:val="17"/>
                <w:b w:val="1"/>
                <w:bCs w:val="1"/>
                <w:color w:val="auto"/>
              </w:rPr>
              <w:t>Total Derivatives Not Designated as Cash</w:t>
            </w:r>
          </w:p>
        </w:tc>
        <w:tc>
          <w:tcPr>
            <w:tcW w:w="5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5"/>
        </w:trPr>
        <w:tc>
          <w:tcPr>
            <w:tcW w:w="3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Flow Hedges</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9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Derivatives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3"/>
        </w:trPr>
        <w:tc>
          <w:tcPr>
            <w:tcW w:w="3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gridSpan w:val="3"/>
          </w:tcPr>
          <w:p>
            <w:pPr>
              <w:jc w:val="right"/>
              <w:ind w:right="500"/>
              <w:spacing w:after="0"/>
              <w:rPr>
                <w:sz w:val="20"/>
                <w:szCs w:val="20"/>
                <w:color w:val="auto"/>
              </w:rPr>
            </w:pPr>
            <w:r>
              <w:rPr>
                <w:rFonts w:ascii="Arial" w:cs="Arial" w:eastAsia="Arial" w:hAnsi="Arial"/>
                <w:sz w:val="18"/>
                <w:szCs w:val="18"/>
                <w:color w:val="auto"/>
                <w:w w:val="89"/>
              </w:rPr>
              <w:t>28</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9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7" w:name="page28"/>
    <w:bookmarkEnd w:id="27"/>
    <w:p>
      <w:pPr>
        <w:jc w:val="both"/>
        <w:ind w:firstLine="397"/>
        <w:spacing w:after="0" w:line="330" w:lineRule="auto"/>
        <w:rPr>
          <w:sz w:val="20"/>
          <w:szCs w:val="20"/>
          <w:color w:val="auto"/>
        </w:rPr>
      </w:pPr>
      <w:r>
        <w:rPr>
          <w:rFonts w:ascii="Arial" w:cs="Arial" w:eastAsia="Arial" w:hAnsi="Arial"/>
          <w:sz w:val="15"/>
          <w:szCs w:val="15"/>
          <w:color w:val="auto"/>
        </w:rPr>
        <w:t>The Company has elected to present derivative assets and liabilities on the balance sheet on a trade-by-trade basis and does not offset amounts at the counterparty master agreement level. As of June 30, 2021 and December 31, 2020, there was no outstanding collateral paid or received. The following tables summarize the offsetting of derivatives by counterparty master agreement level as of June 30, 2021 and December 31,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June 30, 2021</w:t>
            </w:r>
          </w:p>
        </w:tc>
        <w:tc>
          <w:tcPr>
            <w:tcW w:w="24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Gross Amounts of</w:t>
            </w:r>
          </w:p>
        </w:tc>
        <w:tc>
          <w:tcPr>
            <w:tcW w:w="160" w:type="dxa"/>
            <w:vAlign w:val="bottom"/>
          </w:tcPr>
          <w:p>
            <w:pPr>
              <w:spacing w:after="0"/>
              <w:rPr>
                <w:sz w:val="14"/>
                <w:szCs w:val="14"/>
                <w:color w:val="auto"/>
              </w:rPr>
            </w:pPr>
          </w:p>
        </w:tc>
        <w:tc>
          <w:tcPr>
            <w:tcW w:w="1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Derivative Instruments</w:t>
            </w:r>
          </w:p>
        </w:tc>
        <w:tc>
          <w:tcPr>
            <w:tcW w:w="340" w:type="dxa"/>
            <w:vAlign w:val="bottom"/>
          </w:tcPr>
          <w:p>
            <w:pPr>
              <w:spacing w:after="0"/>
              <w:rPr>
                <w:sz w:val="14"/>
                <w:szCs w:val="14"/>
                <w:color w:val="auto"/>
              </w:rPr>
            </w:pPr>
          </w:p>
        </w:tc>
        <w:tc>
          <w:tcPr>
            <w:tcW w:w="15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0"/>
        </w:trPr>
        <w:tc>
          <w:tcPr>
            <w:tcW w:w="5520" w:type="dxa"/>
            <w:vAlign w:val="bottom"/>
            <w:vMerge w:val="continue"/>
          </w:tcPr>
          <w:p>
            <w:pPr>
              <w:spacing w:after="0"/>
              <w:rPr>
                <w:sz w:val="15"/>
                <w:szCs w:val="15"/>
                <w:color w:val="auto"/>
              </w:rPr>
            </w:pPr>
          </w:p>
        </w:tc>
        <w:tc>
          <w:tcPr>
            <w:tcW w:w="1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Recognized Assets/Liabilities</w:t>
            </w:r>
          </w:p>
        </w:tc>
        <w:tc>
          <w:tcPr>
            <w:tcW w:w="16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commodity contracts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5"/>
        </w:trPr>
        <w:tc>
          <w:tcPr>
            <w:tcW w:w="55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Interest rate contracts</w:t>
            </w:r>
          </w:p>
        </w:tc>
        <w:tc>
          <w:tcPr>
            <w:tcW w:w="2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8"/>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interest rate contracts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9"/>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55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December 31, 2020</w:t>
            </w:r>
          </w:p>
        </w:tc>
        <w:tc>
          <w:tcPr>
            <w:tcW w:w="240" w:type="dxa"/>
            <w:vAlign w:val="bottom"/>
          </w:tcPr>
          <w:p>
            <w:pPr>
              <w:spacing w:after="0"/>
              <w:rPr>
                <w:sz w:val="24"/>
                <w:szCs w:val="2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Gross Amounts of</w:t>
            </w:r>
          </w:p>
        </w:tc>
        <w:tc>
          <w:tcPr>
            <w:tcW w:w="160" w:type="dxa"/>
            <w:vAlign w:val="bottom"/>
          </w:tcPr>
          <w:p>
            <w:pPr>
              <w:spacing w:after="0"/>
              <w:rPr>
                <w:sz w:val="24"/>
                <w:szCs w:val="24"/>
                <w:color w:val="auto"/>
              </w:rPr>
            </w:pPr>
          </w:p>
        </w:tc>
        <w:tc>
          <w:tcPr>
            <w:tcW w:w="1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Derivative Instruments</w:t>
            </w:r>
          </w:p>
        </w:tc>
        <w:tc>
          <w:tcPr>
            <w:tcW w:w="340" w:type="dxa"/>
            <w:vAlign w:val="bottom"/>
          </w:tcPr>
          <w:p>
            <w:pPr>
              <w:spacing w:after="0"/>
              <w:rPr>
                <w:sz w:val="24"/>
                <w:szCs w:val="24"/>
                <w:color w:val="auto"/>
              </w:rPr>
            </w:pPr>
          </w:p>
        </w:tc>
        <w:tc>
          <w:tcPr>
            <w:tcW w:w="15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0"/>
        </w:trPr>
        <w:tc>
          <w:tcPr>
            <w:tcW w:w="5520" w:type="dxa"/>
            <w:vAlign w:val="bottom"/>
            <w:vMerge w:val="continue"/>
          </w:tcPr>
          <w:p>
            <w:pPr>
              <w:spacing w:after="0"/>
              <w:rPr>
                <w:sz w:val="15"/>
                <w:szCs w:val="15"/>
                <w:color w:val="auto"/>
              </w:rPr>
            </w:pPr>
          </w:p>
        </w:tc>
        <w:tc>
          <w:tcPr>
            <w:tcW w:w="1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Recognized Assets/Liabilities</w:t>
            </w:r>
          </w:p>
        </w:tc>
        <w:tc>
          <w:tcPr>
            <w:tcW w:w="16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80"/>
              <w:spacing w:after="0"/>
              <w:rPr>
                <w:sz w:val="20"/>
                <w:szCs w:val="20"/>
                <w:color w:val="auto"/>
              </w:rPr>
            </w:pPr>
            <w:r>
              <w:rPr>
                <w:rFonts w:ascii="Arial" w:cs="Arial" w:eastAsia="Arial" w:hAnsi="Arial"/>
                <w:sz w:val="18"/>
                <w:szCs w:val="18"/>
                <w:b w:val="1"/>
                <w:bCs w:val="1"/>
                <w:color w:val="auto"/>
              </w:rPr>
              <w:t>Commodity contracts</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8"/>
        </w:trPr>
        <w:tc>
          <w:tcPr>
            <w:tcW w:w="552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Total commodity contracts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6"/>
        </w:trPr>
        <w:tc>
          <w:tcPr>
            <w:tcW w:w="55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Interest rate contracts:</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20" w:type="dxa"/>
            <w:vAlign w:val="bottom"/>
          </w:tcPr>
          <w:p>
            <w:pPr>
              <w:ind w:left="220"/>
              <w:spacing w:after="0"/>
              <w:rPr>
                <w:sz w:val="20"/>
                <w:szCs w:val="20"/>
                <w:color w:val="auto"/>
              </w:rPr>
            </w:pPr>
            <w:r>
              <w:rPr>
                <w:rFonts w:ascii="Arial" w:cs="Arial" w:eastAsia="Arial" w:hAnsi="Arial"/>
                <w:sz w:val="18"/>
                <w:szCs w:val="18"/>
                <w:color w:val="auto"/>
              </w:rPr>
              <w:t>Derivative assets</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8"/>
        </w:trPr>
        <w:tc>
          <w:tcPr>
            <w:tcW w:w="552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Total interest rate contracts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64" w:lineRule="exact"/>
        <w:rPr>
          <w:sz w:val="20"/>
          <w:szCs w:val="20"/>
          <w:color w:val="auto"/>
        </w:rPr>
      </w:pPr>
    </w:p>
    <w:p>
      <w:pPr>
        <w:jc w:val="both"/>
        <w:ind w:firstLine="397"/>
        <w:spacing w:after="0" w:line="262"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r>
        <w:rPr>
          <w:rFonts w:ascii="Arial" w:cs="Arial" w:eastAsia="Arial" w:hAnsi="Arial"/>
          <w:sz w:val="18"/>
          <w:szCs w:val="18"/>
          <w:b w:val="1"/>
          <w:bCs w:val="1"/>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0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w w:val="91"/>
              </w:rPr>
              <w:t>(In millions)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OCL beginning balance</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173"/>
        </w:trPr>
        <w:tc>
          <w:tcPr>
            <w:tcW w:w="6200" w:type="dxa"/>
            <w:vAlign w:val="bottom"/>
          </w:tcPr>
          <w:p>
            <w:pPr>
              <w:ind w:left="20"/>
              <w:spacing w:after="0" w:line="173" w:lineRule="exact"/>
              <w:rPr>
                <w:sz w:val="20"/>
                <w:szCs w:val="20"/>
                <w:color w:val="auto"/>
              </w:rPr>
            </w:pPr>
            <w:r>
              <w:rPr>
                <w:rFonts w:ascii="Arial" w:cs="Arial" w:eastAsia="Arial" w:hAnsi="Arial"/>
                <w:sz w:val="18"/>
                <w:szCs w:val="18"/>
                <w:color w:val="auto"/>
                <w:w w:val="99"/>
              </w:rPr>
              <w:t>Reclassified from accumulated OCL to income due to realization of previously</w:t>
            </w:r>
          </w:p>
        </w:tc>
        <w:tc>
          <w:tcPr>
            <w:tcW w:w="82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6200" w:type="dxa"/>
            <w:vAlign w:val="bottom"/>
          </w:tcPr>
          <w:p>
            <w:pPr>
              <w:ind w:left="180"/>
              <w:spacing w:after="0"/>
              <w:rPr>
                <w:sz w:val="20"/>
                <w:szCs w:val="20"/>
                <w:color w:val="auto"/>
              </w:rPr>
            </w:pPr>
            <w:r>
              <w:rPr>
                <w:rFonts w:ascii="Arial" w:cs="Arial" w:eastAsia="Arial" w:hAnsi="Arial"/>
                <w:sz w:val="18"/>
                <w:szCs w:val="18"/>
                <w:color w:val="auto"/>
              </w:rPr>
              <w:t>deferred amounts</w:t>
            </w:r>
          </w:p>
        </w:tc>
        <w:tc>
          <w:tcPr>
            <w:tcW w:w="82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Mark-to-market of cash flow hedge accounting contracts</w:t>
            </w:r>
          </w:p>
        </w:tc>
        <w:tc>
          <w:tcPr>
            <w:tcW w:w="8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18"/>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OCL ending balance</w:t>
            </w: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(46)</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18"/>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OCL attributable to noncontrolling interests</w:t>
            </w:r>
          </w:p>
        </w:tc>
        <w:tc>
          <w:tcPr>
            <w:tcW w:w="8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200" w:type="dxa"/>
            <w:vAlign w:val="bottom"/>
          </w:tcPr>
          <w:p>
            <w:pPr>
              <w:ind w:left="120"/>
              <w:spacing w:after="0"/>
              <w:rPr>
                <w:sz w:val="20"/>
                <w:szCs w:val="20"/>
                <w:color w:val="auto"/>
              </w:rPr>
            </w:pPr>
            <w:r>
              <w:rPr>
                <w:rFonts w:ascii="Arial" w:cs="Arial" w:eastAsia="Arial" w:hAnsi="Arial"/>
                <w:sz w:val="18"/>
                <w:szCs w:val="18"/>
                <w:color w:val="auto"/>
              </w:rPr>
              <w:t>Accumulated OCL attributable to Clearway Energy LLC</w:t>
            </w: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8"/>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(46)</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8"/>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Amounts reclassified from accumulated OCL into income are recorded to interest expense.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3"/>
        </w:trPr>
        <w:tc>
          <w:tcPr>
            <w:tcW w:w="5200" w:type="dxa"/>
            <w:vAlign w:val="bottom"/>
          </w:tcPr>
          <w:p>
            <w:pPr>
              <w:spacing w:after="0"/>
              <w:rPr>
                <w:sz w:val="20"/>
                <w:szCs w:val="20"/>
                <w:color w:val="auto"/>
              </w:rPr>
            </w:pPr>
            <w:r>
              <w:rPr>
                <w:rFonts w:ascii="Arial" w:cs="Arial" w:eastAsia="Arial" w:hAnsi="Arial"/>
                <w:sz w:val="18"/>
                <w:szCs w:val="18"/>
                <w:b w:val="1"/>
                <w:bCs w:val="1"/>
                <w:i w:val="1"/>
                <w:iCs w:val="1"/>
                <w:color w:val="auto"/>
                <w:w w:val="97"/>
              </w:rPr>
              <w:t>Impact of Derivative Instruments on the Statements of Income</w:t>
            </w: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5200" w:type="dxa"/>
            <w:vAlign w:val="bottom"/>
          </w:tcPr>
          <w:p>
            <w:pPr>
              <w:ind w:left="400"/>
              <w:spacing w:after="0"/>
              <w:rPr>
                <w:sz w:val="20"/>
                <w:szCs w:val="20"/>
                <w:color w:val="auto"/>
              </w:rPr>
            </w:pPr>
            <w:r>
              <w:rPr>
                <w:rFonts w:ascii="Arial" w:cs="Arial" w:eastAsia="Arial" w:hAnsi="Arial"/>
                <w:sz w:val="18"/>
                <w:szCs w:val="18"/>
                <w:color w:val="auto"/>
              </w:rPr>
              <w:t>Gains  and  losses  related  to  the  Company's  derivatives</w:t>
            </w:r>
          </w:p>
        </w:tc>
        <w:tc>
          <w:tcPr>
            <w:tcW w:w="1220" w:type="dxa"/>
            <w:vAlign w:val="bottom"/>
          </w:tcPr>
          <w:p>
            <w:pPr>
              <w:jc w:val="right"/>
              <w:ind w:right="41"/>
              <w:spacing w:after="0"/>
              <w:rPr>
                <w:sz w:val="20"/>
                <w:szCs w:val="20"/>
                <w:color w:val="auto"/>
              </w:rPr>
            </w:pPr>
            <w:r>
              <w:rPr>
                <w:rFonts w:ascii="Arial" w:cs="Arial" w:eastAsia="Arial" w:hAnsi="Arial"/>
                <w:sz w:val="18"/>
                <w:szCs w:val="18"/>
                <w:color w:val="auto"/>
              </w:rPr>
              <w:t>are  recorded</w:t>
            </w:r>
          </w:p>
        </w:tc>
        <w:tc>
          <w:tcPr>
            <w:tcW w:w="680" w:type="dxa"/>
            <w:vAlign w:val="bottom"/>
          </w:tcPr>
          <w:p>
            <w:pPr>
              <w:ind w:left="60"/>
              <w:spacing w:after="0"/>
              <w:rPr>
                <w:sz w:val="20"/>
                <w:szCs w:val="20"/>
                <w:color w:val="auto"/>
              </w:rPr>
            </w:pPr>
            <w:r>
              <w:rPr>
                <w:rFonts w:ascii="Arial" w:cs="Arial" w:eastAsia="Arial" w:hAnsi="Arial"/>
                <w:sz w:val="18"/>
                <w:szCs w:val="18"/>
                <w:color w:val="auto"/>
              </w:rPr>
              <w:t>in  the</w:t>
            </w: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w w:val="94"/>
              </w:rPr>
              <w:t>consolidated</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statement</w:t>
            </w:r>
          </w:p>
        </w:tc>
        <w:tc>
          <w:tcPr>
            <w:tcW w:w="1220" w:type="dxa"/>
            <w:vAlign w:val="bottom"/>
          </w:tcPr>
          <w:p>
            <w:pPr>
              <w:ind w:left="80"/>
              <w:spacing w:after="0"/>
              <w:rPr>
                <w:sz w:val="20"/>
                <w:szCs w:val="20"/>
                <w:color w:val="auto"/>
              </w:rPr>
            </w:pPr>
            <w:r>
              <w:rPr>
                <w:rFonts w:ascii="Arial" w:cs="Arial" w:eastAsia="Arial" w:hAnsi="Arial"/>
                <w:sz w:val="18"/>
                <w:szCs w:val="18"/>
                <w:color w:val="auto"/>
              </w:rPr>
              <w:t>of  operations</w:t>
            </w:r>
          </w:p>
        </w:tc>
        <w:tc>
          <w:tcPr>
            <w:tcW w:w="320" w:type="dxa"/>
            <w:vAlign w:val="bottom"/>
          </w:tcPr>
          <w:p>
            <w:pPr>
              <w:ind w:left="100"/>
              <w:spacing w:after="0"/>
              <w:rPr>
                <w:sz w:val="20"/>
                <w:szCs w:val="20"/>
                <w:color w:val="auto"/>
              </w:rPr>
            </w:pPr>
            <w:r>
              <w:rPr>
                <w:rFonts w:ascii="Arial" w:cs="Arial" w:eastAsia="Arial" w:hAnsi="Arial"/>
                <w:sz w:val="18"/>
                <w:szCs w:val="18"/>
                <w:color w:val="auto"/>
              </w:rPr>
              <w:t>as</w:t>
            </w:r>
          </w:p>
        </w:tc>
        <w:tc>
          <w:tcPr>
            <w:tcW w:w="680" w:type="dxa"/>
            <w:vAlign w:val="bottom"/>
          </w:tcPr>
          <w:p>
            <w:pPr>
              <w:jc w:val="right"/>
              <w:spacing w:after="0"/>
              <w:rPr>
                <w:sz w:val="20"/>
                <w:szCs w:val="20"/>
                <w:color w:val="auto"/>
              </w:rPr>
            </w:pPr>
            <w:r>
              <w:rPr>
                <w:rFonts w:ascii="Arial" w:cs="Arial" w:eastAsia="Arial" w:hAnsi="Arial"/>
                <w:sz w:val="18"/>
                <w:szCs w:val="18"/>
                <w:color w:val="auto"/>
              </w:rPr>
              <w:t>follows:</w:t>
            </w:r>
          </w:p>
        </w:tc>
        <w:tc>
          <w:tcPr>
            <w:tcW w:w="0" w:type="dxa"/>
            <w:vAlign w:val="bottom"/>
          </w:tcPr>
          <w:p>
            <w:pPr>
              <w:spacing w:after="0"/>
              <w:rPr>
                <w:sz w:val="1"/>
                <w:szCs w:val="1"/>
                <w:color w:val="auto"/>
              </w:rPr>
            </w:pPr>
          </w:p>
        </w:tc>
      </w:tr>
      <w:tr>
        <w:trPr>
          <w:trHeight w:val="208"/>
        </w:trPr>
        <w:tc>
          <w:tcPr>
            <w:tcW w:w="520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1220" w:type="dxa"/>
            <w:vAlign w:val="bottom"/>
          </w:tcPr>
          <w:p>
            <w:pPr>
              <w:jc w:val="right"/>
              <w:ind w:right="1"/>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tcPr>
          <w:p>
            <w:pPr>
              <w:ind w:left="100"/>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5"/>
                <w:szCs w:val="15"/>
                <w:color w:val="auto"/>
              </w:rPr>
            </w:pPr>
          </w:p>
        </w:tc>
        <w:tc>
          <w:tcPr>
            <w:tcW w:w="680" w:type="dxa"/>
            <w:vAlign w:val="bottom"/>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200" w:type="dxa"/>
            <w:vAlign w:val="bottom"/>
          </w:tcPr>
          <w:p>
            <w:pPr>
              <w:ind w:left="420"/>
              <w:spacing w:after="0"/>
              <w:rPr>
                <w:sz w:val="20"/>
                <w:szCs w:val="20"/>
                <w:color w:val="auto"/>
              </w:rPr>
            </w:pPr>
            <w:r>
              <w:rPr>
                <w:rFonts w:ascii="Arial" w:cs="Arial" w:eastAsia="Arial" w:hAnsi="Arial"/>
                <w:sz w:val="18"/>
                <w:szCs w:val="18"/>
                <w:color w:val="auto"/>
              </w:rPr>
              <w:t>Interest Rate Contracts (Interest expense)</w:t>
            </w:r>
          </w:p>
        </w:tc>
        <w:tc>
          <w:tcPr>
            <w:tcW w:w="1220" w:type="dxa"/>
            <w:vAlign w:val="bottom"/>
          </w:tcPr>
          <w:p>
            <w:pPr>
              <w:jc w:val="right"/>
              <w:ind w:right="641"/>
              <w:spacing w:after="0"/>
              <w:rPr>
                <w:sz w:val="20"/>
                <w:szCs w:val="20"/>
                <w:color w:val="auto"/>
              </w:rPr>
            </w:pPr>
            <w:r>
              <w:rPr>
                <w:rFonts w:ascii="Arial" w:cs="Arial" w:eastAsia="Arial" w:hAnsi="Arial"/>
                <w:sz w:val="18"/>
                <w:szCs w:val="18"/>
                <w:color w:val="242424"/>
              </w:rPr>
              <w:t>$</w:t>
            </w:r>
          </w:p>
        </w:tc>
        <w:tc>
          <w:tcPr>
            <w:tcW w:w="680" w:type="dxa"/>
            <w:vAlign w:val="bottom"/>
          </w:tcPr>
          <w:p>
            <w:pPr>
              <w:ind w:left="60"/>
              <w:spacing w:after="0"/>
              <w:rPr>
                <w:sz w:val="20"/>
                <w:szCs w:val="20"/>
                <w:color w:val="auto"/>
              </w:rPr>
            </w:pPr>
            <w:r>
              <w:rPr>
                <w:rFonts w:ascii="Arial" w:cs="Arial" w:eastAsia="Arial" w:hAnsi="Arial"/>
                <w:sz w:val="18"/>
                <w:szCs w:val="18"/>
                <w:color w:val="242424"/>
              </w:rPr>
              <w:t>(11)</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39"/>
              <w:spacing w:after="0"/>
              <w:rPr>
                <w:sz w:val="20"/>
                <w:szCs w:val="20"/>
                <w:color w:val="auto"/>
              </w:rPr>
            </w:pPr>
            <w:r>
              <w:rPr>
                <w:rFonts w:ascii="Arial" w:cs="Arial" w:eastAsia="Arial" w:hAnsi="Arial"/>
                <w:sz w:val="18"/>
                <w:szCs w:val="18"/>
                <w:color w:val="auto"/>
              </w:rPr>
              <w:t>36</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74"/>
        </w:trPr>
        <w:tc>
          <w:tcPr>
            <w:tcW w:w="5200" w:type="dxa"/>
            <w:vAlign w:val="bottom"/>
            <w:shd w:val="clear" w:color="auto" w:fill="CCEEFF"/>
          </w:tcPr>
          <w:p>
            <w:pPr>
              <w:ind w:left="420"/>
              <w:spacing w:after="0" w:line="174" w:lineRule="exact"/>
              <w:rPr>
                <w:sz w:val="20"/>
                <w:szCs w:val="20"/>
                <w:color w:val="auto"/>
              </w:rPr>
            </w:pPr>
            <w:r>
              <w:rPr>
                <w:rFonts w:ascii="Arial" w:cs="Arial" w:eastAsia="Arial" w:hAnsi="Arial"/>
                <w:sz w:val="18"/>
                <w:szCs w:val="18"/>
                <w:color w:val="auto"/>
                <w:w w:val="98"/>
              </w:rPr>
              <w:t>Commodity Contracts (Mark-to-market for economic hedging</w:t>
            </w:r>
          </w:p>
        </w:tc>
        <w:tc>
          <w:tcPr>
            <w:tcW w:w="12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242424"/>
              </w:rPr>
              <w:t>(28)</w:t>
            </w:r>
          </w:p>
        </w:tc>
        <w:tc>
          <w:tcPr>
            <w:tcW w:w="4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399"/>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 (a)</w:t>
            </w:r>
          </w:p>
        </w:tc>
        <w:tc>
          <w:tcPr>
            <w:tcW w:w="12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40" w:hanging="134"/>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Relates to long-term power hedges at Elbow Creek Wind Project LLC, or Elbow Creek, Mesquite Star Special LLC, or Mesquite Star, and NedPower Mount Storm LLC, or Mt. Storm.</w:t>
      </w:r>
    </w:p>
    <w:p>
      <w:pPr>
        <w:spacing w:after="0" w:line="197"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fuel/electricity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This note should be read in conjunction with the complete description under Item 15 — Note 10,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w:t>
      </w:r>
      <w:r>
        <w:rPr>
          <w:rFonts w:ascii="Arial" w:cs="Arial" w:eastAsia="Arial" w:hAnsi="Arial"/>
          <w:sz w:val="17"/>
          <w:szCs w:val="17"/>
          <w:color w:val="231F20"/>
        </w:rPr>
        <w:t>to the consolidated financial</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0" w:type="dxa"/>
            <w:vAlign w:val="bottom"/>
          </w:tcPr>
          <w:p>
            <w:pPr>
              <w:spacing w:after="0"/>
              <w:rPr>
                <w:sz w:val="20"/>
                <w:szCs w:val="20"/>
                <w:color w:val="auto"/>
              </w:rPr>
            </w:pPr>
            <w:r>
              <w:rPr>
                <w:rFonts w:ascii="Arial" w:cs="Arial" w:eastAsia="Arial" w:hAnsi="Arial"/>
                <w:sz w:val="18"/>
                <w:szCs w:val="18"/>
                <w:color w:val="231F20"/>
              </w:rPr>
              <w:t>statements</w:t>
            </w:r>
          </w:p>
        </w:tc>
        <w:tc>
          <w:tcPr>
            <w:tcW w:w="1120" w:type="dxa"/>
            <w:vAlign w:val="bottom"/>
          </w:tcPr>
          <w:p>
            <w:pPr>
              <w:jc w:val="center"/>
              <w:ind w:right="112"/>
              <w:spacing w:after="0"/>
              <w:rPr>
                <w:sz w:val="20"/>
                <w:szCs w:val="20"/>
                <w:color w:val="auto"/>
              </w:rPr>
            </w:pPr>
            <w:r>
              <w:rPr>
                <w:rFonts w:ascii="Arial" w:cs="Arial" w:eastAsia="Arial" w:hAnsi="Arial"/>
                <w:sz w:val="18"/>
                <w:szCs w:val="18"/>
                <w:color w:val="231F20"/>
                <w:w w:val="89"/>
              </w:rPr>
              <w:t>included</w:t>
            </w:r>
          </w:p>
        </w:tc>
        <w:tc>
          <w:tcPr>
            <w:tcW w:w="480" w:type="dxa"/>
            <w:vAlign w:val="bottom"/>
          </w:tcPr>
          <w:p>
            <w:pPr>
              <w:ind w:left="20"/>
              <w:spacing w:after="0"/>
              <w:rPr>
                <w:sz w:val="20"/>
                <w:szCs w:val="20"/>
                <w:color w:val="auto"/>
              </w:rPr>
            </w:pPr>
            <w:r>
              <w:rPr>
                <w:rFonts w:ascii="Arial" w:cs="Arial" w:eastAsia="Arial" w:hAnsi="Arial"/>
                <w:sz w:val="18"/>
                <w:szCs w:val="18"/>
                <w:color w:val="231F20"/>
              </w:rPr>
              <w:t>in</w:t>
            </w:r>
          </w:p>
        </w:tc>
        <w:tc>
          <w:tcPr>
            <w:tcW w:w="580" w:type="dxa"/>
            <w:vAlign w:val="bottom"/>
          </w:tcPr>
          <w:p>
            <w:pPr>
              <w:ind w:left="40"/>
              <w:spacing w:after="0"/>
              <w:rPr>
                <w:sz w:val="20"/>
                <w:szCs w:val="20"/>
                <w:color w:val="auto"/>
              </w:rPr>
            </w:pPr>
            <w:r>
              <w:rPr>
                <w:rFonts w:ascii="Arial" w:cs="Arial" w:eastAsia="Arial" w:hAnsi="Arial"/>
                <w:sz w:val="18"/>
                <w:szCs w:val="18"/>
                <w:color w:val="231F20"/>
              </w:rPr>
              <w:t>the</w:t>
            </w:r>
          </w:p>
        </w:tc>
        <w:tc>
          <w:tcPr>
            <w:tcW w:w="1180" w:type="dxa"/>
            <w:vAlign w:val="bottom"/>
          </w:tcPr>
          <w:p>
            <w:pPr>
              <w:ind w:left="40"/>
              <w:spacing w:after="0"/>
              <w:rPr>
                <w:sz w:val="20"/>
                <w:szCs w:val="20"/>
                <w:color w:val="auto"/>
              </w:rPr>
            </w:pPr>
            <w:r>
              <w:rPr>
                <w:rFonts w:ascii="Arial" w:cs="Arial" w:eastAsia="Arial" w:hAnsi="Arial"/>
                <w:sz w:val="18"/>
                <w:szCs w:val="18"/>
                <w:color w:val="231F20"/>
              </w:rPr>
              <w:t>Company's</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w w:val="89"/>
              </w:rPr>
              <w:t>2020</w:t>
            </w:r>
          </w:p>
        </w:tc>
        <w:tc>
          <w:tcPr>
            <w:tcW w:w="780" w:type="dxa"/>
            <w:vAlign w:val="bottom"/>
          </w:tcPr>
          <w:p>
            <w:pPr>
              <w:jc w:val="center"/>
              <w:ind w:left="41"/>
              <w:spacing w:after="0"/>
              <w:rPr>
                <w:sz w:val="20"/>
                <w:szCs w:val="20"/>
                <w:color w:val="auto"/>
              </w:rPr>
            </w:pPr>
            <w:r>
              <w:rPr>
                <w:rFonts w:ascii="Arial" w:cs="Arial" w:eastAsia="Arial" w:hAnsi="Arial"/>
                <w:sz w:val="18"/>
                <w:szCs w:val="18"/>
                <w:color w:val="auto"/>
                <w:w w:val="90"/>
              </w:rPr>
              <w:t>Form</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w w:val="97"/>
              </w:rPr>
              <w:t>10-K.</w:t>
            </w:r>
          </w:p>
        </w:tc>
        <w:tc>
          <w:tcPr>
            <w:tcW w:w="1460" w:type="dxa"/>
            <w:vAlign w:val="bottom"/>
            <w:gridSpan w:val="2"/>
          </w:tcPr>
          <w:p>
            <w:pPr>
              <w:jc w:val="right"/>
              <w:ind w:right="281"/>
              <w:spacing w:after="0"/>
              <w:rPr>
                <w:sz w:val="20"/>
                <w:szCs w:val="20"/>
                <w:color w:val="auto"/>
              </w:rPr>
            </w:pPr>
            <w:r>
              <w:rPr>
                <w:rFonts w:ascii="Arial" w:cs="Arial" w:eastAsia="Arial" w:hAnsi="Arial"/>
                <w:sz w:val="18"/>
                <w:szCs w:val="18"/>
                <w:color w:val="auto"/>
              </w:rPr>
              <w:t>Long-term</w:t>
            </w:r>
          </w:p>
        </w:tc>
        <w:tc>
          <w:tcPr>
            <w:tcW w:w="340" w:type="dxa"/>
            <w:vAlign w:val="bottom"/>
            <w:gridSpan w:val="2"/>
          </w:tcPr>
          <w:p>
            <w:pPr>
              <w:spacing w:after="0"/>
              <w:rPr>
                <w:sz w:val="20"/>
                <w:szCs w:val="20"/>
                <w:color w:val="auto"/>
              </w:rPr>
            </w:pPr>
            <w:r>
              <w:rPr>
                <w:rFonts w:ascii="Arial" w:cs="Arial" w:eastAsia="Arial" w:hAnsi="Arial"/>
                <w:sz w:val="18"/>
                <w:szCs w:val="18"/>
                <w:color w:val="auto"/>
                <w:w w:val="91"/>
              </w:rPr>
              <w:t>debt</w:t>
            </w:r>
          </w:p>
        </w:tc>
        <w:tc>
          <w:tcPr>
            <w:tcW w:w="1340" w:type="dxa"/>
            <w:vAlign w:val="bottom"/>
          </w:tcPr>
          <w:p>
            <w:pPr>
              <w:ind w:left="340"/>
              <w:spacing w:after="0"/>
              <w:rPr>
                <w:sz w:val="20"/>
                <w:szCs w:val="20"/>
                <w:color w:val="auto"/>
              </w:rPr>
            </w:pPr>
            <w:r>
              <w:rPr>
                <w:rFonts w:ascii="Arial" w:cs="Arial" w:eastAsia="Arial" w:hAnsi="Arial"/>
                <w:sz w:val="18"/>
                <w:szCs w:val="18"/>
                <w:color w:val="auto"/>
              </w:rPr>
              <w:t>consisted</w:t>
            </w:r>
          </w:p>
        </w:tc>
        <w:tc>
          <w:tcPr>
            <w:tcW w:w="200" w:type="dxa"/>
            <w:vAlign w:val="bottom"/>
            <w:gridSpan w:val="3"/>
          </w:tcPr>
          <w:p>
            <w:pPr>
              <w:ind w:left="20"/>
              <w:spacing w:after="0"/>
              <w:rPr>
                <w:sz w:val="20"/>
                <w:szCs w:val="20"/>
                <w:color w:val="auto"/>
              </w:rPr>
            </w:pPr>
            <w:r>
              <w:rPr>
                <w:rFonts w:ascii="Arial" w:cs="Arial" w:eastAsia="Arial" w:hAnsi="Arial"/>
                <w:sz w:val="18"/>
                <w:szCs w:val="18"/>
                <w:color w:val="auto"/>
              </w:rPr>
              <w:t>of</w:t>
            </w:r>
          </w:p>
        </w:tc>
        <w:tc>
          <w:tcPr>
            <w:tcW w:w="580" w:type="dxa"/>
            <w:vAlign w:val="bottom"/>
          </w:tcPr>
          <w:p>
            <w:pPr>
              <w:ind w:left="340"/>
              <w:spacing w:after="0"/>
              <w:rPr>
                <w:sz w:val="20"/>
                <w:szCs w:val="20"/>
                <w:color w:val="auto"/>
              </w:rPr>
            </w:pPr>
            <w:r>
              <w:rPr>
                <w:rFonts w:ascii="Arial" w:cs="Arial" w:eastAsia="Arial" w:hAnsi="Arial"/>
                <w:sz w:val="18"/>
                <w:szCs w:val="18"/>
                <w:color w:val="auto"/>
                <w:w w:val="87"/>
              </w:rPr>
              <w:t>the</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w w:val="95"/>
              </w:rPr>
              <w:t>following:</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June 30, 2021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gridSpan w:val="3"/>
          </w:tcPr>
          <w:p>
            <w:pPr>
              <w:ind w:left="440"/>
              <w:spacing w:after="0" w:line="149" w:lineRule="exact"/>
              <w:rPr>
                <w:sz w:val="20"/>
                <w:szCs w:val="20"/>
                <w:color w:val="auto"/>
              </w:rPr>
            </w:pPr>
            <w:r>
              <w:rPr>
                <w:rFonts w:ascii="Arial" w:cs="Arial" w:eastAsia="Arial" w:hAnsi="Arial"/>
                <w:sz w:val="14"/>
                <w:szCs w:val="14"/>
                <w:b w:val="1"/>
                <w:bCs w:val="1"/>
                <w:color w:val="auto"/>
              </w:rPr>
              <w:t>Letters of Credit</w:t>
            </w:r>
          </w:p>
        </w:tc>
        <w:tc>
          <w:tcPr>
            <w:tcW w:w="0" w:type="dxa"/>
            <w:vAlign w:val="bottom"/>
          </w:tcPr>
          <w:p>
            <w:pPr>
              <w:spacing w:after="0"/>
              <w:rPr>
                <w:sz w:val="1"/>
                <w:szCs w:val="1"/>
                <w:color w:val="auto"/>
              </w:rPr>
            </w:pPr>
          </w:p>
        </w:tc>
      </w:tr>
      <w:tr>
        <w:trPr>
          <w:trHeight w:val="133"/>
        </w:trPr>
        <w:tc>
          <w:tcPr>
            <w:tcW w:w="20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w w:val="97"/>
              </w:rPr>
              <w:t>(In millions, except rates)</w:t>
            </w: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4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June 30, 2021</w:t>
            </w:r>
          </w:p>
        </w:tc>
        <w:tc>
          <w:tcPr>
            <w:tcW w:w="5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6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Outstanding at June 30,</w:t>
            </w:r>
          </w:p>
        </w:tc>
        <w:tc>
          <w:tcPr>
            <w:tcW w:w="0" w:type="dxa"/>
            <w:vAlign w:val="bottom"/>
          </w:tcPr>
          <w:p>
            <w:pPr>
              <w:spacing w:after="0"/>
              <w:rPr>
                <w:sz w:val="1"/>
                <w:szCs w:val="1"/>
                <w:color w:val="auto"/>
              </w:rPr>
            </w:pPr>
          </w:p>
        </w:tc>
      </w:tr>
      <w:tr>
        <w:trPr>
          <w:trHeight w:val="185"/>
        </w:trPr>
        <w:tc>
          <w:tcPr>
            <w:tcW w:w="208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4"/>
                <w:szCs w:val="14"/>
                <w:b w:val="1"/>
                <w:bCs w:val="1"/>
                <w:color w:val="auto"/>
              </w:rPr>
              <w:t>interest rate % (a)</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8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20" w:type="dxa"/>
            <w:vAlign w:val="bottom"/>
            <w:tcBorders>
              <w:top w:val="single" w:sz="8" w:color="CCEEFF"/>
            </w:tcBorders>
            <w:gridSpan w:val="5"/>
            <w:shd w:val="clear" w:color="auto" w:fill="CCEEFF"/>
          </w:tcPr>
          <w:p>
            <w:pPr>
              <w:ind w:left="420"/>
              <w:spacing w:after="0"/>
              <w:rPr>
                <w:sz w:val="20"/>
                <w:szCs w:val="20"/>
                <w:color w:val="auto"/>
              </w:rPr>
            </w:pPr>
            <w:r>
              <w:rPr>
                <w:rFonts w:ascii="Arial" w:cs="Arial" w:eastAsia="Arial" w:hAnsi="Arial"/>
                <w:sz w:val="16"/>
                <w:szCs w:val="16"/>
                <w:color w:val="auto"/>
              </w:rPr>
              <w:t>Intercompany Note with Clearway Energy, Inc.</w:t>
            </w:r>
          </w:p>
        </w:tc>
        <w:tc>
          <w:tcPr>
            <w:tcW w:w="4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ind w:left="61"/>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ind w:left="949"/>
              <w:spacing w:after="0"/>
              <w:rPr>
                <w:sz w:val="20"/>
                <w:szCs w:val="20"/>
                <w:color w:val="auto"/>
              </w:rPr>
            </w:pPr>
            <w:r>
              <w:rPr>
                <w:rFonts w:ascii="Arial" w:cs="Arial" w:eastAsia="Arial" w:hAnsi="Arial"/>
                <w:sz w:val="14"/>
                <w:szCs w:val="14"/>
                <w:color w:val="auto"/>
                <w:w w:val="91"/>
              </w:rPr>
              <w:t>1.490</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80" w:type="dxa"/>
            <w:vAlign w:val="bottom"/>
            <w:gridSpan w:val="2"/>
          </w:tcPr>
          <w:p>
            <w:pPr>
              <w:ind w:left="420"/>
              <w:spacing w:after="0"/>
              <w:rPr>
                <w:sz w:val="20"/>
                <w:szCs w:val="20"/>
                <w:color w:val="auto"/>
              </w:rPr>
            </w:pPr>
            <w:r>
              <w:rPr>
                <w:rFonts w:ascii="Arial" w:cs="Arial" w:eastAsia="Arial" w:hAnsi="Arial"/>
                <w:sz w:val="16"/>
                <w:szCs w:val="16"/>
                <w:color w:val="auto"/>
              </w:rPr>
              <w:t>2025 Senior Notes</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ind w:left="949"/>
              <w:spacing w:after="0"/>
              <w:rPr>
                <w:sz w:val="20"/>
                <w:szCs w:val="20"/>
                <w:color w:val="auto"/>
              </w:rPr>
            </w:pPr>
            <w:r>
              <w:rPr>
                <w:rFonts w:ascii="Arial" w:cs="Arial" w:eastAsia="Arial" w:hAnsi="Arial"/>
                <w:sz w:val="14"/>
                <w:szCs w:val="14"/>
                <w:color w:val="auto"/>
                <w:w w:val="91"/>
              </w:rPr>
              <w:t>5.750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2026 Senior Notes</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949"/>
              <w:spacing w:after="0"/>
              <w:rPr>
                <w:sz w:val="20"/>
                <w:szCs w:val="20"/>
                <w:color w:val="auto"/>
              </w:rPr>
            </w:pPr>
            <w:r>
              <w:rPr>
                <w:rFonts w:ascii="Arial" w:cs="Arial" w:eastAsia="Arial" w:hAnsi="Arial"/>
                <w:sz w:val="14"/>
                <w:szCs w:val="14"/>
                <w:color w:val="auto"/>
                <w:w w:val="91"/>
              </w:rPr>
              <w:t>5.000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gridSpan w:val="2"/>
          </w:tcPr>
          <w:p>
            <w:pPr>
              <w:ind w:left="420"/>
              <w:spacing w:after="0"/>
              <w:rPr>
                <w:sz w:val="20"/>
                <w:szCs w:val="20"/>
                <w:color w:val="auto"/>
              </w:rPr>
            </w:pPr>
            <w:r>
              <w:rPr>
                <w:rFonts w:ascii="Arial" w:cs="Arial" w:eastAsia="Arial" w:hAnsi="Arial"/>
                <w:sz w:val="16"/>
                <w:szCs w:val="16"/>
                <w:color w:val="auto"/>
              </w:rPr>
              <w:t>2028 Senior Notes</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ind w:left="949"/>
              <w:spacing w:after="0"/>
              <w:rPr>
                <w:sz w:val="20"/>
                <w:szCs w:val="20"/>
                <w:color w:val="auto"/>
              </w:rPr>
            </w:pPr>
            <w:r>
              <w:rPr>
                <w:rFonts w:ascii="Arial" w:cs="Arial" w:eastAsia="Arial" w:hAnsi="Arial"/>
                <w:sz w:val="14"/>
                <w:szCs w:val="14"/>
                <w:color w:val="auto"/>
                <w:w w:val="91"/>
              </w:rPr>
              <w:t>4.750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2031 Senior Notes</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949"/>
              <w:spacing w:after="0"/>
              <w:rPr>
                <w:sz w:val="20"/>
                <w:szCs w:val="20"/>
                <w:color w:val="auto"/>
              </w:rPr>
            </w:pPr>
            <w:r>
              <w:rPr>
                <w:rFonts w:ascii="Arial" w:cs="Arial" w:eastAsia="Arial" w:hAnsi="Arial"/>
                <w:sz w:val="14"/>
                <w:szCs w:val="14"/>
                <w:color w:val="auto"/>
                <w:w w:val="91"/>
              </w:rPr>
              <w:t>3.750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320" w:type="dxa"/>
            <w:vAlign w:val="bottom"/>
            <w:gridSpan w:val="5"/>
          </w:tcPr>
          <w:p>
            <w:pPr>
              <w:ind w:left="420"/>
              <w:spacing w:after="0" w:line="162" w:lineRule="exact"/>
              <w:rPr>
                <w:sz w:val="20"/>
                <w:szCs w:val="20"/>
                <w:color w:val="auto"/>
              </w:rPr>
            </w:pPr>
            <w:r>
              <w:rPr>
                <w:rFonts w:ascii="Arial" w:cs="Arial" w:eastAsia="Arial" w:hAnsi="Arial"/>
                <w:sz w:val="16"/>
                <w:szCs w:val="16"/>
                <w:color w:val="auto"/>
                <w:w w:val="92"/>
              </w:rPr>
              <w:t>Clearway Energy LLC and Clearway Energy Operating LLC</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vMerge w:val="restart"/>
          </w:tcPr>
          <w:p>
            <w:pPr>
              <w:jc w:val="right"/>
              <w:ind w:right="1"/>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60" w:type="dxa"/>
            <w:vAlign w:val="bottom"/>
            <w:gridSpan w:val="3"/>
          </w:tcPr>
          <w:p>
            <w:pPr>
              <w:ind w:left="20"/>
              <w:spacing w:after="0" w:line="208" w:lineRule="exact"/>
              <w:rPr>
                <w:sz w:val="20"/>
                <w:szCs w:val="20"/>
                <w:color w:val="auto"/>
              </w:rPr>
            </w:pPr>
            <w:r>
              <w:rPr>
                <w:rFonts w:ascii="Arial" w:cs="Arial" w:eastAsia="Arial" w:hAnsi="Arial"/>
                <w:sz w:val="16"/>
                <w:szCs w:val="16"/>
                <w:color w:val="auto"/>
                <w:w w:val="94"/>
              </w:rPr>
              <w:t xml:space="preserve">Revolving Credit Facility, due 2023 </w:t>
            </w:r>
            <w:r>
              <w:rPr>
                <w:rFonts w:ascii="Arial" w:cs="Arial" w:eastAsia="Arial" w:hAnsi="Arial"/>
                <w:sz w:val="20"/>
                <w:szCs w:val="20"/>
                <w:color w:val="auto"/>
                <w:w w:val="94"/>
                <w:vertAlign w:val="superscript"/>
              </w:rPr>
              <w:t>(b)</w:t>
            </w: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ind w:right="160"/>
              <w:spacing w:after="0"/>
              <w:rPr>
                <w:sz w:val="20"/>
                <w:szCs w:val="20"/>
                <w:color w:val="auto"/>
              </w:rPr>
            </w:pPr>
            <w:r>
              <w:rPr>
                <w:rFonts w:ascii="Arial" w:cs="Arial" w:eastAsia="Arial" w:hAnsi="Arial"/>
                <w:sz w:val="14"/>
                <w:szCs w:val="14"/>
                <w:color w:val="auto"/>
              </w:rPr>
              <w:t>L+1.750</w:t>
            </w:r>
          </w:p>
        </w:tc>
        <w:tc>
          <w:tcPr>
            <w:tcW w:w="5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80" w:type="dxa"/>
            <w:vAlign w:val="bottom"/>
            <w:gridSpan w:val="2"/>
            <w:shd w:val="clear" w:color="auto" w:fill="CCEEFF"/>
          </w:tcPr>
          <w:p>
            <w:pPr>
              <w:ind w:left="420"/>
              <w:spacing w:after="0"/>
              <w:rPr>
                <w:sz w:val="20"/>
                <w:szCs w:val="20"/>
                <w:color w:val="auto"/>
              </w:rPr>
            </w:pPr>
            <w:r>
              <w:rPr>
                <w:rFonts w:ascii="Arial" w:cs="Arial" w:eastAsia="Arial" w:hAnsi="Arial"/>
                <w:sz w:val="16"/>
                <w:szCs w:val="16"/>
                <w:b w:val="1"/>
                <w:bCs w:val="1"/>
                <w:color w:val="auto"/>
              </w:rPr>
              <w:t>Project-level debt:</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40" w:type="dxa"/>
            <w:vAlign w:val="bottom"/>
            <w:gridSpan w:val="4"/>
          </w:tcPr>
          <w:p>
            <w:pPr>
              <w:ind w:left="420"/>
              <w:spacing w:after="0"/>
              <w:rPr>
                <w:sz w:val="20"/>
                <w:szCs w:val="20"/>
                <w:color w:val="auto"/>
              </w:rPr>
            </w:pPr>
            <w:r>
              <w:rPr>
                <w:rFonts w:ascii="Arial" w:cs="Arial" w:eastAsia="Arial" w:hAnsi="Arial"/>
                <w:sz w:val="16"/>
                <w:szCs w:val="16"/>
                <w:color w:val="auto"/>
              </w:rPr>
              <w:t>Agua Caliente Solar LLC, due 2037</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2.395- 3.633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gridSpan w:val="5"/>
            <w:shd w:val="clear" w:color="auto" w:fill="CCEEFF"/>
          </w:tcPr>
          <w:p>
            <w:pPr>
              <w:ind w:left="420"/>
              <w:spacing w:after="0"/>
              <w:rPr>
                <w:sz w:val="20"/>
                <w:szCs w:val="20"/>
                <w:color w:val="auto"/>
              </w:rPr>
            </w:pPr>
            <w:r>
              <w:rPr>
                <w:rFonts w:ascii="Arial" w:cs="Arial" w:eastAsia="Arial" w:hAnsi="Arial"/>
                <w:sz w:val="16"/>
                <w:szCs w:val="16"/>
                <w:color w:val="auto"/>
              </w:rPr>
              <w:t>Alta Wind Asset Management LLC, due 2031</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L+2.625</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gridSpan w:val="6"/>
          </w:tcPr>
          <w:p>
            <w:pPr>
              <w:ind w:left="420"/>
              <w:spacing w:after="0"/>
              <w:rPr>
                <w:sz w:val="20"/>
                <w:szCs w:val="20"/>
                <w:color w:val="auto"/>
              </w:rPr>
            </w:pPr>
            <w:r>
              <w:rPr>
                <w:rFonts w:ascii="Arial" w:cs="Arial" w:eastAsia="Arial" w:hAnsi="Arial"/>
                <w:sz w:val="16"/>
                <w:szCs w:val="16"/>
                <w:color w:val="auto"/>
                <w:w w:val="95"/>
              </w:rPr>
              <w:t>Alta Wind I-V lease financing arrangements, due 2034 and 2035</w:t>
            </w: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5.696- 7.015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4320" w:type="dxa"/>
            <w:vAlign w:val="bottom"/>
            <w:gridSpan w:val="5"/>
            <w:shd w:val="clear" w:color="auto" w:fill="CCEEFF"/>
          </w:tcPr>
          <w:p>
            <w:pPr>
              <w:ind w:left="420"/>
              <w:spacing w:after="0"/>
              <w:rPr>
                <w:sz w:val="20"/>
                <w:szCs w:val="20"/>
                <w:color w:val="auto"/>
              </w:rPr>
            </w:pPr>
            <w:r>
              <w:rPr>
                <w:rFonts w:ascii="Arial" w:cs="Arial" w:eastAsia="Arial" w:hAnsi="Arial"/>
                <w:sz w:val="16"/>
                <w:szCs w:val="16"/>
                <w:color w:val="auto"/>
              </w:rPr>
              <w:t>Alta Wind Realty Investments LLC, due 2031</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gridSpan w:val="3"/>
          </w:tcPr>
          <w:p>
            <w:pPr>
              <w:ind w:left="420"/>
              <w:spacing w:after="0"/>
              <w:rPr>
                <w:sz w:val="20"/>
                <w:szCs w:val="20"/>
                <w:color w:val="auto"/>
              </w:rPr>
            </w:pPr>
            <w:r>
              <w:rPr>
                <w:rFonts w:ascii="Arial" w:cs="Arial" w:eastAsia="Arial" w:hAnsi="Arial"/>
                <w:sz w:val="16"/>
                <w:szCs w:val="16"/>
                <w:color w:val="auto"/>
              </w:rPr>
              <w:t>Borrego, due 2024 and 2038</w:t>
            </w: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center"/>
              <w:ind w:left="729"/>
              <w:spacing w:after="0"/>
              <w:rPr>
                <w:sz w:val="20"/>
                <w:szCs w:val="20"/>
                <w:color w:val="auto"/>
              </w:rPr>
            </w:pPr>
            <w:r>
              <w:rPr>
                <w:rFonts w:ascii="Arial" w:cs="Arial" w:eastAsia="Arial" w:hAnsi="Arial"/>
                <w:sz w:val="14"/>
                <w:szCs w:val="14"/>
                <w:color w:val="auto"/>
                <w:w w:val="88"/>
              </w:rPr>
              <w:t>Various</w:t>
            </w:r>
          </w:p>
        </w:tc>
        <w:tc>
          <w:tcPr>
            <w:tcW w:w="5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60" w:type="dxa"/>
            <w:vAlign w:val="bottom"/>
            <w:gridSpan w:val="3"/>
            <w:shd w:val="clear" w:color="auto" w:fill="CCEEFF"/>
          </w:tcPr>
          <w:p>
            <w:pPr>
              <w:ind w:left="420"/>
              <w:spacing w:after="0"/>
              <w:rPr>
                <w:sz w:val="20"/>
                <w:szCs w:val="20"/>
                <w:color w:val="auto"/>
              </w:rPr>
            </w:pPr>
            <w:r>
              <w:rPr>
                <w:rFonts w:ascii="Arial" w:cs="Arial" w:eastAsia="Arial" w:hAnsi="Arial"/>
                <w:sz w:val="16"/>
                <w:szCs w:val="16"/>
                <w:color w:val="auto"/>
              </w:rPr>
              <w:t>Buckthorn Solar, due 2025</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L+1.750</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gridSpan w:val="4"/>
          </w:tcPr>
          <w:p>
            <w:pPr>
              <w:ind w:left="420"/>
              <w:spacing w:after="0"/>
              <w:rPr>
                <w:sz w:val="20"/>
                <w:szCs w:val="20"/>
                <w:color w:val="auto"/>
              </w:rPr>
            </w:pPr>
            <w:r>
              <w:rPr>
                <w:rFonts w:ascii="Arial" w:cs="Arial" w:eastAsia="Arial" w:hAnsi="Arial"/>
                <w:sz w:val="16"/>
                <w:szCs w:val="16"/>
                <w:color w:val="auto"/>
                <w:w w:val="91"/>
              </w:rPr>
              <w:t>Carlsbad Energy Holdings LLC, due 2027</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ind w:right="160"/>
              <w:spacing w:after="0"/>
              <w:rPr>
                <w:sz w:val="20"/>
                <w:szCs w:val="20"/>
                <w:color w:val="auto"/>
              </w:rPr>
            </w:pPr>
            <w:r>
              <w:rPr>
                <w:rFonts w:ascii="Arial" w:cs="Arial" w:eastAsia="Arial" w:hAnsi="Arial"/>
                <w:sz w:val="14"/>
                <w:szCs w:val="14"/>
                <w:color w:val="auto"/>
              </w:rPr>
              <w:t>L+1.625</w:t>
            </w:r>
          </w:p>
        </w:tc>
        <w:tc>
          <w:tcPr>
            <w:tcW w:w="5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40" w:type="dxa"/>
            <w:vAlign w:val="bottom"/>
            <w:gridSpan w:val="4"/>
            <w:shd w:val="clear" w:color="auto" w:fill="CCEEFF"/>
          </w:tcPr>
          <w:p>
            <w:pPr>
              <w:ind w:left="420"/>
              <w:spacing w:after="0"/>
              <w:rPr>
                <w:sz w:val="20"/>
                <w:szCs w:val="20"/>
                <w:color w:val="auto"/>
              </w:rPr>
            </w:pPr>
            <w:r>
              <w:rPr>
                <w:rFonts w:ascii="Arial" w:cs="Arial" w:eastAsia="Arial" w:hAnsi="Arial"/>
                <w:sz w:val="16"/>
                <w:szCs w:val="16"/>
                <w:color w:val="auto"/>
                <w:w w:val="91"/>
              </w:rPr>
              <w:t>Carlsbad Energy Holdings LLC, due 2038</w:t>
            </w: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949"/>
              <w:spacing w:after="0"/>
              <w:rPr>
                <w:sz w:val="20"/>
                <w:szCs w:val="20"/>
                <w:color w:val="auto"/>
              </w:rPr>
            </w:pPr>
            <w:r>
              <w:rPr>
                <w:rFonts w:ascii="Arial" w:cs="Arial" w:eastAsia="Arial" w:hAnsi="Arial"/>
                <w:sz w:val="14"/>
                <w:szCs w:val="14"/>
                <w:color w:val="auto"/>
                <w:w w:val="91"/>
              </w:rPr>
              <w:t>4.120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gridSpan w:val="3"/>
          </w:tcPr>
          <w:p>
            <w:pPr>
              <w:ind w:left="420"/>
              <w:spacing w:after="0"/>
              <w:rPr>
                <w:sz w:val="20"/>
                <w:szCs w:val="20"/>
                <w:color w:val="auto"/>
              </w:rPr>
            </w:pPr>
            <w:r>
              <w:rPr>
                <w:rFonts w:ascii="Arial" w:cs="Arial" w:eastAsia="Arial" w:hAnsi="Arial"/>
                <w:sz w:val="16"/>
                <w:szCs w:val="16"/>
                <w:color w:val="auto"/>
              </w:rPr>
              <w:t>Carlsbad Holdco, due 2038</w:t>
            </w: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ind w:left="949"/>
              <w:spacing w:after="0"/>
              <w:rPr>
                <w:sz w:val="20"/>
                <w:szCs w:val="20"/>
                <w:color w:val="auto"/>
              </w:rPr>
            </w:pPr>
            <w:r>
              <w:rPr>
                <w:rFonts w:ascii="Arial" w:cs="Arial" w:eastAsia="Arial" w:hAnsi="Arial"/>
                <w:sz w:val="14"/>
                <w:szCs w:val="14"/>
                <w:color w:val="auto"/>
                <w:w w:val="91"/>
              </w:rPr>
              <w:t>4.210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60" w:type="dxa"/>
            <w:vAlign w:val="bottom"/>
            <w:gridSpan w:val="3"/>
            <w:shd w:val="clear" w:color="auto" w:fill="CCEEFF"/>
          </w:tcPr>
          <w:p>
            <w:pPr>
              <w:ind w:left="420"/>
              <w:spacing w:after="0"/>
              <w:rPr>
                <w:sz w:val="20"/>
                <w:szCs w:val="20"/>
                <w:color w:val="auto"/>
              </w:rPr>
            </w:pPr>
            <w:r>
              <w:rPr>
                <w:rFonts w:ascii="Arial" w:cs="Arial" w:eastAsia="Arial" w:hAnsi="Arial"/>
                <w:sz w:val="16"/>
                <w:szCs w:val="16"/>
                <w:color w:val="auto"/>
                <w:w w:val="96"/>
              </w:rPr>
              <w:t>CVSR Holdco Notes, due 2037</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949"/>
              <w:spacing w:after="0"/>
              <w:rPr>
                <w:sz w:val="20"/>
                <w:szCs w:val="20"/>
                <w:color w:val="auto"/>
              </w:rPr>
            </w:pPr>
            <w:r>
              <w:rPr>
                <w:rFonts w:ascii="Arial" w:cs="Arial" w:eastAsia="Arial" w:hAnsi="Arial"/>
                <w:sz w:val="14"/>
                <w:szCs w:val="14"/>
                <w:color w:val="auto"/>
                <w:w w:val="91"/>
              </w:rPr>
              <w:t>4.680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gridSpan w:val="2"/>
          </w:tcPr>
          <w:p>
            <w:pPr>
              <w:ind w:left="420"/>
              <w:spacing w:after="0"/>
              <w:rPr>
                <w:sz w:val="20"/>
                <w:szCs w:val="20"/>
                <w:color w:val="auto"/>
              </w:rPr>
            </w:pPr>
            <w:r>
              <w:rPr>
                <w:rFonts w:ascii="Arial" w:cs="Arial" w:eastAsia="Arial" w:hAnsi="Arial"/>
                <w:sz w:val="16"/>
                <w:szCs w:val="16"/>
                <w:color w:val="auto"/>
              </w:rPr>
              <w:t>CVSR, due 2037</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2.339 - 3.775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140" w:type="dxa"/>
            <w:vAlign w:val="bottom"/>
            <w:gridSpan w:val="4"/>
            <w:shd w:val="clear" w:color="auto" w:fill="CCEEFF"/>
          </w:tcPr>
          <w:p>
            <w:pPr>
              <w:ind w:left="420"/>
              <w:spacing w:after="0"/>
              <w:rPr>
                <w:sz w:val="20"/>
                <w:szCs w:val="20"/>
                <w:color w:val="auto"/>
              </w:rPr>
            </w:pPr>
            <w:r>
              <w:rPr>
                <w:rFonts w:ascii="Arial" w:cs="Arial" w:eastAsia="Arial" w:hAnsi="Arial"/>
                <w:sz w:val="16"/>
                <w:szCs w:val="16"/>
                <w:color w:val="auto"/>
                <w:w w:val="95"/>
              </w:rPr>
              <w:t>DG-CS Master Borrower LLC, due 2040</w:t>
            </w: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949"/>
              <w:spacing w:after="0"/>
              <w:rPr>
                <w:sz w:val="20"/>
                <w:szCs w:val="20"/>
                <w:color w:val="auto"/>
              </w:rPr>
            </w:pPr>
            <w:r>
              <w:rPr>
                <w:rFonts w:ascii="Arial" w:cs="Arial" w:eastAsia="Arial" w:hAnsi="Arial"/>
                <w:sz w:val="14"/>
                <w:szCs w:val="14"/>
                <w:color w:val="auto"/>
                <w:w w:val="91"/>
              </w:rPr>
              <w:t>3.510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gridSpan w:val="2"/>
          </w:tcPr>
          <w:p>
            <w:pPr>
              <w:ind w:left="420"/>
              <w:spacing w:after="0"/>
              <w:rPr>
                <w:sz w:val="20"/>
                <w:szCs w:val="20"/>
                <w:color w:val="auto"/>
              </w:rPr>
            </w:pPr>
            <w:r>
              <w:rPr>
                <w:rFonts w:ascii="Arial" w:cs="Arial" w:eastAsia="Arial" w:hAnsi="Arial"/>
                <w:sz w:val="16"/>
                <w:szCs w:val="16"/>
                <w:color w:val="auto"/>
              </w:rPr>
              <w:t>Duquesne, due 2059</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ind w:left="949"/>
              <w:spacing w:after="0"/>
              <w:rPr>
                <w:sz w:val="20"/>
                <w:szCs w:val="20"/>
                <w:color w:val="auto"/>
              </w:rPr>
            </w:pPr>
            <w:r>
              <w:rPr>
                <w:rFonts w:ascii="Arial" w:cs="Arial" w:eastAsia="Arial" w:hAnsi="Arial"/>
                <w:sz w:val="14"/>
                <w:szCs w:val="14"/>
                <w:color w:val="auto"/>
                <w:w w:val="91"/>
              </w:rPr>
              <w:t>4.620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140" w:type="dxa"/>
            <w:vAlign w:val="bottom"/>
            <w:gridSpan w:val="4"/>
            <w:shd w:val="clear" w:color="auto" w:fill="CCEEFF"/>
          </w:tcPr>
          <w:p>
            <w:pPr>
              <w:ind w:left="420"/>
              <w:spacing w:after="0"/>
              <w:rPr>
                <w:sz w:val="20"/>
                <w:szCs w:val="20"/>
                <w:color w:val="auto"/>
              </w:rPr>
            </w:pPr>
            <w:r>
              <w:rPr>
                <w:rFonts w:ascii="Arial" w:cs="Arial" w:eastAsia="Arial" w:hAnsi="Arial"/>
                <w:sz w:val="16"/>
                <w:szCs w:val="16"/>
                <w:color w:val="auto"/>
              </w:rPr>
              <w:t>El Segundo Energy Center, due 2023</w:t>
            </w: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L+1.875 - L+2.500</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00" w:type="dxa"/>
            <w:vAlign w:val="bottom"/>
            <w:gridSpan w:val="6"/>
          </w:tcPr>
          <w:p>
            <w:pPr>
              <w:ind w:left="420"/>
              <w:spacing w:after="0" w:line="162" w:lineRule="exact"/>
              <w:rPr>
                <w:sz w:val="20"/>
                <w:szCs w:val="20"/>
                <w:color w:val="auto"/>
              </w:rPr>
            </w:pPr>
            <w:r>
              <w:rPr>
                <w:rFonts w:ascii="Arial" w:cs="Arial" w:eastAsia="Arial" w:hAnsi="Arial"/>
                <w:sz w:val="16"/>
                <w:szCs w:val="16"/>
                <w:color w:val="auto"/>
                <w:w w:val="93"/>
              </w:rPr>
              <w:t>Energy Center Minneapolis Series D, E, F, G, H Notes, due 2025-</w:t>
            </w:r>
          </w:p>
        </w:tc>
        <w:tc>
          <w:tcPr>
            <w:tcW w:w="7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960" w:type="dxa"/>
            <w:vAlign w:val="bottom"/>
          </w:tcPr>
          <w:p>
            <w:pPr>
              <w:ind w:left="20"/>
              <w:spacing w:after="0"/>
              <w:rPr>
                <w:sz w:val="20"/>
                <w:szCs w:val="20"/>
                <w:color w:val="auto"/>
              </w:rPr>
            </w:pPr>
            <w:r>
              <w:rPr>
                <w:rFonts w:ascii="Arial" w:cs="Arial" w:eastAsia="Arial" w:hAnsi="Arial"/>
                <w:sz w:val="16"/>
                <w:szCs w:val="16"/>
                <w:color w:val="auto"/>
              </w:rPr>
              <w:t>2037</w:t>
            </w: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4"/>
          </w:tcPr>
          <w:p>
            <w:pPr>
              <w:jc w:val="center"/>
              <w:ind w:left="729"/>
              <w:spacing w:after="0"/>
              <w:rPr>
                <w:sz w:val="20"/>
                <w:szCs w:val="20"/>
                <w:color w:val="auto"/>
              </w:rPr>
            </w:pPr>
            <w:r>
              <w:rPr>
                <w:rFonts w:ascii="Arial" w:cs="Arial" w:eastAsia="Arial" w:hAnsi="Arial"/>
                <w:sz w:val="14"/>
                <w:szCs w:val="14"/>
                <w:color w:val="auto"/>
                <w:w w:val="88"/>
              </w:rPr>
              <w:t>Various</w:t>
            </w:r>
          </w:p>
        </w:tc>
        <w:tc>
          <w:tcPr>
            <w:tcW w:w="5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140" w:type="dxa"/>
            <w:vAlign w:val="bottom"/>
            <w:gridSpan w:val="4"/>
            <w:shd w:val="clear" w:color="auto" w:fill="CCEEFF"/>
          </w:tcPr>
          <w:p>
            <w:pPr>
              <w:ind w:left="420"/>
              <w:spacing w:after="0"/>
              <w:rPr>
                <w:sz w:val="20"/>
                <w:szCs w:val="20"/>
                <w:color w:val="auto"/>
              </w:rPr>
            </w:pPr>
            <w:r>
              <w:rPr>
                <w:rFonts w:ascii="Arial" w:cs="Arial" w:eastAsia="Arial" w:hAnsi="Arial"/>
                <w:sz w:val="16"/>
                <w:szCs w:val="16"/>
                <w:color w:val="auto"/>
                <w:w w:val="96"/>
              </w:rPr>
              <w:t>Kawailoa Solar Portfolio LLC, due 2026</w:t>
            </w: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L+1.375</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gridSpan w:val="2"/>
          </w:tcPr>
          <w:p>
            <w:pPr>
              <w:ind w:left="420"/>
              <w:spacing w:after="0"/>
              <w:rPr>
                <w:sz w:val="20"/>
                <w:szCs w:val="20"/>
                <w:color w:val="auto"/>
              </w:rPr>
            </w:pPr>
            <w:r>
              <w:rPr>
                <w:rFonts w:ascii="Arial" w:cs="Arial" w:eastAsia="Arial" w:hAnsi="Arial"/>
                <w:sz w:val="16"/>
                <w:szCs w:val="16"/>
                <w:color w:val="auto"/>
                <w:w w:val="95"/>
              </w:rPr>
              <w:t>Laredo Ridge, due 2028</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ind w:right="160"/>
              <w:spacing w:after="0"/>
              <w:rPr>
                <w:sz w:val="20"/>
                <w:szCs w:val="20"/>
                <w:color w:val="auto"/>
              </w:rPr>
            </w:pPr>
            <w:r>
              <w:rPr>
                <w:rFonts w:ascii="Arial" w:cs="Arial" w:eastAsia="Arial" w:hAnsi="Arial"/>
                <w:sz w:val="14"/>
                <w:szCs w:val="14"/>
                <w:color w:val="auto"/>
              </w:rPr>
              <w:t>L+2.125</w:t>
            </w:r>
          </w:p>
        </w:tc>
        <w:tc>
          <w:tcPr>
            <w:tcW w:w="5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w w:val="90"/>
              </w:rPr>
              <w:t>Marsh Landing, due 2023</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L+2.375</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gridSpan w:val="2"/>
          </w:tcPr>
          <w:p>
            <w:pPr>
              <w:ind w:left="420"/>
              <w:spacing w:after="0"/>
              <w:rPr>
                <w:sz w:val="20"/>
                <w:szCs w:val="20"/>
                <w:color w:val="auto"/>
              </w:rPr>
            </w:pPr>
            <w:r>
              <w:rPr>
                <w:rFonts w:ascii="Arial" w:cs="Arial" w:eastAsia="Arial" w:hAnsi="Arial"/>
                <w:sz w:val="16"/>
                <w:szCs w:val="16"/>
                <w:color w:val="auto"/>
              </w:rPr>
              <w:t>NIMH Solar, due 2024</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ind w:right="160"/>
              <w:spacing w:after="0"/>
              <w:rPr>
                <w:sz w:val="20"/>
                <w:szCs w:val="20"/>
                <w:color w:val="auto"/>
              </w:rPr>
            </w:pPr>
            <w:r>
              <w:rPr>
                <w:rFonts w:ascii="Arial" w:cs="Arial" w:eastAsia="Arial" w:hAnsi="Arial"/>
                <w:sz w:val="14"/>
                <w:szCs w:val="14"/>
                <w:color w:val="auto"/>
              </w:rPr>
              <w:t>L+2.00</w:t>
            </w:r>
          </w:p>
        </w:tc>
        <w:tc>
          <w:tcPr>
            <w:tcW w:w="5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gridSpan w:val="4"/>
            <w:shd w:val="clear" w:color="auto" w:fill="CCEEFF"/>
          </w:tcPr>
          <w:p>
            <w:pPr>
              <w:ind w:left="420"/>
              <w:spacing w:after="0"/>
              <w:rPr>
                <w:sz w:val="20"/>
                <w:szCs w:val="20"/>
                <w:color w:val="auto"/>
              </w:rPr>
            </w:pPr>
            <w:r>
              <w:rPr>
                <w:rFonts w:ascii="Arial" w:cs="Arial" w:eastAsia="Arial" w:hAnsi="Arial"/>
                <w:sz w:val="16"/>
                <w:szCs w:val="16"/>
                <w:color w:val="auto"/>
              </w:rPr>
              <w:t>Oahu Solar Holdings LLC, due 2026</w:t>
            </w: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L+1.375</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242424"/>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gridSpan w:val="5"/>
          </w:tcPr>
          <w:p>
            <w:pPr>
              <w:ind w:left="420"/>
              <w:spacing w:after="0"/>
              <w:rPr>
                <w:sz w:val="20"/>
                <w:szCs w:val="20"/>
                <w:color w:val="auto"/>
              </w:rPr>
            </w:pPr>
            <w:r>
              <w:rPr>
                <w:rFonts w:ascii="Arial" w:cs="Arial" w:eastAsia="Arial" w:hAnsi="Arial"/>
                <w:sz w:val="16"/>
                <w:szCs w:val="16"/>
                <w:color w:val="auto"/>
                <w:w w:val="96"/>
              </w:rPr>
              <w:t>Pinnacle Repowering Partnership Holdco LLC, due 2021</w:t>
            </w: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ind w:right="160"/>
              <w:spacing w:after="0"/>
              <w:rPr>
                <w:sz w:val="20"/>
                <w:szCs w:val="20"/>
                <w:color w:val="auto"/>
              </w:rPr>
            </w:pPr>
            <w:r>
              <w:rPr>
                <w:rFonts w:ascii="Arial" w:cs="Arial" w:eastAsia="Arial" w:hAnsi="Arial"/>
                <w:sz w:val="14"/>
                <w:szCs w:val="14"/>
                <w:color w:val="auto"/>
              </w:rPr>
              <w:t>L+1.00</w:t>
            </w:r>
          </w:p>
        </w:tc>
        <w:tc>
          <w:tcPr>
            <w:tcW w:w="5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60" w:type="dxa"/>
            <w:vAlign w:val="bottom"/>
            <w:gridSpan w:val="3"/>
            <w:shd w:val="clear" w:color="auto" w:fill="CCEEFF"/>
          </w:tcPr>
          <w:p>
            <w:pPr>
              <w:ind w:left="420"/>
              <w:spacing w:after="0"/>
              <w:rPr>
                <w:sz w:val="20"/>
                <w:szCs w:val="20"/>
                <w:color w:val="auto"/>
              </w:rPr>
            </w:pPr>
            <w:r>
              <w:rPr>
                <w:rFonts w:ascii="Arial" w:cs="Arial" w:eastAsia="Arial" w:hAnsi="Arial"/>
                <w:sz w:val="16"/>
                <w:szCs w:val="16"/>
                <w:color w:val="auto"/>
              </w:rPr>
              <w:t>Rosie Class B LLC, due 2027</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L+1.75</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gridSpan w:val="3"/>
          </w:tcPr>
          <w:p>
            <w:pPr>
              <w:ind w:left="420"/>
              <w:spacing w:after="0"/>
              <w:rPr>
                <w:sz w:val="20"/>
                <w:szCs w:val="20"/>
                <w:color w:val="auto"/>
              </w:rPr>
            </w:pPr>
            <w:r>
              <w:rPr>
                <w:rFonts w:ascii="Arial" w:cs="Arial" w:eastAsia="Arial" w:hAnsi="Arial"/>
                <w:sz w:val="16"/>
                <w:szCs w:val="16"/>
                <w:color w:val="auto"/>
                <w:w w:val="99"/>
              </w:rPr>
              <w:t>Tapestry Wind LLC, due 2031</w:t>
            </w: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ind w:right="160"/>
              <w:spacing w:after="0"/>
              <w:rPr>
                <w:sz w:val="20"/>
                <w:szCs w:val="20"/>
                <w:color w:val="auto"/>
              </w:rPr>
            </w:pPr>
            <w:r>
              <w:rPr>
                <w:rFonts w:ascii="Arial" w:cs="Arial" w:eastAsia="Arial" w:hAnsi="Arial"/>
                <w:sz w:val="14"/>
                <w:szCs w:val="14"/>
                <w:color w:val="auto"/>
              </w:rPr>
              <w:t>L+1.375</w:t>
            </w:r>
          </w:p>
        </w:tc>
        <w:tc>
          <w:tcPr>
            <w:tcW w:w="5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60" w:type="dxa"/>
            <w:vAlign w:val="bottom"/>
            <w:gridSpan w:val="3"/>
            <w:shd w:val="clear" w:color="auto" w:fill="CCEEFF"/>
          </w:tcPr>
          <w:p>
            <w:pPr>
              <w:ind w:left="420"/>
              <w:spacing w:after="0"/>
              <w:rPr>
                <w:sz w:val="20"/>
                <w:szCs w:val="20"/>
                <w:color w:val="auto"/>
              </w:rPr>
            </w:pPr>
            <w:r>
              <w:rPr>
                <w:rFonts w:ascii="Arial" w:cs="Arial" w:eastAsia="Arial" w:hAnsi="Arial"/>
                <w:sz w:val="16"/>
                <w:szCs w:val="16"/>
                <w:color w:val="auto"/>
                <w:w w:val="97"/>
              </w:rPr>
              <w:t>Utah Solar Holdings, due 2036</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949"/>
              <w:spacing w:after="0"/>
              <w:rPr>
                <w:sz w:val="20"/>
                <w:szCs w:val="20"/>
                <w:color w:val="auto"/>
              </w:rPr>
            </w:pPr>
            <w:r>
              <w:rPr>
                <w:rFonts w:ascii="Arial" w:cs="Arial" w:eastAsia="Arial" w:hAnsi="Arial"/>
                <w:sz w:val="14"/>
                <w:szCs w:val="14"/>
                <w:color w:val="auto"/>
                <w:w w:val="91"/>
              </w:rPr>
              <w:t>3.590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gridSpan w:val="2"/>
          </w:tcPr>
          <w:p>
            <w:pPr>
              <w:ind w:left="420"/>
              <w:spacing w:after="0"/>
              <w:rPr>
                <w:sz w:val="20"/>
                <w:szCs w:val="20"/>
                <w:color w:val="auto"/>
              </w:rPr>
            </w:pPr>
            <w:r>
              <w:rPr>
                <w:rFonts w:ascii="Arial" w:cs="Arial" w:eastAsia="Arial" w:hAnsi="Arial"/>
                <w:sz w:val="16"/>
                <w:szCs w:val="16"/>
                <w:color w:val="auto"/>
                <w:w w:val="95"/>
              </w:rPr>
              <w:t>Walnut Creek, due 2023</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ind w:right="160"/>
              <w:spacing w:after="0"/>
              <w:rPr>
                <w:sz w:val="20"/>
                <w:szCs w:val="20"/>
                <w:color w:val="auto"/>
              </w:rPr>
            </w:pPr>
            <w:r>
              <w:rPr>
                <w:rFonts w:ascii="Arial" w:cs="Arial" w:eastAsia="Arial" w:hAnsi="Arial"/>
                <w:sz w:val="14"/>
                <w:szCs w:val="14"/>
                <w:color w:val="auto"/>
              </w:rPr>
              <w:t>L+1.75</w:t>
            </w:r>
          </w:p>
        </w:tc>
        <w:tc>
          <w:tcPr>
            <w:tcW w:w="5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60" w:type="dxa"/>
            <w:vAlign w:val="bottom"/>
            <w:gridSpan w:val="3"/>
            <w:shd w:val="clear" w:color="auto" w:fill="CCEEFF"/>
          </w:tcPr>
          <w:p>
            <w:pPr>
              <w:ind w:left="420"/>
              <w:spacing w:after="0"/>
              <w:rPr>
                <w:sz w:val="20"/>
                <w:szCs w:val="20"/>
                <w:color w:val="auto"/>
              </w:rPr>
            </w:pPr>
            <w:r>
              <w:rPr>
                <w:rFonts w:ascii="Arial" w:cs="Arial" w:eastAsia="Arial" w:hAnsi="Arial"/>
                <w:sz w:val="16"/>
                <w:szCs w:val="16"/>
                <w:color w:val="auto"/>
                <w:w w:val="92"/>
              </w:rPr>
              <w:t>WCEP Holdings, LLC, due 2023</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L+3.00</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Other</w:t>
            </w:r>
          </w:p>
        </w:tc>
        <w:tc>
          <w:tcPr>
            <w:tcW w:w="11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4"/>
          </w:tcPr>
          <w:p>
            <w:pPr>
              <w:jc w:val="center"/>
              <w:ind w:left="729"/>
              <w:spacing w:after="0"/>
              <w:rPr>
                <w:sz w:val="20"/>
                <w:szCs w:val="20"/>
                <w:color w:val="auto"/>
              </w:rPr>
            </w:pPr>
            <w:r>
              <w:rPr>
                <w:rFonts w:ascii="Arial" w:cs="Arial" w:eastAsia="Arial" w:hAnsi="Arial"/>
                <w:sz w:val="14"/>
                <w:szCs w:val="14"/>
                <w:color w:val="auto"/>
                <w:w w:val="88"/>
              </w:rPr>
              <w:t>Various</w:t>
            </w:r>
          </w:p>
        </w:tc>
        <w:tc>
          <w:tcPr>
            <w:tcW w:w="5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60" w:type="dxa"/>
            <w:vAlign w:val="bottom"/>
            <w:gridSpan w:val="3"/>
            <w:shd w:val="clear" w:color="auto" w:fill="CCEEFF"/>
          </w:tcPr>
          <w:p>
            <w:pPr>
              <w:jc w:val="center"/>
              <w:ind w:left="181"/>
              <w:spacing w:after="0"/>
              <w:rPr>
                <w:sz w:val="20"/>
                <w:szCs w:val="20"/>
                <w:color w:val="auto"/>
              </w:rPr>
            </w:pPr>
            <w:r>
              <w:rPr>
                <w:rFonts w:ascii="Arial" w:cs="Arial" w:eastAsia="Arial" w:hAnsi="Arial"/>
                <w:sz w:val="16"/>
                <w:szCs w:val="16"/>
                <w:color w:val="auto"/>
                <w:w w:val="91"/>
              </w:rPr>
              <w:t>Subtotal project-level debt:</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5,834</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80" w:type="dxa"/>
            <w:vAlign w:val="bottom"/>
            <w:gridSpan w:val="2"/>
          </w:tcPr>
          <w:p>
            <w:pPr>
              <w:ind w:left="620"/>
              <w:spacing w:after="0"/>
              <w:rPr>
                <w:sz w:val="20"/>
                <w:szCs w:val="20"/>
                <w:color w:val="auto"/>
              </w:rPr>
            </w:pPr>
            <w:r>
              <w:rPr>
                <w:rFonts w:ascii="Arial" w:cs="Arial" w:eastAsia="Arial" w:hAnsi="Arial"/>
                <w:sz w:val="16"/>
                <w:szCs w:val="16"/>
                <w:color w:val="auto"/>
              </w:rPr>
              <w:t>Total debt</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8,027</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Less current maturities</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gridSpan w:val="3"/>
          </w:tcPr>
          <w:p>
            <w:pPr>
              <w:ind w:left="420"/>
              <w:spacing w:after="0"/>
              <w:rPr>
                <w:sz w:val="20"/>
                <w:szCs w:val="20"/>
                <w:color w:val="auto"/>
              </w:rPr>
            </w:pPr>
            <w:r>
              <w:rPr>
                <w:rFonts w:ascii="Arial" w:cs="Arial" w:eastAsia="Arial" w:hAnsi="Arial"/>
                <w:sz w:val="16"/>
                <w:szCs w:val="16"/>
                <w:color w:val="auto"/>
              </w:rPr>
              <w:t>Less net debt issuance costs</w:t>
            </w: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80" w:type="dxa"/>
            <w:vAlign w:val="bottom"/>
            <w:gridSpan w:val="2"/>
            <w:shd w:val="clear" w:color="auto" w:fill="CCEEFF"/>
          </w:tcPr>
          <w:p>
            <w:pPr>
              <w:ind w:left="420"/>
              <w:spacing w:after="0" w:line="214" w:lineRule="exact"/>
              <w:rPr>
                <w:sz w:val="20"/>
                <w:szCs w:val="20"/>
                <w:color w:val="auto"/>
              </w:rPr>
            </w:pPr>
            <w:r>
              <w:rPr>
                <w:rFonts w:ascii="Arial" w:cs="Arial" w:eastAsia="Arial" w:hAnsi="Arial"/>
                <w:sz w:val="16"/>
                <w:szCs w:val="16"/>
                <w:color w:val="auto"/>
              </w:rPr>
              <w:t>Add premiums</w:t>
            </w:r>
            <w:r>
              <w:rPr>
                <w:rFonts w:ascii="Arial" w:cs="Arial" w:eastAsia="Arial" w:hAnsi="Arial"/>
                <w:sz w:val="20"/>
                <w:szCs w:val="20"/>
                <w:color w:val="auto"/>
                <w:vertAlign w:val="superscript"/>
              </w:rPr>
              <w:t>(c)</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80" w:type="dxa"/>
            <w:vAlign w:val="bottom"/>
            <w:gridSpan w:val="2"/>
          </w:tcPr>
          <w:p>
            <w:pPr>
              <w:ind w:left="620"/>
              <w:spacing w:after="0"/>
              <w:rPr>
                <w:sz w:val="20"/>
                <w:szCs w:val="20"/>
                <w:color w:val="auto"/>
              </w:rPr>
            </w:pPr>
            <w:r>
              <w:rPr>
                <w:rFonts w:ascii="Arial" w:cs="Arial" w:eastAsia="Arial" w:hAnsi="Arial"/>
                <w:sz w:val="16"/>
                <w:szCs w:val="16"/>
                <w:color w:val="auto"/>
              </w:rPr>
              <w:t>Total long-term debt</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Borders>
              <w:bottom w:val="single" w:sz="8" w:color="auto"/>
            </w:tcBorders>
          </w:tcPr>
          <w:p>
            <w:pPr>
              <w:jc w:val="center"/>
              <w:ind w:left="6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7,434</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ind w:right="600" w:firstLine="6"/>
        <w:spacing w:after="0" w:line="245" w:lineRule="auto"/>
        <w:tabs>
          <w:tab w:leader="none" w:pos="192"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of June 30, 2021, L+ equals 3 month LIBOR plus x%, except Clearway Energy Operating LLC Revolving Credit Facility, due 2023, Marsh Landing, due 2023, Pinnacle Repowering Partnership HoldCo LLC, due 2021, and Walnut Creek, due 2023, where L+ equals 1 month LIBOR plus x%.</w:t>
      </w:r>
    </w:p>
    <w:p>
      <w:pPr>
        <w:spacing w:after="0" w:line="1" w:lineRule="exact"/>
        <w:rPr>
          <w:rFonts w:ascii="Arial" w:cs="Arial" w:eastAsia="Arial" w:hAnsi="Arial"/>
          <w:sz w:val="14"/>
          <w:szCs w:val="14"/>
          <w:color w:val="auto"/>
        </w:rPr>
      </w:pPr>
    </w:p>
    <w:p>
      <w:pPr>
        <w:ind w:left="200" w:hanging="194"/>
        <w:spacing w:after="0" w:line="237" w:lineRule="auto"/>
        <w:tabs>
          <w:tab w:leader="none" w:pos="2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Applicable rate is determined by the borrower leverage ratio, as defined in the credit agreement.</w:t>
      </w:r>
    </w:p>
    <w:p>
      <w:pPr>
        <w:ind w:left="200" w:hanging="194"/>
        <w:spacing w:after="0"/>
        <w:tabs>
          <w:tab w:leader="none" w:pos="2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Premiums relate to the 2028 Senior Notes.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0" w:name="page31"/>
    <w:bookmarkEnd w:id="30"/>
    <w:p>
      <w:pPr>
        <w:jc w:val="both"/>
        <w:ind w:firstLine="397"/>
        <w:spacing w:after="0" w:line="365" w:lineRule="auto"/>
        <w:rPr>
          <w:sz w:val="20"/>
          <w:szCs w:val="20"/>
          <w:color w:val="auto"/>
        </w:rPr>
      </w:pPr>
      <w:r>
        <w:rPr>
          <w:rFonts w:ascii="Arial" w:cs="Arial" w:eastAsia="Arial" w:hAnsi="Arial"/>
          <w:sz w:val="15"/>
          <w:szCs w:val="15"/>
          <w:color w:val="auto"/>
        </w:rPr>
        <w:t>The financing arrangements listed above contain certain covenants, including financial covenants that the Company is required to be in compliance with during the term of the respective arrangement. As of June 30, 2021, the Company was in compliance with all of the required covenants.</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discussion below describes material changes to or additions of long-term debt for the six months ended June 30, 2021.</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Clearway Energy LLC and Clearway Energy Operating LLC Revolving Credit Facility</w:t>
      </w:r>
    </w:p>
    <w:p>
      <w:pPr>
        <w:spacing w:after="0" w:line="164" w:lineRule="exact"/>
        <w:rPr>
          <w:sz w:val="20"/>
          <w:szCs w:val="20"/>
          <w:color w:val="auto"/>
        </w:rPr>
      </w:pPr>
    </w:p>
    <w:p>
      <w:pPr>
        <w:jc w:val="both"/>
        <w:ind w:firstLine="397"/>
        <w:spacing w:after="0" w:line="250" w:lineRule="auto"/>
        <w:rPr>
          <w:sz w:val="20"/>
          <w:szCs w:val="20"/>
          <w:color w:val="auto"/>
        </w:rPr>
      </w:pPr>
      <w:r>
        <w:rPr>
          <w:rFonts w:ascii="Arial" w:cs="Arial" w:eastAsia="Arial" w:hAnsi="Arial"/>
          <w:sz w:val="18"/>
          <w:szCs w:val="18"/>
          <w:color w:val="auto"/>
        </w:rPr>
        <w:t>As of June 30, 2021, the Company had $67 million of borrowings under the revolving credit facility and $88 million in letters of credit outstanding. During the six months ended June 30, 2021, the Company borrowed $300 million under the revolving credit facility, and subsequently repaid $233 million, utilizing cash on hand and proceeds from the issuance of the 2031 Senior Notes as described below. During July 2021, the company repaid the outstanding $67 million balance under the revolving credit facility and as of July 31, 2021, the Company had no loans outstanding under the revolving credit facility and a total of $75 million in letters of credit outstanding.</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2031 Senior Notes</w:t>
      </w:r>
    </w:p>
    <w:p>
      <w:pPr>
        <w:spacing w:after="0" w:line="164" w:lineRule="exact"/>
        <w:rPr>
          <w:sz w:val="20"/>
          <w:szCs w:val="20"/>
          <w:color w:val="auto"/>
        </w:rPr>
      </w:pPr>
    </w:p>
    <w:p>
      <w:pPr>
        <w:jc w:val="both"/>
        <w:ind w:firstLine="397"/>
        <w:spacing w:after="0" w:line="267" w:lineRule="auto"/>
        <w:rPr>
          <w:sz w:val="20"/>
          <w:szCs w:val="20"/>
          <w:color w:val="auto"/>
        </w:rPr>
      </w:pPr>
      <w:r>
        <w:rPr>
          <w:rFonts w:ascii="Arial" w:cs="Arial" w:eastAsia="Arial" w:hAnsi="Arial"/>
          <w:sz w:val="17"/>
          <w:szCs w:val="17"/>
          <w:color w:val="auto"/>
        </w:rPr>
        <w:t>On March 9, 2021, Clearway Energy Operating LLC completed the sale of $925 million of senior unsecured notes due 2031, or the 2031 Senior Notes. The 2031 Senior Notes bear interest at 3.750% and mature on February 15, 2031. Interest on the 2031 Senior Notes is payable semi-annually on February 15 and August 15 of each year, and interest payments will commence on August 15, 2021. The 2031 Senior Notes are unsecured obligations of Clearway Energy Operating LLC and are guaranteed by the Company and by certain of Clearway Energy Operating LLC's wholly owned current and future subsidiaries. The net proceeds from the 2031 Senior Notes were used to repurchase the 2025 Senior Notes, as well as to repay amounts outstanding under the Company’s revolving credit facility and for general corporate purposes.</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2025 Senior Notes Tender Offer and Redemption</w:t>
      </w:r>
    </w:p>
    <w:p>
      <w:pPr>
        <w:spacing w:after="0" w:line="164" w:lineRule="exact"/>
        <w:rPr>
          <w:sz w:val="20"/>
          <w:szCs w:val="20"/>
          <w:color w:val="auto"/>
        </w:rPr>
      </w:pPr>
    </w:p>
    <w:p>
      <w:pPr>
        <w:jc w:val="both"/>
        <w:ind w:firstLine="397"/>
        <w:spacing w:after="0" w:line="306" w:lineRule="auto"/>
        <w:rPr>
          <w:sz w:val="20"/>
          <w:szCs w:val="20"/>
          <w:color w:val="auto"/>
        </w:rPr>
      </w:pPr>
      <w:r>
        <w:rPr>
          <w:rFonts w:ascii="Arial" w:cs="Arial" w:eastAsia="Arial" w:hAnsi="Arial"/>
          <w:sz w:val="15"/>
          <w:szCs w:val="15"/>
          <w:color w:val="auto"/>
        </w:rPr>
        <w:t>On March 9, 2021, the Company completed the repurchase of an aggregate principal amount of $411 million, or 68.6%, of the 2025 Senior Notes outstanding as part of the cash tender offer announced on March 2, 2021. Additionally, $6 million of the 2025 Senior Notes that were subject to guaranteed delivery procedures were subsequently repurchased on March 11, 2021. On March 17, 2021, the Company exercised its right to optionally redeem the remaining principal amount of $183 million that were not validly tendered and purchased in the tender offer, pursuant to the terms of the indenture governing the 2025 Senior Notes. The 2025 Senior Notes repurchased and redeemed in March 2021 were effectuated at a premium of approximately 106% for total consideration of $636 million and, as a result, the Company recorded a loss on extinguishment in the amount of $36 million. The Company recorded an additional $5 million loss on extinguishment to write off the remaining unamortized deferred financing fees related to the 2025 Senior Notes.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Intercompany Note with Clearway Energy, Inc</w:t>
      </w:r>
      <w:r>
        <w:rPr>
          <w:rFonts w:ascii="Arial" w:cs="Arial" w:eastAsia="Arial" w:hAnsi="Arial"/>
          <w:sz w:val="18"/>
          <w:szCs w:val="18"/>
          <w:i w:val="1"/>
          <w:iCs w:val="1"/>
          <w:color w:val="auto"/>
        </w:rPr>
        <w:t>.</w:t>
      </w:r>
    </w:p>
    <w:p>
      <w:pPr>
        <w:spacing w:after="0" w:line="164" w:lineRule="exact"/>
        <w:rPr>
          <w:sz w:val="20"/>
          <w:szCs w:val="20"/>
          <w:color w:val="auto"/>
        </w:rPr>
      </w:pPr>
    </w:p>
    <w:p>
      <w:pPr>
        <w:jc w:val="both"/>
        <w:ind w:firstLine="397"/>
        <w:spacing w:after="0" w:line="330" w:lineRule="auto"/>
        <w:rPr>
          <w:sz w:val="20"/>
          <w:szCs w:val="20"/>
          <w:color w:val="auto"/>
        </w:rPr>
      </w:pPr>
      <w:r>
        <w:rPr>
          <w:rFonts w:ascii="Arial" w:cs="Arial" w:eastAsia="Arial" w:hAnsi="Arial"/>
          <w:sz w:val="15"/>
          <w:szCs w:val="15"/>
          <w:color w:val="auto"/>
        </w:rPr>
        <w:t>On February 18, 2020, the Company entered into an intercompany demand promissory note with Clearway Energy, Inc. in the principal amount of $3 million. The unpaid principal amount bears interest at a rate equal to the short-term applicable federal rate, which is payable on the last day of each quarter, or at other times as agreed upon by the Company and Clearway Energy, Inc. The outstanding balance as of June 30, 2021 is $1 million.</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Project - level Debt</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Agua Caliente Solar LLC</w:t>
      </w:r>
    </w:p>
    <w:p>
      <w:pPr>
        <w:spacing w:after="0" w:line="164" w:lineRule="exact"/>
        <w:rPr>
          <w:sz w:val="20"/>
          <w:szCs w:val="20"/>
          <w:color w:val="auto"/>
        </w:rPr>
      </w:pPr>
    </w:p>
    <w:p>
      <w:pPr>
        <w:jc w:val="both"/>
        <w:ind w:firstLine="397"/>
        <w:spacing w:after="0" w:line="330" w:lineRule="auto"/>
        <w:rPr>
          <w:sz w:val="20"/>
          <w:szCs w:val="20"/>
          <w:color w:val="auto"/>
        </w:rPr>
      </w:pPr>
      <w:r>
        <w:rPr>
          <w:rFonts w:ascii="Arial" w:cs="Arial" w:eastAsia="Arial" w:hAnsi="Arial"/>
          <w:sz w:val="15"/>
          <w:szCs w:val="15"/>
          <w:color w:val="auto"/>
        </w:rPr>
        <w:t xml:space="preserve">As part of the acquisition of Agua Caliente Borrower 1 LLC and the consolidation of Agua Caliente, as further described in Note 3, </w:t>
      </w:r>
      <w:r>
        <w:rPr>
          <w:rFonts w:ascii="Arial" w:cs="Arial" w:eastAsia="Arial" w:hAnsi="Arial"/>
          <w:sz w:val="15"/>
          <w:szCs w:val="15"/>
          <w:i w:val="1"/>
          <w:iCs w:val="1"/>
          <w:color w:val="auto"/>
        </w:rPr>
        <w:t>Acquisitions and</w:t>
      </w:r>
      <w:r>
        <w:rPr>
          <w:rFonts w:ascii="Arial" w:cs="Arial" w:eastAsia="Arial" w:hAnsi="Arial"/>
          <w:sz w:val="15"/>
          <w:szCs w:val="15"/>
          <w:color w:val="auto"/>
        </w:rPr>
        <w:t xml:space="preserve"> </w:t>
      </w:r>
      <w:r>
        <w:rPr>
          <w:rFonts w:ascii="Arial" w:cs="Arial" w:eastAsia="Arial" w:hAnsi="Arial"/>
          <w:sz w:val="15"/>
          <w:szCs w:val="15"/>
          <w:i w:val="1"/>
          <w:iCs w:val="1"/>
          <w:color w:val="auto"/>
        </w:rPr>
        <w:t>Dispositions</w:t>
      </w:r>
      <w:r>
        <w:rPr>
          <w:rFonts w:ascii="Arial" w:cs="Arial" w:eastAsia="Arial" w:hAnsi="Arial"/>
          <w:sz w:val="15"/>
          <w:szCs w:val="15"/>
          <w:color w:val="auto"/>
        </w:rPr>
        <w:t>, the Company consolidated non-recourse debt of $716 million related to Agua Caliente Solar, LLC on February 3, 2021. The debt consists of a</w:t>
      </w:r>
      <w:r>
        <w:rPr>
          <w:rFonts w:ascii="Arial" w:cs="Arial" w:eastAsia="Arial" w:hAnsi="Arial"/>
          <w:sz w:val="15"/>
          <w:szCs w:val="15"/>
          <w:i w:val="1"/>
          <w:iCs w:val="1"/>
          <w:color w:val="auto"/>
        </w:rPr>
        <w:t xml:space="preserve"> </w:t>
      </w:r>
      <w:r>
        <w:rPr>
          <w:rFonts w:ascii="Arial" w:cs="Arial" w:eastAsia="Arial" w:hAnsi="Arial"/>
          <w:sz w:val="15"/>
          <w:szCs w:val="15"/>
          <w:color w:val="auto"/>
        </w:rPr>
        <w:t>credit agreement with the Federal Financing Bank and accrues interest at fixed rates between 2.395% and 3.633%, which matures in 2037.</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Pinnacle Repowering Partnership HoldCo LLC</w:t>
      </w:r>
    </w:p>
    <w:p>
      <w:pPr>
        <w:spacing w:after="0" w:line="164" w:lineRule="exact"/>
        <w:rPr>
          <w:sz w:val="20"/>
          <w:szCs w:val="20"/>
          <w:color w:val="auto"/>
        </w:rPr>
      </w:pPr>
    </w:p>
    <w:p>
      <w:pPr>
        <w:jc w:val="both"/>
        <w:ind w:firstLine="397"/>
        <w:spacing w:after="0" w:line="250" w:lineRule="auto"/>
        <w:rPr>
          <w:sz w:val="20"/>
          <w:szCs w:val="20"/>
          <w:color w:val="auto"/>
        </w:rPr>
      </w:pPr>
      <w:r>
        <w:rPr>
          <w:rFonts w:ascii="Arial" w:cs="Arial" w:eastAsia="Arial" w:hAnsi="Arial"/>
          <w:sz w:val="18"/>
          <w:szCs w:val="18"/>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Wind LLC financing agreement, which related to the Pinnacle wind project, to pay vendor invoices and fees and to acquire certain equipment from Clearway Renew LLC to be utilized in the repowering project.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1" w:name="page32"/>
    <w:bookmarkEnd w:id="31"/>
    <w:p>
      <w:pPr>
        <w:spacing w:after="0"/>
        <w:rPr>
          <w:sz w:val="20"/>
          <w:szCs w:val="20"/>
          <w:color w:val="auto"/>
        </w:rPr>
      </w:pPr>
      <w:r>
        <w:rPr>
          <w:rFonts w:ascii="Arial" w:cs="Arial" w:eastAsia="Arial" w:hAnsi="Arial"/>
          <w:sz w:val="15"/>
          <w:szCs w:val="15"/>
          <w:color w:val="auto"/>
        </w:rPr>
        <w:t>will continue to draw on the construction loan to fund the repowering activities of the Pinnacle wind project up to the total commitment amount.</w:t>
      </w:r>
    </w:p>
    <w:p>
      <w:pPr>
        <w:sectPr>
          <w:pgSz w:w="11900" w:h="16838" w:orient="portrait"/>
          <w:cols w:equalWidth="0" w:num="1">
            <w:col w:w="10200"/>
          </w:cols>
          <w:pgMar w:left="320" w:top="882"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200"/>
          </w:cols>
          <w:pgMar w:left="320" w:top="882" w:right="137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Segment Reporting</w:t>
      </w:r>
    </w:p>
    <w:p>
      <w:pPr>
        <w:spacing w:after="0" w:line="170" w:lineRule="exact"/>
        <w:rPr>
          <w:sz w:val="20"/>
          <w:szCs w:val="20"/>
          <w:color w:val="auto"/>
        </w:rPr>
      </w:pPr>
    </w:p>
    <w:p>
      <w:pPr>
        <w:jc w:val="both"/>
        <w:ind w:firstLine="397"/>
        <w:spacing w:after="0" w:line="250"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11"/>
          </w:tcPr>
          <w:p>
            <w:pPr>
              <w:jc w:val="right"/>
              <w:ind w:right="820"/>
              <w:spacing w:after="0"/>
              <w:rPr>
                <w:sz w:val="20"/>
                <w:szCs w:val="20"/>
                <w:color w:val="auto"/>
              </w:rPr>
            </w:pPr>
            <w:r>
              <w:rPr>
                <w:rFonts w:ascii="Arial" w:cs="Arial" w:eastAsia="Arial" w:hAnsi="Arial"/>
                <w:sz w:val="14"/>
                <w:szCs w:val="14"/>
                <w:b w:val="1"/>
                <w:bCs w:val="1"/>
                <w:color w:val="auto"/>
              </w:rPr>
              <w:t>Three months ended June 30, 2021</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4"/>
                <w:szCs w:val="14"/>
                <w:b w:val="1"/>
                <w:bCs w:val="1"/>
                <w:color w:val="auto"/>
              </w:rPr>
              <w:t>Conventional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154"/>
              <w:spacing w:after="0"/>
              <w:rPr>
                <w:sz w:val="20"/>
                <w:szCs w:val="20"/>
                <w:color w:val="auto"/>
              </w:rPr>
            </w:pPr>
            <w:r>
              <w:rPr>
                <w:rFonts w:ascii="Arial" w:cs="Arial" w:eastAsia="Arial" w:hAnsi="Arial"/>
                <w:sz w:val="14"/>
                <w:szCs w:val="14"/>
                <w:b w:val="1"/>
                <w:bCs w:val="1"/>
                <w:color w:val="auto"/>
                <w:w w:val="96"/>
              </w:rPr>
              <w:t>Renewables</w:t>
            </w:r>
          </w:p>
        </w:tc>
        <w:tc>
          <w:tcPr>
            <w:tcW w:w="100" w:type="dxa"/>
            <w:vAlign w:val="bottom"/>
            <w:gridSpan w:val="2"/>
            <w:vMerge w:val="restart"/>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Thermal</w:t>
            </w:r>
          </w:p>
        </w:tc>
        <w:tc>
          <w:tcPr>
            <w:tcW w:w="10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1"/>
              </w:rPr>
              <w:t xml:space="preserve">Corporate </w:t>
            </w:r>
            <w:r>
              <w:rPr>
                <w:rFonts w:ascii="Arial" w:cs="Arial" w:eastAsia="Arial" w:hAnsi="Arial"/>
                <w:sz w:val="18"/>
                <w:szCs w:val="18"/>
                <w:color w:val="auto"/>
                <w:w w:val="91"/>
                <w:vertAlign w:val="superscript"/>
              </w:rPr>
              <w:t>(a)</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9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4"/>
                <w:szCs w:val="14"/>
                <w:b w:val="1"/>
                <w:bCs w:val="1"/>
                <w:color w:val="auto"/>
              </w:rPr>
              <w:t>Generation</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940" w:type="dxa"/>
            <w:vAlign w:val="bottom"/>
          </w:tcPr>
          <w:p>
            <w:pPr>
              <w:ind w:left="240"/>
              <w:spacing w:after="0" w:line="173" w:lineRule="exact"/>
              <w:rPr>
                <w:sz w:val="20"/>
                <w:szCs w:val="20"/>
                <w:color w:val="auto"/>
              </w:rPr>
            </w:pPr>
            <w:r>
              <w:rPr>
                <w:rFonts w:ascii="Arial" w:cs="Arial" w:eastAsia="Arial" w:hAnsi="Arial"/>
                <w:sz w:val="18"/>
                <w:szCs w:val="18"/>
                <w:color w:val="auto"/>
                <w:w w:val="94"/>
              </w:rPr>
              <w:t>Cost of operations, exclusive of depreciation, amortization and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940" w:type="dxa"/>
            <w:vAlign w:val="bottom"/>
          </w:tcPr>
          <w:p>
            <w:pPr>
              <w:ind w:left="240"/>
              <w:spacing w:after="0"/>
              <w:rPr>
                <w:sz w:val="20"/>
                <w:szCs w:val="20"/>
                <w:color w:val="auto"/>
              </w:rPr>
            </w:pPr>
            <w:r>
              <w:rPr>
                <w:rFonts w:ascii="Arial" w:cs="Arial" w:eastAsia="Arial" w:hAnsi="Arial"/>
                <w:sz w:val="18"/>
                <w:szCs w:val="18"/>
                <w:color w:val="auto"/>
              </w:rPr>
              <w:t>accretion shown separately below</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240"/>
              <w:spacing w:after="0"/>
              <w:rPr>
                <w:sz w:val="20"/>
                <w:szCs w:val="20"/>
                <w:color w:val="auto"/>
              </w:rPr>
            </w:pPr>
            <w:r>
              <w:rPr>
                <w:rFonts w:ascii="Arial" w:cs="Arial" w:eastAsia="Arial" w:hAnsi="Arial"/>
                <w:sz w:val="18"/>
                <w:szCs w:val="18"/>
                <w:color w:val="auto"/>
              </w:rPr>
              <w:t>Development costs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24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3"/>
              </w:rPr>
              <w:t>(58)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140" w:type="dxa"/>
            <w:vAlign w:val="bottom"/>
          </w:tcPr>
          <w:p>
            <w:pPr>
              <w:jc w:val="right"/>
              <w:spacing w:after="0" w:line="197" w:lineRule="exact"/>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7"/>
                <w:szCs w:val="17"/>
                <w:color w:val="auto"/>
              </w:rPr>
            </w:pPr>
          </w:p>
        </w:tc>
        <w:tc>
          <w:tcPr>
            <w:tcW w:w="900" w:type="dxa"/>
            <w:vAlign w:val="bottom"/>
          </w:tcPr>
          <w:p>
            <w:pPr>
              <w:jc w:val="right"/>
              <w:spacing w:after="0" w:line="197" w:lineRule="exact"/>
              <w:rPr>
                <w:sz w:val="20"/>
                <w:szCs w:val="20"/>
                <w:color w:val="auto"/>
              </w:rPr>
            </w:pPr>
            <w:r>
              <w:rPr>
                <w:rFonts w:ascii="Arial" w:cs="Arial" w:eastAsia="Arial" w:hAnsi="Arial"/>
                <w:sz w:val="18"/>
                <w:szCs w:val="18"/>
                <w:color w:val="auto"/>
              </w:rPr>
              <w:t>2,500</w:t>
            </w:r>
          </w:p>
        </w:tc>
        <w:tc>
          <w:tcPr>
            <w:tcW w:w="100" w:type="dxa"/>
            <w:vAlign w:val="bottom"/>
          </w:tcPr>
          <w:p>
            <w:pPr>
              <w:spacing w:after="0"/>
              <w:rPr>
                <w:sz w:val="17"/>
                <w:szCs w:val="17"/>
                <w:color w:val="auto"/>
              </w:rPr>
            </w:pPr>
          </w:p>
        </w:tc>
        <w:tc>
          <w:tcPr>
            <w:tcW w:w="140" w:type="dxa"/>
            <w:vAlign w:val="bottom"/>
            <w:gridSpan w:val="2"/>
          </w:tcPr>
          <w:p>
            <w:pPr>
              <w:jc w:val="right"/>
              <w:ind w:right="40"/>
              <w:spacing w:after="0" w:line="197" w:lineRule="exact"/>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7"/>
                <w:szCs w:val="17"/>
                <w:color w:val="auto"/>
              </w:rPr>
            </w:pPr>
          </w:p>
        </w:tc>
        <w:tc>
          <w:tcPr>
            <w:tcW w:w="900" w:type="dxa"/>
            <w:vAlign w:val="bottom"/>
          </w:tcPr>
          <w:p>
            <w:pPr>
              <w:jc w:val="right"/>
              <w:spacing w:after="0" w:line="197" w:lineRule="exact"/>
              <w:rPr>
                <w:sz w:val="20"/>
                <w:szCs w:val="20"/>
                <w:color w:val="auto"/>
              </w:rPr>
            </w:pPr>
            <w:r>
              <w:rPr>
                <w:rFonts w:ascii="Arial" w:cs="Arial" w:eastAsia="Arial" w:hAnsi="Arial"/>
                <w:sz w:val="18"/>
                <w:szCs w:val="18"/>
                <w:color w:val="auto"/>
              </w:rPr>
              <w:t>8,617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2"/>
          </w:tcPr>
          <w:p>
            <w:pPr>
              <w:jc w:val="right"/>
              <w:ind w:right="140"/>
              <w:spacing w:after="0" w:line="197"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97" w:lineRule="exact"/>
              <w:rPr>
                <w:sz w:val="20"/>
                <w:szCs w:val="20"/>
                <w:color w:val="auto"/>
              </w:rPr>
            </w:pPr>
            <w:r>
              <w:rPr>
                <w:rFonts w:ascii="Arial" w:cs="Arial" w:eastAsia="Arial" w:hAnsi="Arial"/>
                <w:sz w:val="18"/>
                <w:szCs w:val="18"/>
                <w:color w:val="auto"/>
              </w:rPr>
              <w:t>621</w:t>
            </w:r>
          </w:p>
        </w:tc>
        <w:tc>
          <w:tcPr>
            <w:tcW w:w="100" w:type="dxa"/>
            <w:vAlign w:val="bottom"/>
          </w:tcPr>
          <w:p>
            <w:pPr>
              <w:spacing w:after="0"/>
              <w:rPr>
                <w:sz w:val="17"/>
                <w:szCs w:val="17"/>
                <w:color w:val="auto"/>
              </w:rPr>
            </w:pPr>
          </w:p>
        </w:tc>
        <w:tc>
          <w:tcPr>
            <w:tcW w:w="160" w:type="dxa"/>
            <w:vAlign w:val="bottom"/>
            <w:gridSpan w:val="2"/>
          </w:tcPr>
          <w:p>
            <w:pPr>
              <w:jc w:val="right"/>
              <w:ind w:right="60"/>
              <w:spacing w:after="0" w:line="197"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7" w:lineRule="exact"/>
              <w:rPr>
                <w:sz w:val="20"/>
                <w:szCs w:val="20"/>
                <w:color w:val="auto"/>
              </w:rPr>
            </w:pPr>
            <w:r>
              <w:rPr>
                <w:rFonts w:ascii="Arial" w:cs="Arial" w:eastAsia="Arial" w:hAnsi="Arial"/>
                <w:sz w:val="18"/>
                <w:szCs w:val="18"/>
                <w:color w:val="auto"/>
              </w:rPr>
              <w:t>25</w:t>
            </w:r>
          </w:p>
        </w:tc>
        <w:tc>
          <w:tcPr>
            <w:tcW w:w="40" w:type="dxa"/>
            <w:vAlign w:val="bottom"/>
          </w:tcPr>
          <w:p>
            <w:pPr>
              <w:spacing w:after="0"/>
              <w:rPr>
                <w:sz w:val="17"/>
                <w:szCs w:val="17"/>
                <w:color w:val="auto"/>
              </w:rPr>
            </w:pPr>
          </w:p>
        </w:tc>
        <w:tc>
          <w:tcPr>
            <w:tcW w:w="340" w:type="dxa"/>
            <w:vAlign w:val="bottom"/>
            <w:gridSpan w:val="3"/>
          </w:tcPr>
          <w:p>
            <w:pPr>
              <w:jc w:val="right"/>
              <w:ind w:right="52"/>
              <w:spacing w:after="0" w:line="197"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7" w:lineRule="exact"/>
              <w:rPr>
                <w:sz w:val="20"/>
                <w:szCs w:val="20"/>
                <w:color w:val="auto"/>
              </w:rPr>
            </w:pPr>
            <w:r>
              <w:rPr>
                <w:rFonts w:ascii="Arial" w:cs="Arial" w:eastAsia="Arial" w:hAnsi="Arial"/>
                <w:sz w:val="18"/>
                <w:szCs w:val="18"/>
                <w:color w:val="auto"/>
              </w:rPr>
              <w:t>11,763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4940" w:type="dxa"/>
            <w:vAlign w:val="bottom"/>
          </w:tcPr>
          <w:p>
            <w:pPr>
              <w:ind w:left="400"/>
              <w:spacing w:after="0"/>
              <w:rPr>
                <w:sz w:val="20"/>
                <w:szCs w:val="20"/>
                <w:color w:val="auto"/>
              </w:rPr>
            </w:pPr>
            <w:r>
              <w:rPr>
                <w:rFonts w:ascii="Arial" w:cs="Arial" w:eastAsia="Arial" w:hAnsi="Arial"/>
                <w:sz w:val="22"/>
                <w:szCs w:val="22"/>
                <w:color w:val="auto"/>
                <w:vertAlign w:val="superscript"/>
              </w:rPr>
              <w:t>(a)</w:t>
            </w:r>
            <w:r>
              <w:rPr>
                <w:rFonts w:ascii="Arial" w:cs="Arial" w:eastAsia="Arial" w:hAnsi="Arial"/>
                <w:sz w:val="16"/>
                <w:szCs w:val="16"/>
                <w:color w:val="auto"/>
              </w:rPr>
              <w:t xml:space="preserve"> Includes eliminations</w:t>
            </w: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11"/>
          </w:tcPr>
          <w:p>
            <w:pPr>
              <w:ind w:left="580"/>
              <w:spacing w:after="0"/>
              <w:rPr>
                <w:sz w:val="20"/>
                <w:szCs w:val="20"/>
                <w:color w:val="auto"/>
              </w:rPr>
            </w:pPr>
            <w:r>
              <w:rPr>
                <w:rFonts w:ascii="Arial" w:cs="Arial" w:eastAsia="Arial" w:hAnsi="Arial"/>
                <w:sz w:val="14"/>
                <w:szCs w:val="14"/>
                <w:b w:val="1"/>
                <w:bCs w:val="1"/>
                <w:color w:val="auto"/>
              </w:rPr>
              <w:t>Three months ended June 30, 2020</w:t>
            </w: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60"/>
              <w:spacing w:after="0" w:line="131" w:lineRule="exact"/>
              <w:rPr>
                <w:sz w:val="20"/>
                <w:szCs w:val="20"/>
                <w:color w:val="auto"/>
              </w:rPr>
            </w:pPr>
            <w:r>
              <w:rPr>
                <w:rFonts w:ascii="Arial" w:cs="Arial" w:eastAsia="Arial" w:hAnsi="Arial"/>
                <w:sz w:val="14"/>
                <w:szCs w:val="14"/>
                <w:b w:val="1"/>
                <w:bCs w:val="1"/>
                <w:color w:val="auto"/>
                <w:w w:val="92"/>
              </w:rPr>
              <w:t>Conventional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Renewables</w:t>
            </w:r>
          </w:p>
        </w:tc>
        <w:tc>
          <w:tcPr>
            <w:tcW w:w="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Thermal</w:t>
            </w:r>
          </w:p>
        </w:tc>
        <w:tc>
          <w:tcPr>
            <w:tcW w:w="10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Corporate</w:t>
            </w:r>
          </w:p>
        </w:tc>
        <w:tc>
          <w:tcPr>
            <w:tcW w:w="4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9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Generation</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940" w:type="dxa"/>
            <w:vAlign w:val="bottom"/>
          </w:tcPr>
          <w:p>
            <w:pPr>
              <w:ind w:left="240"/>
              <w:spacing w:after="0" w:line="173" w:lineRule="exact"/>
              <w:rPr>
                <w:sz w:val="20"/>
                <w:szCs w:val="20"/>
                <w:color w:val="auto"/>
              </w:rPr>
            </w:pPr>
            <w:r>
              <w:rPr>
                <w:rFonts w:ascii="Arial" w:cs="Arial" w:eastAsia="Arial" w:hAnsi="Arial"/>
                <w:sz w:val="18"/>
                <w:szCs w:val="18"/>
                <w:color w:val="auto"/>
                <w:w w:val="94"/>
              </w:rPr>
              <w:t>Cost of operations, exclusive of depreciation, amortization and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940" w:type="dxa"/>
            <w:vAlign w:val="bottom"/>
          </w:tcPr>
          <w:p>
            <w:pPr>
              <w:ind w:left="240"/>
              <w:spacing w:after="0"/>
              <w:rPr>
                <w:sz w:val="20"/>
                <w:szCs w:val="20"/>
                <w:color w:val="auto"/>
              </w:rPr>
            </w:pPr>
            <w:r>
              <w:rPr>
                <w:rFonts w:ascii="Arial" w:cs="Arial" w:eastAsia="Arial" w:hAnsi="Arial"/>
                <w:sz w:val="18"/>
                <w:szCs w:val="18"/>
                <w:color w:val="auto"/>
              </w:rPr>
              <w:t>accretion shown separately below</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Development costs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52</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240"/>
              <w:spacing w:after="0"/>
              <w:rPr>
                <w:sz w:val="20"/>
                <w:szCs w:val="20"/>
                <w:color w:val="auto"/>
              </w:rPr>
            </w:pPr>
            <w:r>
              <w:rPr>
                <w:rFonts w:ascii="Arial" w:cs="Arial" w:eastAsia="Arial" w:hAnsi="Arial"/>
                <w:sz w:val="18"/>
                <w:szCs w:val="18"/>
                <w:color w:val="auto"/>
              </w:rPr>
              <w:t>Gain on sale of unconsolidated affiliate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89"/>
              </w:rPr>
              <w:t>Six months ended June 30, 2021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0"/>
              </w:rPr>
              <w:t>Conventional</w:t>
            </w:r>
          </w:p>
        </w:tc>
        <w:tc>
          <w:tcPr>
            <w:tcW w:w="140" w:type="dxa"/>
            <w:vAlign w:val="bottom"/>
          </w:tcPr>
          <w:p>
            <w:pPr>
              <w:spacing w:after="0"/>
              <w:rPr>
                <w:sz w:val="11"/>
                <w:szCs w:val="11"/>
                <w:color w:val="auto"/>
              </w:rPr>
            </w:pPr>
          </w:p>
        </w:tc>
        <w:tc>
          <w:tcPr>
            <w:tcW w:w="9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1"/>
              </w:rPr>
              <w:t>Renewables</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5"/>
              </w:rPr>
              <w:t>Thermal</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1"/>
              </w:rPr>
              <w:t xml:space="preserve">Corporate </w:t>
            </w:r>
            <w:r>
              <w:rPr>
                <w:rFonts w:ascii="Arial" w:cs="Arial" w:eastAsia="Arial" w:hAnsi="Arial"/>
                <w:sz w:val="18"/>
                <w:szCs w:val="18"/>
                <w:color w:val="auto"/>
                <w:w w:val="91"/>
                <w:vertAlign w:val="superscript"/>
              </w:rPr>
              <w:t>(a)</w:t>
            </w:r>
          </w:p>
        </w:tc>
        <w:tc>
          <w:tcPr>
            <w:tcW w:w="12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1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Generation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173"/>
        </w:trPr>
        <w:tc>
          <w:tcPr>
            <w:tcW w:w="5160" w:type="dxa"/>
            <w:vAlign w:val="bottom"/>
          </w:tcPr>
          <w:p>
            <w:pPr>
              <w:ind w:left="180"/>
              <w:spacing w:after="0" w:line="173" w:lineRule="exact"/>
              <w:rPr>
                <w:sz w:val="20"/>
                <w:szCs w:val="20"/>
                <w:color w:val="auto"/>
              </w:rPr>
            </w:pPr>
            <w:r>
              <w:rPr>
                <w:rFonts w:ascii="Arial" w:cs="Arial" w:eastAsia="Arial" w:hAnsi="Arial"/>
                <w:sz w:val="18"/>
                <w:szCs w:val="18"/>
                <w:color w:val="auto"/>
                <w:w w:val="99"/>
              </w:rPr>
              <w:t>Cost of operations, exclusive of depreciation, amortization and</w:t>
            </w: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8"/>
                <w:szCs w:val="18"/>
                <w:color w:val="auto"/>
              </w:rPr>
              <w:t>accretion shown separately below</w:t>
            </w: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5"/>
        </w:trPr>
        <w:tc>
          <w:tcPr>
            <w:tcW w:w="51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516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5"/>
        </w:trPr>
        <w:tc>
          <w:tcPr>
            <w:tcW w:w="5160" w:type="dxa"/>
            <w:vAlign w:val="bottom"/>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516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9"/>
        </w:trPr>
        <w:tc>
          <w:tcPr>
            <w:tcW w:w="51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0"/>
              <w:spacing w:after="0"/>
              <w:rPr>
                <w:sz w:val="20"/>
                <w:szCs w:val="20"/>
                <w:color w:val="auto"/>
              </w:rPr>
            </w:pPr>
            <w:r>
              <w:rPr>
                <w:rFonts w:ascii="Arial" w:cs="Arial" w:eastAsia="Arial" w:hAnsi="Arial"/>
                <w:sz w:val="22"/>
                <w:szCs w:val="22"/>
                <w:color w:val="auto"/>
                <w:vertAlign w:val="superscript"/>
              </w:rPr>
              <w:t>(a)</w:t>
            </w:r>
            <w:r>
              <w:rPr>
                <w:rFonts w:ascii="Arial" w:cs="Arial" w:eastAsia="Arial" w:hAnsi="Arial"/>
                <w:sz w:val="16"/>
                <w:szCs w:val="16"/>
                <w:color w:val="auto"/>
              </w:rPr>
              <w:t xml:space="preserve"> Includes eliminations</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89"/>
              </w:rPr>
              <w:t>Six months ended June 30, 2020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0"/>
              </w:rPr>
              <w:t>Conventional</w:t>
            </w:r>
          </w:p>
        </w:tc>
        <w:tc>
          <w:tcPr>
            <w:tcW w:w="140" w:type="dxa"/>
            <w:vAlign w:val="bottom"/>
          </w:tcPr>
          <w:p>
            <w:pPr>
              <w:spacing w:after="0"/>
              <w:rPr>
                <w:sz w:val="11"/>
                <w:szCs w:val="11"/>
                <w:color w:val="auto"/>
              </w:rPr>
            </w:pPr>
          </w:p>
        </w:tc>
        <w:tc>
          <w:tcPr>
            <w:tcW w:w="9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1"/>
              </w:rPr>
              <w:t>Renewables</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5"/>
              </w:rPr>
              <w:t>Thermal</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1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Generation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173"/>
        </w:trPr>
        <w:tc>
          <w:tcPr>
            <w:tcW w:w="5160" w:type="dxa"/>
            <w:vAlign w:val="bottom"/>
          </w:tcPr>
          <w:p>
            <w:pPr>
              <w:ind w:left="180"/>
              <w:spacing w:after="0" w:line="173" w:lineRule="exact"/>
              <w:rPr>
                <w:sz w:val="20"/>
                <w:szCs w:val="20"/>
                <w:color w:val="auto"/>
              </w:rPr>
            </w:pPr>
            <w:r>
              <w:rPr>
                <w:rFonts w:ascii="Arial" w:cs="Arial" w:eastAsia="Arial" w:hAnsi="Arial"/>
                <w:sz w:val="18"/>
                <w:szCs w:val="18"/>
                <w:color w:val="auto"/>
                <w:w w:val="99"/>
              </w:rPr>
              <w:t>Cost of operations, exclusive of depreciation, amortization and</w:t>
            </w: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8"/>
                <w:szCs w:val="18"/>
                <w:color w:val="auto"/>
              </w:rPr>
              <w:t>accretion shown separately below</w:t>
            </w: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5"/>
        </w:trPr>
        <w:tc>
          <w:tcPr>
            <w:tcW w:w="51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516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5"/>
        </w:trPr>
        <w:tc>
          <w:tcPr>
            <w:tcW w:w="5160" w:type="dxa"/>
            <w:vAlign w:val="bottom"/>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unconsolidated affiliate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5"/>
        </w:trPr>
        <w:tc>
          <w:tcPr>
            <w:tcW w:w="51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Related Party Transactions</w:t>
      </w:r>
    </w:p>
    <w:p>
      <w:pPr>
        <w:spacing w:after="0" w:line="170" w:lineRule="exact"/>
        <w:rPr>
          <w:sz w:val="20"/>
          <w:szCs w:val="20"/>
          <w:color w:val="auto"/>
        </w:rPr>
      </w:pPr>
    </w:p>
    <w:p>
      <w:pPr>
        <w:jc w:val="both"/>
        <w:ind w:firstLine="397"/>
        <w:spacing w:after="0" w:line="318" w:lineRule="auto"/>
        <w:rPr>
          <w:sz w:val="20"/>
          <w:szCs w:val="20"/>
          <w:color w:val="auto"/>
        </w:rPr>
      </w:pPr>
      <w:r>
        <w:rPr>
          <w:rFonts w:ascii="Arial" w:cs="Arial" w:eastAsia="Arial" w:hAnsi="Arial"/>
          <w:sz w:val="15"/>
          <w:szCs w:val="15"/>
          <w:color w:val="auto"/>
        </w:rPr>
        <w:t>In addition to the transactions and relationships described elsewhere in the notes to the consolidated financial statements, certain subsidiaries of CEG provide services to the Company's project entities. Amounts due to CEG subsidiaries are recorded as accounts payable — affiliates and amounts due to the Company from CEG subsidiaries are recorded as accounts receivable — affiliates in the Company's balance sheet. The disclosures below summarize the Company's material related party transactions with CEG and its subsidiaries that are included in the Company's operating revenues and operating costs.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34" w:name="page35"/>
    <w:bookmarkEnd w:id="34"/>
    <w:p>
      <w:pPr>
        <w:ind w:left="480"/>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Clearway Renewable Operation &amp; Maintenance LLC</w:t>
      </w:r>
    </w:p>
    <w:p>
      <w:pPr>
        <w:spacing w:after="0" w:line="164"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7"/>
          <w:szCs w:val="17"/>
          <w:color w:val="auto"/>
        </w:rPr>
        <w:t>Various wholly-owned subsidiaries of the Company in the Renewables segment are party to administrative services agreements with Clearway Renewable Operation &amp; Maintenance LLC, or RENOM, a wholly-owned subsidiary of CEG, which provides operation and maintenance, or O&amp;M, services to these subsidiaries. The Company incurred total expenses for these services of $14 million and $9 million for the three months ended June 30, 2021 and 2020, respectively. The Company incurred total expenses for these services of $27 million and $18 million for the six months ended June 30, 2021 and 2020, respectively. There was a balance of $10 million due to RENOM as of June 30, 2021 and December 31, 2020.</w:t>
      </w:r>
    </w:p>
    <w:p>
      <w:pPr>
        <w:spacing w:after="0" w:line="12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CEG</w:t>
      </w:r>
    </w:p>
    <w:p>
      <w:pPr>
        <w:spacing w:after="0" w:line="164" w:lineRule="exact"/>
        <w:rPr>
          <w:sz w:val="20"/>
          <w:szCs w:val="20"/>
          <w:color w:val="auto"/>
        </w:rPr>
      </w:pPr>
    </w:p>
    <w:p>
      <w:pPr>
        <w:jc w:val="both"/>
        <w:ind w:firstLine="397"/>
        <w:spacing w:after="0" w:line="318" w:lineRule="auto"/>
        <w:rPr>
          <w:sz w:val="20"/>
          <w:szCs w:val="20"/>
          <w:color w:val="auto"/>
        </w:rPr>
      </w:pPr>
      <w:r>
        <w:rPr>
          <w:rFonts w:ascii="Arial" w:cs="Arial" w:eastAsia="Arial" w:hAnsi="Arial"/>
          <w:sz w:val="15"/>
          <w:szCs w:val="15"/>
          <w:color w:val="auto"/>
        </w:rPr>
        <w:t>Various wholly-owned subsidiaries of the Company are parties to administrative services agreements with Clearway Asset Services and Clearway Solar Asset Management, two wholly-owned subsidiaries of CEG, which provide various administrative services to the Company's subsidiaries. The Company incurred expenses under these agreements of $4 million and $2 million for the three months ended June 30, 2021 and 2020, respectively. The Company incurred expenses under these agreements of $7 million and $4 million for the six months ended June 30, 2021 and 2020, respectively.</w:t>
      </w:r>
    </w:p>
    <w:p>
      <w:pPr>
        <w:spacing w:after="0" w:line="9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164" w:lineRule="exact"/>
        <w:rPr>
          <w:sz w:val="20"/>
          <w:szCs w:val="20"/>
          <w:color w:val="auto"/>
        </w:rPr>
      </w:pPr>
    </w:p>
    <w:p>
      <w:pPr>
        <w:jc w:val="both"/>
        <w:ind w:firstLine="397"/>
        <w:spacing w:after="0" w:line="309" w:lineRule="auto"/>
        <w:rPr>
          <w:sz w:val="20"/>
          <w:szCs w:val="20"/>
          <w:color w:val="auto"/>
        </w:rPr>
      </w:pPr>
      <w:r>
        <w:rPr>
          <w:rFonts w:ascii="Arial" w:cs="Arial" w:eastAsia="Arial" w:hAnsi="Arial"/>
          <w:sz w:val="15"/>
          <w:szCs w:val="15"/>
          <w:color w:val="auto"/>
        </w:rPr>
        <w:t>The Company is a party to Master Services Agreements with CEG, or MSAs, pursuant to which CEG and certain of its affiliates or third 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Amounts due to CEG or its subsidiaries related to these MSAs are recorded as accounts payable — affiliates on the Company's consolidated balance sheet. The Company incurred net expenses of $1 million and $0.6 million under these agreements for the three months ended June 30, 2021 and 2020, respectively. The Company incurred net expenses of $2 million and $1.2 million under these agreements for the six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Contingencies</w:t>
      </w:r>
    </w:p>
    <w:p>
      <w:pPr>
        <w:spacing w:after="0" w:line="170"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 xml:space="preserve">This note should be read in conjunction with the complete description under Item 15 —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included in the Company's 2020 Form 10-K.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64" w:lineRule="exact"/>
        <w:rPr>
          <w:sz w:val="20"/>
          <w:szCs w:val="20"/>
          <w:color w:val="auto"/>
        </w:rPr>
      </w:pPr>
    </w:p>
    <w:p>
      <w:pPr>
        <w:jc w:val="both"/>
        <w:ind w:firstLine="397"/>
        <w:spacing w:after="0" w:line="303" w:lineRule="auto"/>
        <w:rPr>
          <w:sz w:val="20"/>
          <w:szCs w:val="20"/>
          <w:color w:val="auto"/>
        </w:rPr>
      </w:pPr>
      <w:r>
        <w:rPr>
          <w:rFonts w:ascii="Arial" w:cs="Arial" w:eastAsia="Arial" w:hAnsi="Arial"/>
          <w:sz w:val="15"/>
          <w:szCs w:val="15"/>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07"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Nebraska Public Power District Litigation</w:t>
      </w:r>
    </w:p>
    <w:p>
      <w:pPr>
        <w:spacing w:after="0" w:line="164" w:lineRule="exact"/>
        <w:rPr>
          <w:sz w:val="20"/>
          <w:szCs w:val="20"/>
          <w:color w:val="auto"/>
        </w:rPr>
      </w:pPr>
    </w:p>
    <w:p>
      <w:pPr>
        <w:jc w:val="both"/>
        <w:ind w:firstLine="397"/>
        <w:spacing w:after="0" w:line="283" w:lineRule="auto"/>
        <w:rPr>
          <w:sz w:val="20"/>
          <w:szCs w:val="20"/>
          <w:color w:val="auto"/>
        </w:rPr>
      </w:pPr>
      <w:r>
        <w:rPr>
          <w:rFonts w:ascii="Arial" w:cs="Arial" w:eastAsia="Arial" w:hAnsi="Arial"/>
          <w:sz w:val="15"/>
          <w:szCs w:val="15"/>
          <w:color w:val="auto"/>
        </w:rPr>
        <w:t>On January 11, 2019, Nebraska Public Power District, or NPPD, sent written notice to certain of the Company’s subsidiaries which own the Laredo Ridge and Elkhorn Ridge wind projects alleging an event of default under each of the PPAs between NPPD and the projects. NPPD alleges that the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On April 13, 2020, the U.S. District Court granted the wind projects' motion for summary judgment and permanently enjoined NPPD from terminating the PPAs in reliance on the alleged events of default. The U.S. District Court decision was appealed by NPPD on May 11, 2020 and the case in the Knox County District Court remains pending, but has been stayed pending the outcome of the U.S. District Court case. Argument before the U.S. Court of Appeals for the Eight Circuit was held on March 18, 2021. The Company believes the allegations of NPPD are meritless and the Company is vigorously defending its rights under the PPAs.</w:t>
      </w:r>
    </w:p>
    <w:p>
      <w:pPr>
        <w:spacing w:after="0" w:line="38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Buckthorn Solar Litigation</w:t>
      </w:r>
    </w:p>
    <w:p>
      <w:pPr>
        <w:spacing w:after="0" w:line="164" w:lineRule="exact"/>
        <w:rPr>
          <w:sz w:val="20"/>
          <w:szCs w:val="20"/>
          <w:color w:val="auto"/>
        </w:rPr>
      </w:pPr>
    </w:p>
    <w:p>
      <w:pPr>
        <w:jc w:val="both"/>
        <w:ind w:firstLine="397"/>
        <w:spacing w:after="0" w:line="303" w:lineRule="auto"/>
        <w:rPr>
          <w:sz w:val="20"/>
          <w:szCs w:val="20"/>
          <w:color w:val="auto"/>
        </w:rPr>
      </w:pPr>
      <w:r>
        <w:rPr>
          <w:rFonts w:ascii="Arial" w:cs="Arial" w:eastAsia="Arial" w:hAnsi="Arial"/>
          <w:sz w:val="15"/>
          <w:szCs w:val="15"/>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Buckthorn Westex believes the allegations of Georgetown are meritless, and Buckthorn Westex is vigorously defending its rights under the PPA.</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6" w:name="page37"/>
    <w:bookmarkEnd w:id="36"/>
    <w:p>
      <w:pPr>
        <w:jc w:val="right"/>
        <w:ind w:right="3300"/>
        <w:spacing w:after="0" w:line="520" w:lineRule="auto"/>
        <w:rPr>
          <w:sz w:val="20"/>
          <w:szCs w:val="20"/>
          <w:color w:val="auto"/>
        </w:rPr>
      </w:pPr>
      <w:r>
        <w:rPr>
          <w:rFonts w:ascii="Arial" w:cs="Arial" w:eastAsia="Arial" w:hAnsi="Arial"/>
          <w:sz w:val="15"/>
          <w:szCs w:val="15"/>
          <w:b w:val="1"/>
          <w:bCs w:val="1"/>
          <w:color w:val="auto"/>
        </w:rPr>
        <w:t xml:space="preserve">ITEM 2 — Management's Discussion and Analysis of Financial Condition and the Results of Operations </w:t>
      </w:r>
      <w:r>
        <w:rPr>
          <w:rFonts w:ascii="Arial" w:cs="Arial" w:eastAsia="Arial" w:hAnsi="Arial"/>
          <w:sz w:val="15"/>
          <w:szCs w:val="15"/>
          <w:color w:val="auto"/>
        </w:rPr>
        <w:t>The following discussion analyzes the Company's historical financial condition and results of operations.</w:t>
      </w:r>
    </w:p>
    <w:p>
      <w:pPr>
        <w:spacing w:after="0" w:line="1"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 xml:space="preserve">As you read this discussion and analysis, refer to the Company's Consolidated Financial Statements to this Form 10-Q, which present the results of operations for the three and six months ended June 30, 2021 and 2020. Also refer to the </w:t>
      </w:r>
      <w:r>
        <w:rPr>
          <w:rFonts w:ascii="Arial" w:cs="Arial" w:eastAsia="Arial" w:hAnsi="Arial"/>
          <w:sz w:val="18"/>
          <w:szCs w:val="18"/>
          <w:color w:val="231F20"/>
        </w:rPr>
        <w:t>Company's</w:t>
      </w:r>
      <w:r>
        <w:rPr>
          <w:rFonts w:ascii="Arial" w:cs="Arial" w:eastAsia="Arial" w:hAnsi="Arial"/>
          <w:sz w:val="18"/>
          <w:szCs w:val="18"/>
          <w:color w:val="auto"/>
        </w:rPr>
        <w:t xml:space="preserve"> 2020 Form 10-K, which includes detailed discussions of various items impacting the Company's business, results of operations and financial condition.</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64" w:lineRule="exact"/>
        <w:rPr>
          <w:sz w:val="20"/>
          <w:szCs w:val="20"/>
          <w:color w:val="auto"/>
        </w:rPr>
      </w:pPr>
    </w:p>
    <w:p>
      <w:pPr>
        <w:ind w:left="1280" w:right="600" w:hanging="320"/>
        <w:spacing w:after="0" w:line="264" w:lineRule="auto"/>
        <w:tabs>
          <w:tab w:leader="none" w:pos="1275"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21" w:lineRule="exact"/>
        <w:rPr>
          <w:rFonts w:ascii="Arial" w:cs="Arial" w:eastAsia="Arial" w:hAnsi="Arial"/>
          <w:sz w:val="18"/>
          <w:szCs w:val="18"/>
          <w:color w:val="231F20"/>
        </w:rPr>
      </w:pPr>
    </w:p>
    <w:p>
      <w:pPr>
        <w:ind w:left="1280" w:right="140" w:hanging="320"/>
        <w:spacing w:after="0" w:line="264" w:lineRule="auto"/>
        <w:tabs>
          <w:tab w:leader="none" w:pos="1275"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operations;</w:t>
      </w:r>
    </w:p>
    <w:p>
      <w:pPr>
        <w:spacing w:after="0" w:line="21" w:lineRule="exact"/>
        <w:rPr>
          <w:rFonts w:ascii="Arial" w:cs="Arial" w:eastAsia="Arial" w:hAnsi="Arial"/>
          <w:sz w:val="18"/>
          <w:szCs w:val="18"/>
          <w:color w:val="231F20"/>
        </w:rPr>
      </w:pPr>
    </w:p>
    <w:p>
      <w:pPr>
        <w:ind w:left="1280" w:right="420" w:hanging="320"/>
        <w:spacing w:after="0" w:line="264" w:lineRule="auto"/>
        <w:tabs>
          <w:tab w:leader="none" w:pos="1275"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w:t>
      </w:r>
    </w:p>
    <w:p>
      <w:pPr>
        <w:spacing w:after="0" w:line="21" w:lineRule="exact"/>
        <w:rPr>
          <w:rFonts w:ascii="Arial" w:cs="Arial" w:eastAsia="Arial" w:hAnsi="Arial"/>
          <w:sz w:val="18"/>
          <w:szCs w:val="18"/>
          <w:color w:val="231F20"/>
        </w:rPr>
      </w:pPr>
    </w:p>
    <w:p>
      <w:pPr>
        <w:ind w:left="1280" w:hanging="320"/>
        <w:spacing w:after="0"/>
        <w:tabs>
          <w:tab w:leader="none" w:pos="128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 and</w:t>
      </w:r>
    </w:p>
    <w:p>
      <w:pPr>
        <w:spacing w:after="0" w:line="58" w:lineRule="exact"/>
        <w:rPr>
          <w:rFonts w:ascii="Arial" w:cs="Arial" w:eastAsia="Arial" w:hAnsi="Arial"/>
          <w:sz w:val="18"/>
          <w:szCs w:val="18"/>
          <w:color w:val="231F20"/>
        </w:rPr>
      </w:pPr>
    </w:p>
    <w:p>
      <w:pPr>
        <w:ind w:left="1280" w:right="140" w:hanging="320"/>
        <w:spacing w:after="0" w:line="264" w:lineRule="auto"/>
        <w:tabs>
          <w:tab w:leader="none" w:pos="12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876" w:right="4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Executive Summary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0"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Clearway Energy LLC together with its consolidated subsidiaries, or the Company, is an energy infrastructure investor in and owner of modern, sustainable and long-term contracted assets across North America. The Company is indirectly owned by Global Infrastructure Partners III. Global Infrastructure Management, LLC is an independent fund manager that invests in infrastructure assets in the energy and transport sectors, and Global Infrastructure Partners III is its third equity fund. The Company is sponsored by GIP through GIP's portfolio company, CEG.</w:t>
      </w:r>
    </w:p>
    <w:p>
      <w:pPr>
        <w:spacing w:after="0" w:line="204"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8"/>
          <w:szCs w:val="18"/>
          <w:color w:val="auto"/>
        </w:rPr>
        <w:t xml:space="preserve">The Company is one of the largest renewable energy owners in the U.S. with over 4,700 net MW of installed wind and solar generation projects. The Company's over 8,000 net MW of assets also includes approximately 2,500 net MW of environmentally-sound, highly efficient generation facilities as well as a portfolio of district energy systems.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 The weighted average remaining contract duration of these offtake agreements was approximately 13 years </w:t>
      </w:r>
      <w:r>
        <w:rPr>
          <w:rFonts w:ascii="Arial" w:cs="Arial" w:eastAsia="Arial" w:hAnsi="Arial"/>
          <w:sz w:val="18"/>
          <w:szCs w:val="18"/>
          <w:color w:val="231F20"/>
        </w:rPr>
        <w:t>as of</w:t>
      </w:r>
      <w:r>
        <w:rPr>
          <w:rFonts w:ascii="Arial" w:cs="Arial" w:eastAsia="Arial" w:hAnsi="Arial"/>
          <w:sz w:val="18"/>
          <w:szCs w:val="18"/>
          <w:color w:val="auto"/>
        </w:rPr>
        <w:t xml:space="preserve"> June 30, 2021 </w:t>
      </w:r>
      <w:r>
        <w:rPr>
          <w:rFonts w:ascii="Arial" w:cs="Arial" w:eastAsia="Arial" w:hAnsi="Arial"/>
          <w:sz w:val="18"/>
          <w:szCs w:val="18"/>
          <w:color w:val="231F20"/>
        </w:rPr>
        <w:t>based on CAFD.</w:t>
      </w:r>
    </w:p>
    <w:p>
      <w:pPr>
        <w:spacing w:after="0" w:line="3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June 30, 2021, the Company's operating assets are comprised of the following projects: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Projects</w:t>
            </w: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Percentage</w:t>
            </w:r>
          </w:p>
        </w:tc>
        <w:tc>
          <w:tcPr>
            <w:tcW w:w="1080" w:type="dxa"/>
            <w:vAlign w:val="bottom"/>
          </w:tcPr>
          <w:p>
            <w:pPr>
              <w:jc w:val="right"/>
              <w:ind w:right="89"/>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40" w:type="dxa"/>
            <w:vAlign w:val="bottom"/>
            <w:gridSpan w:val="2"/>
            <w:vMerge w:val="restart"/>
          </w:tcPr>
          <w:p>
            <w:pPr>
              <w:ind w:left="1220"/>
              <w:spacing w:after="0"/>
              <w:rPr>
                <w:sz w:val="20"/>
                <w:szCs w:val="20"/>
                <w:color w:val="auto"/>
              </w:rPr>
            </w:pPr>
            <w:r>
              <w:rPr>
                <w:rFonts w:ascii="Arial" w:cs="Arial" w:eastAsia="Arial" w:hAnsi="Arial"/>
                <w:sz w:val="14"/>
                <w:szCs w:val="14"/>
                <w:b w:val="1"/>
                <w:bCs w:val="1"/>
                <w:color w:val="auto"/>
              </w:rPr>
              <w:t>Counterparty</w:t>
            </w:r>
          </w:p>
        </w:tc>
        <w:tc>
          <w:tcPr>
            <w:tcW w:w="10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5"/>
        </w:trPr>
        <w:tc>
          <w:tcPr>
            <w:tcW w:w="4420" w:type="dxa"/>
            <w:vAlign w:val="bottom"/>
            <w:gridSpan w:val="2"/>
            <w:vMerge w:val="continue"/>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Ownership</w:t>
            </w:r>
          </w:p>
        </w:tc>
        <w:tc>
          <w:tcPr>
            <w:tcW w:w="1080" w:type="dxa"/>
            <w:vAlign w:val="bottom"/>
          </w:tcPr>
          <w:p>
            <w:pPr>
              <w:jc w:val="right"/>
              <w:ind w:right="229"/>
              <w:spacing w:after="0" w:line="186" w:lineRule="exact"/>
              <w:rPr>
                <w:sz w:val="20"/>
                <w:szCs w:val="20"/>
                <w:color w:val="auto"/>
              </w:rPr>
            </w:pPr>
            <w:r>
              <w:rPr>
                <w:rFonts w:ascii="Arial" w:cs="Arial" w:eastAsia="Arial" w:hAnsi="Arial"/>
                <w:sz w:val="14"/>
                <w:szCs w:val="14"/>
                <w:b w:val="1"/>
                <w:bCs w:val="1"/>
                <w:color w:val="auto"/>
              </w:rPr>
              <w:t>(MW)</w:t>
            </w:r>
            <w:r>
              <w:rPr>
                <w:rFonts w:ascii="Arial" w:cs="Arial" w:eastAsia="Arial" w:hAnsi="Arial"/>
                <w:sz w:val="18"/>
                <w:szCs w:val="18"/>
                <w:b w:val="1"/>
                <w:bCs w:val="1"/>
                <w:color w:val="auto"/>
                <w:vertAlign w:val="superscript"/>
              </w:rPr>
              <w:t>(a)</w:t>
            </w:r>
          </w:p>
        </w:tc>
        <w:tc>
          <w:tcPr>
            <w:tcW w:w="100" w:type="dxa"/>
            <w:vAlign w:val="bottom"/>
          </w:tcPr>
          <w:p>
            <w:pPr>
              <w:spacing w:after="0"/>
              <w:rPr>
                <w:sz w:val="16"/>
                <w:szCs w:val="16"/>
                <w:color w:val="auto"/>
              </w:rPr>
            </w:pPr>
          </w:p>
        </w:tc>
        <w:tc>
          <w:tcPr>
            <w:tcW w:w="334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Conventional</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Carlsbad</w:t>
            </w:r>
          </w:p>
        </w:tc>
        <w:tc>
          <w:tcPr>
            <w:tcW w:w="1080" w:type="dxa"/>
            <w:vAlign w:val="bottom"/>
          </w:tcPr>
          <w:p>
            <w:pPr>
              <w:ind w:left="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5"/>
                <w:szCs w:val="15"/>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San Diego Gas &amp; Electric</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El Segundo</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2023</w:t>
            </w:r>
          </w:p>
        </w:tc>
        <w:tc>
          <w:tcPr>
            <w:tcW w:w="0" w:type="dxa"/>
            <w:vAlign w:val="bottom"/>
          </w:tcPr>
          <w:p>
            <w:pPr>
              <w:spacing w:after="0"/>
              <w:rPr>
                <w:sz w:val="1"/>
                <w:szCs w:val="1"/>
                <w:color w:val="auto"/>
              </w:rPr>
            </w:pPr>
          </w:p>
        </w:tc>
      </w:tr>
      <w:tr>
        <w:trPr>
          <w:trHeight w:val="183"/>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GenConn Devon</w:t>
            </w:r>
          </w:p>
        </w:tc>
        <w:tc>
          <w:tcPr>
            <w:tcW w:w="1080" w:type="dxa"/>
            <w:vAlign w:val="bottom"/>
          </w:tcPr>
          <w:p>
            <w:pPr>
              <w:ind w:left="20"/>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5"/>
                <w:szCs w:val="15"/>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Connecticut Light &amp; Power</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2040</w:t>
            </w: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GenConn Middletown</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Connecticut Light &amp; Power</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2041</w:t>
            </w:r>
          </w:p>
        </w:tc>
        <w:tc>
          <w:tcPr>
            <w:tcW w:w="0" w:type="dxa"/>
            <w:vAlign w:val="bottom"/>
          </w:tcPr>
          <w:p>
            <w:pPr>
              <w:spacing w:after="0"/>
              <w:rPr>
                <w:sz w:val="1"/>
                <w:szCs w:val="1"/>
                <w:color w:val="auto"/>
              </w:rPr>
            </w:pPr>
          </w:p>
        </w:tc>
      </w:tr>
      <w:tr>
        <w:trPr>
          <w:trHeight w:val="183"/>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Marsh Landing</w:t>
            </w:r>
          </w:p>
        </w:tc>
        <w:tc>
          <w:tcPr>
            <w:tcW w:w="1080" w:type="dxa"/>
            <w:vAlign w:val="bottom"/>
          </w:tcPr>
          <w:p>
            <w:pPr>
              <w:ind w:left="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5"/>
                <w:szCs w:val="15"/>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PG&amp;E</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Walnut Creek</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2023</w:t>
            </w:r>
          </w:p>
        </w:tc>
        <w:tc>
          <w:tcPr>
            <w:tcW w:w="0" w:type="dxa"/>
            <w:vAlign w:val="bottom"/>
          </w:tcPr>
          <w:p>
            <w:pPr>
              <w:spacing w:after="0"/>
              <w:rPr>
                <w:sz w:val="1"/>
                <w:szCs w:val="1"/>
                <w:color w:val="auto"/>
              </w:rPr>
            </w:pPr>
          </w:p>
        </w:tc>
      </w:tr>
      <w:tr>
        <w:trPr>
          <w:trHeight w:val="176"/>
        </w:trPr>
        <w:tc>
          <w:tcPr>
            <w:tcW w:w="4420" w:type="dxa"/>
            <w:vAlign w:val="bottom"/>
            <w:gridSpan w:val="2"/>
          </w:tcPr>
          <w:p>
            <w:pPr>
              <w:ind w:left="320"/>
              <w:spacing w:after="0"/>
              <w:rPr>
                <w:sz w:val="20"/>
                <w:szCs w:val="20"/>
                <w:color w:val="auto"/>
              </w:rPr>
            </w:pPr>
            <w:r>
              <w:rPr>
                <w:rFonts w:ascii="Arial" w:cs="Arial" w:eastAsia="Arial" w:hAnsi="Arial"/>
                <w:sz w:val="14"/>
                <w:szCs w:val="14"/>
                <w:b w:val="1"/>
                <w:bCs w:val="1"/>
                <w:i w:val="1"/>
                <w:iCs w:val="1"/>
                <w:color w:val="auto"/>
              </w:rPr>
              <w:t>Total Conventional</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2,472</w:t>
            </w:r>
          </w:p>
        </w:tc>
        <w:tc>
          <w:tcPr>
            <w:tcW w:w="1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Utility Scale Solar</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Agua Caliente</w:t>
            </w:r>
          </w:p>
        </w:tc>
        <w:tc>
          <w:tcPr>
            <w:tcW w:w="1080" w:type="dxa"/>
            <w:vAlign w:val="bottom"/>
          </w:tcPr>
          <w:p>
            <w:pPr>
              <w:ind w:left="20"/>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5"/>
                <w:szCs w:val="15"/>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PG&amp;E</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Alpine</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183"/>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Avenal</w:t>
            </w:r>
          </w:p>
        </w:tc>
        <w:tc>
          <w:tcPr>
            <w:tcW w:w="1080" w:type="dxa"/>
            <w:vAlign w:val="bottom"/>
          </w:tcPr>
          <w:p>
            <w:pPr>
              <w:ind w:left="20"/>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PG&amp;E</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Avra Valley</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Tucson Electric Power</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2032</w:t>
            </w:r>
          </w:p>
        </w:tc>
        <w:tc>
          <w:tcPr>
            <w:tcW w:w="0" w:type="dxa"/>
            <w:vAlign w:val="bottom"/>
          </w:tcPr>
          <w:p>
            <w:pPr>
              <w:spacing w:after="0"/>
              <w:rPr>
                <w:sz w:val="1"/>
                <w:szCs w:val="1"/>
                <w:color w:val="auto"/>
              </w:rPr>
            </w:pPr>
          </w:p>
        </w:tc>
      </w:tr>
      <w:tr>
        <w:trPr>
          <w:trHeight w:val="183"/>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Blythe</w:t>
            </w:r>
          </w:p>
        </w:tc>
        <w:tc>
          <w:tcPr>
            <w:tcW w:w="1080" w:type="dxa"/>
            <w:vAlign w:val="bottom"/>
          </w:tcPr>
          <w:p>
            <w:pPr>
              <w:ind w:left="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Borrego</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 Diego Gas and Electric</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185"/>
        </w:trPr>
        <w:tc>
          <w:tcPr>
            <w:tcW w:w="4420" w:type="dxa"/>
            <w:vAlign w:val="bottom"/>
            <w:gridSpan w:val="2"/>
          </w:tcPr>
          <w:p>
            <w:pPr>
              <w:ind w:left="220"/>
              <w:spacing w:after="0" w:line="186" w:lineRule="exact"/>
              <w:rPr>
                <w:sz w:val="20"/>
                <w:szCs w:val="20"/>
                <w:color w:val="auto"/>
              </w:rPr>
            </w:pPr>
            <w:r>
              <w:rPr>
                <w:rFonts w:ascii="Arial" w:cs="Arial" w:eastAsia="Arial" w:hAnsi="Arial"/>
                <w:sz w:val="14"/>
                <w:szCs w:val="14"/>
                <w:color w:val="auto"/>
              </w:rPr>
              <w:t xml:space="preserve">Buckthorn Solar </w:t>
            </w:r>
            <w:r>
              <w:rPr>
                <w:rFonts w:ascii="Arial" w:cs="Arial" w:eastAsia="Arial" w:hAnsi="Arial"/>
                <w:sz w:val="18"/>
                <w:szCs w:val="18"/>
                <w:color w:val="auto"/>
                <w:vertAlign w:val="superscript"/>
              </w:rPr>
              <w:t>(b)</w:t>
            </w:r>
          </w:p>
        </w:tc>
        <w:tc>
          <w:tcPr>
            <w:tcW w:w="1080" w:type="dxa"/>
            <w:vAlign w:val="bottom"/>
          </w:tcPr>
          <w:p>
            <w:pPr>
              <w:ind w:left="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City of Georgetown, TX</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2043</w:t>
            </w:r>
          </w:p>
        </w:tc>
        <w:tc>
          <w:tcPr>
            <w:tcW w:w="0" w:type="dxa"/>
            <w:vAlign w:val="bottom"/>
          </w:tcPr>
          <w:p>
            <w:pPr>
              <w:spacing w:after="0"/>
              <w:rPr>
                <w:sz w:val="1"/>
                <w:szCs w:val="1"/>
                <w:color w:val="auto"/>
              </w:rPr>
            </w:pPr>
          </w:p>
        </w:tc>
      </w:tr>
      <w:tr>
        <w:trPr>
          <w:trHeight w:val="185"/>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CVSR</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183"/>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Desert Sunlight 250</w:t>
            </w:r>
          </w:p>
        </w:tc>
        <w:tc>
          <w:tcPr>
            <w:tcW w:w="1080" w:type="dxa"/>
            <w:vAlign w:val="bottom"/>
          </w:tcPr>
          <w:p>
            <w:pPr>
              <w:ind w:left="2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2034</w:t>
            </w: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Desert Sunlight 300</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183"/>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Kansas South</w:t>
            </w:r>
          </w:p>
        </w:tc>
        <w:tc>
          <w:tcPr>
            <w:tcW w:w="1080" w:type="dxa"/>
            <w:vAlign w:val="bottom"/>
          </w:tcPr>
          <w:p>
            <w:pPr>
              <w:ind w:left="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PG&amp;E</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4"/>
                <w:szCs w:val="14"/>
                <w:color w:val="auto"/>
              </w:rPr>
              <w:t xml:space="preserve">Kawailoa </w:t>
            </w:r>
            <w:r>
              <w:rPr>
                <w:rFonts w:ascii="Arial" w:cs="Arial" w:eastAsia="Arial" w:hAnsi="Arial"/>
                <w:sz w:val="18"/>
                <w:szCs w:val="18"/>
                <w:color w:val="auto"/>
                <w:vertAlign w:val="superscript"/>
              </w:rPr>
              <w:t>(b) .</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Hawaiian Electric Company</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2041</w:t>
            </w:r>
          </w:p>
        </w:tc>
        <w:tc>
          <w:tcPr>
            <w:tcW w:w="0" w:type="dxa"/>
            <w:vAlign w:val="bottom"/>
          </w:tcPr>
          <w:p>
            <w:pPr>
              <w:spacing w:after="0"/>
              <w:rPr>
                <w:sz w:val="1"/>
                <w:szCs w:val="1"/>
                <w:color w:val="auto"/>
              </w:rPr>
            </w:pPr>
          </w:p>
        </w:tc>
      </w:tr>
      <w:tr>
        <w:trPr>
          <w:trHeight w:val="185"/>
        </w:trPr>
        <w:tc>
          <w:tcPr>
            <w:tcW w:w="4420" w:type="dxa"/>
            <w:vAlign w:val="bottom"/>
            <w:gridSpan w:val="2"/>
          </w:tcPr>
          <w:p>
            <w:pPr>
              <w:ind w:left="220"/>
              <w:spacing w:after="0" w:line="186" w:lineRule="exact"/>
              <w:rPr>
                <w:sz w:val="20"/>
                <w:szCs w:val="20"/>
                <w:color w:val="auto"/>
              </w:rPr>
            </w:pPr>
            <w:r>
              <w:rPr>
                <w:rFonts w:ascii="Arial" w:cs="Arial" w:eastAsia="Arial" w:hAnsi="Arial"/>
                <w:sz w:val="14"/>
                <w:szCs w:val="14"/>
                <w:color w:val="auto"/>
              </w:rPr>
              <w:t xml:space="preserve">Oahu Solar Projects </w:t>
            </w:r>
            <w:r>
              <w:rPr>
                <w:rFonts w:ascii="Arial" w:cs="Arial" w:eastAsia="Arial" w:hAnsi="Arial"/>
                <w:sz w:val="18"/>
                <w:szCs w:val="18"/>
                <w:color w:val="auto"/>
                <w:vertAlign w:val="superscript"/>
              </w:rPr>
              <w:t>(b)</w:t>
            </w:r>
          </w:p>
        </w:tc>
        <w:tc>
          <w:tcPr>
            <w:tcW w:w="1080" w:type="dxa"/>
            <w:vAlign w:val="bottom"/>
          </w:tcPr>
          <w:p>
            <w:pPr>
              <w:ind w:left="20"/>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Hawaiian Electric Company</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2041</w:t>
            </w:r>
          </w:p>
        </w:tc>
        <w:tc>
          <w:tcPr>
            <w:tcW w:w="0" w:type="dxa"/>
            <w:vAlign w:val="bottom"/>
          </w:tcPr>
          <w:p>
            <w:pPr>
              <w:spacing w:after="0"/>
              <w:rPr>
                <w:sz w:val="1"/>
                <w:szCs w:val="1"/>
                <w:color w:val="auto"/>
              </w:rPr>
            </w:pPr>
          </w:p>
        </w:tc>
      </w:tr>
      <w:tr>
        <w:trPr>
          <w:trHeight w:val="185"/>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Roadrunner</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El Paso Electric</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85"/>
        </w:trPr>
        <w:tc>
          <w:tcPr>
            <w:tcW w:w="4420" w:type="dxa"/>
            <w:vAlign w:val="bottom"/>
            <w:gridSpan w:val="2"/>
          </w:tcPr>
          <w:p>
            <w:pPr>
              <w:ind w:left="220"/>
              <w:spacing w:after="0" w:line="186" w:lineRule="exact"/>
              <w:rPr>
                <w:sz w:val="20"/>
                <w:szCs w:val="20"/>
                <w:color w:val="auto"/>
              </w:rPr>
            </w:pPr>
            <w:r>
              <w:rPr>
                <w:rFonts w:ascii="Arial" w:cs="Arial" w:eastAsia="Arial" w:hAnsi="Arial"/>
                <w:sz w:val="14"/>
                <w:szCs w:val="14"/>
                <w:color w:val="auto"/>
              </w:rPr>
              <w:t xml:space="preserve">Rosamond Central </w:t>
            </w:r>
            <w:r>
              <w:rPr>
                <w:rFonts w:ascii="Arial" w:cs="Arial" w:eastAsia="Arial" w:hAnsi="Arial"/>
                <w:sz w:val="18"/>
                <w:szCs w:val="18"/>
                <w:color w:val="auto"/>
                <w:vertAlign w:val="superscript"/>
              </w:rPr>
              <w:t>(b)</w:t>
            </w:r>
          </w:p>
        </w:tc>
        <w:tc>
          <w:tcPr>
            <w:tcW w:w="1080" w:type="dxa"/>
            <w:vAlign w:val="bottom"/>
          </w:tcPr>
          <w:p>
            <w:pPr>
              <w:ind w:left="20"/>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185"/>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TA High Desert</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185"/>
        </w:trPr>
        <w:tc>
          <w:tcPr>
            <w:tcW w:w="4420" w:type="dxa"/>
            <w:vAlign w:val="bottom"/>
            <w:tcBorders>
              <w:bottom w:val="single" w:sz="8" w:color="CCEEFF"/>
            </w:tcBorders>
            <w:gridSpan w:val="2"/>
          </w:tcPr>
          <w:p>
            <w:pPr>
              <w:ind w:left="240"/>
              <w:spacing w:after="0" w:line="186" w:lineRule="exact"/>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18"/>
                <w:szCs w:val="18"/>
                <w:color w:val="auto"/>
                <w:vertAlign w:val="superscript"/>
              </w:rPr>
              <w:t>(b)</w:t>
            </w:r>
          </w:p>
        </w:tc>
        <w:tc>
          <w:tcPr>
            <w:tcW w:w="1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CCEEFF"/>
            </w:tcBorders>
          </w:tcPr>
          <w:p>
            <w:pPr>
              <w:spacing w:after="0"/>
              <w:rPr>
                <w:sz w:val="16"/>
                <w:szCs w:val="16"/>
                <w:color w:val="auto"/>
              </w:rPr>
            </w:pPr>
          </w:p>
        </w:tc>
        <w:tc>
          <w:tcPr>
            <w:tcW w:w="3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PacifiCorp</w:t>
            </w: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2036</w:t>
            </w:r>
          </w:p>
        </w:tc>
        <w:tc>
          <w:tcPr>
            <w:tcW w:w="0" w:type="dxa"/>
            <w:vAlign w:val="bottom"/>
          </w:tcPr>
          <w:p>
            <w:pPr>
              <w:spacing w:after="0"/>
              <w:rPr>
                <w:sz w:val="1"/>
                <w:szCs w:val="1"/>
                <w:color w:val="auto"/>
              </w:rPr>
            </w:pPr>
          </w:p>
        </w:tc>
      </w:tr>
      <w:tr>
        <w:trPr>
          <w:trHeight w:val="179"/>
        </w:trPr>
        <w:tc>
          <w:tcPr>
            <w:tcW w:w="4420" w:type="dxa"/>
            <w:vAlign w:val="bottom"/>
            <w:gridSpan w:val="2"/>
            <w:shd w:val="clear" w:color="auto" w:fill="CCEEFF"/>
          </w:tcPr>
          <w:p>
            <w:pPr>
              <w:ind w:left="440"/>
              <w:spacing w:after="0"/>
              <w:rPr>
                <w:sz w:val="20"/>
                <w:szCs w:val="20"/>
                <w:color w:val="auto"/>
              </w:rPr>
            </w:pPr>
            <w:r>
              <w:rPr>
                <w:rFonts w:ascii="Arial" w:cs="Arial" w:eastAsia="Arial" w:hAnsi="Arial"/>
                <w:sz w:val="14"/>
                <w:szCs w:val="14"/>
                <w:b w:val="1"/>
                <w:bCs w:val="1"/>
                <w:i w:val="1"/>
                <w:iCs w:val="1"/>
                <w:color w:val="auto"/>
              </w:rPr>
              <w:t>Total Solar</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1,356</w:t>
            </w:r>
          </w:p>
        </w:tc>
        <w:tc>
          <w:tcPr>
            <w:tcW w:w="10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Distributed Solar</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4"/>
                <w:szCs w:val="14"/>
                <w:color w:val="auto"/>
              </w:rPr>
              <w:t xml:space="preserve">DGPV Fund Projects </w:t>
            </w:r>
            <w:r>
              <w:rPr>
                <w:rFonts w:ascii="Arial" w:cs="Arial" w:eastAsia="Arial" w:hAnsi="Arial"/>
                <w:sz w:val="18"/>
                <w:szCs w:val="18"/>
                <w:color w:val="auto"/>
                <w:vertAlign w:val="superscript"/>
              </w:rPr>
              <w:t>(b)</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2030 - 2044</w:t>
            </w:r>
          </w:p>
        </w:tc>
        <w:tc>
          <w:tcPr>
            <w:tcW w:w="0" w:type="dxa"/>
            <w:vAlign w:val="bottom"/>
          </w:tcPr>
          <w:p>
            <w:pPr>
              <w:spacing w:after="0"/>
              <w:rPr>
                <w:sz w:val="1"/>
                <w:szCs w:val="1"/>
                <w:color w:val="auto"/>
              </w:rPr>
            </w:pPr>
          </w:p>
        </w:tc>
      </w:tr>
      <w:tr>
        <w:trPr>
          <w:trHeight w:val="183"/>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Solar Power Partners (SPP) Projects</w:t>
            </w:r>
          </w:p>
        </w:tc>
        <w:tc>
          <w:tcPr>
            <w:tcW w:w="1080" w:type="dxa"/>
            <w:vAlign w:val="bottom"/>
          </w:tcPr>
          <w:p>
            <w:pPr>
              <w:ind w:left="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2026 -2037</w:t>
            </w: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DG Projects</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2023 -2039</w:t>
            </w:r>
          </w:p>
        </w:tc>
        <w:tc>
          <w:tcPr>
            <w:tcW w:w="0" w:type="dxa"/>
            <w:vAlign w:val="bottom"/>
          </w:tcPr>
          <w:p>
            <w:pPr>
              <w:spacing w:after="0"/>
              <w:rPr>
                <w:sz w:val="1"/>
                <w:szCs w:val="1"/>
                <w:color w:val="auto"/>
              </w:rPr>
            </w:pPr>
          </w:p>
        </w:tc>
      </w:tr>
      <w:tr>
        <w:trPr>
          <w:trHeight w:val="176"/>
        </w:trPr>
        <w:tc>
          <w:tcPr>
            <w:tcW w:w="4420" w:type="dxa"/>
            <w:vAlign w:val="bottom"/>
            <w:gridSpan w:val="2"/>
          </w:tcPr>
          <w:p>
            <w:pPr>
              <w:ind w:left="440"/>
              <w:spacing w:after="0"/>
              <w:rPr>
                <w:sz w:val="20"/>
                <w:szCs w:val="20"/>
                <w:color w:val="auto"/>
              </w:rPr>
            </w:pPr>
            <w:r>
              <w:rPr>
                <w:rFonts w:ascii="Arial" w:cs="Arial" w:eastAsia="Arial" w:hAnsi="Arial"/>
                <w:sz w:val="14"/>
                <w:szCs w:val="14"/>
                <w:b w:val="1"/>
                <w:bCs w:val="1"/>
                <w:i w:val="1"/>
                <w:iCs w:val="1"/>
                <w:color w:val="auto"/>
              </w:rPr>
              <w:t>Total Distributed Solar</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4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Projects</w:t>
            </w: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Percentage</w:t>
            </w:r>
          </w:p>
        </w:tc>
        <w:tc>
          <w:tcPr>
            <w:tcW w:w="1080" w:type="dxa"/>
            <w:vAlign w:val="bottom"/>
          </w:tcPr>
          <w:p>
            <w:pPr>
              <w:jc w:val="right"/>
              <w:ind w:right="89"/>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40" w:type="dxa"/>
            <w:vAlign w:val="bottom"/>
            <w:gridSpan w:val="2"/>
            <w:vMerge w:val="restart"/>
          </w:tcPr>
          <w:p>
            <w:pPr>
              <w:ind w:left="1220"/>
              <w:spacing w:after="0"/>
              <w:rPr>
                <w:sz w:val="20"/>
                <w:szCs w:val="20"/>
                <w:color w:val="auto"/>
              </w:rPr>
            </w:pPr>
            <w:r>
              <w:rPr>
                <w:rFonts w:ascii="Arial" w:cs="Arial" w:eastAsia="Arial" w:hAnsi="Arial"/>
                <w:sz w:val="14"/>
                <w:szCs w:val="14"/>
                <w:b w:val="1"/>
                <w:bCs w:val="1"/>
                <w:color w:val="auto"/>
              </w:rPr>
              <w:t>Counterparty</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6"/>
        </w:trPr>
        <w:tc>
          <w:tcPr>
            <w:tcW w:w="4420" w:type="dxa"/>
            <w:vAlign w:val="bottom"/>
            <w:gridSpan w:val="2"/>
            <w:vMerge w:val="continue"/>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Ownership</w:t>
            </w:r>
          </w:p>
        </w:tc>
        <w:tc>
          <w:tcPr>
            <w:tcW w:w="1080" w:type="dxa"/>
            <w:vAlign w:val="bottom"/>
          </w:tcPr>
          <w:p>
            <w:pPr>
              <w:jc w:val="right"/>
              <w:ind w:right="229"/>
              <w:spacing w:after="0" w:line="186" w:lineRule="exact"/>
              <w:rPr>
                <w:sz w:val="20"/>
                <w:szCs w:val="20"/>
                <w:color w:val="auto"/>
              </w:rPr>
            </w:pPr>
            <w:r>
              <w:rPr>
                <w:rFonts w:ascii="Arial" w:cs="Arial" w:eastAsia="Arial" w:hAnsi="Arial"/>
                <w:sz w:val="14"/>
                <w:szCs w:val="14"/>
                <w:b w:val="1"/>
                <w:bCs w:val="1"/>
                <w:color w:val="auto"/>
              </w:rPr>
              <w:t>(MW)</w:t>
            </w:r>
            <w:r>
              <w:rPr>
                <w:rFonts w:ascii="Arial" w:cs="Arial" w:eastAsia="Arial" w:hAnsi="Arial"/>
                <w:sz w:val="18"/>
                <w:szCs w:val="18"/>
                <w:b w:val="1"/>
                <w:bCs w:val="1"/>
                <w:color w:val="auto"/>
                <w:vertAlign w:val="superscript"/>
              </w:rPr>
              <w:t>(a)</w:t>
            </w:r>
          </w:p>
        </w:tc>
        <w:tc>
          <w:tcPr>
            <w:tcW w:w="100" w:type="dxa"/>
            <w:vAlign w:val="bottom"/>
          </w:tcPr>
          <w:p>
            <w:pPr>
              <w:spacing w:after="0"/>
              <w:rPr>
                <w:sz w:val="16"/>
                <w:szCs w:val="16"/>
                <w:color w:val="auto"/>
              </w:rPr>
            </w:pPr>
          </w:p>
        </w:tc>
        <w:tc>
          <w:tcPr>
            <w:tcW w:w="334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32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Wind</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Alta I</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183"/>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Alta II</w:t>
            </w:r>
          </w:p>
        </w:tc>
        <w:tc>
          <w:tcPr>
            <w:tcW w:w="1080" w:type="dxa"/>
            <w:vAlign w:val="bottom"/>
          </w:tcPr>
          <w:p>
            <w:pPr>
              <w:ind w:left="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5"/>
                <w:szCs w:val="15"/>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Alta III</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183"/>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Alta IV</w:t>
            </w:r>
          </w:p>
        </w:tc>
        <w:tc>
          <w:tcPr>
            <w:tcW w:w="1080" w:type="dxa"/>
            <w:vAlign w:val="bottom"/>
          </w:tcPr>
          <w:p>
            <w:pPr>
              <w:ind w:left="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5"/>
                <w:szCs w:val="15"/>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Alta V</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185"/>
        </w:trPr>
        <w:tc>
          <w:tcPr>
            <w:tcW w:w="4420" w:type="dxa"/>
            <w:vAlign w:val="bottom"/>
            <w:gridSpan w:val="2"/>
          </w:tcPr>
          <w:p>
            <w:pPr>
              <w:ind w:left="220"/>
              <w:spacing w:after="0" w:line="186" w:lineRule="exact"/>
              <w:rPr>
                <w:sz w:val="20"/>
                <w:szCs w:val="20"/>
                <w:color w:val="auto"/>
              </w:rPr>
            </w:pPr>
            <w:r>
              <w:rPr>
                <w:rFonts w:ascii="Arial" w:cs="Arial" w:eastAsia="Arial" w:hAnsi="Arial"/>
                <w:sz w:val="14"/>
                <w:szCs w:val="14"/>
                <w:color w:val="auto"/>
              </w:rPr>
              <w:t xml:space="preserve">Alta X </w:t>
            </w:r>
            <w:r>
              <w:rPr>
                <w:rFonts w:ascii="Arial" w:cs="Arial" w:eastAsia="Arial" w:hAnsi="Arial"/>
                <w:sz w:val="18"/>
                <w:szCs w:val="18"/>
                <w:color w:val="auto"/>
                <w:vertAlign w:val="superscript"/>
              </w:rPr>
              <w:t>(b)</w:t>
            </w:r>
          </w:p>
        </w:tc>
        <w:tc>
          <w:tcPr>
            <w:tcW w:w="1080" w:type="dxa"/>
            <w:vAlign w:val="bottom"/>
          </w:tcPr>
          <w:p>
            <w:pPr>
              <w:ind w:left="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6"/>
                <w:szCs w:val="16"/>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20"/>
              <w:spacing w:after="0" w:line="186" w:lineRule="exact"/>
              <w:rPr>
                <w:sz w:val="20"/>
                <w:szCs w:val="20"/>
                <w:color w:val="auto"/>
              </w:rPr>
            </w:pPr>
            <w:r>
              <w:rPr>
                <w:rFonts w:ascii="Arial" w:cs="Arial" w:eastAsia="Arial" w:hAnsi="Arial"/>
                <w:sz w:val="14"/>
                <w:szCs w:val="14"/>
                <w:color w:val="auto"/>
              </w:rPr>
              <w:t xml:space="preserve">Alta XI </w:t>
            </w:r>
            <w:r>
              <w:rPr>
                <w:rFonts w:ascii="Arial" w:cs="Arial" w:eastAsia="Arial" w:hAnsi="Arial"/>
                <w:sz w:val="18"/>
                <w:szCs w:val="18"/>
                <w:color w:val="auto"/>
                <w:vertAlign w:val="superscript"/>
              </w:rPr>
              <w:t>(b)</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183"/>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Buffalo Bear</w:t>
            </w:r>
          </w:p>
        </w:tc>
        <w:tc>
          <w:tcPr>
            <w:tcW w:w="1080" w:type="dxa"/>
            <w:vAlign w:val="bottom"/>
          </w:tcPr>
          <w:p>
            <w:pPr>
              <w:ind w:left="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Western Farmers Electric Co-operative</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Crosswinds</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Corn Belt Power Cooperative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2027</w:t>
            </w:r>
          </w:p>
        </w:tc>
        <w:tc>
          <w:tcPr>
            <w:tcW w:w="0" w:type="dxa"/>
            <w:vAlign w:val="bottom"/>
          </w:tcPr>
          <w:p>
            <w:pPr>
              <w:spacing w:after="0"/>
              <w:rPr>
                <w:sz w:val="1"/>
                <w:szCs w:val="1"/>
                <w:color w:val="auto"/>
              </w:rPr>
            </w:pPr>
          </w:p>
        </w:tc>
      </w:tr>
      <w:tr>
        <w:trPr>
          <w:trHeight w:val="186"/>
        </w:trPr>
        <w:tc>
          <w:tcPr>
            <w:tcW w:w="4420" w:type="dxa"/>
            <w:vAlign w:val="bottom"/>
            <w:gridSpan w:val="2"/>
          </w:tcPr>
          <w:p>
            <w:pPr>
              <w:ind w:left="220"/>
              <w:spacing w:after="0" w:line="186" w:lineRule="exact"/>
              <w:rPr>
                <w:sz w:val="20"/>
                <w:szCs w:val="20"/>
                <w:color w:val="auto"/>
              </w:rPr>
            </w:pPr>
            <w:r>
              <w:rPr>
                <w:rFonts w:ascii="Arial" w:cs="Arial" w:eastAsia="Arial" w:hAnsi="Arial"/>
                <w:sz w:val="14"/>
                <w:szCs w:val="14"/>
                <w:color w:val="auto"/>
              </w:rPr>
              <w:t xml:space="preserve">Elbow Creek </w:t>
            </w:r>
            <w:r>
              <w:rPr>
                <w:rFonts w:ascii="Arial" w:cs="Arial" w:eastAsia="Arial" w:hAnsi="Arial"/>
                <w:sz w:val="18"/>
                <w:szCs w:val="18"/>
                <w:color w:val="auto"/>
                <w:vertAlign w:val="superscript"/>
              </w:rPr>
              <w:t>(b)</w:t>
            </w:r>
          </w:p>
        </w:tc>
        <w:tc>
          <w:tcPr>
            <w:tcW w:w="1080" w:type="dxa"/>
            <w:vAlign w:val="bottom"/>
          </w:tcPr>
          <w:p>
            <w:pPr>
              <w:ind w:left="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185"/>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Elkhorn Ridge</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Nebraska Public Power District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183"/>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Forward</w:t>
            </w:r>
          </w:p>
        </w:tc>
        <w:tc>
          <w:tcPr>
            <w:tcW w:w="1080" w:type="dxa"/>
            <w:vAlign w:val="bottom"/>
          </w:tcPr>
          <w:p>
            <w:pPr>
              <w:ind w:left="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Constellation NewEnergy, Inc.</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Goat Wind</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Dow Pipeline Company</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2025</w:t>
            </w:r>
          </w:p>
        </w:tc>
        <w:tc>
          <w:tcPr>
            <w:tcW w:w="0" w:type="dxa"/>
            <w:vAlign w:val="bottom"/>
          </w:tcPr>
          <w:p>
            <w:pPr>
              <w:spacing w:after="0"/>
              <w:rPr>
                <w:sz w:val="1"/>
                <w:szCs w:val="1"/>
                <w:color w:val="auto"/>
              </w:rPr>
            </w:pPr>
          </w:p>
        </w:tc>
      </w:tr>
      <w:tr>
        <w:trPr>
          <w:trHeight w:val="183"/>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Hardin</w:t>
            </w:r>
          </w:p>
        </w:tc>
        <w:tc>
          <w:tcPr>
            <w:tcW w:w="1080" w:type="dxa"/>
            <w:vAlign w:val="bottom"/>
          </w:tcPr>
          <w:p>
            <w:pPr>
              <w:ind w:left="20"/>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Interstate Power and Light Company</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2027</w:t>
            </w: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4"/>
                <w:szCs w:val="14"/>
                <w:color w:val="auto"/>
              </w:rPr>
              <w:t xml:space="preserve">Langford </w:t>
            </w:r>
            <w:r>
              <w:rPr>
                <w:rFonts w:ascii="Arial" w:cs="Arial" w:eastAsia="Arial" w:hAnsi="Arial"/>
                <w:sz w:val="18"/>
                <w:szCs w:val="18"/>
                <w:color w:val="auto"/>
                <w:vertAlign w:val="superscript"/>
              </w:rPr>
              <w:t>(b)</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Goldman Sachs</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183"/>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Laredo Ridge</w:t>
            </w:r>
          </w:p>
        </w:tc>
        <w:tc>
          <w:tcPr>
            <w:tcW w:w="1080" w:type="dxa"/>
            <w:vAlign w:val="bottom"/>
          </w:tcPr>
          <w:p>
            <w:pPr>
              <w:ind w:left="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5"/>
                <w:szCs w:val="15"/>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Nebraska Public Power District</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Lookout</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Southern Maryland Electric Cooperative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2030</w:t>
            </w:r>
          </w:p>
        </w:tc>
        <w:tc>
          <w:tcPr>
            <w:tcW w:w="0" w:type="dxa"/>
            <w:vAlign w:val="bottom"/>
          </w:tcPr>
          <w:p>
            <w:pPr>
              <w:spacing w:after="0"/>
              <w:rPr>
                <w:sz w:val="1"/>
                <w:szCs w:val="1"/>
                <w:color w:val="auto"/>
              </w:rPr>
            </w:pPr>
          </w:p>
        </w:tc>
      </w:tr>
      <w:tr>
        <w:trPr>
          <w:trHeight w:val="185"/>
        </w:trPr>
        <w:tc>
          <w:tcPr>
            <w:tcW w:w="4420" w:type="dxa"/>
            <w:vAlign w:val="bottom"/>
            <w:gridSpan w:val="2"/>
          </w:tcPr>
          <w:p>
            <w:pPr>
              <w:ind w:left="220"/>
              <w:spacing w:after="0" w:line="186" w:lineRule="exact"/>
              <w:rPr>
                <w:sz w:val="20"/>
                <w:szCs w:val="20"/>
                <w:color w:val="auto"/>
              </w:rPr>
            </w:pPr>
            <w:r>
              <w:rPr>
                <w:rFonts w:ascii="Arial" w:cs="Arial" w:eastAsia="Arial" w:hAnsi="Arial"/>
                <w:sz w:val="14"/>
                <w:szCs w:val="14"/>
                <w:color w:val="auto"/>
              </w:rPr>
              <w:t xml:space="preserve">Mesquite Star </w:t>
            </w:r>
            <w:r>
              <w:rPr>
                <w:rFonts w:ascii="Arial" w:cs="Arial" w:eastAsia="Arial" w:hAnsi="Arial"/>
                <w:sz w:val="18"/>
                <w:szCs w:val="18"/>
                <w:color w:val="auto"/>
                <w:vertAlign w:val="superscript"/>
              </w:rPr>
              <w:t>(b)</w:t>
            </w:r>
          </w:p>
        </w:tc>
        <w:tc>
          <w:tcPr>
            <w:tcW w:w="1080" w:type="dxa"/>
            <w:vAlign w:val="bottom"/>
          </w:tcPr>
          <w:p>
            <w:pPr>
              <w:ind w:left="20"/>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6"/>
                <w:szCs w:val="16"/>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60" w:type="dxa"/>
            <w:vAlign w:val="bottom"/>
          </w:tcPr>
          <w:p>
            <w:pPr>
              <w:jc w:val="center"/>
              <w:spacing w:after="0"/>
              <w:rPr>
                <w:sz w:val="20"/>
                <w:szCs w:val="20"/>
                <w:color w:val="auto"/>
              </w:rPr>
            </w:pPr>
            <w:r>
              <w:rPr>
                <w:rFonts w:ascii="Arial" w:cs="Arial" w:eastAsia="Arial" w:hAnsi="Arial"/>
                <w:sz w:val="14"/>
                <w:szCs w:val="14"/>
                <w:color w:val="auto"/>
                <w:w w:val="90"/>
              </w:rPr>
              <w:t>2032 - 2035</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Mt. Storm</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Citigroup</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83"/>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Ocotillo</w:t>
            </w:r>
          </w:p>
        </w:tc>
        <w:tc>
          <w:tcPr>
            <w:tcW w:w="1080" w:type="dxa"/>
            <w:vAlign w:val="bottom"/>
          </w:tcPr>
          <w:p>
            <w:pPr>
              <w:ind w:left="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N/A</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Odin</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99.9%</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Missouri River Energy Services</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2028</w:t>
            </w:r>
          </w:p>
        </w:tc>
        <w:tc>
          <w:tcPr>
            <w:tcW w:w="0" w:type="dxa"/>
            <w:vAlign w:val="bottom"/>
          </w:tcPr>
          <w:p>
            <w:pPr>
              <w:spacing w:after="0"/>
              <w:rPr>
                <w:sz w:val="1"/>
                <w:szCs w:val="1"/>
                <w:color w:val="auto"/>
              </w:rPr>
            </w:pPr>
          </w:p>
        </w:tc>
      </w:tr>
      <w:tr>
        <w:trPr>
          <w:trHeight w:val="133"/>
        </w:trPr>
        <w:tc>
          <w:tcPr>
            <w:tcW w:w="4420" w:type="dxa"/>
            <w:vAlign w:val="bottom"/>
            <w:gridSpan w:val="2"/>
            <w:vMerge w:val="restart"/>
          </w:tcPr>
          <w:p>
            <w:pPr>
              <w:ind w:left="220"/>
              <w:spacing w:after="0"/>
              <w:rPr>
                <w:sz w:val="20"/>
                <w:szCs w:val="20"/>
                <w:color w:val="auto"/>
              </w:rPr>
            </w:pPr>
            <w:r>
              <w:rPr>
                <w:rFonts w:ascii="Arial" w:cs="Arial" w:eastAsia="Arial" w:hAnsi="Arial"/>
                <w:sz w:val="14"/>
                <w:szCs w:val="14"/>
                <w:color w:val="auto"/>
              </w:rPr>
              <w:t xml:space="preserve">Pinnacle </w:t>
            </w:r>
            <w:r>
              <w:rPr>
                <w:rFonts w:ascii="Arial" w:cs="Arial" w:eastAsia="Arial" w:hAnsi="Arial"/>
                <w:sz w:val="18"/>
                <w:szCs w:val="18"/>
                <w:color w:val="auto"/>
                <w:vertAlign w:val="superscript"/>
              </w:rPr>
              <w:t>(b)</w:t>
            </w:r>
          </w:p>
        </w:tc>
        <w:tc>
          <w:tcPr>
            <w:tcW w:w="1080" w:type="dxa"/>
            <w:vAlign w:val="bottom"/>
            <w:vMerge w:val="restart"/>
          </w:tcPr>
          <w:p>
            <w:pPr>
              <w:ind w:left="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1"/>
                <w:szCs w:val="11"/>
                <w:color w:val="auto"/>
              </w:rPr>
            </w:pPr>
          </w:p>
        </w:tc>
        <w:tc>
          <w:tcPr>
            <w:tcW w:w="1080" w:type="dxa"/>
            <w:vAlign w:val="bottom"/>
            <w:vMerge w:val="restart"/>
          </w:tcPr>
          <w:p>
            <w:pPr>
              <w:jc w:val="right"/>
              <w:ind w:right="9"/>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1"/>
                <w:szCs w:val="11"/>
                <w:color w:val="auto"/>
              </w:rPr>
            </w:pPr>
          </w:p>
        </w:tc>
        <w:tc>
          <w:tcPr>
            <w:tcW w:w="334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Maryland Department of General Services and</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86"/>
        </w:trPr>
        <w:tc>
          <w:tcPr>
            <w:tcW w:w="442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University System of Maryland</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420" w:type="dxa"/>
            <w:vAlign w:val="bottom"/>
            <w:gridSpan w:val="2"/>
            <w:shd w:val="clear" w:color="auto" w:fill="CCEEFF"/>
          </w:tcPr>
          <w:p>
            <w:pPr>
              <w:ind w:left="220"/>
              <w:spacing w:after="0" w:line="186" w:lineRule="exact"/>
              <w:rPr>
                <w:sz w:val="20"/>
                <w:szCs w:val="20"/>
                <w:color w:val="auto"/>
              </w:rPr>
            </w:pPr>
            <w:r>
              <w:rPr>
                <w:rFonts w:ascii="Arial" w:cs="Arial" w:eastAsia="Arial" w:hAnsi="Arial"/>
                <w:sz w:val="14"/>
                <w:szCs w:val="14"/>
                <w:color w:val="auto"/>
              </w:rPr>
              <w:t xml:space="preserve">Rattlesnake </w:t>
            </w:r>
            <w:r>
              <w:rPr>
                <w:rFonts w:ascii="Arial" w:cs="Arial" w:eastAsia="Arial" w:hAnsi="Arial"/>
                <w:sz w:val="18"/>
                <w:szCs w:val="18"/>
                <w:color w:val="auto"/>
                <w:vertAlign w:val="superscript"/>
              </w:rPr>
              <w:t>(b) (d)</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Avista Corporation</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2040</w:t>
            </w:r>
          </w:p>
        </w:tc>
        <w:tc>
          <w:tcPr>
            <w:tcW w:w="0" w:type="dxa"/>
            <w:vAlign w:val="bottom"/>
          </w:tcPr>
          <w:p>
            <w:pPr>
              <w:spacing w:after="0"/>
              <w:rPr>
                <w:sz w:val="1"/>
                <w:szCs w:val="1"/>
                <w:color w:val="auto"/>
              </w:rPr>
            </w:pPr>
          </w:p>
        </w:tc>
      </w:tr>
      <w:tr>
        <w:trPr>
          <w:trHeight w:val="183"/>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San Juan Mesa</w:t>
            </w:r>
          </w:p>
        </w:tc>
        <w:tc>
          <w:tcPr>
            <w:tcW w:w="1080" w:type="dxa"/>
            <w:vAlign w:val="bottom"/>
          </w:tcPr>
          <w:p>
            <w:pPr>
              <w:ind w:left="20"/>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Southwestern Public Service Company</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2025</w:t>
            </w: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Sleeping Bear</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Public Service Company of Oklahoma</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2032</w:t>
            </w:r>
          </w:p>
        </w:tc>
        <w:tc>
          <w:tcPr>
            <w:tcW w:w="0" w:type="dxa"/>
            <w:vAlign w:val="bottom"/>
          </w:tcPr>
          <w:p>
            <w:pPr>
              <w:spacing w:after="0"/>
              <w:rPr>
                <w:sz w:val="1"/>
                <w:szCs w:val="1"/>
                <w:color w:val="auto"/>
              </w:rPr>
            </w:pPr>
          </w:p>
        </w:tc>
      </w:tr>
      <w:tr>
        <w:trPr>
          <w:trHeight w:val="183"/>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South Trent</w:t>
            </w:r>
          </w:p>
        </w:tc>
        <w:tc>
          <w:tcPr>
            <w:tcW w:w="1080" w:type="dxa"/>
            <w:vAlign w:val="bottom"/>
          </w:tcPr>
          <w:p>
            <w:pPr>
              <w:ind w:left="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5"/>
                <w:szCs w:val="15"/>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AEP Energy Partners</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Spanish Fork</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PacifiCorp</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2028</w:t>
            </w:r>
          </w:p>
        </w:tc>
        <w:tc>
          <w:tcPr>
            <w:tcW w:w="0" w:type="dxa"/>
            <w:vAlign w:val="bottom"/>
          </w:tcPr>
          <w:p>
            <w:pPr>
              <w:spacing w:after="0"/>
              <w:rPr>
                <w:sz w:val="1"/>
                <w:szCs w:val="1"/>
                <w:color w:val="auto"/>
              </w:rPr>
            </w:pPr>
          </w:p>
        </w:tc>
      </w:tr>
      <w:tr>
        <w:trPr>
          <w:trHeight w:val="185"/>
        </w:trPr>
        <w:tc>
          <w:tcPr>
            <w:tcW w:w="4420" w:type="dxa"/>
            <w:vAlign w:val="bottom"/>
            <w:gridSpan w:val="2"/>
          </w:tcPr>
          <w:p>
            <w:pPr>
              <w:ind w:left="220"/>
              <w:spacing w:after="0" w:line="186" w:lineRule="exact"/>
              <w:rPr>
                <w:sz w:val="20"/>
                <w:szCs w:val="20"/>
                <w:color w:val="auto"/>
              </w:rPr>
            </w:pPr>
            <w:r>
              <w:rPr>
                <w:rFonts w:ascii="Arial" w:cs="Arial" w:eastAsia="Arial" w:hAnsi="Arial"/>
                <w:sz w:val="14"/>
                <w:szCs w:val="14"/>
                <w:color w:val="auto"/>
              </w:rPr>
              <w:t xml:space="preserve">Spring Canyon II </w:t>
            </w:r>
            <w:r>
              <w:rPr>
                <w:rFonts w:ascii="Arial" w:cs="Arial" w:eastAsia="Arial" w:hAnsi="Arial"/>
                <w:sz w:val="18"/>
                <w:szCs w:val="18"/>
                <w:color w:val="auto"/>
                <w:vertAlign w:val="superscript"/>
              </w:rPr>
              <w:t>(b)</w:t>
            </w:r>
          </w:p>
        </w:tc>
        <w:tc>
          <w:tcPr>
            <w:tcW w:w="1080" w:type="dxa"/>
            <w:vAlign w:val="bottom"/>
          </w:tcPr>
          <w:p>
            <w:pPr>
              <w:ind w:left="20"/>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Platte River Power Authority</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185"/>
        </w:trPr>
        <w:tc>
          <w:tcPr>
            <w:tcW w:w="4420" w:type="dxa"/>
            <w:vAlign w:val="bottom"/>
            <w:gridSpan w:val="2"/>
            <w:shd w:val="clear" w:color="auto" w:fill="CCEEFF"/>
          </w:tcPr>
          <w:p>
            <w:pPr>
              <w:ind w:left="220"/>
              <w:spacing w:after="0" w:line="186" w:lineRule="exact"/>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18"/>
                <w:szCs w:val="18"/>
                <w:color w:val="auto"/>
                <w:vertAlign w:val="superscript"/>
              </w:rPr>
              <w:t>(b)</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Platte River Power Authority</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183"/>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Taloga</w:t>
            </w:r>
          </w:p>
        </w:tc>
        <w:tc>
          <w:tcPr>
            <w:tcW w:w="1080" w:type="dxa"/>
            <w:vAlign w:val="bottom"/>
          </w:tcPr>
          <w:p>
            <w:pPr>
              <w:ind w:left="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Oklahoma Gas &amp; Electric</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4"/>
                <w:szCs w:val="14"/>
                <w:color w:val="auto"/>
              </w:rPr>
              <w:t xml:space="preserve">Wildorado </w:t>
            </w:r>
            <w:r>
              <w:rPr>
                <w:rFonts w:ascii="Arial" w:cs="Arial" w:eastAsia="Arial" w:hAnsi="Arial"/>
                <w:sz w:val="18"/>
                <w:szCs w:val="18"/>
                <w:color w:val="auto"/>
                <w:vertAlign w:val="superscript"/>
              </w:rPr>
              <w:t>(b)</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Southwestern Public Service Company</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2027</w:t>
            </w:r>
          </w:p>
        </w:tc>
        <w:tc>
          <w:tcPr>
            <w:tcW w:w="0" w:type="dxa"/>
            <w:vAlign w:val="bottom"/>
          </w:tcPr>
          <w:p>
            <w:pPr>
              <w:spacing w:after="0"/>
              <w:rPr>
                <w:sz w:val="1"/>
                <w:szCs w:val="1"/>
                <w:color w:val="auto"/>
              </w:rPr>
            </w:pPr>
          </w:p>
        </w:tc>
      </w:tr>
      <w:tr>
        <w:trPr>
          <w:trHeight w:val="176"/>
        </w:trPr>
        <w:tc>
          <w:tcPr>
            <w:tcW w:w="4420" w:type="dxa"/>
            <w:vAlign w:val="bottom"/>
            <w:gridSpan w:val="2"/>
          </w:tcPr>
          <w:p>
            <w:pPr>
              <w:ind w:left="420"/>
              <w:spacing w:after="0"/>
              <w:rPr>
                <w:sz w:val="20"/>
                <w:szCs w:val="20"/>
                <w:color w:val="auto"/>
              </w:rPr>
            </w:pPr>
            <w:r>
              <w:rPr>
                <w:rFonts w:ascii="Arial" w:cs="Arial" w:eastAsia="Arial" w:hAnsi="Arial"/>
                <w:sz w:val="14"/>
                <w:szCs w:val="14"/>
                <w:b w:val="1"/>
                <w:bCs w:val="1"/>
                <w:i w:val="1"/>
                <w:iCs w:val="1"/>
                <w:color w:val="auto"/>
              </w:rPr>
              <w:t>Total Wind</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3,056</w:t>
            </w:r>
          </w:p>
        </w:tc>
        <w:tc>
          <w:tcPr>
            <w:tcW w:w="1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Thermal generation</w:t>
            </w:r>
          </w:p>
        </w:tc>
        <w:tc>
          <w:tcPr>
            <w:tcW w:w="1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5"/>
                <w:szCs w:val="15"/>
                <w:color w:val="auto"/>
              </w:rPr>
            </w:pPr>
          </w:p>
        </w:tc>
        <w:tc>
          <w:tcPr>
            <w:tcW w:w="3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Various</w:t>
            </w: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8"/>
              </w:rPr>
              <w:t>Various</w:t>
            </w:r>
          </w:p>
        </w:tc>
        <w:tc>
          <w:tcPr>
            <w:tcW w:w="0" w:type="dxa"/>
            <w:vAlign w:val="bottom"/>
          </w:tcPr>
          <w:p>
            <w:pPr>
              <w:spacing w:after="0"/>
              <w:rPr>
                <w:sz w:val="1"/>
                <w:szCs w:val="1"/>
                <w:color w:val="auto"/>
              </w:rPr>
            </w:pPr>
          </w:p>
        </w:tc>
      </w:tr>
      <w:tr>
        <w:trPr>
          <w:trHeight w:val="195"/>
        </w:trPr>
        <w:tc>
          <w:tcPr>
            <w:tcW w:w="4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Total net generation capacity</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7,255</w:t>
            </w:r>
          </w:p>
        </w:tc>
        <w:tc>
          <w:tcPr>
            <w:tcW w:w="1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20" w:type="dxa"/>
            <w:vAlign w:val="bottom"/>
            <w:gridSpan w:val="2"/>
          </w:tcPr>
          <w:p>
            <w:pPr>
              <w:ind w:left="20"/>
              <w:spacing w:after="0" w:line="186" w:lineRule="exact"/>
              <w:rPr>
                <w:sz w:val="20"/>
                <w:szCs w:val="20"/>
                <w:color w:val="auto"/>
              </w:rPr>
            </w:pPr>
            <w:r>
              <w:rPr>
                <w:rFonts w:ascii="Arial" w:cs="Arial" w:eastAsia="Arial" w:hAnsi="Arial"/>
                <w:sz w:val="14"/>
                <w:szCs w:val="14"/>
                <w:color w:val="auto"/>
              </w:rPr>
              <w:t>Thermal equivalent MWt</w:t>
            </w:r>
            <w:r>
              <w:rPr>
                <w:rFonts w:ascii="Arial" w:cs="Arial" w:eastAsia="Arial" w:hAnsi="Arial"/>
                <w:sz w:val="18"/>
                <w:szCs w:val="18"/>
                <w:color w:val="auto"/>
                <w:vertAlign w:val="superscript"/>
              </w:rPr>
              <w:t>(c)</w:t>
            </w:r>
          </w:p>
        </w:tc>
        <w:tc>
          <w:tcPr>
            <w:tcW w:w="1080" w:type="dxa"/>
            <w:vAlign w:val="bottom"/>
          </w:tcPr>
          <w:p>
            <w:pPr>
              <w:ind w:left="20"/>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1,400</w:t>
            </w:r>
          </w:p>
        </w:tc>
        <w:tc>
          <w:tcPr>
            <w:tcW w:w="100" w:type="dxa"/>
            <w:vAlign w:val="bottom"/>
          </w:tcPr>
          <w:p>
            <w:pPr>
              <w:spacing w:after="0"/>
              <w:rPr>
                <w:sz w:val="16"/>
                <w:szCs w:val="16"/>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60" w:type="dxa"/>
            <w:vAlign w:val="bottom"/>
          </w:tcPr>
          <w:p>
            <w:pPr>
              <w:jc w:val="center"/>
              <w:spacing w:after="0"/>
              <w:rPr>
                <w:sz w:val="20"/>
                <w:szCs w:val="20"/>
                <w:color w:val="auto"/>
              </w:rPr>
            </w:pPr>
            <w:r>
              <w:rPr>
                <w:rFonts w:ascii="Arial" w:cs="Arial" w:eastAsia="Arial" w:hAnsi="Arial"/>
                <w:sz w:val="14"/>
                <w:szCs w:val="14"/>
                <w:color w:val="auto"/>
                <w:w w:val="88"/>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201930</wp:posOffset>
            </wp:positionV>
            <wp:extent cx="13798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40" w:hanging="134"/>
        <w:spacing w:after="0"/>
        <w:tabs>
          <w:tab w:leader="none" w:pos="140" w:val="left"/>
        </w:tabs>
        <w:numPr>
          <w:ilvl w:val="0"/>
          <w:numId w:val="18"/>
        </w:numPr>
        <w:rPr>
          <w:rFonts w:ascii="Arial" w:cs="Arial" w:eastAsia="Arial" w:hAnsi="Arial"/>
          <w:sz w:val="9"/>
          <w:szCs w:val="9"/>
          <w:color w:val="auto"/>
        </w:rPr>
      </w:pPr>
      <w:r>
        <w:rPr>
          <w:rFonts w:ascii="Arial" w:cs="Arial" w:eastAsia="Arial" w:hAnsi="Arial"/>
          <w:sz w:val="14"/>
          <w:szCs w:val="14"/>
          <w:color w:val="auto"/>
        </w:rPr>
        <w:t>Net capacity represents the maximum, or rated, generating capacity of the facility multiplied by the Company's percentage ownership in the facility as of June 30, 2021.</w:t>
      </w:r>
    </w:p>
    <w:p>
      <w:pPr>
        <w:spacing w:after="0" w:line="10" w:lineRule="exact"/>
        <w:rPr>
          <w:rFonts w:ascii="Arial" w:cs="Arial" w:eastAsia="Arial" w:hAnsi="Arial"/>
          <w:sz w:val="9"/>
          <w:szCs w:val="9"/>
          <w:color w:val="auto"/>
        </w:rPr>
      </w:pPr>
    </w:p>
    <w:p>
      <w:pPr>
        <w:ind w:firstLine="6"/>
        <w:spacing w:after="0" w:line="244" w:lineRule="auto"/>
        <w:tabs>
          <w:tab w:leader="none" w:pos="130" w:val="left"/>
        </w:tabs>
        <w:numPr>
          <w:ilvl w:val="0"/>
          <w:numId w:val="18"/>
        </w:numPr>
        <w:rPr>
          <w:rFonts w:ascii="Arial" w:cs="Arial" w:eastAsia="Arial" w:hAnsi="Arial"/>
          <w:sz w:val="9"/>
          <w:szCs w:val="9"/>
          <w:color w:val="auto"/>
        </w:rPr>
      </w:pPr>
      <w:r>
        <w:rPr>
          <w:rFonts w:ascii="Arial" w:cs="Arial" w:eastAsia="Arial" w:hAnsi="Arial"/>
          <w:sz w:val="14"/>
          <w:szCs w:val="14"/>
          <w:color w:val="auto"/>
        </w:rPr>
        <w:t xml:space="preserve">Projects are part of tax equity arrangements and ownership percentage is based on cash to be distributed, as further described in Item 1 — Note 4, </w:t>
      </w:r>
      <w:r>
        <w:rPr>
          <w:rFonts w:ascii="Arial" w:cs="Arial" w:eastAsia="Arial" w:hAnsi="Arial"/>
          <w:sz w:val="14"/>
          <w:szCs w:val="14"/>
          <w:i w:val="1"/>
          <w:iCs w:val="1"/>
          <w:color w:val="auto"/>
        </w:rPr>
        <w:t>Investments Accounted for by the Equity Method</w:t>
      </w:r>
      <w:r>
        <w:rPr>
          <w:rFonts w:ascii="Arial" w:cs="Arial" w:eastAsia="Arial" w:hAnsi="Arial"/>
          <w:sz w:val="14"/>
          <w:szCs w:val="14"/>
          <w:color w:val="auto"/>
        </w:rPr>
        <w:t xml:space="preserve"> </w:t>
      </w:r>
      <w:r>
        <w:rPr>
          <w:rFonts w:ascii="Arial" w:cs="Arial" w:eastAsia="Arial" w:hAnsi="Arial"/>
          <w:sz w:val="14"/>
          <w:szCs w:val="14"/>
          <w:i w:val="1"/>
          <w:iCs w:val="1"/>
          <w:color w:val="auto"/>
        </w:rPr>
        <w:t>and Variable Interest Entities.</w:t>
      </w:r>
    </w:p>
    <w:p>
      <w:pPr>
        <w:spacing w:after="0" w:line="216" w:lineRule="auto"/>
        <w:rPr>
          <w:rFonts w:ascii="Arial" w:cs="Arial" w:eastAsia="Arial" w:hAnsi="Arial"/>
          <w:sz w:val="9"/>
          <w:szCs w:val="9"/>
          <w:color w:val="auto"/>
        </w:rPr>
      </w:pPr>
      <w:r>
        <w:rPr>
          <w:rFonts w:ascii="Arial" w:cs="Arial" w:eastAsia="Arial" w:hAnsi="Arial"/>
          <w:sz w:val="17"/>
          <w:szCs w:val="17"/>
          <w:color w:val="auto"/>
          <w:vertAlign w:val="superscript"/>
        </w:rPr>
        <w:t>(C)</w:t>
      </w:r>
      <w:r>
        <w:rPr>
          <w:rFonts w:ascii="Arial" w:cs="Arial" w:eastAsia="Arial" w:hAnsi="Arial"/>
          <w:sz w:val="13"/>
          <w:szCs w:val="13"/>
          <w:color w:val="auto"/>
        </w:rPr>
        <w:t xml:space="preserve"> Net MWt capacity excludes 43 MWt available under the right-to-use provisions contained in agreements between one of the Company's thermal facilities and certain of its customers.</w:t>
      </w:r>
    </w:p>
    <w:p>
      <w:pPr>
        <w:ind w:left="140" w:hanging="134"/>
        <w:spacing w:after="0" w:line="218" w:lineRule="auto"/>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Rattlesnake has a deliverable capacity of 144 MW.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Significant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Level Financing</w:t>
      </w:r>
    </w:p>
    <w:p>
      <w:pPr>
        <w:spacing w:after="0" w:line="164" w:lineRule="exact"/>
        <w:rPr>
          <w:sz w:val="20"/>
          <w:szCs w:val="20"/>
          <w:color w:val="auto"/>
        </w:rPr>
      </w:pPr>
    </w:p>
    <w:p>
      <w:pPr>
        <w:jc w:val="both"/>
        <w:ind w:left="640" w:hanging="316"/>
        <w:spacing w:after="0" w:line="252"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March 9, 2021, Clearway Energy Operating LLC completed the sale of $925 million of senior unsecured notes due 2031, or the 2031 Senior Notes. The 2031 Senior Notes bear interest at 3.750% and mature on February 15, 2031. The net proceeds from the 2031 Senior Notes were used to repurchase the 2025 Senior Notes as described below, as well as to repay amounts outstanding under the Company’s revolving credit facility and for general corporate purposes.</w:t>
      </w:r>
    </w:p>
    <w:p>
      <w:pPr>
        <w:spacing w:after="0" w:line="13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March 2021, the Company repurchased and redeemed an aggregate principal amount of $600 million of the 2025 Senior Notes, through the cash tender offer announced on March 2, 2021 and the redemption of the remaining amount on March 17, 2021. The repurchases and redemption were effectuated at a premium of approximately 106% for total consideration of $636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Project-Level Financing Activities</w:t>
      </w:r>
    </w:p>
    <w:p>
      <w:pPr>
        <w:spacing w:after="0" w:line="164" w:lineRule="exact"/>
        <w:rPr>
          <w:sz w:val="20"/>
          <w:szCs w:val="20"/>
          <w:color w:val="auto"/>
        </w:rPr>
      </w:pPr>
    </w:p>
    <w:p>
      <w:pPr>
        <w:jc w:val="both"/>
        <w:ind w:left="640" w:hanging="316"/>
        <w:spacing w:after="0" w:line="318" w:lineRule="auto"/>
        <w:tabs>
          <w:tab w:leader="none" w:pos="635" w:val="left"/>
        </w:tabs>
        <w:numPr>
          <w:ilvl w:val="0"/>
          <w:numId w:val="21"/>
        </w:numPr>
        <w:rPr>
          <w:rFonts w:ascii="Arial" w:cs="Arial" w:eastAsia="Arial" w:hAnsi="Arial"/>
          <w:sz w:val="15"/>
          <w:szCs w:val="15"/>
          <w:i w:val="1"/>
          <w:iCs w:val="1"/>
          <w:color w:val="auto"/>
        </w:rPr>
      </w:pPr>
      <w:r>
        <w:rPr>
          <w:rFonts w:ascii="Arial" w:cs="Arial" w:eastAsia="Arial" w:hAnsi="Arial"/>
          <w:sz w:val="15"/>
          <w:szCs w:val="15"/>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financing agreement, which related to the Pinnacle wind project, and to reimburse Clearway Renew LLC for previous contributions and pay vendor invoices and fees.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Party Acquisitions</w:t>
      </w:r>
    </w:p>
    <w:p>
      <w:pPr>
        <w:spacing w:after="0" w:line="164" w:lineRule="exact"/>
        <w:rPr>
          <w:sz w:val="20"/>
          <w:szCs w:val="20"/>
          <w:color w:val="auto"/>
        </w:rPr>
      </w:pPr>
    </w:p>
    <w:p>
      <w:pPr>
        <w:jc w:val="both"/>
        <w:ind w:left="640" w:hanging="316"/>
        <w:spacing w:after="0" w:line="277"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April 23, 2021, the Company acquired 100% of the equity interests in NedPower Mount Storm LLC, or Mt. Storm, from Castleton Commodities International for approximately $96 million, excluding working capital and purchase price adjustments. Mt. Storm is a 264 MW wind project located in Grant County, West Virginia. Mt. Storm has a 10-year energy hedge with an investment-grade counterparty.</w:t>
      </w:r>
    </w:p>
    <w:p>
      <w:pPr>
        <w:spacing w:after="0" w:line="118" w:lineRule="exact"/>
        <w:rPr>
          <w:rFonts w:ascii="Arial" w:cs="Arial" w:eastAsia="Arial" w:hAnsi="Arial"/>
          <w:sz w:val="17"/>
          <w:szCs w:val="17"/>
          <w:color w:val="auto"/>
        </w:rPr>
      </w:pPr>
    </w:p>
    <w:p>
      <w:pPr>
        <w:jc w:val="both"/>
        <w:ind w:left="640" w:hanging="316"/>
        <w:spacing w:after="0" w:line="250"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February 3, 2021, the Company acquired an additional 35% equity interest in the Agua Caliente solar project from NRG Energy, Inc. for $202 million. Agua Caliente is a 290 MW solar project located in Dateland, Arizona in which the Company previously owned a 16% equity interest. The project has a 25-year PPA with PG&amp;E, with approximately 19 years remaining under the agreement. Following the close of the transaction, the Company owns a 51% equity interest in Agua Caliente. The Company removed its equity method investment and consolidates its interest in Agua Caliente from the date of the acquisition.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Drop Down Transactions</w:t>
      </w:r>
    </w:p>
    <w:p>
      <w:pPr>
        <w:spacing w:after="0" w:line="164"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5"/>
          <w:szCs w:val="15"/>
          <w:b w:val="1"/>
          <w:bCs w:val="1"/>
          <w:i w:val="1"/>
          <w:iCs w:val="1"/>
          <w:color w:val="auto"/>
        </w:rPr>
      </w:pPr>
      <w:r>
        <w:rPr>
          <w:rFonts w:ascii="Arial" w:cs="Arial" w:eastAsia="Arial" w:hAnsi="Arial"/>
          <w:sz w:val="15"/>
          <w:szCs w:val="15"/>
          <w:color w:val="auto"/>
        </w:rPr>
        <w:t>On August 2, 2021, the CEG ROFO Agreement was amended to remove the 100 MW Wildflower utility scale solar project from the ROFO pipeline.</w:t>
      </w:r>
    </w:p>
    <w:p>
      <w:pPr>
        <w:spacing w:after="0" w:line="198" w:lineRule="exact"/>
        <w:rPr>
          <w:rFonts w:ascii="Arial" w:cs="Arial" w:eastAsia="Arial" w:hAnsi="Arial"/>
          <w:sz w:val="15"/>
          <w:szCs w:val="15"/>
          <w:b w:val="1"/>
          <w:bCs w:val="1"/>
          <w:i w:val="1"/>
          <w:iCs w:val="1"/>
          <w:color w:val="auto"/>
        </w:rPr>
      </w:pPr>
    </w:p>
    <w:p>
      <w:pPr>
        <w:jc w:val="both"/>
        <w:ind w:left="640" w:hanging="316"/>
        <w:spacing w:after="0" w:line="250"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February 26, 2021, the Company, through an indirect subsidiary, entered into an amended partnership agreement with CEG to repower the Pinnacle wind project, a 55 MW wind facility located in Mineral County, West Virginia. The amended agreement commits the Company to invest an estimated $67 million in net corporate capital, subject to closing adjustments, and no longer requires an additional payment in 2031. The existing Pinnacle wind power purchase agreements will continue to run through 2031. Commercial operations and corporate capital funding for the Pinnacle wind repowering are expected to occur in the second half of 2021.</w:t>
      </w:r>
    </w:p>
    <w:p>
      <w:pPr>
        <w:spacing w:after="0" w:line="140" w:lineRule="exact"/>
        <w:rPr>
          <w:rFonts w:ascii="Arial" w:cs="Arial" w:eastAsia="Arial" w:hAnsi="Arial"/>
          <w:sz w:val="18"/>
          <w:szCs w:val="18"/>
          <w:color w:val="auto"/>
        </w:rPr>
      </w:pPr>
    </w:p>
    <w:p>
      <w:pPr>
        <w:jc w:val="both"/>
        <w:ind w:left="640" w:hanging="316"/>
        <w:spacing w:after="0" w:line="250" w:lineRule="auto"/>
        <w:tabs>
          <w:tab w:leader="none" w:pos="635"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color w:val="auto"/>
        </w:rPr>
        <w:t>On January 12, 2021, the Company acquired 100% of CEG's equity interest and a third party investor's minority interest in CWSP Rattlesnake Holding LLC, which indirectly owns the Rattlesnake wind project, a 160 MW wind facility located in Adams County, Washington that achieved commercial operations in December 2020, for $132 million in cash consideration. The Company's net capital commitment was $119 million after proceeds from a state sales and use tax refund, which were received in May 2021. The project has a 20-year PPA, which began when the facility reached commercial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 Adequacy Agreement at Marsh Landing</w:t>
      </w:r>
    </w:p>
    <w:p>
      <w:pPr>
        <w:spacing w:after="0" w:line="164" w:lineRule="exact"/>
        <w:rPr>
          <w:sz w:val="20"/>
          <w:szCs w:val="20"/>
          <w:color w:val="auto"/>
        </w:rPr>
      </w:pPr>
    </w:p>
    <w:p>
      <w:pPr>
        <w:jc w:val="both"/>
        <w:ind w:left="640" w:hanging="316"/>
        <w:spacing w:after="0" w:line="255"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May 3, 2021, the Company contracted with a California Load Serving Entity to sell 100 MW of Resource Adequacy commencing in May 2023. The contract is for seven and a half years and is at terms which would maintain project level CAFD on an unlevered basis if applied to the full capacity of the plant.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2021 Winter Events in Texas</w:t>
      </w:r>
    </w:p>
    <w:p>
      <w:pPr>
        <w:spacing w:after="0" w:line="164" w:lineRule="exact"/>
        <w:rPr>
          <w:sz w:val="20"/>
          <w:szCs w:val="20"/>
          <w:color w:val="auto"/>
        </w:rPr>
      </w:pPr>
    </w:p>
    <w:p>
      <w:pPr>
        <w:jc w:val="both"/>
        <w:ind w:left="640" w:hanging="316"/>
        <w:spacing w:after="0" w:line="250"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February 2021, Texas experienced extreme winter weather conditions in which certain of the Company's wind projects were unable to operate and experienced outages due to the weather conditions at that time. Due to this event, and inclusive of amounts related to third party equity investors, the Company recorded a reduction of approximately $50 million in revenue in the first quarter of 2021 to settle obligations for wind facilities during the extreme weather conditions. After factoring in third party equity investor contributions, the cash impact during the first quarter of 2021 was approximately $25 million.</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0"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Company is and will continue to evaluate the impact of the legislation and regulations as they are revised but cannot fully predict the impact of each</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until anticipated revisions and legal challenges are resolved. To the extent newly proposed legislation and regulations restrict or otherwise impact the Company's operations, the proposed legislation and regulations could have a negative impact on the Company's financial performance.</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Proposed and Final State Solar Photovoltaic Module Disposal and Recycling Regulations</w:t>
      </w:r>
    </w:p>
    <w:p>
      <w:pPr>
        <w:spacing w:after="0" w:line="164" w:lineRule="exact"/>
        <w:rPr>
          <w:sz w:val="20"/>
          <w:szCs w:val="20"/>
          <w:color w:val="auto"/>
        </w:rPr>
      </w:pPr>
    </w:p>
    <w:p>
      <w:pPr>
        <w:jc w:val="both"/>
        <w:ind w:firstLine="397"/>
        <w:spacing w:after="0" w:line="267" w:lineRule="auto"/>
        <w:rPr>
          <w:sz w:val="20"/>
          <w:szCs w:val="20"/>
          <w:color w:val="auto"/>
        </w:rPr>
      </w:pPr>
      <w:r>
        <w:rPr>
          <w:rFonts w:ascii="Arial" w:cs="Arial" w:eastAsia="Arial" w:hAnsi="Arial"/>
          <w:sz w:val="17"/>
          <w:szCs w:val="17"/>
          <w:color w:val="auto"/>
        </w:rPr>
        <w:t>In January 2021, the State of Hawaii issued a public notice of proposed rule changes which, among other items, include a proposed new solar panel universal waste rule. This proposed rule would create a new universal waste category for solar panels and allow solar panel waste management to be conducted under the existing regulatory framework. On June 7, 2021, this new rule went into effect, resulting in the addition of solar panels as a new category of universal wastes. The rule also adopts specific waste management standards within the existing universal waste framework and makes managing hazardous waste solar panels simpler and less costly. This rule will also allow some generators to qualify for a generator status subject to reduced regulation because universal wastes do not count toward generator status.</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Proposed Federal MBTA Incidental Take Legislation and Regulations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1" w:name="page42"/>
    <w:bookmarkEnd w:id="41"/>
    <w:p>
      <w:pPr>
        <w:ind w:left="400"/>
        <w:spacing w:after="0"/>
        <w:rPr>
          <w:sz w:val="20"/>
          <w:szCs w:val="20"/>
          <w:color w:val="auto"/>
        </w:rPr>
      </w:pPr>
      <w:r>
        <w:rPr>
          <w:rFonts w:ascii="Arial" w:cs="Arial" w:eastAsia="Arial" w:hAnsi="Arial"/>
          <w:sz w:val="15"/>
          <w:szCs w:val="15"/>
          <w:color w:val="auto"/>
        </w:rPr>
        <w:t>On January 20, 2021, President Biden issued an executive order to review and consider suspending, revising, or rescinding agency actions taken between</w:t>
      </w:r>
    </w:p>
    <w:p>
      <w:pPr>
        <w:spacing w:after="0" w:line="79"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January 20, 2017 and January 20, 2021 determined to be inconsistent with certain public health and environmental goals. This includes a review of both the Solicitor’s Opinion and the U.S. Fish and Wildlife Services’ (FWS) January 7, 2021 final rule codifying the Solicitor’s Opinion M-37050 defining the scope</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certain prohibitions under the MBTA. In response to this directive, on February 9, 2021, the FWS delayed the effective date of the January 2021 final rule and requested public comment to inform its review and a potential extended delay.</w:t>
      </w:r>
    </w:p>
    <w:p>
      <w:pPr>
        <w:spacing w:after="0" w:line="207"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7"/>
          <w:szCs w:val="17"/>
          <w:color w:val="auto"/>
        </w:rPr>
        <w:t>In May 2021, FWS published a draft rule to revoke the Trump Administration’s January 7, 2021 final rule in an effort to return to implementing the MBTA as prohibiting incidental take and applying enforcement discretion. Comments on the draft rule were due June 7, 2021. The proposed rule follows the Administration’s prior revocation of Solicitor’s Opinion M-37050 issued under the Trump Administration. A return to the position that incidental take is prohibited under the MBTA, or the development of legislation or regulations contrary to the FWS’s January 2021 rule, could increase potential liability and impose additional permitting requirements on certain of the Company's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0" w:lineRule="exact"/>
        <w:rPr>
          <w:sz w:val="20"/>
          <w:szCs w:val="20"/>
          <w:color w:val="auto"/>
        </w:rPr>
      </w:pPr>
    </w:p>
    <w:p>
      <w:pPr>
        <w:jc w:val="both"/>
        <w:ind w:firstLine="437"/>
        <w:spacing w:after="0" w:line="264" w:lineRule="auto"/>
        <w:rPr>
          <w:sz w:val="20"/>
          <w:szCs w:val="20"/>
          <w:color w:val="auto"/>
        </w:rPr>
      </w:pPr>
      <w:r>
        <w:rPr>
          <w:rFonts w:ascii="Arial" w:cs="Arial" w:eastAsia="Arial" w:hAnsi="Arial"/>
          <w:sz w:val="18"/>
          <w:szCs w:val="18"/>
          <w:color w:val="auto"/>
        </w:rPr>
        <w:t xml:space="preserve">The Company’s regulatory matters are described in the Company’s 2020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0" w:lineRule="exact"/>
        <w:rPr>
          <w:sz w:val="20"/>
          <w:szCs w:val="20"/>
          <w:color w:val="auto"/>
        </w:rPr>
      </w:pPr>
    </w:p>
    <w:p>
      <w:pPr>
        <w:jc w:val="both"/>
        <w:ind w:right="20" w:firstLine="397"/>
        <w:spacing w:after="0" w:line="264" w:lineRule="auto"/>
        <w:rPr>
          <w:sz w:val="20"/>
          <w:szCs w:val="20"/>
          <w:color w:val="auto"/>
        </w:rPr>
      </w:pPr>
      <w:r>
        <w:rPr>
          <w:rFonts w:ascii="Arial" w:cs="Arial" w:eastAsia="Arial" w:hAnsi="Arial"/>
          <w:sz w:val="18"/>
          <w:szCs w:val="18"/>
          <w:color w:val="auto"/>
        </w:rPr>
        <w:t xml:space="preserve">The Company’s trends are described in the Company’s 2020 Form 10-K in Item 7,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w:t>
      </w:r>
      <w:r>
        <w:rPr>
          <w:rFonts w:ascii="Arial" w:cs="Arial" w:eastAsia="Arial" w:hAnsi="Arial"/>
          <w:sz w:val="18"/>
          <w:szCs w:val="18"/>
          <w:i w:val="1"/>
          <w:iCs w:val="1"/>
          <w:color w:val="auto"/>
        </w:rPr>
        <w:t xml:space="preserve"> Trends Affecting Results of Operations and Future Business Performance.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Affecting Industry Conditions and the Company’s Business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COVID-19 Update</w:t>
      </w:r>
    </w:p>
    <w:p>
      <w:pPr>
        <w:spacing w:after="0" w:line="164"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7"/>
          <w:szCs w:val="17"/>
          <w:color w:val="auto"/>
        </w:rPr>
        <w:t>In response to the ongoing coronavirus (COVID-19) pandemic, the Company has implemented preventative measures and developed corporate and regional response plans to protect the health and safety of its employees, customers and other business counterparties, while supporting the Company’s suppliers and customers’ operations to the best of its ability in the circumstances. The Company also has modified certain business practices (including discontinuing all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support efforts to reduce the spread of COVID-19 and to conform to government restrictions and best practices encouraged by governmental and regulatory authorities. The Company continues to evaluate these measures, response plans and business practices in light of the evolving effects of COVID-19.</w:t>
      </w:r>
    </w:p>
    <w:p>
      <w:pPr>
        <w:spacing w:after="0" w:line="128" w:lineRule="exact"/>
        <w:rPr>
          <w:sz w:val="20"/>
          <w:szCs w:val="20"/>
          <w:color w:val="auto"/>
        </w:rPr>
      </w:pPr>
    </w:p>
    <w:p>
      <w:pPr>
        <w:jc w:val="both"/>
        <w:ind w:firstLine="397"/>
        <w:spacing w:after="0" w:line="250" w:lineRule="auto"/>
        <w:rPr>
          <w:sz w:val="20"/>
          <w:szCs w:val="20"/>
          <w:color w:val="auto"/>
        </w:rPr>
      </w:pPr>
      <w:r>
        <w:rPr>
          <w:rFonts w:ascii="Arial" w:cs="Arial" w:eastAsia="Arial" w:hAnsi="Arial"/>
          <w:sz w:val="18"/>
          <w:szCs w:val="18"/>
          <w:color w:val="auto"/>
        </w:rPr>
        <w:t>There is considerable uncertainty regarding the extent to which COVID-19, including variants such as the Delta variant, will continue to spread and the extent and duration of governmental and other measures implemented to try to slow the spread of the virus, such as large-scale travel bans and restrictions, border closures, quarantines, shelter-in-place orders and business and government shutdowns. Restrictions of this nature may cause the Company, its suppliers and other business counterparties to experience operational delays and delays in the delivery of materials and supplies and may cause milestones or deadlines relating to various projects to be missed.</w:t>
      </w:r>
    </w:p>
    <w:p>
      <w:pPr>
        <w:spacing w:after="0" w:line="141" w:lineRule="exact"/>
        <w:rPr>
          <w:sz w:val="20"/>
          <w:szCs w:val="20"/>
          <w:color w:val="auto"/>
        </w:rPr>
      </w:pPr>
    </w:p>
    <w:p>
      <w:pPr>
        <w:jc w:val="both"/>
        <w:ind w:firstLine="397"/>
        <w:spacing w:after="0" w:line="250" w:lineRule="auto"/>
        <w:rPr>
          <w:sz w:val="20"/>
          <w:szCs w:val="20"/>
          <w:color w:val="auto"/>
        </w:rPr>
      </w:pPr>
      <w:r>
        <w:rPr>
          <w:rFonts w:ascii="Arial" w:cs="Arial" w:eastAsia="Arial" w:hAnsi="Arial"/>
          <w:sz w:val="18"/>
          <w:szCs w:val="18"/>
          <w:color w:val="auto"/>
        </w:rPr>
        <w:t>As of the date of this report, the Company has not experienced any material financial or operational impacts related to COVID-19, or variants thereof. All of the Company’s facilities have remained operational. The Company has experienced a decrease in volumetric sales on a weather normalized basis at certain Thermal locations in part due to COVID-19 related impacts, which has not resulted in any material financial impacts to the Company. The Company believes that all of its accounts receivable balances as of June 30, 2021 are collectible. The Company will continue to assess collectability based on any future developments.</w:t>
      </w:r>
    </w:p>
    <w:p>
      <w:pPr>
        <w:spacing w:after="0" w:line="141" w:lineRule="exact"/>
        <w:rPr>
          <w:sz w:val="20"/>
          <w:szCs w:val="20"/>
          <w:color w:val="auto"/>
        </w:rPr>
      </w:pPr>
    </w:p>
    <w:p>
      <w:pPr>
        <w:jc w:val="both"/>
        <w:ind w:firstLine="397"/>
        <w:spacing w:after="0" w:line="312" w:lineRule="auto"/>
        <w:rPr>
          <w:sz w:val="20"/>
          <w:szCs w:val="20"/>
          <w:color w:val="auto"/>
        </w:rPr>
      </w:pPr>
      <w:r>
        <w:rPr>
          <w:rFonts w:ascii="Arial" w:cs="Arial" w:eastAsia="Arial" w:hAnsi="Arial"/>
          <w:sz w:val="15"/>
          <w:szCs w:val="15"/>
          <w:color w:val="auto"/>
        </w:rPr>
        <w:t>The Company cannot predict the full impact that COVID-19 will have on the Company’s financial expectations, its financial condition, results of operations and cash flows, its ability to make distributions to its unit holders and its ability to satisfy its debt service obligations at this time, due to numerous uncertainties. The ultimate impacts will depend on future developments, including, among others, the ultimate geographic spread of the virus and related variants, the consequences of governmental and other measures designed to prevent the spread of the virus, the development of effective treatments, including vaccines, the duration of the pandemic, actions taken by governmental authorities, customers, suppliers and other third parties,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2" w:name="page43"/>
    <w:bookmarkEnd w:id="42"/>
    <w:p>
      <w:pPr>
        <w:spacing w:after="0" w:line="264" w:lineRule="auto"/>
        <w:rPr>
          <w:sz w:val="20"/>
          <w:szCs w:val="20"/>
          <w:color w:val="auto"/>
        </w:rPr>
      </w:pPr>
      <w:r>
        <w:rPr>
          <w:rFonts w:ascii="Arial" w:cs="Arial" w:eastAsia="Arial" w:hAnsi="Arial"/>
          <w:sz w:val="18"/>
          <w:szCs w:val="18"/>
          <w:color w:val="auto"/>
        </w:rPr>
        <w:t xml:space="preserve">workforce availability and the timing and extent to which normal economic and operating conditions resume. For additional discussion regarding risks associated with the COVID-19 pandemic,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Company's 2020 Form 10-K.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89"/>
              </w:rPr>
              <w:t>Three months ended June 30,</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9"/>
          </w:tcPr>
          <w:p>
            <w:pPr>
              <w:jc w:val="right"/>
              <w:ind w:right="65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Borders>
              <w:bottom w:val="single" w:sz="8" w:color="auto"/>
            </w:tcBorders>
          </w:tcPr>
          <w:p>
            <w:pPr>
              <w:spacing w:after="0" w:line="159" w:lineRule="exact"/>
              <w:rPr>
                <w:sz w:val="20"/>
                <w:szCs w:val="20"/>
                <w:color w:val="auto"/>
              </w:rPr>
            </w:pPr>
            <w:r>
              <w:rPr>
                <w:rFonts w:ascii="Arial" w:cs="Arial" w:eastAsia="Arial" w:hAnsi="Arial"/>
                <w:sz w:val="16"/>
                <w:szCs w:val="16"/>
                <w:b w:val="1"/>
                <w:bCs w:val="1"/>
                <w:color w:val="auto"/>
                <w:w w:val="91"/>
              </w:rPr>
              <w:t>(In millions)</w:t>
            </w:r>
          </w:p>
        </w:tc>
        <w:tc>
          <w:tcPr>
            <w:tcW w:w="3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ind w:right="52"/>
              <w:spacing w:after="0" w:line="159" w:lineRule="exact"/>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93"/>
              <w:spacing w:after="0" w:line="159"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3"/>
          </w:tcPr>
          <w:p>
            <w:pPr>
              <w:ind w:left="60"/>
              <w:spacing w:after="0" w:line="159" w:lineRule="exact"/>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234"/>
              <w:spacing w:after="0" w:line="15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3"/>
          </w:tcPr>
          <w:p>
            <w:pPr>
              <w:jc w:val="right"/>
              <w:ind w:right="340"/>
              <w:spacing w:after="0" w:line="159"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173"/>
              <w:spacing w:after="0" w:line="159"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Operating Revenues</w:t>
            </w: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Energy and capacity revenues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333333"/>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33333"/>
              </w:rPr>
              <w:t>420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4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Arial" w:cs="Arial" w:eastAsia="Arial" w:hAnsi="Arial"/>
                <w:sz w:val="17"/>
                <w:szCs w:val="17"/>
                <w:color w:val="auto"/>
              </w:rPr>
              <w:t>Other revenues</w:t>
            </w:r>
          </w:p>
        </w:tc>
        <w:tc>
          <w:tcPr>
            <w:tcW w:w="2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333333"/>
              </w:rPr>
              <w:t>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33333"/>
              </w:rPr>
              <w:t>(37)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Mark-to-market economic hedging activities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33333"/>
              </w:rPr>
              <w:t>(31)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operating revenues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Operating Costs and Expenses</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Cost of fuels</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Operations and maintenance</w:t>
            </w:r>
          </w:p>
        </w:tc>
        <w:tc>
          <w:tcPr>
            <w:tcW w:w="2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costs of operations</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2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Arial" w:cs="Arial" w:eastAsia="Arial" w:hAnsi="Arial"/>
                <w:sz w:val="17"/>
                <w:szCs w:val="17"/>
                <w:color w:val="auto"/>
              </w:rPr>
              <w:t>Transaction and integration costs</w:t>
            </w:r>
          </w:p>
        </w:tc>
        <w:tc>
          <w:tcPr>
            <w:tcW w:w="2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Development costs</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43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Other Income (Expense)</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 in earnings of unconsolidated affiliates</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Gain on sale of unconsolidated affiliate</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Loss on debt extinguishment</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Derivative (expense) interest income</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interest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4340" w:type="dxa"/>
            <w:vAlign w:val="bottom"/>
            <w:gridSpan w:val="2"/>
            <w:shd w:val="clear" w:color="auto" w:fill="CCEEFF"/>
          </w:tcPr>
          <w:p>
            <w:pPr>
              <w:ind w:left="120"/>
              <w:spacing w:after="0" w:line="154" w:lineRule="exact"/>
              <w:rPr>
                <w:sz w:val="20"/>
                <w:szCs w:val="20"/>
                <w:color w:val="auto"/>
              </w:rPr>
            </w:pPr>
            <w:r>
              <w:rPr>
                <w:rFonts w:ascii="Arial" w:cs="Arial" w:eastAsia="Arial" w:hAnsi="Arial"/>
                <w:sz w:val="17"/>
                <w:szCs w:val="17"/>
                <w:color w:val="auto"/>
              </w:rPr>
              <w:t>Less: Loss attributable to noncontrolling interests and</w:t>
            </w:r>
          </w:p>
        </w:tc>
        <w:tc>
          <w:tcPr>
            <w:tcW w:w="2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redeemable interests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Clearway Energy LLC</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4"/>
                <w:szCs w:val="14"/>
                <w:b w:val="1"/>
                <w:bCs w:val="1"/>
                <w:color w:val="auto"/>
                <w:w w:val="90"/>
              </w:rPr>
              <w:t>Three months ended June 30,</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Borders>
              <w:bottom w:val="single" w:sz="8" w:color="auto"/>
            </w:tcBorders>
            <w:gridSpan w:val="9"/>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Business metrics:</w:t>
            </w:r>
          </w:p>
        </w:tc>
        <w:tc>
          <w:tcPr>
            <w:tcW w:w="2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line="219"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2"/>
                <w:szCs w:val="22"/>
                <w:color w:val="auto"/>
                <w:vertAlign w:val="superscript"/>
              </w:rPr>
              <w:t>(a)</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5,900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Thermal MWt sold (in thousands)</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1,068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Thermal MWh sold (in thousands)</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40" w:type="dxa"/>
            <w:vAlign w:val="bottom"/>
            <w:gridSpan w:val="2"/>
          </w:tcPr>
          <w:p>
            <w:pPr>
              <w:spacing w:after="0" w:line="225"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2"/>
                <w:szCs w:val="22"/>
                <w:color w:val="auto"/>
                <w:vertAlign w:val="superscript"/>
              </w:rPr>
              <w:t>(a) (b)</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Conventional equivalent availability factor</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95.1 %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3462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331" w:lineRule="exact"/>
        <w:rPr>
          <w:sz w:val="20"/>
          <w:szCs w:val="20"/>
          <w:color w:val="auto"/>
        </w:rPr>
      </w:pPr>
    </w:p>
    <w:p>
      <w:pPr>
        <w:ind w:left="380" w:hanging="136"/>
        <w:spacing w:after="0"/>
        <w:tabs>
          <w:tab w:leader="none" w:pos="380" w:val="left"/>
        </w:tabs>
        <w:numPr>
          <w:ilvl w:val="0"/>
          <w:numId w:val="26"/>
        </w:numPr>
        <w:rPr>
          <w:rFonts w:ascii="Arial" w:cs="Arial" w:eastAsia="Arial" w:hAnsi="Arial"/>
          <w:sz w:val="15"/>
          <w:szCs w:val="15"/>
          <w:color w:val="auto"/>
          <w:vertAlign w:val="superscript"/>
        </w:rPr>
      </w:pPr>
      <w:r>
        <w:rPr>
          <w:rFonts w:ascii="Arial" w:cs="Arial" w:eastAsia="Arial" w:hAnsi="Arial"/>
          <w:sz w:val="11"/>
          <w:szCs w:val="11"/>
          <w:color w:val="auto"/>
        </w:rPr>
        <w:t>Volumes do not include the MWh generated/sold by the Company's equity method investments.</w:t>
      </w:r>
    </w:p>
    <w:p>
      <w:pPr>
        <w:ind w:left="400" w:hanging="156"/>
        <w:spacing w:after="0" w:line="184" w:lineRule="auto"/>
        <w:tabs>
          <w:tab w:leader="none" w:pos="400" w:val="left"/>
        </w:tabs>
        <w:numPr>
          <w:ilvl w:val="0"/>
          <w:numId w:val="26"/>
        </w:numPr>
        <w:rPr>
          <w:rFonts w:ascii="Arial" w:cs="Arial" w:eastAsia="Arial" w:hAnsi="Arial"/>
          <w:sz w:val="19"/>
          <w:szCs w:val="19"/>
          <w:color w:val="auto"/>
          <w:vertAlign w:val="superscript"/>
        </w:rPr>
      </w:pPr>
      <w:r>
        <w:rPr>
          <w:rFonts w:ascii="Arial" w:cs="Arial" w:eastAsia="Arial" w:hAnsi="Arial"/>
          <w:sz w:val="13"/>
          <w:szCs w:val="13"/>
          <w:color w:val="auto"/>
        </w:rPr>
        <w:t>Volumes generated are not sold by the Company as the Conventional facilities sell capacity rather than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4" w:name="page45"/>
    <w:bookmarkEnd w:id="44"/>
    <w:p>
      <w:pPr>
        <w:ind w:right="3140"/>
        <w:spacing w:after="0" w:line="433" w:lineRule="auto"/>
        <w:rPr>
          <w:sz w:val="20"/>
          <w:szCs w:val="20"/>
          <w:color w:val="auto"/>
        </w:rPr>
      </w:pPr>
      <w:r>
        <w:rPr>
          <w:rFonts w:ascii="Arial" w:cs="Arial" w:eastAsia="Arial" w:hAnsi="Arial"/>
          <w:sz w:val="18"/>
          <w:szCs w:val="18"/>
          <w:b w:val="1"/>
          <w:bCs w:val="1"/>
          <w:color w:val="auto"/>
        </w:rPr>
        <w:t xml:space="preserve">Management’s Discussion of the Results of Operations for the Three Months Ended June 30, 2021 and 2020 </w:t>
      </w:r>
      <w:r>
        <w:rPr>
          <w:rFonts w:ascii="Arial" w:cs="Arial" w:eastAsia="Arial" w:hAnsi="Arial"/>
          <w:sz w:val="18"/>
          <w:szCs w:val="18"/>
          <w:b w:val="1"/>
          <w:bCs w:val="1"/>
          <w:i w:val="1"/>
          <w:iCs w:val="1"/>
          <w:color w:val="auto"/>
        </w:rPr>
        <w:t>Adjusted Gross Margin</w:t>
      </w:r>
    </w:p>
    <w:p>
      <w:pPr>
        <w:spacing w:after="0" w:line="1" w:lineRule="exact"/>
        <w:rPr>
          <w:sz w:val="20"/>
          <w:szCs w:val="20"/>
          <w:color w:val="auto"/>
        </w:rPr>
      </w:pPr>
    </w:p>
    <w:p>
      <w:pPr>
        <w:ind w:right="20" w:firstLine="636"/>
        <w:spacing w:after="0" w:line="265" w:lineRule="auto"/>
        <w:rPr>
          <w:sz w:val="20"/>
          <w:szCs w:val="20"/>
          <w:color w:val="auto"/>
        </w:rPr>
      </w:pPr>
      <w:r>
        <w:rPr>
          <w:rFonts w:ascii="Arial" w:cs="Arial" w:eastAsia="Arial" w:hAnsi="Arial"/>
          <w:sz w:val="17"/>
          <w:szCs w:val="17"/>
          <w:color w:val="auto"/>
        </w:rPr>
        <w:t>In addition to total operating revenues, the Company evaluates its operating performance using the measure of Adjusted Gross Margin, which is not a GAAP measure and may not be comparable to other companies’ presentations or deemed more useful than the GAAP information provided elsewhere in this report. Adjusted Gross Margin is defined as total operating revenues, excluding contract amortization and mark-to-market for economic hedges, less cost of fuels. Adjusted Gross Margin should be viewed as a supplement to and not a substitute for the Company's presentation of total operating revenues, which is the most directly comparable GAAP measure. The Company believes that Adjusted Gross Margin is useful to investors as it is a key operational measure reviewed by the Company's chief operating decision maker. Cost of fuels is typically recovered through customer revenue contracts and therefore, Adjusted Gross Margin excludes any revenue effect of fluctuations in these expenses.</w:t>
      </w:r>
    </w:p>
    <w:p>
      <w:pPr>
        <w:spacing w:after="0" w:line="132" w:lineRule="exact"/>
        <w:rPr>
          <w:sz w:val="20"/>
          <w:szCs w:val="20"/>
          <w:color w:val="auto"/>
        </w:rPr>
      </w:pPr>
    </w:p>
    <w:p>
      <w:pPr>
        <w:ind w:right="280" w:firstLine="636"/>
        <w:spacing w:after="0" w:line="264" w:lineRule="auto"/>
        <w:rPr>
          <w:sz w:val="20"/>
          <w:szCs w:val="20"/>
          <w:color w:val="auto"/>
        </w:rPr>
      </w:pPr>
      <w:r>
        <w:rPr>
          <w:rFonts w:ascii="Arial" w:cs="Arial" w:eastAsia="Arial" w:hAnsi="Arial"/>
          <w:sz w:val="18"/>
          <w:szCs w:val="18"/>
          <w:color w:val="auto"/>
        </w:rPr>
        <w:t>The below tables present the composition of total operating revenues, as well as the reconciliation to Adjusted Gross Margin, for the three months ended June 30, 2021 and 2020:</w:t>
      </w:r>
    </w:p>
    <w:tbl>
      <w:tblPr>
        <w:tblLayout w:type="fixed"/>
        <w:tblInd w:w="0" w:type="dxa"/>
        <w:tblCellMar>
          <w:top w:w="0" w:type="dxa"/>
          <w:left w:w="0" w:type="dxa"/>
          <w:bottom w:w="0" w:type="dxa"/>
          <w:right w:w="0" w:type="dxa"/>
        </w:tblCellMar>
      </w:tblPr>
      <w:tr>
        <w:trPr>
          <w:trHeight w:val="167"/>
        </w:trPr>
        <w:tc>
          <w:tcPr>
            <w:tcW w:w="3620" w:type="dxa"/>
            <w:vAlign w:val="bottom"/>
            <w:vMerge w:val="restart"/>
          </w:tcPr>
          <w:p>
            <w:pPr>
              <w:ind w:left="660"/>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4"/>
                <w:szCs w:val="14"/>
                <w:color w:val="auto"/>
              </w:rPr>
            </w:pPr>
          </w:p>
        </w:tc>
        <w:tc>
          <w:tcPr>
            <w:tcW w:w="1180" w:type="dxa"/>
            <w:vAlign w:val="bottom"/>
            <w:gridSpan w:val="2"/>
          </w:tcPr>
          <w:p>
            <w:pPr>
              <w:ind w:left="20"/>
              <w:spacing w:after="0" w:line="167" w:lineRule="exact"/>
              <w:rPr>
                <w:sz w:val="20"/>
                <w:szCs w:val="20"/>
                <w:color w:val="auto"/>
              </w:rPr>
            </w:pPr>
            <w:r>
              <w:rPr>
                <w:rFonts w:ascii="Arial" w:cs="Arial" w:eastAsia="Arial" w:hAnsi="Arial"/>
                <w:sz w:val="16"/>
                <w:szCs w:val="16"/>
                <w:b w:val="1"/>
                <w:bCs w:val="1"/>
                <w:color w:val="auto"/>
              </w:rPr>
              <w:t>Conventional</w:t>
            </w:r>
          </w:p>
        </w:tc>
        <w:tc>
          <w:tcPr>
            <w:tcW w:w="780" w:type="dxa"/>
            <w:vAlign w:val="bottom"/>
          </w:tcPr>
          <w:p>
            <w:pPr>
              <w:spacing w:after="0"/>
              <w:rPr>
                <w:sz w:val="14"/>
                <w:szCs w:val="14"/>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Renewables</w:t>
            </w:r>
          </w:p>
        </w:tc>
        <w:tc>
          <w:tcPr>
            <w:tcW w:w="84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Thermal</w:t>
            </w:r>
          </w:p>
        </w:tc>
        <w:tc>
          <w:tcPr>
            <w:tcW w:w="900" w:type="dxa"/>
            <w:vAlign w:val="bottom"/>
          </w:tcPr>
          <w:p>
            <w:pPr>
              <w:spacing w:after="0"/>
              <w:rPr>
                <w:sz w:val="14"/>
                <w:szCs w:val="14"/>
                <w:color w:val="auto"/>
              </w:rPr>
            </w:pPr>
          </w:p>
        </w:tc>
        <w:tc>
          <w:tcPr>
            <w:tcW w:w="94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3620" w:type="dxa"/>
            <w:vAlign w:val="bottom"/>
            <w:vMerge w:val="continue"/>
          </w:tcPr>
          <w:p>
            <w:pPr>
              <w:spacing w:after="0"/>
              <w:rPr>
                <w:sz w:val="18"/>
                <w:szCs w:val="18"/>
                <w:color w:val="auto"/>
              </w:rPr>
            </w:pPr>
          </w:p>
        </w:tc>
        <w:tc>
          <w:tcPr>
            <w:tcW w:w="1940" w:type="dxa"/>
            <w:vAlign w:val="bottom"/>
            <w:gridSpan w:val="3"/>
          </w:tcPr>
          <w:p>
            <w:pPr>
              <w:ind w:left="540"/>
              <w:spacing w:after="0"/>
              <w:rPr>
                <w:sz w:val="20"/>
                <w:szCs w:val="20"/>
                <w:color w:val="auto"/>
              </w:rPr>
            </w:pPr>
            <w:r>
              <w:rPr>
                <w:rFonts w:ascii="Arial" w:cs="Arial" w:eastAsia="Arial" w:hAnsi="Arial"/>
                <w:sz w:val="16"/>
                <w:szCs w:val="16"/>
                <w:b w:val="1"/>
                <w:bCs w:val="1"/>
                <w:color w:val="auto"/>
              </w:rPr>
              <w:t>Generation</w:t>
            </w:r>
          </w:p>
        </w:tc>
        <w:tc>
          <w:tcPr>
            <w:tcW w:w="7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Pr>
          <w:p>
            <w:pPr>
              <w:ind w:left="660"/>
              <w:spacing w:after="0"/>
              <w:rPr>
                <w:sz w:val="20"/>
                <w:szCs w:val="20"/>
                <w:color w:val="auto"/>
              </w:rPr>
            </w:pPr>
            <w:r>
              <w:rPr>
                <w:rFonts w:ascii="Arial" w:cs="Arial" w:eastAsia="Arial" w:hAnsi="Arial"/>
                <w:sz w:val="18"/>
                <w:szCs w:val="18"/>
                <w:b w:val="1"/>
                <w:bCs w:val="1"/>
                <w:color w:val="auto"/>
                <w:w w:val="98"/>
              </w:rPr>
              <w:t>Three months ended June 30, 2021</w:t>
            </w:r>
          </w:p>
        </w:tc>
        <w:tc>
          <w:tcPr>
            <w:tcW w:w="7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operating revenues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5"/>
        </w:trPr>
        <w:tc>
          <w:tcPr>
            <w:tcW w:w="3620" w:type="dxa"/>
            <w:vAlign w:val="bottom"/>
          </w:tcPr>
          <w:p>
            <w:pPr>
              <w:ind w:left="680"/>
              <w:spacing w:after="0" w:line="204" w:lineRule="exact"/>
              <w:rPr>
                <w:sz w:val="20"/>
                <w:szCs w:val="20"/>
                <w:color w:val="auto"/>
              </w:rPr>
            </w:pPr>
            <w:r>
              <w:rPr>
                <w:rFonts w:ascii="Arial" w:cs="Arial" w:eastAsia="Arial" w:hAnsi="Arial"/>
                <w:sz w:val="18"/>
                <w:szCs w:val="18"/>
                <w:color w:val="auto"/>
              </w:rPr>
              <w:t>Less:</w:t>
            </w: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Cost of fuels</w:t>
            </w:r>
          </w:p>
        </w:tc>
        <w:tc>
          <w:tcPr>
            <w:tcW w:w="7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5"/>
        </w:trPr>
        <w:tc>
          <w:tcPr>
            <w:tcW w:w="3620" w:type="dxa"/>
            <w:vAlign w:val="bottom"/>
          </w:tcPr>
          <w:p>
            <w:pPr>
              <w:ind w:left="780"/>
              <w:spacing w:after="0"/>
              <w:rPr>
                <w:sz w:val="20"/>
                <w:szCs w:val="20"/>
                <w:color w:val="auto"/>
              </w:rPr>
            </w:pPr>
            <w:r>
              <w:rPr>
                <w:rFonts w:ascii="Arial" w:cs="Arial" w:eastAsia="Arial" w:hAnsi="Arial"/>
                <w:sz w:val="18"/>
                <w:szCs w:val="18"/>
                <w:color w:val="auto"/>
              </w:rPr>
              <w:t>Contract amortization</w:t>
            </w:r>
          </w:p>
        </w:tc>
        <w:tc>
          <w:tcPr>
            <w:tcW w:w="7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74"/>
        </w:trPr>
        <w:tc>
          <w:tcPr>
            <w:tcW w:w="3620" w:type="dxa"/>
            <w:vAlign w:val="bottom"/>
            <w:shd w:val="clear" w:color="auto" w:fill="CCEEFF"/>
          </w:tcPr>
          <w:p>
            <w:pPr>
              <w:ind w:left="780"/>
              <w:spacing w:after="0" w:line="174" w:lineRule="exact"/>
              <w:rPr>
                <w:sz w:val="20"/>
                <w:szCs w:val="20"/>
                <w:color w:val="auto"/>
              </w:rPr>
            </w:pPr>
            <w:r>
              <w:rPr>
                <w:rFonts w:ascii="Arial" w:cs="Arial" w:eastAsia="Arial" w:hAnsi="Arial"/>
                <w:sz w:val="18"/>
                <w:szCs w:val="18"/>
                <w:color w:val="auto"/>
              </w:rPr>
              <w:t>Mark-to-market economic hedging</w:t>
            </w:r>
          </w:p>
        </w:tc>
        <w:tc>
          <w:tcPr>
            <w:tcW w:w="76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4"/>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activities</w:t>
            </w:r>
          </w:p>
        </w:tc>
        <w:tc>
          <w:tcPr>
            <w:tcW w:w="76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20" w:type="dxa"/>
            <w:vAlign w:val="bottom"/>
          </w:tcPr>
          <w:p>
            <w:pPr>
              <w:ind w:left="660"/>
              <w:spacing w:after="0"/>
              <w:rPr>
                <w:sz w:val="20"/>
                <w:szCs w:val="20"/>
                <w:color w:val="auto"/>
              </w:rPr>
            </w:pPr>
            <w:r>
              <w:rPr>
                <w:rFonts w:ascii="Arial" w:cs="Arial" w:eastAsia="Arial" w:hAnsi="Arial"/>
                <w:sz w:val="18"/>
                <w:szCs w:val="18"/>
                <w:b w:val="1"/>
                <w:bCs w:val="1"/>
                <w:color w:val="auto"/>
              </w:rPr>
              <w:t>Adjusted Gross Margin</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w w:val="98"/>
              </w:rPr>
              <w:t>Three months ended June 30, 2020</w:t>
            </w:r>
          </w:p>
        </w:tc>
        <w:tc>
          <w:tcPr>
            <w:tcW w:w="7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2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Total operating revenues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5"/>
        </w:trPr>
        <w:tc>
          <w:tcPr>
            <w:tcW w:w="3620" w:type="dxa"/>
            <w:vAlign w:val="bottom"/>
            <w:shd w:val="clear" w:color="auto" w:fill="CCEEFF"/>
          </w:tcPr>
          <w:p>
            <w:pPr>
              <w:ind w:left="680"/>
              <w:spacing w:after="0" w:line="204" w:lineRule="exact"/>
              <w:rPr>
                <w:sz w:val="20"/>
                <w:szCs w:val="20"/>
                <w:color w:val="auto"/>
              </w:rPr>
            </w:pPr>
            <w:r>
              <w:rPr>
                <w:rFonts w:ascii="Arial" w:cs="Arial" w:eastAsia="Arial" w:hAnsi="Arial"/>
                <w:sz w:val="18"/>
                <w:szCs w:val="18"/>
                <w:color w:val="auto"/>
              </w:rPr>
              <w:t>Less:</w:t>
            </w: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620" w:type="dxa"/>
            <w:vAlign w:val="bottom"/>
          </w:tcPr>
          <w:p>
            <w:pPr>
              <w:ind w:left="780"/>
              <w:spacing w:after="0"/>
              <w:rPr>
                <w:sz w:val="20"/>
                <w:szCs w:val="20"/>
                <w:color w:val="auto"/>
              </w:rPr>
            </w:pPr>
            <w:r>
              <w:rPr>
                <w:rFonts w:ascii="Arial" w:cs="Arial" w:eastAsia="Arial" w:hAnsi="Arial"/>
                <w:sz w:val="18"/>
                <w:szCs w:val="18"/>
                <w:color w:val="auto"/>
              </w:rPr>
              <w:t>Cost of fuels</w:t>
            </w:r>
          </w:p>
        </w:tc>
        <w:tc>
          <w:tcPr>
            <w:tcW w:w="7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6"/>
        </w:trPr>
        <w:tc>
          <w:tcPr>
            <w:tcW w:w="36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Contract amortization</w:t>
            </w:r>
          </w:p>
        </w:tc>
        <w:tc>
          <w:tcPr>
            <w:tcW w:w="7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73"/>
        </w:trPr>
        <w:tc>
          <w:tcPr>
            <w:tcW w:w="3620" w:type="dxa"/>
            <w:vAlign w:val="bottom"/>
          </w:tcPr>
          <w:p>
            <w:pPr>
              <w:ind w:left="780"/>
              <w:spacing w:after="0" w:line="173" w:lineRule="exact"/>
              <w:rPr>
                <w:sz w:val="20"/>
                <w:szCs w:val="20"/>
                <w:color w:val="auto"/>
              </w:rPr>
            </w:pPr>
            <w:r>
              <w:rPr>
                <w:rFonts w:ascii="Arial" w:cs="Arial" w:eastAsia="Arial" w:hAnsi="Arial"/>
                <w:sz w:val="18"/>
                <w:szCs w:val="18"/>
                <w:color w:val="auto"/>
                <w:w w:val="94"/>
              </w:rPr>
              <w:t>Mark-to-market for economic hedging</w:t>
            </w:r>
          </w:p>
        </w:tc>
        <w:tc>
          <w:tcPr>
            <w:tcW w:w="76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4"/>
        </w:trPr>
        <w:tc>
          <w:tcPr>
            <w:tcW w:w="3620" w:type="dxa"/>
            <w:vAlign w:val="bottom"/>
          </w:tcPr>
          <w:p>
            <w:pPr>
              <w:ind w:left="140"/>
              <w:spacing w:after="0"/>
              <w:rPr>
                <w:sz w:val="20"/>
                <w:szCs w:val="20"/>
                <w:color w:val="auto"/>
              </w:rPr>
            </w:pPr>
            <w:r>
              <w:rPr>
                <w:rFonts w:ascii="Arial" w:cs="Arial" w:eastAsia="Arial" w:hAnsi="Arial"/>
                <w:sz w:val="18"/>
                <w:szCs w:val="18"/>
                <w:color w:val="auto"/>
              </w:rPr>
              <w:t>activities</w:t>
            </w:r>
          </w:p>
        </w:tc>
        <w:tc>
          <w:tcPr>
            <w:tcW w:w="7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62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Adjusted Gross Margin</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58"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Operating revenues increased by $51 million during the three months ended June 30, 2021, compared to the same period in 2020, due to a combination of the drivers summarized in the table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Segment</w:t>
            </w:r>
          </w:p>
        </w:tc>
        <w:tc>
          <w:tcPr>
            <w:tcW w:w="84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(In millions)</w:t>
            </w:r>
          </w:p>
        </w:tc>
        <w:tc>
          <w:tcPr>
            <w:tcW w:w="0" w:type="dxa"/>
            <w:vAlign w:val="bottom"/>
          </w:tcPr>
          <w:p>
            <w:pPr>
              <w:spacing w:after="0"/>
              <w:rPr>
                <w:sz w:val="1"/>
                <w:szCs w:val="1"/>
                <w:color w:val="auto"/>
              </w:rPr>
            </w:pPr>
          </w:p>
        </w:tc>
      </w:tr>
      <w:tr>
        <w:trPr>
          <w:trHeight w:val="166"/>
        </w:trPr>
        <w:tc>
          <w:tcPr>
            <w:tcW w:w="1440" w:type="dxa"/>
            <w:vAlign w:val="bottom"/>
            <w:shd w:val="clear" w:color="auto" w:fill="CCEEFF"/>
          </w:tcPr>
          <w:p>
            <w:pPr>
              <w:ind w:left="20"/>
              <w:spacing w:after="0" w:line="166" w:lineRule="exact"/>
              <w:rPr>
                <w:sz w:val="20"/>
                <w:szCs w:val="20"/>
                <w:color w:val="auto"/>
              </w:rPr>
            </w:pPr>
            <w:r>
              <w:rPr>
                <w:rFonts w:ascii="Arial" w:cs="Arial" w:eastAsia="Arial" w:hAnsi="Arial"/>
                <w:sz w:val="18"/>
                <w:szCs w:val="18"/>
                <w:b w:val="1"/>
                <w:bCs w:val="1"/>
                <w:color w:val="auto"/>
              </w:rPr>
              <w:t>Renewables</w:t>
            </w:r>
          </w:p>
        </w:tc>
        <w:tc>
          <w:tcPr>
            <w:tcW w:w="8440" w:type="dxa"/>
            <w:vAlign w:val="bottom"/>
            <w:shd w:val="clear" w:color="auto" w:fill="CCEEFF"/>
          </w:tcPr>
          <w:p>
            <w:pPr>
              <w:ind w:left="20"/>
              <w:spacing w:after="0" w:line="166" w:lineRule="exact"/>
              <w:rPr>
                <w:sz w:val="20"/>
                <w:szCs w:val="20"/>
                <w:color w:val="auto"/>
              </w:rPr>
            </w:pPr>
            <w:r>
              <w:rPr>
                <w:rFonts w:ascii="Arial" w:cs="Arial" w:eastAsia="Arial" w:hAnsi="Arial"/>
                <w:sz w:val="18"/>
                <w:szCs w:val="18"/>
                <w:color w:val="auto"/>
                <w:w w:val="89"/>
              </w:rPr>
              <w:t>Increase due to higher wind production at Alta as well as the acquisitions of Agua Caliente, Mesquite Star, Rattlesnake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2"/>
        </w:trPr>
        <w:tc>
          <w:tcPr>
            <w:tcW w:w="1440" w:type="dxa"/>
            <w:vAlign w:val="bottom"/>
            <w:shd w:val="clear" w:color="auto" w:fill="CCEEFF"/>
          </w:tcPr>
          <w:p>
            <w:pPr>
              <w:spacing w:after="0"/>
              <w:rPr>
                <w:sz w:val="18"/>
                <w:szCs w:val="18"/>
                <w:color w:val="auto"/>
              </w:rPr>
            </w:pPr>
          </w:p>
        </w:tc>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Flat and Rosamond Central and consolidation of the DGPV investments</w:t>
            </w:r>
          </w:p>
        </w:tc>
        <w:tc>
          <w:tcPr>
            <w:tcW w:w="1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440" w:type="dxa"/>
            <w:vAlign w:val="bottom"/>
          </w:tcPr>
          <w:p>
            <w:pPr>
              <w:ind w:left="20"/>
              <w:spacing w:after="0"/>
              <w:rPr>
                <w:sz w:val="20"/>
                <w:szCs w:val="20"/>
                <w:color w:val="auto"/>
              </w:rPr>
            </w:pPr>
            <w:r>
              <w:rPr>
                <w:rFonts w:ascii="Arial" w:cs="Arial" w:eastAsia="Arial" w:hAnsi="Arial"/>
                <w:sz w:val="18"/>
                <w:szCs w:val="18"/>
                <w:b w:val="1"/>
                <w:bCs w:val="1"/>
                <w:color w:val="auto"/>
              </w:rPr>
              <w:t>Thermal</w:t>
            </w:r>
          </w:p>
        </w:tc>
        <w:tc>
          <w:tcPr>
            <w:tcW w:w="8440" w:type="dxa"/>
            <w:vAlign w:val="bottom"/>
          </w:tcPr>
          <w:p>
            <w:pPr>
              <w:ind w:left="20"/>
              <w:spacing w:after="0"/>
              <w:rPr>
                <w:sz w:val="20"/>
                <w:szCs w:val="20"/>
                <w:color w:val="auto"/>
              </w:rPr>
            </w:pPr>
            <w:r>
              <w:rPr>
                <w:rFonts w:ascii="Arial" w:cs="Arial" w:eastAsia="Arial" w:hAnsi="Arial"/>
                <w:sz w:val="18"/>
                <w:szCs w:val="18"/>
                <w:color w:val="auto"/>
              </w:rPr>
              <w:t>Increase primarily driven by higher volumes and higher gas prices passed through to customers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73"/>
        </w:trPr>
        <w:tc>
          <w:tcPr>
            <w:tcW w:w="144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Conventional</w:t>
            </w:r>
          </w:p>
        </w:tc>
        <w:tc>
          <w:tcPr>
            <w:tcW w:w="844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3"/>
              </w:rPr>
              <w:t>Increase primarily due to an increase in start revenue at Marsh Landing and improved availability at the California</w:t>
            </w: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1440" w:type="dxa"/>
            <w:vAlign w:val="bottom"/>
            <w:vMerge w:val="continue"/>
            <w:shd w:val="clear" w:color="auto" w:fill="CCEEFF"/>
          </w:tcPr>
          <w:p>
            <w:pPr>
              <w:spacing w:after="0"/>
              <w:rPr>
                <w:sz w:val="19"/>
                <w:szCs w:val="19"/>
                <w:color w:val="auto"/>
              </w:rPr>
            </w:pPr>
          </w:p>
        </w:tc>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portfolio</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58"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Operations and maintenance expense increased by $15 million during the three months ended June 30, 2021, compared to the same period in 2020, primarily due to the acquisition of solar and wind projects during the second half of 2020 and first half of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5" w:name="page46"/>
    <w:bookmarkEnd w:id="45"/>
    <w:p>
      <w:pPr>
        <w:ind w:left="400"/>
        <w:spacing w:after="0"/>
        <w:rPr>
          <w:sz w:val="20"/>
          <w:szCs w:val="20"/>
          <w:color w:val="auto"/>
        </w:rPr>
      </w:pPr>
      <w:r>
        <w:rPr>
          <w:rFonts w:ascii="Arial" w:cs="Arial" w:eastAsia="Arial" w:hAnsi="Arial"/>
          <w:sz w:val="18"/>
          <w:szCs w:val="18"/>
          <w:b w:val="1"/>
          <w:bCs w:val="1"/>
          <w:i w:val="1"/>
          <w:iCs w:val="1"/>
          <w:color w:val="auto"/>
        </w:rPr>
        <w:t>Depreciation, Amortization and Accretion Expense</w:t>
      </w:r>
    </w:p>
    <w:p>
      <w:pPr>
        <w:spacing w:after="0" w:line="164"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Depreciation, amortization and accretion expense increased by $29 million during the three months ended June 30, 2021, compared to the same period in 2020, primarily due to a $30 million increase in the Renewables segment. The increase in the Renewables segment related to a $7 million increase related to the consolidation of the DGPV investments and a $14 million increase related to the acquisition of Aqua Caliente and Rattlesnake in the first quarter of 2021 and wind facilities acquired in the second half of 2020. In addition, approximately $9 million of accelerated depreciation was recorded in the second quarter of 2021 related to the repowering of the Pinnacle wind facility.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64" w:lineRule="exact"/>
        <w:rPr>
          <w:sz w:val="20"/>
          <w:szCs w:val="20"/>
          <w:color w:val="auto"/>
        </w:rPr>
      </w:pPr>
    </w:p>
    <w:p>
      <w:pPr>
        <w:jc w:val="both"/>
        <w:ind w:firstLine="397"/>
        <w:spacing w:after="0" w:line="330" w:lineRule="auto"/>
        <w:rPr>
          <w:sz w:val="20"/>
          <w:szCs w:val="20"/>
          <w:color w:val="auto"/>
        </w:rPr>
      </w:pPr>
      <w:r>
        <w:rPr>
          <w:rFonts w:ascii="Arial" w:cs="Arial" w:eastAsia="Arial" w:hAnsi="Arial"/>
          <w:sz w:val="15"/>
          <w:szCs w:val="15"/>
          <w:color w:val="auto"/>
        </w:rPr>
        <w:t>Equity in earnings of unconsolidated affiliates decreased by $8 million during the three months ended June 30, 2021, compared to the same period in 2020, primarily due to the consolidation of the DGPV investments on November 2, 2020, the acquisition of the additional interest and consolidation of Agua Caliente in February 2021 and the sale of the interests in RPV Holdco 1 LLC in May 2020, which had earnings in the second quarter of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Unconsolidated Affiliate</w:t>
      </w:r>
    </w:p>
    <w:p>
      <w:pPr>
        <w:spacing w:after="0" w:line="164"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 xml:space="preserve">On May 14, 2020, the Company sold its interests in RPV Holdco 1 LLC, or RPV Holdco, to Spruce Power, which resulted in a gain on sale of investment of approximately $49 million. For further discussion on this transaction, see Item 1- Note 3, </w:t>
      </w:r>
      <w:r>
        <w:rPr>
          <w:rFonts w:ascii="Arial" w:cs="Arial" w:eastAsia="Arial" w:hAnsi="Arial"/>
          <w:sz w:val="18"/>
          <w:szCs w:val="18"/>
          <w:i w:val="1"/>
          <w:iCs w:val="1"/>
          <w:color w:val="auto"/>
        </w:rPr>
        <w:t>Acquisitions and Dispositions.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Interest expense increased by $10 million during the three months ended June 30, 2021, compared to the same period in 2020, due to the following: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154"/>
        </w:trPr>
        <w:tc>
          <w:tcPr>
            <w:tcW w:w="962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6"/>
              </w:rPr>
              <w:t>Increase in interest expense due to increased principal balances of project level debt primarily due to acquisitions in the Renewables</w:t>
            </w: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4"/>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segment, partially offset by lower interest expense in the Conventional segment due to lower principal balances of debt outstanding</w:t>
            </w:r>
          </w:p>
        </w:tc>
        <w:tc>
          <w:tcPr>
            <w:tcW w:w="22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9620" w:type="dxa"/>
            <w:vAlign w:val="bottom"/>
          </w:tcPr>
          <w:p>
            <w:pPr>
              <w:ind w:left="20"/>
              <w:spacing w:after="0" w:line="173" w:lineRule="exact"/>
              <w:rPr>
                <w:sz w:val="20"/>
                <w:szCs w:val="20"/>
                <w:color w:val="auto"/>
              </w:rPr>
            </w:pPr>
            <w:r>
              <w:rPr>
                <w:rFonts w:ascii="Arial" w:cs="Arial" w:eastAsia="Arial" w:hAnsi="Arial"/>
                <w:sz w:val="18"/>
                <w:szCs w:val="18"/>
                <w:color w:val="auto"/>
                <w:w w:val="93"/>
              </w:rPr>
              <w:t>Increase in Corporate interest expense due to additional issuance of the 2028 Senior Notes in May 2020, partially offset by lower</w:t>
            </w: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9620" w:type="dxa"/>
            <w:vAlign w:val="bottom"/>
          </w:tcPr>
          <w:p>
            <w:pPr>
              <w:ind w:left="20"/>
              <w:spacing w:after="0"/>
              <w:rPr>
                <w:sz w:val="20"/>
                <w:szCs w:val="20"/>
                <w:color w:val="auto"/>
              </w:rPr>
            </w:pPr>
            <w:r>
              <w:rPr>
                <w:rFonts w:ascii="Arial" w:cs="Arial" w:eastAsia="Arial" w:hAnsi="Arial"/>
                <w:sz w:val="18"/>
                <w:szCs w:val="18"/>
                <w:color w:val="auto"/>
              </w:rPr>
              <w:t>interest expense related to revolver borrowings</w:t>
            </w: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interest rate swaps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962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Attributable to Noncontrolling Interests and Redeemable Interests</w:t>
      </w:r>
    </w:p>
    <w:p>
      <w:pPr>
        <w:spacing w:after="0" w:line="164"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For the three months ended June 30, 2021, the Company had losses of $35 million attributable to noncontrolling interests and redeemable interests comprised of the following: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4"/>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73"/>
        </w:trPr>
        <w:tc>
          <w:tcPr>
            <w:tcW w:w="8800" w:type="dxa"/>
            <w:vAlign w:val="bottom"/>
          </w:tcPr>
          <w:p>
            <w:pPr>
              <w:ind w:left="20"/>
              <w:spacing w:after="0" w:line="173" w:lineRule="exact"/>
              <w:rPr>
                <w:sz w:val="20"/>
                <w:szCs w:val="20"/>
                <w:color w:val="auto"/>
              </w:rPr>
            </w:pPr>
            <w:r>
              <w:rPr>
                <w:rFonts w:ascii="Arial" w:cs="Arial" w:eastAsia="Arial" w:hAnsi="Arial"/>
                <w:sz w:val="18"/>
                <w:szCs w:val="18"/>
                <w:color w:val="auto"/>
                <w:w w:val="97"/>
              </w:rPr>
              <w:t>Net income attributable to third party investors in Lighthouse Renewable Holdco LLC, Agua Caliente, Lighthouse</w:t>
            </w:r>
          </w:p>
        </w:tc>
        <w:tc>
          <w:tcPr>
            <w:tcW w:w="480" w:type="dxa"/>
            <w:vAlign w:val="bottom"/>
          </w:tcPr>
          <w:p>
            <w:pPr>
              <w:spacing w:after="0"/>
              <w:rPr>
                <w:sz w:val="15"/>
                <w:szCs w:val="15"/>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Renewable Holdco LLC and Kawailoa Renewables, LLC partnerships</w:t>
            </w:r>
          </w:p>
        </w:tc>
        <w:tc>
          <w:tcPr>
            <w:tcW w:w="4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For the three months ended June 30, 2020, the Company had losses of $27 million attributable to noncontrolling interests and redeemable interests comprised of the following:</w:t>
      </w:r>
    </w:p>
    <w:p>
      <w:pPr>
        <w:sectPr>
          <w:pgSz w:w="11900" w:h="16838" w:orient="portrait"/>
          <w:cols w:equalWidth="0" w:num="1">
            <w:col w:w="11240"/>
          </w:cols>
          <w:pgMar w:left="320" w:top="1147" w:right="339" w:bottom="1440" w:gutter="0" w:footer="0" w:header="0"/>
        </w:sectPr>
      </w:pPr>
    </w:p>
    <w:p>
      <w:pPr>
        <w:spacing w:after="0" w:line="366" w:lineRule="exact"/>
        <w:rPr>
          <w:sz w:val="20"/>
          <w:szCs w:val="20"/>
          <w:color w:val="auto"/>
        </w:rPr>
      </w:pPr>
    </w:p>
    <w:p>
      <w:pPr>
        <w:ind w:left="20" w:right="1160"/>
        <w:spacing w:after="0" w:line="293" w:lineRule="auto"/>
        <w:rPr>
          <w:sz w:val="20"/>
          <w:szCs w:val="20"/>
          <w:color w:val="auto"/>
        </w:rPr>
      </w:pPr>
      <w:r>
        <w:rPr>
          <w:rFonts w:ascii="Arial" w:cs="Arial" w:eastAsia="Arial" w:hAnsi="Arial"/>
          <w:sz w:val="17"/>
          <w:szCs w:val="17"/>
          <w:color w:val="auto"/>
        </w:rPr>
        <w:t>Losses attributable to tax equity financing arrangements and the application of the HLBV method Income attributable to CEG's interest in the Kawailoa, Oahu and Repowering partnerships Income attributable to third party investor in Kawailoa Renewables,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-462915</wp:posOffset>
            </wp:positionV>
            <wp:extent cx="7134860" cy="151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-168275</wp:posOffset>
            </wp:positionV>
            <wp:extent cx="7134860" cy="142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(In millions)</w:t>
            </w:r>
          </w:p>
        </w:tc>
      </w:tr>
      <w:tr>
        <w:trPr>
          <w:trHeight w:val="223"/>
        </w:trPr>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5"/>
        </w:trPr>
        <w:tc>
          <w:tcPr>
            <w:tcW w:w="4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6"/>
        </w:trPr>
        <w:tc>
          <w:tcPr>
            <w:tcW w:w="4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9"/>
        </w:trPr>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80" w:space="720"/>
            <w:col w:w="2440"/>
          </w:cols>
          <w:pgMar w:left="320" w:top="1147" w:right="33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46" w:name="page47"/>
    <w:bookmarkEnd w:id="46"/>
    <w:p>
      <w:pPr>
        <w:ind w:right="3360"/>
        <w:spacing w:after="0" w:line="425" w:lineRule="auto"/>
        <w:rPr>
          <w:sz w:val="20"/>
          <w:szCs w:val="20"/>
          <w:color w:val="auto"/>
        </w:rPr>
      </w:pPr>
      <w:r>
        <w:rPr>
          <w:rFonts w:ascii="Arial" w:cs="Arial" w:eastAsia="Arial" w:hAnsi="Arial"/>
          <w:sz w:val="18"/>
          <w:szCs w:val="18"/>
          <w:b w:val="1"/>
          <w:bCs w:val="1"/>
          <w:color w:val="auto"/>
        </w:rPr>
        <w:t xml:space="preserve">Management’s Discussion of the Results of Operations for the Six Months Ended June 30, 2021 and 2020 </w:t>
      </w:r>
      <w:r>
        <w:rPr>
          <w:rFonts w:ascii="Arial" w:cs="Arial" w:eastAsia="Arial" w:hAnsi="Arial"/>
          <w:sz w:val="18"/>
          <w:szCs w:val="18"/>
          <w:b w:val="1"/>
          <w:bCs w:val="1"/>
          <w:i w:val="1"/>
          <w:iCs w:val="1"/>
          <w:color w:val="auto"/>
        </w:rPr>
        <w:t>Adjusted Gross Margin</w:t>
      </w:r>
    </w:p>
    <w:p>
      <w:pPr>
        <w:spacing w:after="0" w:line="2" w:lineRule="exact"/>
        <w:rPr>
          <w:sz w:val="20"/>
          <w:szCs w:val="20"/>
          <w:color w:val="auto"/>
        </w:rPr>
      </w:pPr>
    </w:p>
    <w:p>
      <w:pPr>
        <w:ind w:right="20" w:firstLine="636"/>
        <w:spacing w:after="0" w:line="265" w:lineRule="auto"/>
        <w:rPr>
          <w:sz w:val="20"/>
          <w:szCs w:val="20"/>
          <w:color w:val="auto"/>
        </w:rPr>
      </w:pPr>
      <w:r>
        <w:rPr>
          <w:rFonts w:ascii="Arial" w:cs="Arial" w:eastAsia="Arial" w:hAnsi="Arial"/>
          <w:sz w:val="17"/>
          <w:szCs w:val="17"/>
          <w:color w:val="auto"/>
        </w:rPr>
        <w:t>In addition to total operating revenues, the Company evaluates its operating performance using the measure of Adjusted Gross Margin, which is not a GAAP measure and may not be comparable to other companies’ presentations or deemed more useful than the GAAP information provided elsewhere in this report. Adjusted Gross Margin is defined as total operating revenues, excluding contract amortization and mark-to-market for economic hedges, less cost of fuels. Adjusted Gross Margin should be viewed as a supplement to and not a substitute for the Company's presentation of total operating revenues, which is the most directly comparable GAAP measure. The Company believes that Adjusted Gross Margin is useful to investors as it is a key operational measure reviewed by the Company's chief operating decision maker. Cost of fuels is typically recovered through customer revenue contracts and therefore, Adjusted Gross Margin excludes any revenue effect of fluctuations in these expenses.</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below tables present the composition of total operating revenues, as well as the reconciliation to Adjusted Gross Margin, for the six months ended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Conventional</w:t>
            </w:r>
          </w:p>
        </w:tc>
        <w:tc>
          <w:tcPr>
            <w:tcW w:w="60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Renewables</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300" w:type="dxa"/>
            <w:vAlign w:val="bottom"/>
            <w:vMerge w:val="continue"/>
          </w:tcPr>
          <w:p>
            <w:pPr>
              <w:spacing w:after="0"/>
              <w:rPr>
                <w:sz w:val="15"/>
                <w:szCs w:val="15"/>
                <w:color w:val="auto"/>
              </w:rPr>
            </w:pPr>
          </w:p>
        </w:tc>
        <w:tc>
          <w:tcPr>
            <w:tcW w:w="1780" w:type="dxa"/>
            <w:vAlign w:val="bottom"/>
            <w:gridSpan w:val="3"/>
          </w:tcPr>
          <w:p>
            <w:pPr>
              <w:ind w:left="500"/>
              <w:spacing w:after="0"/>
              <w:rPr>
                <w:sz w:val="20"/>
                <w:szCs w:val="20"/>
                <w:color w:val="auto"/>
              </w:rPr>
            </w:pPr>
            <w:r>
              <w:rPr>
                <w:rFonts w:ascii="Arial" w:cs="Arial" w:eastAsia="Arial" w:hAnsi="Arial"/>
                <w:sz w:val="14"/>
                <w:szCs w:val="14"/>
                <w:b w:val="1"/>
                <w:bCs w:val="1"/>
                <w:color w:val="auto"/>
              </w:rPr>
              <w:t>Generation</w:t>
            </w:r>
          </w:p>
        </w:tc>
        <w:tc>
          <w:tcPr>
            <w:tcW w:w="6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Six months ended June 30, 2021</w:t>
            </w:r>
          </w:p>
        </w:tc>
        <w:tc>
          <w:tcPr>
            <w:tcW w:w="5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operating revenues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300" w:type="dxa"/>
            <w:vAlign w:val="bottom"/>
          </w:tcPr>
          <w:p>
            <w:pPr>
              <w:ind w:left="440"/>
              <w:spacing w:after="0" w:line="204" w:lineRule="exact"/>
              <w:rPr>
                <w:sz w:val="20"/>
                <w:szCs w:val="20"/>
                <w:color w:val="auto"/>
              </w:rPr>
            </w:pPr>
            <w:r>
              <w:rPr>
                <w:rFonts w:ascii="Arial" w:cs="Arial" w:eastAsia="Arial" w:hAnsi="Arial"/>
                <w:sz w:val="18"/>
                <w:szCs w:val="18"/>
                <w:color w:val="auto"/>
              </w:rPr>
              <w:t>Less:</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Cost of fuels</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00" w:type="dxa"/>
            <w:vAlign w:val="bottom"/>
          </w:tcPr>
          <w:p>
            <w:pPr>
              <w:ind w:left="540"/>
              <w:spacing w:after="0"/>
              <w:rPr>
                <w:sz w:val="20"/>
                <w:szCs w:val="20"/>
                <w:color w:val="auto"/>
              </w:rPr>
            </w:pPr>
            <w:r>
              <w:rPr>
                <w:rFonts w:ascii="Arial" w:cs="Arial" w:eastAsia="Arial" w:hAnsi="Arial"/>
                <w:sz w:val="18"/>
                <w:szCs w:val="18"/>
                <w:color w:val="auto"/>
              </w:rPr>
              <w:t>Contract amortization</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Mark-to-market for economic hedges</w:t>
            </w:r>
          </w:p>
        </w:tc>
        <w:tc>
          <w:tcPr>
            <w:tcW w:w="5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00" w:type="dxa"/>
            <w:vAlign w:val="bottom"/>
            <w:tcBorders>
              <w:bottom w:val="single" w:sz="8" w:color="CCEEFF"/>
            </w:tcBorders>
          </w:tcPr>
          <w:p>
            <w:pPr>
              <w:ind w:left="420"/>
              <w:spacing w:after="0"/>
              <w:rPr>
                <w:sz w:val="20"/>
                <w:szCs w:val="20"/>
                <w:color w:val="auto"/>
              </w:rPr>
            </w:pPr>
            <w:r>
              <w:rPr>
                <w:rFonts w:ascii="Arial" w:cs="Arial" w:eastAsia="Arial" w:hAnsi="Arial"/>
                <w:sz w:val="18"/>
                <w:szCs w:val="18"/>
                <w:b w:val="1"/>
                <w:bCs w:val="1"/>
                <w:color w:val="auto"/>
              </w:rPr>
              <w:t>Adjusted Gross Margin</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Six months ended June 30, 2020</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operating revenues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300" w:type="dxa"/>
            <w:vAlign w:val="bottom"/>
          </w:tcPr>
          <w:p>
            <w:pPr>
              <w:ind w:left="440"/>
              <w:spacing w:after="0" w:line="204" w:lineRule="exact"/>
              <w:rPr>
                <w:sz w:val="20"/>
                <w:szCs w:val="20"/>
                <w:color w:val="auto"/>
              </w:rPr>
            </w:pPr>
            <w:r>
              <w:rPr>
                <w:rFonts w:ascii="Arial" w:cs="Arial" w:eastAsia="Arial" w:hAnsi="Arial"/>
                <w:sz w:val="18"/>
                <w:szCs w:val="18"/>
                <w:color w:val="auto"/>
              </w:rPr>
              <w:t>Less:</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Cost of fuels</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00" w:type="dxa"/>
            <w:vAlign w:val="bottom"/>
          </w:tcPr>
          <w:p>
            <w:pPr>
              <w:ind w:left="540"/>
              <w:spacing w:after="0"/>
              <w:rPr>
                <w:sz w:val="20"/>
                <w:szCs w:val="20"/>
                <w:color w:val="auto"/>
              </w:rPr>
            </w:pPr>
            <w:r>
              <w:rPr>
                <w:rFonts w:ascii="Arial" w:cs="Arial" w:eastAsia="Arial" w:hAnsi="Arial"/>
                <w:sz w:val="18"/>
                <w:szCs w:val="18"/>
                <w:color w:val="auto"/>
              </w:rPr>
              <w:t>Contract amortization</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Mark-to-market for economic hedging activities</w:t>
            </w:r>
          </w:p>
        </w:tc>
        <w:tc>
          <w:tcPr>
            <w:tcW w:w="5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00" w:type="dxa"/>
            <w:vAlign w:val="bottom"/>
          </w:tcPr>
          <w:p>
            <w:pPr>
              <w:ind w:left="420"/>
              <w:spacing w:after="0"/>
              <w:rPr>
                <w:sz w:val="20"/>
                <w:szCs w:val="20"/>
                <w:color w:val="auto"/>
              </w:rPr>
            </w:pPr>
            <w:r>
              <w:rPr>
                <w:rFonts w:ascii="Arial" w:cs="Arial" w:eastAsia="Arial" w:hAnsi="Arial"/>
                <w:sz w:val="18"/>
                <w:szCs w:val="18"/>
                <w:b w:val="1"/>
                <w:bCs w:val="1"/>
                <w:color w:val="auto"/>
              </w:rPr>
              <w:t>Adjusted Gross Margin</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8"/>
        </w:trPr>
        <w:tc>
          <w:tcPr>
            <w:tcW w:w="4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ind w:right="17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3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7" w:name="page48"/>
    <w:bookmarkEnd w:id="47"/>
    <w:p>
      <w:pPr>
        <w:ind w:left="40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1"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Operating revenues increased by $30 million during the six months ended June 30, 2021, compared to the same period in 2020, due to a combination of the drivers summarized in the table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Segment</w:t>
            </w:r>
          </w:p>
        </w:tc>
        <w:tc>
          <w:tcPr>
            <w:tcW w:w="84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(In millions)</w:t>
            </w:r>
          </w:p>
        </w:tc>
        <w:tc>
          <w:tcPr>
            <w:tcW w:w="0" w:type="dxa"/>
            <w:vAlign w:val="bottom"/>
          </w:tcPr>
          <w:p>
            <w:pPr>
              <w:spacing w:after="0"/>
              <w:rPr>
                <w:sz w:val="1"/>
                <w:szCs w:val="1"/>
                <w:color w:val="auto"/>
              </w:rPr>
            </w:pPr>
          </w:p>
        </w:tc>
      </w:tr>
      <w:tr>
        <w:trPr>
          <w:trHeight w:val="166"/>
        </w:trPr>
        <w:tc>
          <w:tcPr>
            <w:tcW w:w="1440" w:type="dxa"/>
            <w:vAlign w:val="bottom"/>
            <w:shd w:val="clear" w:color="auto" w:fill="CCEEFF"/>
          </w:tcPr>
          <w:p>
            <w:pPr>
              <w:ind w:left="20"/>
              <w:spacing w:after="0" w:line="166" w:lineRule="exact"/>
              <w:rPr>
                <w:sz w:val="20"/>
                <w:szCs w:val="20"/>
                <w:color w:val="auto"/>
              </w:rPr>
            </w:pPr>
            <w:r>
              <w:rPr>
                <w:rFonts w:ascii="Arial" w:cs="Arial" w:eastAsia="Arial" w:hAnsi="Arial"/>
                <w:sz w:val="18"/>
                <w:szCs w:val="18"/>
                <w:b w:val="1"/>
                <w:bCs w:val="1"/>
                <w:color w:val="auto"/>
              </w:rPr>
              <w:t>Renewables</w:t>
            </w:r>
          </w:p>
        </w:tc>
        <w:tc>
          <w:tcPr>
            <w:tcW w:w="8440" w:type="dxa"/>
            <w:vAlign w:val="bottom"/>
            <w:shd w:val="clear" w:color="auto" w:fill="CCEEFF"/>
          </w:tcPr>
          <w:p>
            <w:pPr>
              <w:ind w:left="20"/>
              <w:spacing w:after="0" w:line="166" w:lineRule="exact"/>
              <w:rPr>
                <w:sz w:val="20"/>
                <w:szCs w:val="20"/>
                <w:color w:val="auto"/>
              </w:rPr>
            </w:pPr>
            <w:r>
              <w:rPr>
                <w:rFonts w:ascii="Arial" w:cs="Arial" w:eastAsia="Arial" w:hAnsi="Arial"/>
                <w:sz w:val="18"/>
                <w:szCs w:val="18"/>
                <w:color w:val="auto"/>
                <w:w w:val="89"/>
              </w:rPr>
              <w:t>Increase due to higher wind production at Alta as well as the acquisitions of Agua Caliente, Mesquite Star, Rattlesnake</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440" w:type="dxa"/>
            <w:vAlign w:val="bottom"/>
            <w:shd w:val="clear" w:color="auto" w:fill="CCEEFF"/>
          </w:tcPr>
          <w:p>
            <w:pPr>
              <w:spacing w:after="0"/>
              <w:rPr>
                <w:sz w:val="13"/>
                <w:szCs w:val="13"/>
                <w:color w:val="auto"/>
              </w:rPr>
            </w:pPr>
          </w:p>
        </w:tc>
        <w:tc>
          <w:tcPr>
            <w:tcW w:w="8440" w:type="dxa"/>
            <w:vAlign w:val="bottom"/>
            <w:shd w:val="clear" w:color="auto" w:fill="CCEEFF"/>
          </w:tcPr>
          <w:p>
            <w:pPr>
              <w:ind w:left="20"/>
              <w:spacing w:after="0" w:line="160" w:lineRule="exact"/>
              <w:rPr>
                <w:sz w:val="20"/>
                <w:szCs w:val="20"/>
                <w:color w:val="auto"/>
              </w:rPr>
            </w:pPr>
            <w:r>
              <w:rPr>
                <w:rFonts w:ascii="Arial" w:cs="Arial" w:eastAsia="Arial" w:hAnsi="Arial"/>
                <w:sz w:val="18"/>
                <w:szCs w:val="18"/>
                <w:color w:val="auto"/>
                <w:w w:val="95"/>
              </w:rPr>
              <w:t>Flat and Rosamond Central, and the consolidation of the DGPV investments, offset in part by $50 million of net</w:t>
            </w: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40" w:type="dxa"/>
            <w:vAlign w:val="bottom"/>
            <w:shd w:val="clear" w:color="auto" w:fill="CCEEFF"/>
          </w:tcPr>
          <w:p>
            <w:pPr>
              <w:spacing w:after="0"/>
              <w:rPr>
                <w:sz w:val="14"/>
                <w:szCs w:val="14"/>
                <w:color w:val="auto"/>
              </w:rPr>
            </w:pPr>
          </w:p>
        </w:tc>
        <w:tc>
          <w:tcPr>
            <w:tcW w:w="844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1"/>
              </w:rPr>
              <w:t>settlements of obligations for wind facilities that were unable to produce the required output during extreme weather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4"/>
        </w:trPr>
        <w:tc>
          <w:tcPr>
            <w:tcW w:w="1440" w:type="dxa"/>
            <w:vAlign w:val="bottom"/>
            <w:shd w:val="clear" w:color="auto" w:fill="CCEEFF"/>
          </w:tcPr>
          <w:p>
            <w:pPr>
              <w:spacing w:after="0"/>
              <w:rPr>
                <w:sz w:val="19"/>
                <w:szCs w:val="19"/>
                <w:color w:val="auto"/>
              </w:rPr>
            </w:pPr>
          </w:p>
        </w:tc>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conditions in Texas in February 2021</w:t>
            </w: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40" w:type="dxa"/>
            <w:vAlign w:val="bottom"/>
          </w:tcPr>
          <w:p>
            <w:pPr>
              <w:ind w:left="20"/>
              <w:spacing w:after="0"/>
              <w:rPr>
                <w:sz w:val="20"/>
                <w:szCs w:val="20"/>
                <w:color w:val="auto"/>
              </w:rPr>
            </w:pPr>
            <w:r>
              <w:rPr>
                <w:rFonts w:ascii="Arial" w:cs="Arial" w:eastAsia="Arial" w:hAnsi="Arial"/>
                <w:sz w:val="18"/>
                <w:szCs w:val="18"/>
                <w:b w:val="1"/>
                <w:bCs w:val="1"/>
                <w:color w:val="auto"/>
              </w:rPr>
              <w:t>Thermal</w:t>
            </w:r>
          </w:p>
        </w:tc>
        <w:tc>
          <w:tcPr>
            <w:tcW w:w="8440" w:type="dxa"/>
            <w:vAlign w:val="bottom"/>
          </w:tcPr>
          <w:p>
            <w:pPr>
              <w:ind w:left="20"/>
              <w:spacing w:after="0"/>
              <w:rPr>
                <w:sz w:val="20"/>
                <w:szCs w:val="20"/>
                <w:color w:val="auto"/>
              </w:rPr>
            </w:pPr>
            <w:r>
              <w:rPr>
                <w:rFonts w:ascii="Arial" w:cs="Arial" w:eastAsia="Arial" w:hAnsi="Arial"/>
                <w:sz w:val="18"/>
                <w:szCs w:val="18"/>
                <w:color w:val="auto"/>
              </w:rPr>
              <w:t>Increase primarily driven by higher volumes and higher gas prices passed through to customers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73"/>
        </w:trPr>
        <w:tc>
          <w:tcPr>
            <w:tcW w:w="144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b w:val="1"/>
                <w:bCs w:val="1"/>
                <w:color w:val="auto"/>
              </w:rPr>
              <w:t>Conventional</w:t>
            </w:r>
          </w:p>
        </w:tc>
        <w:tc>
          <w:tcPr>
            <w:tcW w:w="844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3"/>
              </w:rPr>
              <w:t>Increase primarily due to an increase in start revenue at Marsh Landing and improved availability at the California</w:t>
            </w: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1440" w:type="dxa"/>
            <w:vAlign w:val="bottom"/>
            <w:shd w:val="clear" w:color="auto" w:fill="CCEEFF"/>
          </w:tcPr>
          <w:p>
            <w:pPr>
              <w:spacing w:after="0"/>
              <w:rPr>
                <w:sz w:val="19"/>
                <w:szCs w:val="19"/>
                <w:color w:val="auto"/>
              </w:rPr>
            </w:pPr>
          </w:p>
        </w:tc>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portfolio</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244"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Operations and maintenance expense increased by $27 million during the six months ended June 30, 2021, compared to the same period in 2020, primarily due to the acquisition of solar and wind projects during the second half of 2020 and first half of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Accretion Expense</w:t>
      </w:r>
    </w:p>
    <w:p>
      <w:pPr>
        <w:spacing w:after="0" w:line="164"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8"/>
          <w:szCs w:val="18"/>
          <w:color w:val="auto"/>
        </w:rPr>
        <w:t>Depreciation, amortization and accretion expense increased by $55 million during the six months ended June 30, 2021, compared to the same period in 2020, primarily due to a $54 million increase in the Renewables segment. The increase in the Renewables segment related to a $15 million increase due to the consolidation of the DGPV investments in 2020 and a $26 million increase related to the acquisition of Aqua Caliente and Rattlesnake in the first quarter of 2021 and wind facilities acquired in the second half of 2020. In addition, approximately $18 million of accelerated depreciation was recorded in 2021 related to the repowering of the Pinnacle wind facility partially offset by accelerated depreciation of $5 million recorded in the first half of 2020 for the repowering of the Wildorado wind facility.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64"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8"/>
          <w:szCs w:val="18"/>
          <w:color w:val="auto"/>
        </w:rPr>
        <w:t>Equity in earnings of unconsolidated affiliates increased by $9 million during the six months ended June 30, 2021, compared to the same period in 2020, primarily driven by increased earnings from Desert Sunlight in 2021 and consolidation of the DGPV investments on November 2, 2020, which had losses in 2020 partially offset by acquisition of additional interest and consolidation of Agua Caliente in February 2021 and sale of the interests in RPV Holdco 1 LLC in May 2020, which had earnings in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Unconsolidated Affiliate</w:t>
      </w:r>
    </w:p>
    <w:p>
      <w:pPr>
        <w:spacing w:after="0" w:line="164"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 xml:space="preserve">On May 14, 2020, the Company sold its interests in RPV Holdco 1 LLC, or RPV Holdco, to Spruce Power, which resulted in a gain on sale of investment of approximately $49 million. For further discussion on this transaction, see Item 1-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64" w:lineRule="exact"/>
        <w:rPr>
          <w:sz w:val="20"/>
          <w:szCs w:val="20"/>
          <w:color w:val="auto"/>
        </w:rPr>
      </w:pPr>
    </w:p>
    <w:p>
      <w:pPr>
        <w:jc w:val="both"/>
        <w:ind w:firstLine="397"/>
        <w:spacing w:after="0" w:line="365" w:lineRule="auto"/>
        <w:rPr>
          <w:sz w:val="20"/>
          <w:szCs w:val="20"/>
          <w:color w:val="auto"/>
        </w:rPr>
      </w:pPr>
      <w:r>
        <w:rPr>
          <w:rFonts w:ascii="Arial" w:cs="Arial" w:eastAsia="Arial" w:hAnsi="Arial"/>
          <w:sz w:val="15"/>
          <w:szCs w:val="15"/>
          <w:color w:val="auto"/>
        </w:rPr>
        <w:t>Loss on debt extinguishment increased by $39 million during the six months ended June 30, 2021, compared to the same period in 2020, primarily driven by the write-off of previously deferred finance costs and payment of premiums related to the redemption of the 2025 Senior Notes in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4"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Interest expense decreased by $112 million during the six months ended June 30, 2021, compared to the same period in 2020, primarily due to the following: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252"/>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174"/>
        </w:trPr>
        <w:tc>
          <w:tcPr>
            <w:tcW w:w="96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3"/>
              </w:rPr>
              <w:t>Change in fair value of interest rate swaps due to an increase in forward rates in 2021 as compared to a decrease in rates during</w:t>
            </w: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4"/>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2020 at the onset of the COVID-19 pandemic</w:t>
            </w:r>
          </w:p>
        </w:tc>
        <w:tc>
          <w:tcPr>
            <w:tcW w:w="22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9620" w:type="dxa"/>
            <w:vAlign w:val="bottom"/>
          </w:tcPr>
          <w:p>
            <w:pPr>
              <w:ind w:left="20"/>
              <w:spacing w:after="0" w:line="173" w:lineRule="exact"/>
              <w:rPr>
                <w:sz w:val="20"/>
                <w:szCs w:val="20"/>
                <w:color w:val="auto"/>
              </w:rPr>
            </w:pPr>
            <w:r>
              <w:rPr>
                <w:rFonts w:ascii="Arial" w:cs="Arial" w:eastAsia="Arial" w:hAnsi="Arial"/>
                <w:sz w:val="18"/>
                <w:szCs w:val="18"/>
                <w:color w:val="auto"/>
                <w:w w:val="90"/>
              </w:rPr>
              <w:t>Increase in interest expense due to increased principal balances of project level debt primarily due to acquisitions in the Renewables</w:t>
            </w: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4"/>
        </w:trPr>
        <w:tc>
          <w:tcPr>
            <w:tcW w:w="9620" w:type="dxa"/>
            <w:vAlign w:val="bottom"/>
          </w:tcPr>
          <w:p>
            <w:pPr>
              <w:ind w:left="20"/>
              <w:spacing w:after="0"/>
              <w:rPr>
                <w:sz w:val="20"/>
                <w:szCs w:val="20"/>
                <w:color w:val="auto"/>
              </w:rPr>
            </w:pPr>
            <w:r>
              <w:rPr>
                <w:rFonts w:ascii="Arial" w:cs="Arial" w:eastAsia="Arial" w:hAnsi="Arial"/>
                <w:sz w:val="18"/>
                <w:szCs w:val="18"/>
                <w:color w:val="auto"/>
                <w:w w:val="91"/>
              </w:rPr>
              <w:t>segment, partially offset by lower interest expense in the Conventional segment due to lower principal balances of debt outstanding</w:t>
            </w: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96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3"/>
              </w:rPr>
              <w:t>Increase in Corporate interest expense due to additional issuance of the 2028 Senior Notes in May 2020, partially offset by lower</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related to revolver borrowings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62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Attributable to Noncontrolling Interests and Redeemable Interests</w:t>
      </w:r>
    </w:p>
    <w:p>
      <w:pPr>
        <w:spacing w:after="0" w:line="164"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For the six months ended June 30, 2021, the Company had a loss of $102 million attributable to noncontrolling interests and redeemable interests comprised of the following: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(In millions)</w:t>
            </w:r>
          </w:p>
        </w:tc>
      </w:tr>
      <w:tr>
        <w:trPr>
          <w:trHeight w:val="224"/>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5"/>
        </w:trPr>
        <w:tc>
          <w:tcPr>
            <w:tcW w:w="8800" w:type="dxa"/>
            <w:vAlign w:val="bottom"/>
          </w:tcPr>
          <w:p>
            <w:pPr>
              <w:ind w:left="20"/>
              <w:spacing w:after="0"/>
              <w:rPr>
                <w:sz w:val="20"/>
                <w:szCs w:val="20"/>
                <w:color w:val="auto"/>
              </w:rPr>
            </w:pPr>
            <w:r>
              <w:rPr>
                <w:rFonts w:ascii="Arial" w:cs="Arial" w:eastAsia="Arial" w:hAnsi="Arial"/>
                <w:sz w:val="18"/>
                <w:szCs w:val="18"/>
                <w:color w:val="auto"/>
              </w:rPr>
              <w:t>Losses attributable to third party investor in Lighthouse Renewable Holdco LLC</w:t>
            </w:r>
          </w:p>
        </w:tc>
        <w:tc>
          <w:tcPr>
            <w:tcW w:w="4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6"/>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third party investor in Agua Caliente</w:t>
            </w:r>
          </w:p>
        </w:tc>
        <w:tc>
          <w:tcPr>
            <w:tcW w:w="4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5"/>
        </w:trPr>
        <w:tc>
          <w:tcPr>
            <w:tcW w:w="8800" w:type="dxa"/>
            <w:vAlign w:val="bottom"/>
          </w:tcPr>
          <w:p>
            <w:pPr>
              <w:ind w:left="20"/>
              <w:spacing w:after="0"/>
              <w:rPr>
                <w:sz w:val="20"/>
                <w:szCs w:val="20"/>
                <w:color w:val="auto"/>
              </w:rPr>
            </w:pPr>
            <w:r>
              <w:rPr>
                <w:rFonts w:ascii="Arial" w:cs="Arial" w:eastAsia="Arial" w:hAnsi="Arial"/>
                <w:sz w:val="18"/>
                <w:szCs w:val="18"/>
                <w:color w:val="auto"/>
              </w:rPr>
              <w:t>Income attributable to third party investor in Rosie TargetCo LLC</w:t>
            </w:r>
          </w:p>
        </w:tc>
        <w:tc>
          <w:tcPr>
            <w:tcW w:w="4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third party investor in Kawailoa Renewables, LLC</w:t>
            </w:r>
          </w:p>
        </w:tc>
        <w:tc>
          <w:tcPr>
            <w:tcW w:w="4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8"/>
        </w:trPr>
        <w:tc>
          <w:tcPr>
            <w:tcW w:w="880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8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For the six months ended June 30, 2020, the Company had a loss of $66 million attributable to noncontrolling interests and redeemable interests comprised of the following: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(In millions)</w:t>
            </w:r>
          </w:p>
        </w:tc>
      </w:tr>
      <w:tr>
        <w:trPr>
          <w:trHeight w:val="224"/>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5"/>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attributable to CEG's interest in the Kawailoa, Oahu and Repowering partnerships</w:t>
            </w:r>
          </w:p>
        </w:tc>
        <w:tc>
          <w:tcPr>
            <w:tcW w:w="4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88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jc w:val="both"/>
        <w:ind w:firstLine="397"/>
        <w:spacing w:after="0" w:line="267"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Arial" w:cs="Arial" w:eastAsia="Arial" w:hAnsi="Arial"/>
          <w:sz w:val="17"/>
          <w:szCs w:val="17"/>
          <w:color w:val="000000"/>
        </w:rPr>
        <w:t>As a normal part of the Company's business, depending on market conditions, the Company</w:t>
      </w:r>
      <w:r>
        <w:rPr>
          <w:rFonts w:ascii="Arial" w:cs="Arial" w:eastAsia="Arial" w:hAnsi="Arial"/>
          <w:sz w:val="17"/>
          <w:szCs w:val="17"/>
          <w:color w:val="231F20"/>
        </w:rPr>
        <w:t xml:space="preserve"> </w:t>
      </w:r>
      <w:r>
        <w:rPr>
          <w:rFonts w:ascii="Arial" w:cs="Arial" w:eastAsia="Arial" w:hAnsi="Arial"/>
          <w:sz w:val="17"/>
          <w:szCs w:val="17"/>
          <w:color w:val="000000"/>
        </w:rPr>
        <w:t>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Current Liquidity Position</w:t>
      </w:r>
    </w:p>
    <w:p>
      <w:pPr>
        <w:spacing w:after="0" w:line="164"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2021</w:t>
      </w:r>
      <w:r>
        <w:rPr>
          <w:rFonts w:ascii="Arial" w:cs="Arial" w:eastAsia="Arial" w:hAnsi="Arial"/>
          <w:sz w:val="18"/>
          <w:szCs w:val="18"/>
          <w:color w:val="231F20"/>
        </w:rPr>
        <w:t xml:space="preserve"> and </w:t>
      </w:r>
      <w:r>
        <w:rPr>
          <w:rFonts w:ascii="Arial" w:cs="Arial" w:eastAsia="Arial" w:hAnsi="Arial"/>
          <w:sz w:val="18"/>
          <w:szCs w:val="18"/>
          <w:color w:val="000000"/>
        </w:rPr>
        <w:t>December 31, 2020</w:t>
      </w:r>
      <w:r>
        <w:rPr>
          <w:rFonts w:ascii="Arial" w:cs="Arial" w:eastAsia="Arial" w:hAnsi="Arial"/>
          <w:sz w:val="18"/>
          <w:szCs w:val="18"/>
          <w:color w:val="231F20"/>
        </w:rPr>
        <w:t>, the Company's liquidity was approximately $810 million and $894 million, respectively, comprised of cash, restricted cash and availability under the Company's revolving credit facility.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6"/>
                <w:szCs w:val="16"/>
                <w:color w:val="auto"/>
              </w:rPr>
            </w:pPr>
          </w:p>
        </w:tc>
        <w:tc>
          <w:tcPr>
            <w:tcW w:w="1620" w:type="dxa"/>
            <w:vAlign w:val="bottom"/>
          </w:tcPr>
          <w:p>
            <w:pPr>
              <w:jc w:val="right"/>
              <w:ind w:right="254"/>
              <w:spacing w:after="0"/>
              <w:rPr>
                <w:sz w:val="20"/>
                <w:szCs w:val="20"/>
                <w:color w:val="auto"/>
              </w:rPr>
            </w:pPr>
            <w:r>
              <w:rPr>
                <w:rFonts w:ascii="Arial" w:cs="Arial" w:eastAsia="Arial" w:hAnsi="Arial"/>
                <w:sz w:val="14"/>
                <w:szCs w:val="14"/>
                <w:b w:val="1"/>
                <w:bCs w:val="1"/>
                <w:color w:val="auto"/>
                <w:w w:val="99"/>
              </w:rPr>
              <w:t>December 31, 2020</w:t>
            </w:r>
          </w:p>
        </w:tc>
      </w:tr>
      <w:tr>
        <w:trPr>
          <w:trHeight w:val="211"/>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5"/>
        </w:trPr>
        <w:tc>
          <w:tcPr>
            <w:tcW w:w="7380" w:type="dxa"/>
            <w:vAlign w:val="bottom"/>
          </w:tcPr>
          <w:p>
            <w:pPr>
              <w:ind w:left="220"/>
              <w:spacing w:after="0"/>
              <w:rPr>
                <w:sz w:val="20"/>
                <w:szCs w:val="20"/>
                <w:color w:val="auto"/>
              </w:rPr>
            </w:pPr>
            <w:r>
              <w:rPr>
                <w:rFonts w:ascii="Arial" w:cs="Arial" w:eastAsia="Arial" w:hAnsi="Arial"/>
                <w:sz w:val="18"/>
                <w:szCs w:val="18"/>
                <w:color w:val="auto"/>
              </w:rPr>
              <w:t>Clearway Energy, Inc. and Clearway Energy LLC, excluding subsidiaries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26"/>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Subsidiaries</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Restricted cash:</w:t>
            </w: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5"/>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accounts</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5"/>
        </w:trPr>
        <w:tc>
          <w:tcPr>
            <w:tcW w:w="7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8"/>
              </w:rPr>
              <w:t>Reserves, including debt service, distributions, performance obligations and other reserves</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19"/>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18"/>
        </w:trPr>
        <w:tc>
          <w:tcPr>
            <w:tcW w:w="7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Revolving credit facility availability</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r>
      <w:tr>
        <w:trPr>
          <w:trHeight w:val="244"/>
        </w:trPr>
        <w:tc>
          <w:tcPr>
            <w:tcW w:w="7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liquidity</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477"/>
        <w:spacing w:after="0" w:line="312" w:lineRule="auto"/>
        <w:rPr>
          <w:sz w:val="20"/>
          <w:szCs w:val="20"/>
          <w:color w:val="auto"/>
        </w:rPr>
      </w:pPr>
      <w:r>
        <w:rPr>
          <w:rFonts w:ascii="Arial" w:cs="Arial" w:eastAsia="Arial" w:hAnsi="Arial"/>
          <w:sz w:val="15"/>
          <w:szCs w:val="15"/>
          <w:color w:val="231F20"/>
        </w:rPr>
        <w:t xml:space="preserve">The Company's liquidity includes $332 million and $197 million of restricted cash balances as of June 30, 2021 and December 31, </w:t>
      </w:r>
      <w:r>
        <w:rPr>
          <w:rFonts w:ascii="Arial" w:cs="Arial" w:eastAsia="Arial" w:hAnsi="Arial"/>
          <w:sz w:val="15"/>
          <w:szCs w:val="15"/>
          <w:color w:val="000000"/>
        </w:rPr>
        <w:t>2020</w:t>
      </w:r>
      <w:r>
        <w:rPr>
          <w:rFonts w:ascii="Arial" w:cs="Arial" w:eastAsia="Arial" w:hAnsi="Arial"/>
          <w:sz w:val="15"/>
          <w:szCs w:val="15"/>
          <w:color w:val="231F20"/>
        </w:rPr>
        <w:t xml:space="preserve">, respectively. Restricted cash consists primarily of funds to satisfy the requirements of certain debt arrangements and funds held within the Company's projects that are restricted in their use. As of </w:t>
      </w:r>
      <w:r>
        <w:rPr>
          <w:rFonts w:ascii="Arial" w:cs="Arial" w:eastAsia="Arial" w:hAnsi="Arial"/>
          <w:sz w:val="15"/>
          <w:szCs w:val="15"/>
          <w:color w:val="000000"/>
        </w:rPr>
        <w:t>June 30, 2021, these restricted funds were comprised of $131 million designated to fund operating expenses, approximately</w:t>
      </w:r>
      <w:r>
        <w:rPr>
          <w:rFonts w:ascii="Arial" w:cs="Arial" w:eastAsia="Arial" w:hAnsi="Arial"/>
          <w:sz w:val="15"/>
          <w:szCs w:val="15"/>
          <w:color w:val="231F20"/>
        </w:rPr>
        <w:t xml:space="preserve"> </w:t>
      </w:r>
      <w:r>
        <w:rPr>
          <w:rFonts w:ascii="Arial" w:cs="Arial" w:eastAsia="Arial" w:hAnsi="Arial"/>
          <w:sz w:val="15"/>
          <w:szCs w:val="15"/>
          <w:color w:val="000000"/>
        </w:rPr>
        <w:t>$38 million designated for current debt service payments, and $130 million restricted for reserves including debt service, performance obligations and other reserves, as well as capital expenditures. The remaining $33 million is held in distribution reserve accounts.</w:t>
      </w:r>
    </w:p>
    <w:p>
      <w:pPr>
        <w:spacing w:after="0" w:line="98" w:lineRule="exact"/>
        <w:rPr>
          <w:sz w:val="20"/>
          <w:szCs w:val="20"/>
          <w:color w:val="auto"/>
        </w:rPr>
      </w:pPr>
    </w:p>
    <w:p>
      <w:pPr>
        <w:jc w:val="both"/>
        <w:ind w:firstLine="397"/>
        <w:spacing w:after="0" w:line="250" w:lineRule="auto"/>
        <w:rPr>
          <w:sz w:val="20"/>
          <w:szCs w:val="20"/>
          <w:color w:val="auto"/>
        </w:rPr>
      </w:pPr>
      <w:r>
        <w:rPr>
          <w:rFonts w:ascii="Arial" w:cs="Arial" w:eastAsia="Arial" w:hAnsi="Arial"/>
          <w:sz w:val="18"/>
          <w:szCs w:val="18"/>
          <w:color w:val="auto"/>
        </w:rPr>
        <w:t>As of June 30, 2021, the Company had $67 million of borrowings under the revolving credit facility and $88 million in letters of credit outstanding. During the six months ended June 30, 2021, the Company borrowed $300 million under the revolving credit facility, and subsequently repaid $233 million utilizing cash on hand and the proceeds from the issuance of the 2031 Senior Notes. During July 2021, the company repaid the outstanding $67 million balance under the revolving credit facility and as of July 31, 2021, the Company had no loans outstanding under the revolving credit facility and a total of $75 million in letters of credit outstanding.</w:t>
      </w:r>
    </w:p>
    <w:p>
      <w:pPr>
        <w:spacing w:after="0" w:line="141" w:lineRule="exact"/>
        <w:rPr>
          <w:sz w:val="20"/>
          <w:szCs w:val="20"/>
          <w:color w:val="auto"/>
        </w:rPr>
      </w:pPr>
    </w:p>
    <w:p>
      <w:pPr>
        <w:jc w:val="both"/>
        <w:ind w:firstLine="397"/>
        <w:spacing w:after="0" w:line="252" w:lineRule="auto"/>
        <w:rPr>
          <w:sz w:val="20"/>
          <w:szCs w:val="20"/>
          <w:color w:val="auto"/>
        </w:rPr>
      </w:pPr>
      <w:r>
        <w:rPr>
          <w:rFonts w:ascii="Arial" w:cs="Arial" w:eastAsia="Arial" w:hAnsi="Arial"/>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Energy, Inc. and CEG. Management continues to regularly monitor the Company's ability to finance the needs of its operating, financing and investing activity within the dictates of prudent balance sheet management.</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Credit Ratings</w:t>
      </w:r>
    </w:p>
    <w:p>
      <w:pPr>
        <w:spacing w:after="0" w:line="164" w:lineRule="exact"/>
        <w:rPr>
          <w:sz w:val="20"/>
          <w:szCs w:val="20"/>
          <w:color w:val="auto"/>
        </w:rPr>
      </w:pPr>
    </w:p>
    <w:p>
      <w:pPr>
        <w:jc w:val="both"/>
        <w:ind w:firstLine="197"/>
        <w:spacing w:after="0" w:line="318" w:lineRule="auto"/>
        <w:rPr>
          <w:sz w:val="20"/>
          <w:szCs w:val="20"/>
          <w:color w:val="auto"/>
        </w:rPr>
      </w:pPr>
      <w:r>
        <w:rPr>
          <w:rFonts w:ascii="Arial" w:cs="Arial" w:eastAsia="Arial" w:hAnsi="Arial"/>
          <w:sz w:val="15"/>
          <w:szCs w:val="15"/>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June 30, 2021, the Company's 2026 Senior Notes, 2028 Senior Notes and 2031 Senior Notes were rated BB by S&amp;P and Ba2 by Moody's.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50" w:name="page51"/>
    <w:bookmarkEnd w:id="50"/>
    <w:p>
      <w:pPr>
        <w:ind w:left="400"/>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64" w:lineRule="exact"/>
        <w:rPr>
          <w:sz w:val="20"/>
          <w:szCs w:val="20"/>
          <w:color w:val="auto"/>
        </w:rPr>
      </w:pPr>
    </w:p>
    <w:p>
      <w:pPr>
        <w:ind w:firstLine="397"/>
        <w:spacing w:after="0" w:line="286" w:lineRule="auto"/>
        <w:rPr>
          <w:sz w:val="20"/>
          <w:szCs w:val="20"/>
          <w:color w:val="auto"/>
        </w:rPr>
      </w:pPr>
      <w:r>
        <w:rPr>
          <w:rFonts w:ascii="Arial" w:cs="Arial" w:eastAsia="Arial" w:hAnsi="Arial"/>
          <w:sz w:val="15"/>
          <w:szCs w:val="15"/>
          <w:color w:val="231F20"/>
        </w:rPr>
        <w:t>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w:t>
      </w:r>
    </w:p>
    <w:p>
      <w:pPr>
        <w:jc w:val="both"/>
        <w:spacing w:after="0" w:line="234" w:lineRule="auto"/>
        <w:rPr>
          <w:sz w:val="20"/>
          <w:szCs w:val="20"/>
          <w:color w:val="auto"/>
        </w:rPr>
      </w:pPr>
      <w:r>
        <w:rPr>
          <w:rFonts w:ascii="Arial" w:cs="Arial" w:eastAsia="Arial" w:hAnsi="Arial"/>
          <w:sz w:val="18"/>
          <w:szCs w:val="18"/>
          <w:color w:val="231F20"/>
        </w:rPr>
        <w:t xml:space="preserve">— Note 7, </w:t>
      </w:r>
      <w:r>
        <w:rPr>
          <w:rFonts w:ascii="Arial" w:cs="Arial" w:eastAsia="Arial" w:hAnsi="Arial"/>
          <w:sz w:val="18"/>
          <w:szCs w:val="18"/>
          <w:i w:val="1"/>
          <w:iCs w:val="1"/>
          <w:color w:val="231F20"/>
        </w:rPr>
        <w:t>Long-term Debt</w:t>
      </w:r>
      <w:r>
        <w:rPr>
          <w:rFonts w:ascii="Arial" w:cs="Arial" w:eastAsia="Arial" w:hAnsi="Arial"/>
          <w:sz w:val="18"/>
          <w:szCs w:val="18"/>
          <w:color w:val="231F20"/>
        </w:rPr>
        <w:t xml:space="preserve">, to this Form 10-Q and Item 15 — Note 10, </w:t>
      </w:r>
      <w:r>
        <w:rPr>
          <w:rFonts w:ascii="Arial" w:cs="Arial" w:eastAsia="Arial" w:hAnsi="Arial"/>
          <w:sz w:val="18"/>
          <w:szCs w:val="18"/>
          <w:i w:val="1"/>
          <w:iCs w:val="1"/>
          <w:color w:val="231F20"/>
        </w:rPr>
        <w:t>Long-term Debt</w:t>
      </w:r>
      <w:r>
        <w:rPr>
          <w:rFonts w:ascii="Arial" w:cs="Arial" w:eastAsia="Arial" w:hAnsi="Arial"/>
          <w:sz w:val="18"/>
          <w:szCs w:val="18"/>
          <w:color w:val="231F20"/>
        </w:rPr>
        <w:t xml:space="preserve">, to the consolidated financial statements included in the Company's </w:t>
      </w:r>
      <w:r>
        <w:rPr>
          <w:rFonts w:ascii="Arial" w:cs="Arial" w:eastAsia="Arial" w:hAnsi="Arial"/>
          <w:sz w:val="18"/>
          <w:szCs w:val="18"/>
          <w:color w:val="000000"/>
        </w:rPr>
        <w:t>2020 Form 10-K</w:t>
      </w:r>
      <w:r>
        <w:rPr>
          <w:rFonts w:ascii="Arial" w:cs="Arial" w:eastAsia="Arial" w:hAnsi="Arial"/>
          <w:sz w:val="18"/>
          <w:szCs w:val="18"/>
          <w:color w:val="231F20"/>
        </w:rPr>
        <w:t>, the Company's financing arrangements consist of</w:t>
      </w:r>
      <w:r>
        <w:rPr>
          <w:rFonts w:ascii="Arial" w:cs="Arial" w:eastAsia="Arial" w:hAnsi="Arial"/>
          <w:sz w:val="18"/>
          <w:szCs w:val="18"/>
          <w:color w:val="000000"/>
        </w:rPr>
        <w:t xml:space="preserve"> corporate level debt, which includes Senior Notes and the revolving credit facility; the ATM Programs; and project-level financings for its various assets.</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Revolving Credit Facility</w:t>
      </w:r>
    </w:p>
    <w:p>
      <w:pPr>
        <w:spacing w:after="0" w:line="164"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231F20"/>
        </w:rPr>
        <w:t>The Company has a total of $340 million available under the revolving credit facility as of June 30, 2021. The facility will continue to be used for general corporate purposes including financing of future acquisitions and posting letters of credit.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2031 Senior Notes</w:t>
      </w:r>
    </w:p>
    <w:p>
      <w:pPr>
        <w:spacing w:after="0" w:line="164" w:lineRule="exact"/>
        <w:rPr>
          <w:sz w:val="20"/>
          <w:szCs w:val="20"/>
          <w:color w:val="auto"/>
        </w:rPr>
      </w:pPr>
    </w:p>
    <w:p>
      <w:pPr>
        <w:jc w:val="both"/>
        <w:ind w:firstLine="397"/>
        <w:spacing w:after="0" w:line="267" w:lineRule="auto"/>
        <w:rPr>
          <w:sz w:val="20"/>
          <w:szCs w:val="20"/>
          <w:color w:val="auto"/>
        </w:rPr>
      </w:pPr>
      <w:r>
        <w:rPr>
          <w:rFonts w:ascii="Arial" w:cs="Arial" w:eastAsia="Arial" w:hAnsi="Arial"/>
          <w:sz w:val="17"/>
          <w:szCs w:val="17"/>
          <w:color w:val="auto"/>
        </w:rPr>
        <w:t>On March 9, 2021, Clearway Energy Operating LLC completed the sale of $925 million of senior unsecured notes due 2031, or the 2031 Senior Notes. The 2031 Senior Notes bear interest at 3.750% and mature on February 15, 2031. Interest on the 2031 Senior Notes is payable semi-annually on February 15 and August 15 of each year, and interest payments will commence on August 15, 2021. The 2031 Senior Notes are unsecured obligations of Clearway Energy Operating LLC and are guaranteed by the Company and by certain of Clearway Energy Operating LLC's wholly owned current and future subsidiaries. The net proceeds from the 2031 Senior Notes were used to repurchase the 2025 Senior Notes, as well as to repay amounts outstanding under the Company’s revolving credit facility and for general corporate purposes.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Pinnacle Repowering Partnership Holdco LLC Financing</w:t>
      </w:r>
    </w:p>
    <w:p>
      <w:pPr>
        <w:spacing w:after="0" w:line="164" w:lineRule="exact"/>
        <w:rPr>
          <w:sz w:val="20"/>
          <w:szCs w:val="20"/>
          <w:color w:val="auto"/>
        </w:rPr>
      </w:pPr>
    </w:p>
    <w:p>
      <w:pPr>
        <w:jc w:val="both"/>
        <w:ind w:firstLine="397"/>
        <w:spacing w:after="0" w:line="271" w:lineRule="auto"/>
        <w:rPr>
          <w:sz w:val="20"/>
          <w:szCs w:val="20"/>
          <w:color w:val="auto"/>
        </w:rPr>
      </w:pPr>
      <w:r>
        <w:rPr>
          <w:rFonts w:ascii="Arial" w:cs="Arial" w:eastAsia="Arial" w:hAnsi="Arial"/>
          <w:sz w:val="17"/>
          <w:szCs w:val="17"/>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financing agreement, which related to the Pinnacle wind project, and to reimburse Clearway Renew LLC for equipment purchases and pay vendor invoices and fees.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Oahu and Kawailoa Hawaii Refundable Tax Credits</w:t>
      </w:r>
    </w:p>
    <w:p>
      <w:pPr>
        <w:spacing w:after="0" w:line="164"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7"/>
          <w:szCs w:val="17"/>
          <w:color w:val="auto"/>
        </w:rPr>
        <w:t>In 2020, the members of the partnerships holding the Oahu Solar and Kawailoa Solar projects submitted applications to the state of Hawaii for refundable tax credits based on the cost of construction of the projects. In April 2021, the members of the partnerships contributed their respective portions of the tax credits in the amount of $49 million to the Oahu Solar and Kawailoa project companies, which is reflected in restricted cash on the Company's consolidated balance sheet with an offsetting adjustment to noncontrolling interests. In accordance with the projects' related agreements, the cash will be held in a restricted account and utilized to offset future invoiced amounts under the projects' PPAs.</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64"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xml:space="preserve"> to the Consolidated Financial Statements; (ii) capital expenditures; (iii) acquisitions and investments; and (iv) distributions.</w:t>
      </w:r>
    </w:p>
    <w:p>
      <w:pPr>
        <w:spacing w:after="0" w:line="200" w:lineRule="exact"/>
        <w:rPr>
          <w:sz w:val="20"/>
          <w:szCs w:val="20"/>
          <w:color w:val="auto"/>
        </w:rPr>
      </w:pPr>
    </w:p>
    <w:p>
      <w:pPr>
        <w:spacing w:after="0" w:line="33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Capital Expenditures</w:t>
      </w:r>
    </w:p>
    <w:p>
      <w:pPr>
        <w:spacing w:after="0" w:line="164" w:lineRule="exact"/>
        <w:rPr>
          <w:sz w:val="20"/>
          <w:szCs w:val="20"/>
          <w:color w:val="auto"/>
        </w:rPr>
      </w:pPr>
    </w:p>
    <w:p>
      <w:pPr>
        <w:jc w:val="both"/>
        <w:ind w:firstLine="397"/>
        <w:spacing w:after="0" w:line="277" w:lineRule="auto"/>
        <w:rPr>
          <w:sz w:val="20"/>
          <w:szCs w:val="20"/>
          <w:color w:val="auto"/>
        </w:rPr>
      </w:pPr>
      <w:r>
        <w:rPr>
          <w:rFonts w:ascii="Arial" w:cs="Arial" w:eastAsia="Arial" w:hAnsi="Arial"/>
          <w:sz w:val="17"/>
          <w:szCs w:val="17"/>
          <w:color w:val="231F20"/>
        </w:rPr>
        <w:t>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w:t>
      </w:r>
    </w:p>
    <w:p>
      <w:pPr>
        <w:spacing w:after="0" w:line="118" w:lineRule="exact"/>
        <w:rPr>
          <w:sz w:val="20"/>
          <w:szCs w:val="20"/>
          <w:color w:val="auto"/>
        </w:rPr>
      </w:pPr>
    </w:p>
    <w:p>
      <w:pPr>
        <w:jc w:val="both"/>
        <w:ind w:firstLine="397"/>
        <w:spacing w:after="0" w:line="312" w:lineRule="auto"/>
        <w:rPr>
          <w:sz w:val="20"/>
          <w:szCs w:val="20"/>
          <w:color w:val="auto"/>
        </w:rPr>
      </w:pPr>
      <w:r>
        <w:rPr>
          <w:rFonts w:ascii="Arial" w:cs="Arial" w:eastAsia="Arial" w:hAnsi="Arial"/>
          <w:sz w:val="15"/>
          <w:szCs w:val="15"/>
          <w:color w:val="231F20"/>
        </w:rPr>
        <w:t xml:space="preserve">For the six months ended </w:t>
      </w:r>
      <w:r>
        <w:rPr>
          <w:rFonts w:ascii="Arial" w:cs="Arial" w:eastAsia="Arial" w:hAnsi="Arial"/>
          <w:sz w:val="15"/>
          <w:szCs w:val="15"/>
          <w:color w:val="000000"/>
        </w:rPr>
        <w:t>June 30, 2021</w:t>
      </w:r>
      <w:r>
        <w:rPr>
          <w:rFonts w:ascii="Arial" w:cs="Arial" w:eastAsia="Arial" w:hAnsi="Arial"/>
          <w:sz w:val="15"/>
          <w:szCs w:val="15"/>
          <w:color w:val="231F20"/>
        </w:rPr>
        <w:t xml:space="preserve">, the Company used approximately $93 million to fund capital expenditures, including growth </w:t>
      </w:r>
      <w:r>
        <w:rPr>
          <w:rFonts w:ascii="Arial" w:cs="Arial" w:eastAsia="Arial" w:hAnsi="Arial"/>
          <w:sz w:val="15"/>
          <w:szCs w:val="15"/>
          <w:color w:val="000000"/>
        </w:rPr>
        <w:t>expenditures of</w:t>
      </w:r>
      <w:r>
        <w:rPr>
          <w:rFonts w:ascii="Arial" w:cs="Arial" w:eastAsia="Arial" w:hAnsi="Arial"/>
          <w:sz w:val="15"/>
          <w:szCs w:val="15"/>
          <w:color w:val="231F20"/>
        </w:rPr>
        <w:t xml:space="preserve"> </w:t>
      </w:r>
      <w:r>
        <w:rPr>
          <w:rFonts w:ascii="Arial" w:cs="Arial" w:eastAsia="Arial" w:hAnsi="Arial"/>
          <w:sz w:val="15"/>
          <w:szCs w:val="15"/>
          <w:color w:val="000000"/>
        </w:rPr>
        <w:t>$58 million in the Renewables segment, $18 million of which were incurred in connection with the Rosamond Central solar project, $17 million incurred in connection with the Rattlesnake wind project, $13 million incurred in connection with the repowering of the Pinnacle wind project and $10 million related to the Mesquite Star wind project. The Company also incurred $23 million of growth capital expenditures in the Thermal and Conventional segments in connection with various development projects. In addition, the Company incurred $12 million in maintenance capital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1" w:name="page52"/>
    <w:bookmarkEnd w:id="51"/>
    <w:p>
      <w:pPr>
        <w:spacing w:after="0"/>
        <w:rPr>
          <w:sz w:val="20"/>
          <w:szCs w:val="20"/>
          <w:color w:val="auto"/>
        </w:rPr>
      </w:pPr>
      <w:r>
        <w:rPr>
          <w:rFonts w:ascii="Arial" w:cs="Arial" w:eastAsia="Arial" w:hAnsi="Arial"/>
          <w:sz w:val="15"/>
          <w:szCs w:val="15"/>
          <w:color w:val="auto"/>
        </w:rPr>
        <w:t>expenditures. The Company estimates $28 million of maintenance expenditures for 2021. These estimates are subject to continuing review and adjustment.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Actual capital expenditures may vary from these estimates.</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Acquisitions and Investments</w:t>
      </w:r>
    </w:p>
    <w:p>
      <w:pPr>
        <w:spacing w:after="0" w:line="151"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3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i w:val="1"/>
          <w:iCs w:val="1"/>
          <w:color w:val="auto"/>
        </w:rPr>
        <w:t xml:space="preserve">Rattlesnake Drop Down — </w:t>
      </w:r>
      <w:r>
        <w:rPr>
          <w:rFonts w:ascii="Arial" w:cs="Arial" w:eastAsia="Arial" w:hAnsi="Arial"/>
          <w:sz w:val="18"/>
          <w:szCs w:val="18"/>
          <w:color w:val="auto"/>
        </w:rPr>
        <w:t>On January 12, 2021, the Company acquired 100% of CEG's equity interest and a third party investor's minority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 CWSP Rattlesnake Holding LLC, which indirectly owns the Rattlesnake wind project, a 160 MW wind facility located in Adams County, Washington for $132 million in cash consideration. The Company's net capital commitment was $119 million after proceeds from a state sales and use tax refund, which were received in May 2021.</w:t>
      </w:r>
    </w:p>
    <w:p>
      <w:pPr>
        <w:spacing w:after="0" w:line="138"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i w:val="1"/>
          <w:iCs w:val="1"/>
          <w:color w:val="auto"/>
        </w:rPr>
        <w:t xml:space="preserve">Agua Caliente Acquisition — </w:t>
      </w:r>
      <w:r>
        <w:rPr>
          <w:rFonts w:ascii="Arial" w:cs="Arial" w:eastAsia="Arial" w:hAnsi="Arial"/>
          <w:sz w:val="18"/>
          <w:szCs w:val="18"/>
          <w:color w:val="auto"/>
        </w:rPr>
        <w:t>On February 3, 2021, the Company acquired an additional 35% equity interest in the Agua Caliente solar project from</w:t>
      </w:r>
      <w:r>
        <w:rPr>
          <w:rFonts w:ascii="Arial" w:cs="Arial" w:eastAsia="Arial" w:hAnsi="Arial"/>
          <w:sz w:val="18"/>
          <w:szCs w:val="18"/>
          <w:i w:val="1"/>
          <w:iCs w:val="1"/>
          <w:color w:val="auto"/>
        </w:rPr>
        <w:t xml:space="preserve"> </w:t>
      </w:r>
      <w:r>
        <w:rPr>
          <w:rFonts w:ascii="Arial" w:cs="Arial" w:eastAsia="Arial" w:hAnsi="Arial"/>
          <w:sz w:val="18"/>
          <w:szCs w:val="18"/>
          <w:color w:val="auto"/>
        </w:rPr>
        <w:t>NRG Energy, Inc. for $202 million. Agua Caliente is a 290 MW solar project located in Dateland, Arizona in which the Company previously owned a 16% equity interest.</w:t>
      </w:r>
    </w:p>
    <w:p>
      <w:pPr>
        <w:spacing w:after="0" w:line="135"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i w:val="1"/>
          <w:iCs w:val="1"/>
          <w:color w:val="auto"/>
        </w:rPr>
        <w:t xml:space="preserve">Pinnacle Wind Repowering </w:t>
      </w:r>
      <w:r>
        <w:rPr>
          <w:rFonts w:ascii="Arial" w:cs="Arial" w:eastAsia="Arial" w:hAnsi="Arial"/>
          <w:sz w:val="17"/>
          <w:szCs w:val="17"/>
          <w:color w:val="auto"/>
        </w:rPr>
        <w:t>— On February 26, 2021, the Company, through an indirect subsidiary, entered into an amended partnership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with CEG to repower the Pinnacle wind project, a 55 MW wind facility located in Mineral County, West Virginia. The amended agreement commits the Company to invest an estimated $67 million in net corporate capital, subject to closing adjustments, and no longer requires an additional payment in 2031. Commercial operations and corporate capital funding for the Pinnacle wind repowering are expected to occur in the second half of 2021. Additionally, on March 10, 2021, the Pinnacle wind project acquired equipment from CEG for $21 million in cash consideration.</w:t>
      </w:r>
    </w:p>
    <w:p>
      <w:pPr>
        <w:spacing w:after="0" w:line="128" w:lineRule="exact"/>
        <w:rPr>
          <w:sz w:val="20"/>
          <w:szCs w:val="20"/>
          <w:color w:val="auto"/>
        </w:rPr>
      </w:pPr>
    </w:p>
    <w:p>
      <w:pPr>
        <w:jc w:val="both"/>
        <w:ind w:right="20" w:firstLine="636"/>
        <w:spacing w:after="0" w:line="277" w:lineRule="auto"/>
        <w:rPr>
          <w:sz w:val="20"/>
          <w:szCs w:val="20"/>
          <w:color w:val="auto"/>
        </w:rPr>
      </w:pPr>
      <w:r>
        <w:rPr>
          <w:rFonts w:ascii="Arial" w:cs="Arial" w:eastAsia="Arial" w:hAnsi="Arial"/>
          <w:sz w:val="17"/>
          <w:szCs w:val="17"/>
          <w:i w:val="1"/>
          <w:iCs w:val="1"/>
          <w:color w:val="auto"/>
        </w:rPr>
        <w:t xml:space="preserve">Mt. Storm Acquisition </w:t>
      </w:r>
      <w:r>
        <w:rPr>
          <w:rFonts w:ascii="Arial" w:cs="Arial" w:eastAsia="Arial" w:hAnsi="Arial"/>
          <w:sz w:val="17"/>
          <w:szCs w:val="17"/>
          <w:color w:val="auto"/>
        </w:rPr>
        <w:t>— On April 23, 2021, the Company acquired 100% of the equity interests in NedPower Mount Storm LLC, or Mt. Storm,</w:t>
      </w:r>
      <w:r>
        <w:rPr>
          <w:rFonts w:ascii="Arial" w:cs="Arial" w:eastAsia="Arial" w:hAnsi="Arial"/>
          <w:sz w:val="17"/>
          <w:szCs w:val="17"/>
          <w:i w:val="1"/>
          <w:iCs w:val="1"/>
          <w:color w:val="auto"/>
        </w:rPr>
        <w:t xml:space="preserve"> </w:t>
      </w:r>
      <w:r>
        <w:rPr>
          <w:rFonts w:ascii="Arial" w:cs="Arial" w:eastAsia="Arial" w:hAnsi="Arial"/>
          <w:sz w:val="17"/>
          <w:szCs w:val="17"/>
          <w:color w:val="auto"/>
        </w:rPr>
        <w:t>from Castleton Commodities International for approximately $96 million before working capital and purchase price adjustments in the net amount of $4 million, representing a total cash outflow of $100 million. Mt. Storm is a 264 MW wind project located in Grant County, West Virginia.</w:t>
      </w:r>
    </w:p>
    <w:p>
      <w:pPr>
        <w:spacing w:after="0" w:line="118"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i w:val="1"/>
          <w:iCs w:val="1"/>
          <w:color w:val="auto"/>
        </w:rPr>
        <w:t xml:space="preserve">Lighthouse Partnership Agreements </w:t>
      </w:r>
      <w:r>
        <w:rPr>
          <w:rFonts w:ascii="Arial" w:cs="Arial" w:eastAsia="Arial" w:hAnsi="Arial"/>
          <w:sz w:val="18"/>
          <w:szCs w:val="18"/>
          <w:color w:val="auto"/>
        </w:rPr>
        <w:t>— On December 21, 2020, subsidiaries of the Company entered into the Lighthouse Partnership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for the Company's co-investment in a portfolio of renewable energy projects developed by CEG. The Company expects to invest approximately $142 million in 2021 for 50% cash equity interests in the Mesquite Sky and Black Rock wind projects, subject to closing adjustments and the projects achieving certain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Repurchases</w:t>
      </w:r>
    </w:p>
    <w:p>
      <w:pPr>
        <w:spacing w:after="0" w:line="151"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7"/>
          <w:szCs w:val="17"/>
          <w:i w:val="1"/>
          <w:iCs w:val="1"/>
          <w:color w:val="auto"/>
        </w:rPr>
        <w:t xml:space="preserve">2025 Senior Notes Tender Offer and Redemption — </w:t>
      </w:r>
      <w:r>
        <w:rPr>
          <w:rFonts w:ascii="Arial" w:cs="Arial" w:eastAsia="Arial" w:hAnsi="Arial"/>
          <w:sz w:val="17"/>
          <w:szCs w:val="17"/>
          <w:color w:val="auto"/>
        </w:rPr>
        <w:t>On March 9, 2021, the Company completed the repurchase of an aggregate principal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$411 million, or 68.6%, of the 2025 Senior Notes outstanding as part of the cash tender offer announced on March 2, 2021. Additionally, $6 million of the 2025 Senior Notes that were subject to guaranteed delivery procedures were repurchased on March 11, 2021. Concurrently with the launch of the tender offer, the Company exercised its right to optionally redeem the remaining principal amount of $183 million not validly tendered and purchased in the tender offer, pursuant to the terms of the indenture governing the 2025 Senior Notes. The 2025 Senior Notes repurchased and redeemed in March 2021 were effectuated at a premium of approximately 106% for total consideration of $636 million and as a result, the Company recorded a loss on extinguishment in the amount of $36 million. In addition, the Company recorded a $5 million loss on extinguishment to write off the remaining unamortized deferred financing fees related to the 2025 Senior Notes.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Distributions to Clearway Energy, Inc.</w:t>
      </w:r>
    </w:p>
    <w:p>
      <w:pPr>
        <w:spacing w:after="0" w:line="164" w:lineRule="exact"/>
        <w:rPr>
          <w:sz w:val="20"/>
          <w:szCs w:val="20"/>
          <w:color w:val="auto"/>
        </w:rPr>
      </w:pPr>
    </w:p>
    <w:p>
      <w:pPr>
        <w:jc w:val="both"/>
        <w:ind w:firstLine="397"/>
        <w:spacing w:after="0" w:line="318" w:lineRule="auto"/>
        <w:rPr>
          <w:sz w:val="20"/>
          <w:szCs w:val="20"/>
          <w:color w:val="auto"/>
        </w:rPr>
      </w:pPr>
      <w:r>
        <w:rPr>
          <w:rFonts w:ascii="Arial" w:cs="Arial" w:eastAsia="Arial" w:hAnsi="Arial"/>
          <w:sz w:val="15"/>
          <w:szCs w:val="15"/>
          <w:color w:val="auto"/>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Distributions on the units are subject to available capital, market conditions, and compliance with associated laws, regulations and other contractual obligations. The Company expects that, based on current circumstances, comparable cash distributions will continue to be paid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2" w:name="page53"/>
    <w:bookmarkEnd w:id="52"/>
    <w:p>
      <w:pPr>
        <w:ind w:left="400"/>
        <w:spacing w:after="0"/>
        <w:rPr>
          <w:sz w:val="20"/>
          <w:szCs w:val="20"/>
          <w:color w:val="auto"/>
        </w:rPr>
      </w:pPr>
      <w:r>
        <w:rPr>
          <w:rFonts w:ascii="Arial" w:cs="Arial" w:eastAsia="Arial" w:hAnsi="Arial"/>
          <w:sz w:val="18"/>
          <w:szCs w:val="18"/>
          <w:color w:val="auto"/>
        </w:rPr>
        <w:t>The following table lists the distributions paid on the Company's Class A, B, C and D units during the six months ended June 30,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Second Quarter 2021</w:t>
            </w:r>
          </w:p>
        </w:tc>
        <w:tc>
          <w:tcPr>
            <w:tcW w:w="13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First Quarter 2021</w:t>
            </w:r>
          </w:p>
        </w:tc>
      </w:tr>
      <w:tr>
        <w:trPr>
          <w:trHeight w:val="224"/>
        </w:trPr>
        <w:tc>
          <w:tcPr>
            <w:tcW w:w="8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per Class A, B, C and D unit</w:t>
            </w: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2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0.324</w:t>
            </w:r>
          </w:p>
        </w:tc>
      </w:tr>
    </w:tbl>
    <w:p>
      <w:pPr>
        <w:spacing w:after="0" w:line="239"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On July 23, 2021, the Company declared a distribution on its Class A, Class B, Class C and Class D units of $0.3345 per unit payable on September 15, 2021 to unit holders of record as of September 1, 2021.</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Financial Disclosures About Guarantors and Issuers of Guaranteed Registered Securities</w:t>
      </w:r>
    </w:p>
    <w:p>
      <w:pPr>
        <w:spacing w:after="0" w:line="164"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 xml:space="preserve">As of June 30, 2021, Clearway Energy Operating LLC’s outstanding registered senior notes consisted of $350 million of the 2026 Senior Notes, as further described in Note 7, </w:t>
      </w:r>
      <w:r>
        <w:rPr>
          <w:rFonts w:ascii="Arial" w:cs="Arial" w:eastAsia="Arial" w:hAnsi="Arial"/>
          <w:sz w:val="18"/>
          <w:szCs w:val="18"/>
          <w:i w:val="1"/>
          <w:iCs w:val="1"/>
          <w:color w:val="auto"/>
        </w:rPr>
        <w:t>Long-term Debt</w:t>
      </w:r>
      <w:r>
        <w:rPr>
          <w:rFonts w:ascii="Arial" w:cs="Arial" w:eastAsia="Arial" w:hAnsi="Arial"/>
          <w:sz w:val="18"/>
          <w:szCs w:val="18"/>
          <w:color w:val="auto"/>
        </w:rPr>
        <w:t>. The 2026 Senior Notes are guaranteed by the Company, as well as certain of the Company's wholly owned subsidiaries, or guarantor subsidiaries. These guarantees are full, irrevocable, unconditional, absolute, joint and several, and cover all payment obligations arising under the 2026 Senior Notes. The non-guarantor subsidiaries include the rest of the Company's subsidiaries, including the subsidiaries that are subject to project financing.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3" w:name="page54"/>
    <w:bookmarkEnd w:id="53"/>
    <w:p>
      <w:pPr>
        <w:jc w:val="both"/>
        <w:ind w:firstLine="636"/>
        <w:spacing w:after="0" w:line="318" w:lineRule="auto"/>
        <w:rPr>
          <w:sz w:val="20"/>
          <w:szCs w:val="20"/>
          <w:color w:val="auto"/>
        </w:rPr>
      </w:pPr>
      <w:r>
        <w:rPr>
          <w:rFonts w:ascii="Arial" w:cs="Arial" w:eastAsia="Arial" w:hAnsi="Arial"/>
          <w:sz w:val="15"/>
          <w:szCs w:val="15"/>
          <w:color w:val="auto"/>
        </w:rPr>
        <w:t>Clearway Energy Operating LLC conducts much of its business through and derives much of its income from its subsidiaries. Therefore, its ability to make required payments with respect to its indebtedness and other obligations depends on the financial results and condition of its subsidiaries and Clearway Energy Operating LLC's ability to receive funds from its subsidiaries. There are no restrictions on the ability of any of the guarantor subsidiaries to transfer funds to Clearway Energy Operating LLC. However, there may be restrictions for certain non-guarantor subsidiaries.</w:t>
      </w:r>
    </w:p>
    <w:p>
      <w:pPr>
        <w:spacing w:after="0" w:line="93"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The following tables present summarized financial information for Clearway Energy Operating LLC, the issuer of the 2026 Senior Notes and the guarantor subsidiaries in accordance with Rule 3-10 under the SEC Regulation S-X. The financial information may not necessarily be indicative of results of operations or financial position had the guarantor subsidiaries operated as independent entities. Transactions between Clearway Energy Operating LLC and the guarantors have been eliminated and the summarized financial information does not reflect investments of Clearway Energy Operating LLC and the guarantors in the non-guarantor subsidiaries.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b w:val="1"/>
                <w:bCs w:val="1"/>
                <w:color w:val="auto"/>
                <w:w w:val="88"/>
              </w:rPr>
              <w:t>June 30, 2021</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184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w w:val="92"/>
              </w:rPr>
              <w:t>Clearway Energy Operating</w:t>
            </w:r>
          </w:p>
        </w:tc>
        <w:tc>
          <w:tcPr>
            <w:tcW w:w="100" w:type="dxa"/>
            <w:vAlign w:val="bottom"/>
          </w:tcPr>
          <w:p>
            <w:pPr>
              <w:spacing w:after="0"/>
              <w:rPr>
                <w:sz w:val="11"/>
                <w:szCs w:val="11"/>
                <w:color w:val="auto"/>
              </w:rPr>
            </w:pPr>
          </w:p>
        </w:tc>
        <w:tc>
          <w:tcPr>
            <w:tcW w:w="1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Other Guarantor Subsidiaries</w:t>
            </w:r>
          </w:p>
        </w:tc>
        <w:tc>
          <w:tcPr>
            <w:tcW w:w="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460" w:type="dxa"/>
            <w:vAlign w:val="bottom"/>
          </w:tcPr>
          <w:p>
            <w:pPr>
              <w:spacing w:after="0"/>
              <w:rPr>
                <w:sz w:val="11"/>
                <w:szCs w:val="11"/>
                <w:color w:val="auto"/>
              </w:rPr>
            </w:pPr>
          </w:p>
        </w:tc>
        <w:tc>
          <w:tcPr>
            <w:tcW w:w="1500" w:type="dxa"/>
            <w:vAlign w:val="bottom"/>
            <w:vMerge w:val="restart"/>
          </w:tcPr>
          <w:p>
            <w:pPr>
              <w:jc w:val="right"/>
              <w:ind w:right="7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14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LLC (2026 Senior Notes Issuer)</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3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488"/>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b w:val="1"/>
                <w:bCs w:val="1"/>
                <w:color w:val="auto"/>
                <w:w w:val="88"/>
              </w:rPr>
              <w:t>December 31, 2020</w:t>
            </w: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184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w w:val="92"/>
              </w:rPr>
              <w:t>Clearway Energy Operating</w:t>
            </w:r>
          </w:p>
        </w:tc>
        <w:tc>
          <w:tcPr>
            <w:tcW w:w="100" w:type="dxa"/>
            <w:vAlign w:val="bottom"/>
          </w:tcPr>
          <w:p>
            <w:pPr>
              <w:spacing w:after="0"/>
              <w:rPr>
                <w:sz w:val="11"/>
                <w:szCs w:val="11"/>
                <w:color w:val="auto"/>
              </w:rPr>
            </w:pPr>
          </w:p>
        </w:tc>
        <w:tc>
          <w:tcPr>
            <w:tcW w:w="1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Other Guarantor Subsidiaries</w:t>
            </w:r>
          </w:p>
        </w:tc>
        <w:tc>
          <w:tcPr>
            <w:tcW w:w="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460" w:type="dxa"/>
            <w:vAlign w:val="bottom"/>
          </w:tcPr>
          <w:p>
            <w:pPr>
              <w:spacing w:after="0"/>
              <w:rPr>
                <w:sz w:val="11"/>
                <w:szCs w:val="11"/>
                <w:color w:val="auto"/>
              </w:rPr>
            </w:pPr>
          </w:p>
        </w:tc>
        <w:tc>
          <w:tcPr>
            <w:tcW w:w="1500" w:type="dxa"/>
            <w:vAlign w:val="bottom"/>
            <w:vMerge w:val="restart"/>
          </w:tcPr>
          <w:p>
            <w:pPr>
              <w:jc w:val="right"/>
              <w:ind w:right="7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14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LLC (2026 Senior Notes Issuer)</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3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474"/>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87"/>
              </w:rPr>
              <w:t>Six months ended June 30, 2021</w:t>
            </w: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184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w w:val="92"/>
              </w:rPr>
              <w:t>Clearway Energy Operating</w:t>
            </w:r>
          </w:p>
        </w:tc>
        <w:tc>
          <w:tcPr>
            <w:tcW w:w="100" w:type="dxa"/>
            <w:vAlign w:val="bottom"/>
          </w:tcPr>
          <w:p>
            <w:pPr>
              <w:spacing w:after="0"/>
              <w:rPr>
                <w:sz w:val="11"/>
                <w:szCs w:val="11"/>
                <w:color w:val="auto"/>
              </w:rPr>
            </w:pPr>
          </w:p>
        </w:tc>
        <w:tc>
          <w:tcPr>
            <w:tcW w:w="1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Other Guarantor Subsidiaries</w:t>
            </w:r>
          </w:p>
        </w:tc>
        <w:tc>
          <w:tcPr>
            <w:tcW w:w="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460" w:type="dxa"/>
            <w:vAlign w:val="bottom"/>
          </w:tcPr>
          <w:p>
            <w:pPr>
              <w:spacing w:after="0"/>
              <w:rPr>
                <w:sz w:val="11"/>
                <w:szCs w:val="11"/>
                <w:color w:val="auto"/>
              </w:rPr>
            </w:pPr>
          </w:p>
        </w:tc>
        <w:tc>
          <w:tcPr>
            <w:tcW w:w="1500" w:type="dxa"/>
            <w:vAlign w:val="bottom"/>
            <w:vMerge w:val="restart"/>
          </w:tcPr>
          <w:p>
            <w:pPr>
              <w:jc w:val="right"/>
              <w:ind w:right="7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14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LLC (2026 Senior Notes Issuer)</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4"/>
        </w:trPr>
        <w:tc>
          <w:tcPr>
            <w:tcW w:w="5140" w:type="dxa"/>
            <w:vAlign w:val="bottom"/>
          </w:tcPr>
          <w:p>
            <w:pPr>
              <w:ind w:left="20"/>
              <w:spacing w:after="0"/>
              <w:rPr>
                <w:sz w:val="20"/>
                <w:szCs w:val="20"/>
                <w:color w:val="auto"/>
              </w:rPr>
            </w:pPr>
            <w:r>
              <w:rPr>
                <w:rFonts w:ascii="Arial" w:cs="Arial" w:eastAsia="Arial" w:hAnsi="Arial"/>
                <w:sz w:val="18"/>
                <w:szCs w:val="18"/>
                <w:color w:val="auto"/>
              </w:rPr>
              <w:t>Net (loss) income attributable to controlling interest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(86)</w:t>
            </w:r>
          </w:p>
        </w:tc>
        <w:tc>
          <w:tcPr>
            <w:tcW w:w="32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489"/>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87"/>
              </w:rPr>
              <w:t>Six months ended June 30, 2020</w:t>
            </w: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184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w w:val="92"/>
              </w:rPr>
              <w:t>Clearway Energy Operating</w:t>
            </w:r>
          </w:p>
        </w:tc>
        <w:tc>
          <w:tcPr>
            <w:tcW w:w="100" w:type="dxa"/>
            <w:vAlign w:val="bottom"/>
          </w:tcPr>
          <w:p>
            <w:pPr>
              <w:spacing w:after="0"/>
              <w:rPr>
                <w:sz w:val="11"/>
                <w:szCs w:val="11"/>
                <w:color w:val="auto"/>
              </w:rPr>
            </w:pPr>
          </w:p>
        </w:tc>
        <w:tc>
          <w:tcPr>
            <w:tcW w:w="1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Other Guarantor Subsidiaries</w:t>
            </w:r>
          </w:p>
        </w:tc>
        <w:tc>
          <w:tcPr>
            <w:tcW w:w="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460" w:type="dxa"/>
            <w:vAlign w:val="bottom"/>
          </w:tcPr>
          <w:p>
            <w:pPr>
              <w:spacing w:after="0"/>
              <w:rPr>
                <w:sz w:val="11"/>
                <w:szCs w:val="11"/>
                <w:color w:val="auto"/>
              </w:rPr>
            </w:pPr>
          </w:p>
        </w:tc>
        <w:tc>
          <w:tcPr>
            <w:tcW w:w="1500" w:type="dxa"/>
            <w:vAlign w:val="bottom"/>
            <w:vMerge w:val="restart"/>
          </w:tcPr>
          <w:p>
            <w:pPr>
              <w:jc w:val="right"/>
              <w:ind w:right="7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14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LLC (2026 Senior Notes Issuer)</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4"/>
        </w:trPr>
        <w:tc>
          <w:tcPr>
            <w:tcW w:w="5140" w:type="dxa"/>
            <w:vAlign w:val="bottom"/>
          </w:tcPr>
          <w:p>
            <w:pPr>
              <w:ind w:left="20"/>
              <w:spacing w:after="0"/>
              <w:rPr>
                <w:sz w:val="20"/>
                <w:szCs w:val="20"/>
                <w:color w:val="auto"/>
              </w:rPr>
            </w:pPr>
            <w:r>
              <w:rPr>
                <w:rFonts w:ascii="Arial" w:cs="Arial" w:eastAsia="Arial" w:hAnsi="Arial"/>
                <w:sz w:val="18"/>
                <w:szCs w:val="18"/>
                <w:color w:val="auto"/>
              </w:rPr>
              <w:t>Net loss attributable to controlling interest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(86)</w:t>
            </w:r>
          </w:p>
        </w:tc>
        <w:tc>
          <w:tcPr>
            <w:tcW w:w="32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Cash Flow Discussion</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reflects the changes in cash flows for the six months ended June 30, 2021, compared to the six months ended June 30, 2020:</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w w:val="91"/>
              </w:rPr>
              <w:t>Six months ended June 30,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8"/>
        </w:trPr>
        <w:tc>
          <w:tcPr>
            <w:tcW w:w="7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(In millions)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86"/>
              </w:rPr>
              <w:t>241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4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Pr>
          <w:p>
            <w:pPr>
              <w:spacing w:after="0"/>
              <w:rPr>
                <w:sz w:val="19"/>
                <w:szCs w:val="19"/>
                <w:color w:val="auto"/>
              </w:rPr>
            </w:pPr>
          </w:p>
        </w:tc>
        <w:tc>
          <w:tcPr>
            <w:tcW w:w="1080" w:type="dxa"/>
            <w:vAlign w:val="bottom"/>
          </w:tcPr>
          <w:p>
            <w:pPr>
              <w:jc w:val="center"/>
              <w:ind w:left="452"/>
              <w:spacing w:after="0"/>
              <w:rPr>
                <w:sz w:val="20"/>
                <w:szCs w:val="20"/>
                <w:color w:val="auto"/>
              </w:rPr>
            </w:pPr>
            <w:r>
              <w:rPr>
                <w:rFonts w:ascii="Arial" w:cs="Arial" w:eastAsia="Arial" w:hAnsi="Arial"/>
                <w:sz w:val="18"/>
                <w:szCs w:val="18"/>
                <w:color w:val="auto"/>
                <w:w w:val="90"/>
              </w:rPr>
              <w:t>(420)</w:t>
            </w: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86"/>
              </w:rPr>
              <w:t>184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54"/>
        </w:trPr>
        <w:tc>
          <w:tcPr>
            <w:tcW w:w="7140" w:type="dxa"/>
            <w:vAlign w:val="bottom"/>
          </w:tcPr>
          <w:p>
            <w:pPr>
              <w:ind w:left="40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140" w:type="dxa"/>
            <w:vAlign w:val="bottom"/>
          </w:tcPr>
          <w:p>
            <w:pPr>
              <w:ind w:left="2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6"/>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in operating income adjusted for non-cash items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40" w:type="dxa"/>
            <w:vAlign w:val="bottom"/>
          </w:tcPr>
          <w:p>
            <w:pPr>
              <w:ind w:left="120"/>
              <w:spacing w:after="0"/>
              <w:rPr>
                <w:sz w:val="20"/>
                <w:szCs w:val="20"/>
                <w:color w:val="auto"/>
              </w:rPr>
            </w:pPr>
            <w:r>
              <w:rPr>
                <w:rFonts w:ascii="Arial" w:cs="Arial" w:eastAsia="Arial" w:hAnsi="Arial"/>
                <w:sz w:val="18"/>
                <w:szCs w:val="18"/>
                <w:color w:val="auto"/>
              </w:rPr>
              <w:t>Increase in dividend distributions received from unconsolidated affiliates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92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w w:val="97"/>
              </w:rPr>
              <w:t>Increase in working capital driven primarily by the timing of accounts receivable collections and payments of accounts payable</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140" w:type="dxa"/>
            <w:vAlign w:val="bottom"/>
            <w:vMerge w:val="restart"/>
          </w:tcPr>
          <w:p>
            <w:pPr>
              <w:ind w:left="400"/>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71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140" w:type="dxa"/>
            <w:vAlign w:val="bottom"/>
          </w:tcPr>
          <w:p>
            <w:pPr>
              <w:ind w:left="20"/>
              <w:spacing w:after="0"/>
              <w:rPr>
                <w:sz w:val="20"/>
                <w:szCs w:val="20"/>
                <w:color w:val="auto"/>
              </w:rPr>
            </w:pPr>
            <w:r>
              <w:rPr>
                <w:rFonts w:ascii="Arial" w:cs="Arial" w:eastAsia="Arial" w:hAnsi="Arial"/>
                <w:sz w:val="18"/>
                <w:szCs w:val="18"/>
                <w:color w:val="auto"/>
              </w:rPr>
              <w:t>Changes to net cash (used in) provided by investing activities were driven by:</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6"/>
        </w:trPr>
        <w:tc>
          <w:tcPr>
            <w:tcW w:w="7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Cash paid for the Rattlesnake Drop Down acquisition in 2021</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40" w:type="dxa"/>
            <w:vAlign w:val="bottom"/>
          </w:tcPr>
          <w:p>
            <w:pPr>
              <w:ind w:left="520"/>
              <w:spacing w:after="0"/>
              <w:rPr>
                <w:sz w:val="20"/>
                <w:szCs w:val="20"/>
                <w:color w:val="auto"/>
              </w:rPr>
            </w:pPr>
            <w:r>
              <w:rPr>
                <w:rFonts w:ascii="Arial" w:cs="Arial" w:eastAsia="Arial" w:hAnsi="Arial"/>
                <w:sz w:val="18"/>
                <w:szCs w:val="18"/>
                <w:color w:val="auto"/>
                <w:w w:val="93"/>
              </w:rPr>
              <w:t>Cash paid for the Agua Caliente and Mt. Storm acquisitions, net of cash acquired in 2021</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920" w:type="dxa"/>
            <w:vAlign w:val="bottom"/>
            <w:gridSpan w:val="6"/>
            <w:shd w:val="clear" w:color="auto" w:fill="CCEEFF"/>
          </w:tcPr>
          <w:p>
            <w:pPr>
              <w:ind w:left="520"/>
              <w:spacing w:after="0"/>
              <w:rPr>
                <w:sz w:val="20"/>
                <w:szCs w:val="20"/>
                <w:color w:val="auto"/>
              </w:rPr>
            </w:pPr>
            <w:r>
              <w:rPr>
                <w:rFonts w:ascii="Arial" w:cs="Arial" w:eastAsia="Arial" w:hAnsi="Arial"/>
                <w:sz w:val="18"/>
                <w:szCs w:val="18"/>
                <w:color w:val="auto"/>
              </w:rPr>
              <w:t>Proceeds received from the sale of RPV Holdco, Energy Center Dover LLC and Energy Center Smyrna LLC in 2020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40" w:type="dxa"/>
            <w:vAlign w:val="bottom"/>
          </w:tcPr>
          <w:p>
            <w:pPr>
              <w:ind w:left="520"/>
              <w:spacing w:after="0"/>
              <w:rPr>
                <w:sz w:val="20"/>
                <w:szCs w:val="20"/>
                <w:color w:val="auto"/>
              </w:rPr>
            </w:pPr>
            <w:r>
              <w:rPr>
                <w:rFonts w:ascii="Arial" w:cs="Arial" w:eastAsia="Arial" w:hAnsi="Arial"/>
                <w:sz w:val="18"/>
                <w:szCs w:val="18"/>
                <w:color w:val="auto"/>
              </w:rPr>
              <w:t>Cash paid to CEG in 2021 for equipment for the Pinnacle wind project repowering</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Changes in capital expenditures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71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140" w:type="dxa"/>
            <w:vAlign w:val="bottom"/>
          </w:tcPr>
          <w:p>
            <w:pPr>
              <w:ind w:left="20"/>
              <w:spacing w:after="0"/>
              <w:rPr>
                <w:sz w:val="20"/>
                <w:szCs w:val="20"/>
                <w:color w:val="auto"/>
              </w:rPr>
            </w:pPr>
            <w:r>
              <w:rPr>
                <w:rFonts w:ascii="Arial" w:cs="Arial" w:eastAsia="Arial" w:hAnsi="Arial"/>
                <w:sz w:val="18"/>
                <w:szCs w:val="18"/>
                <w:color w:val="auto"/>
              </w:rPr>
              <w:t>Changes in net cash provided by (used in) financing activities were driven by:</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74"/>
        </w:trPr>
        <w:tc>
          <w:tcPr>
            <w:tcW w:w="9920" w:type="dxa"/>
            <w:vAlign w:val="bottom"/>
            <w:gridSpan w:val="6"/>
            <w:shd w:val="clear" w:color="auto" w:fill="CCEEFF"/>
          </w:tcPr>
          <w:p>
            <w:pPr>
              <w:ind w:left="120"/>
              <w:spacing w:after="0" w:line="174" w:lineRule="exact"/>
              <w:rPr>
                <w:sz w:val="20"/>
                <w:szCs w:val="20"/>
                <w:color w:val="auto"/>
              </w:rPr>
            </w:pPr>
            <w:r>
              <w:rPr>
                <w:rFonts w:ascii="Arial" w:cs="Arial" w:eastAsia="Arial" w:hAnsi="Arial"/>
                <w:sz w:val="18"/>
                <w:szCs w:val="18"/>
                <w:color w:val="auto"/>
                <w:w w:val="88"/>
              </w:rPr>
              <w:t>Increase in proceeds from issuance of long-term debt net of payments primarily due to issuance of the 2031 Senior Notes and the Pinnacle</w:t>
            </w:r>
          </w:p>
        </w:tc>
        <w:tc>
          <w:tcPr>
            <w:tcW w:w="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financing agreement in 2021</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40" w:type="dxa"/>
            <w:vAlign w:val="bottom"/>
          </w:tcPr>
          <w:p>
            <w:pPr>
              <w:ind w:left="120"/>
              <w:spacing w:after="0"/>
              <w:rPr>
                <w:sz w:val="20"/>
                <w:szCs w:val="20"/>
                <w:color w:val="auto"/>
              </w:rPr>
            </w:pPr>
            <w:r>
              <w:rPr>
                <w:rFonts w:ascii="Arial" w:cs="Arial" w:eastAsia="Arial" w:hAnsi="Arial"/>
                <w:sz w:val="18"/>
                <w:szCs w:val="18"/>
                <w:color w:val="auto"/>
              </w:rPr>
              <w:t>Increase in net contributions from CEG and noncontrolling interest members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Buyout of Repowering Partnership II LLC noncontrolling interest in 2020</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40" w:type="dxa"/>
            <w:vAlign w:val="bottom"/>
          </w:tcPr>
          <w:p>
            <w:pPr>
              <w:ind w:left="120"/>
              <w:spacing w:after="0"/>
              <w:rPr>
                <w:sz w:val="20"/>
                <w:szCs w:val="20"/>
                <w:color w:val="auto"/>
              </w:rPr>
            </w:pPr>
            <w:r>
              <w:rPr>
                <w:rFonts w:ascii="Arial" w:cs="Arial" w:eastAsia="Arial" w:hAnsi="Arial"/>
                <w:sz w:val="18"/>
                <w:szCs w:val="18"/>
                <w:color w:val="auto"/>
              </w:rPr>
              <w:t>Increase in dividends paid to unit holders in 2021</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proceeds from equity issuance in 2020</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40" w:type="dxa"/>
            <w:vAlign w:val="bottom"/>
          </w:tcPr>
          <w:p>
            <w:pPr>
              <w:ind w:left="120"/>
              <w:spacing w:after="0"/>
              <w:rPr>
                <w:sz w:val="20"/>
                <w:szCs w:val="20"/>
                <w:color w:val="auto"/>
              </w:rPr>
            </w:pPr>
            <w:r>
              <w:rPr>
                <w:rFonts w:ascii="Arial" w:cs="Arial" w:eastAsia="Arial" w:hAnsi="Arial"/>
                <w:sz w:val="18"/>
                <w:szCs w:val="18"/>
                <w:color w:val="auto"/>
              </w:rPr>
              <w:t>Increase in net proceeds under the revolving line of credit in 2021</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51" w:lineRule="exact"/>
        <w:rPr>
          <w:sz w:val="20"/>
          <w:szCs w:val="20"/>
          <w:color w:val="auto"/>
        </w:rPr>
      </w:pPr>
    </w:p>
    <w:p>
      <w:pPr>
        <w:jc w:val="both"/>
        <w:ind w:firstLine="397"/>
        <w:spacing w:after="0" w:line="271" w:lineRule="auto"/>
        <w:rPr>
          <w:sz w:val="20"/>
          <w:szCs w:val="20"/>
          <w:color w:val="auto"/>
        </w:rPr>
      </w:pPr>
      <w:r>
        <w:rPr>
          <w:rFonts w:ascii="Arial" w:cs="Arial" w:eastAsia="Arial" w:hAnsi="Arial"/>
          <w:sz w:val="17"/>
          <w:szCs w:val="17"/>
          <w:i w:val="1"/>
          <w:iCs w:val="1"/>
          <w:color w:val="auto"/>
        </w:rPr>
        <w:t xml:space="preserve">Variable interest in equity investments </w:t>
      </w:r>
      <w:r>
        <w:rPr>
          <w:rFonts w:ascii="Arial" w:cs="Arial" w:eastAsia="Arial" w:hAnsi="Arial"/>
          <w:sz w:val="17"/>
          <w:szCs w:val="17"/>
          <w:color w:val="auto"/>
        </w:rPr>
        <w:t>— As of June 30, 2021, the Company has several investments with an ownership interest percentage of 50% or</w:t>
      </w:r>
      <w:r>
        <w:rPr>
          <w:rFonts w:ascii="Arial" w:cs="Arial" w:eastAsia="Arial" w:hAnsi="Arial"/>
          <w:sz w:val="17"/>
          <w:szCs w:val="17"/>
          <w:i w:val="1"/>
          <w:iCs w:val="1"/>
          <w:color w:val="auto"/>
        </w:rPr>
        <w:t xml:space="preserve"> </w:t>
      </w:r>
      <w:r>
        <w:rPr>
          <w:rFonts w:ascii="Arial" w:cs="Arial" w:eastAsia="Arial" w:hAnsi="Arial"/>
          <w:sz w:val="17"/>
          <w:szCs w:val="17"/>
          <w:color w:val="auto"/>
        </w:rPr>
        <w:t>less in energy and an energy-related entity that is accounted for under the equity method. GenConn is a variable interest entity for which the Company is not the primary beneficiary. The Company's pro-rata share of non-recourse debt held by unconsolidated affiliates was approximately $358 million as of June 30, 2021. This indebtedness may restrict the ability of these subsidiaries to issue dividends or distributions to the Company.</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64" w:lineRule="exact"/>
        <w:rPr>
          <w:sz w:val="20"/>
          <w:szCs w:val="20"/>
          <w:color w:val="auto"/>
        </w:rPr>
      </w:pPr>
    </w:p>
    <w:p>
      <w:pPr>
        <w:jc w:val="both"/>
        <w:ind w:firstLine="437"/>
        <w:spacing w:after="0" w:line="264" w:lineRule="auto"/>
        <w:rPr>
          <w:sz w:val="20"/>
          <w:szCs w:val="20"/>
          <w:color w:val="auto"/>
        </w:rPr>
      </w:pPr>
      <w:r>
        <w:rPr>
          <w:rFonts w:ascii="Arial" w:cs="Arial" w:eastAsia="Arial" w:hAnsi="Arial"/>
          <w:sz w:val="18"/>
          <w:szCs w:val="18"/>
          <w:color w:val="auto"/>
        </w:rPr>
        <w:t>The Company has a variety of contractual obligations and other commercial commitments that represent prospective cash requirements in addition to the Company's capital expenditure programs, as disclosed in the Company's 2020 Form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0"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35" w:lineRule="exact"/>
        <w:rPr>
          <w:sz w:val="20"/>
          <w:szCs w:val="20"/>
          <w:color w:val="auto"/>
        </w:rPr>
      </w:pPr>
    </w:p>
    <w:p>
      <w:pPr>
        <w:jc w:val="both"/>
        <w:ind w:firstLine="477"/>
        <w:spacing w:after="0" w:line="271"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June 30, 2021</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June 30, 2021</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Item 1 —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ectPr>
          <w:pgSz w:w="11900" w:h="16838" w:orient="portrait"/>
          <w:cols w:equalWidth="0" w:num="1">
            <w:col w:w="11240"/>
          </w:cols>
          <w:pgMar w:left="320" w:top="876" w:right="339" w:bottom="1440" w:gutter="0" w:footer="0" w:header="0"/>
        </w:sectPr>
      </w:pPr>
    </w:p>
    <w:p>
      <w:pPr>
        <w:spacing w:after="0" w:line="154"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Derivative Activity (Losses) Gains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of contracts as of December 31, 2020</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Contracts realized or otherwise settled during the period</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Contracts acquired during the period</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fair value</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of contracts as of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Fair Value Hierarchy (Losses) Gains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Level 2</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Level 3</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80" w:type="dxa"/>
            <w:vAlign w:val="bottom"/>
            <w:gridSpan w:val="8"/>
            <w:vMerge w:val="restart"/>
          </w:tcPr>
          <w:p>
            <w:pPr>
              <w:ind w:left="460"/>
              <w:spacing w:after="0"/>
              <w:rPr>
                <w:sz w:val="20"/>
                <w:szCs w:val="20"/>
                <w:color w:val="auto"/>
              </w:rPr>
            </w:pPr>
            <w:r>
              <w:rPr>
                <w:rFonts w:ascii="Arial" w:cs="Arial" w:eastAsia="Arial" w:hAnsi="Arial"/>
                <w:sz w:val="14"/>
                <w:szCs w:val="14"/>
                <w:b w:val="1"/>
                <w:bCs w:val="1"/>
                <w:color w:val="auto"/>
              </w:rPr>
              <w:t>Fair value of contracts as of June 30, 2021</w:t>
            </w: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Maturity</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Year or Less</w:t>
            </w: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w w:val="96"/>
              </w:rPr>
              <w:t>Greater Than</w:t>
            </w: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4" w:lineRule="exact"/>
              <w:rPr>
                <w:sz w:val="20"/>
                <w:szCs w:val="20"/>
                <w:color w:val="auto"/>
              </w:rPr>
            </w:pPr>
            <w:r>
              <w:rPr>
                <w:rFonts w:ascii="Arial" w:cs="Arial" w:eastAsia="Arial" w:hAnsi="Arial"/>
                <w:sz w:val="14"/>
                <w:szCs w:val="14"/>
                <w:b w:val="1"/>
                <w:bCs w:val="1"/>
                <w:color w:val="auto"/>
                <w:w w:val="96"/>
              </w:rPr>
              <w:t>Greater Than</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w w:val="96"/>
              </w:rPr>
              <w:t>Greater Than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w w:val="95"/>
              </w:rPr>
              <w:t>Total Fair</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1 Year to 3 Years</w:t>
            </w:r>
          </w:p>
        </w:tc>
        <w:tc>
          <w:tcPr>
            <w:tcW w:w="12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9"/>
              </w:rPr>
              <w:t>3 Years to 5 Years</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-2001520</wp:posOffset>
            </wp:positionV>
            <wp:extent cx="7134860" cy="151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15176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-1707515</wp:posOffset>
            </wp:positionV>
            <wp:extent cx="7134860" cy="142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-327660</wp:posOffset>
            </wp:positionV>
            <wp:extent cx="7117715" cy="142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7715" cy="142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80" w:space="640"/>
            <w:col w:w="6420"/>
          </w:cols>
          <w:pgMar w:left="320" w:top="876" w:right="339" w:bottom="1440" w:gutter="0" w:footer="0" w:header="0"/>
          <w:type w:val="continuous"/>
        </w:sectPr>
      </w:pPr>
    </w:p>
    <w:p>
      <w:pPr>
        <w:spacing w:after="0" w:line="278" w:lineRule="exact"/>
        <w:rPr>
          <w:sz w:val="20"/>
          <w:szCs w:val="20"/>
          <w:color w:val="auto"/>
        </w:rPr>
      </w:pPr>
    </w:p>
    <w:p>
      <w:pPr>
        <w:jc w:val="both"/>
        <w:ind w:firstLine="397"/>
        <w:spacing w:after="0" w:line="318" w:lineRule="auto"/>
        <w:rPr>
          <w:sz w:val="20"/>
          <w:szCs w:val="20"/>
          <w:color w:val="auto"/>
        </w:rPr>
      </w:pPr>
      <w:r>
        <w:rPr>
          <w:rFonts w:ascii="Arial" w:cs="Arial" w:eastAsia="Arial" w:hAnsi="Arial"/>
          <w:sz w:val="15"/>
          <w:szCs w:val="15"/>
          <w:color w:val="231F20"/>
        </w:rPr>
        <w:t xml:space="preserve">The Company has elected to disclose derivative assets and liabilities on a trade-by-trade basis and does not offset amounts at the counterparty master agreement level. As discussed below in Quantitative and Qualitative Disclosures about Market Risk - Commodity Price Risk, the </w:t>
      </w:r>
      <w:r>
        <w:rPr>
          <w:rFonts w:ascii="Arial" w:cs="Arial" w:eastAsia="Arial" w:hAnsi="Arial"/>
          <w:sz w:val="15"/>
          <w:szCs w:val="15"/>
          <w:color w:val="000000"/>
        </w:rPr>
        <w:t>Company, measures the</w:t>
      </w:r>
      <w:r>
        <w:rPr>
          <w:rFonts w:ascii="Arial" w:cs="Arial" w:eastAsia="Arial" w:hAnsi="Arial"/>
          <w:sz w:val="15"/>
          <w:szCs w:val="15"/>
          <w:color w:val="231F20"/>
        </w:rPr>
        <w:t xml:space="preserve"> </w:t>
      </w:r>
      <w:r>
        <w:rPr>
          <w:rFonts w:ascii="Arial" w:cs="Arial" w:eastAsia="Arial" w:hAnsi="Arial"/>
          <w:sz w:val="15"/>
          <w:szCs w:val="15"/>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jc w:val="both"/>
        <w:ind w:firstLine="437"/>
        <w:spacing w:after="0" w:line="304" w:lineRule="auto"/>
        <w:rPr>
          <w:sz w:val="20"/>
          <w:szCs w:val="20"/>
          <w:color w:val="auto"/>
        </w:rPr>
      </w:pPr>
      <w:r>
        <w:rPr>
          <w:rFonts w:ascii="Arial" w:cs="Arial" w:eastAsia="Arial" w:hAnsi="Arial"/>
          <w:sz w:val="15"/>
          <w:szCs w:val="15"/>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319" w:lineRule="exact"/>
        <w:rPr>
          <w:sz w:val="20"/>
          <w:szCs w:val="20"/>
          <w:color w:val="auto"/>
        </w:rPr>
      </w:pPr>
    </w:p>
    <w:p>
      <w:pPr>
        <w:jc w:val="both"/>
        <w:ind w:firstLine="437"/>
        <w:spacing w:after="0" w:line="252"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8" w:lineRule="exact"/>
        <w:rPr>
          <w:sz w:val="20"/>
          <w:szCs w:val="20"/>
          <w:color w:val="auto"/>
        </w:rPr>
      </w:pPr>
    </w:p>
    <w:p>
      <w:pPr>
        <w:jc w:val="both"/>
        <w:ind w:firstLine="437"/>
        <w:spacing w:after="0" w:line="252"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Item 1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0" w:lineRule="exact"/>
        <w:rPr>
          <w:sz w:val="20"/>
          <w:szCs w:val="20"/>
          <w:color w:val="auto"/>
        </w:rPr>
      </w:pPr>
    </w:p>
    <w:p>
      <w:pPr>
        <w:jc w:val="both"/>
        <w:ind w:firstLine="397"/>
        <w:spacing w:after="0" w:line="318" w:lineRule="auto"/>
        <w:rPr>
          <w:sz w:val="20"/>
          <w:szCs w:val="20"/>
          <w:color w:val="auto"/>
        </w:rPr>
      </w:pPr>
      <w:r>
        <w:rPr>
          <w:rFonts w:ascii="Arial" w:cs="Arial" w:eastAsia="Arial" w:hAnsi="Arial"/>
          <w:sz w:val="15"/>
          <w:szCs w:val="15"/>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Arial" w:cs="Arial" w:eastAsia="Arial" w:hAnsi="Arial"/>
          <w:sz w:val="15"/>
          <w:szCs w:val="15"/>
          <w:color w:val="000000"/>
        </w:rPr>
        <w:t>The following disclosures about market risk provide an update to, and</w:t>
      </w:r>
      <w:r>
        <w:rPr>
          <w:rFonts w:ascii="Arial" w:cs="Arial" w:eastAsia="Arial" w:hAnsi="Arial"/>
          <w:sz w:val="15"/>
          <w:szCs w:val="15"/>
          <w:color w:val="231F20"/>
        </w:rPr>
        <w:t xml:space="preserve"> </w:t>
      </w:r>
      <w:r>
        <w:rPr>
          <w:rFonts w:ascii="Arial" w:cs="Arial" w:eastAsia="Arial" w:hAnsi="Arial"/>
          <w:sz w:val="15"/>
          <w:szCs w:val="15"/>
          <w:color w:val="000000"/>
        </w:rPr>
        <w:t xml:space="preserve">should be read in conjunction with, Item 7A — </w:t>
      </w:r>
      <w:r>
        <w:rPr>
          <w:rFonts w:ascii="Arial" w:cs="Arial" w:eastAsia="Arial" w:hAnsi="Arial"/>
          <w:sz w:val="15"/>
          <w:szCs w:val="15"/>
          <w:i w:val="1"/>
          <w:iCs w:val="1"/>
          <w:color w:val="000000"/>
        </w:rPr>
        <w:t>Quantitative and Qualitative Disclosures About Market Risk,</w:t>
      </w:r>
      <w:r>
        <w:rPr>
          <w:rFonts w:ascii="Arial" w:cs="Arial" w:eastAsia="Arial" w:hAnsi="Arial"/>
          <w:sz w:val="15"/>
          <w:szCs w:val="15"/>
          <w:color w:val="000000"/>
        </w:rPr>
        <w:t xml:space="preserve"> of the Company's 2020 Form 10-K.</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64" w:lineRule="exact"/>
        <w:rPr>
          <w:sz w:val="20"/>
          <w:szCs w:val="20"/>
          <w:color w:val="auto"/>
        </w:rPr>
      </w:pPr>
    </w:p>
    <w:p>
      <w:pPr>
        <w:jc w:val="both"/>
        <w:ind w:firstLine="397"/>
        <w:spacing w:after="0" w:line="271" w:lineRule="auto"/>
        <w:rPr>
          <w:sz w:val="20"/>
          <w:szCs w:val="20"/>
          <w:color w:val="auto"/>
        </w:rPr>
      </w:pPr>
      <w:r>
        <w:rPr>
          <w:rFonts w:ascii="Arial" w:cs="Arial" w:eastAsia="Arial" w:hAnsi="Arial"/>
          <w:sz w:val="17"/>
          <w:szCs w:val="17"/>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 </w:t>
      </w:r>
      <w:r>
        <w:rPr>
          <w:rFonts w:ascii="Arial" w:cs="Arial" w:eastAsia="Arial" w:hAnsi="Arial"/>
          <w:sz w:val="17"/>
          <w:szCs w:val="17"/>
          <w:color w:val="000000"/>
        </w:rPr>
        <w:t>— Note 6</w:t>
      </w:r>
      <w:r>
        <w:rPr>
          <w:rFonts w:ascii="Arial" w:cs="Arial" w:eastAsia="Arial" w:hAnsi="Arial"/>
          <w:sz w:val="17"/>
          <w:szCs w:val="17"/>
          <w:color w:val="231F20"/>
        </w:rPr>
        <w:t xml:space="preserve">, </w:t>
      </w:r>
      <w:r>
        <w:rPr>
          <w:rFonts w:ascii="Arial" w:cs="Arial" w:eastAsia="Arial" w:hAnsi="Arial"/>
          <w:sz w:val="17"/>
          <w:szCs w:val="17"/>
          <w:i w:val="1"/>
          <w:iCs w:val="1"/>
          <w:color w:val="000000"/>
        </w:rPr>
        <w:t>Derivative Instruments and Hedging Activities</w:t>
      </w:r>
      <w:r>
        <w:rPr>
          <w:rFonts w:ascii="Arial" w:cs="Arial" w:eastAsia="Arial" w:hAnsi="Arial"/>
          <w:sz w:val="17"/>
          <w:szCs w:val="17"/>
          <w:color w:val="231F20"/>
        </w:rPr>
        <w:t>, for more information.</w:t>
      </w:r>
    </w:p>
    <w:p>
      <w:pPr>
        <w:spacing w:after="0" w:line="124" w:lineRule="exact"/>
        <w:rPr>
          <w:sz w:val="20"/>
          <w:szCs w:val="20"/>
          <w:color w:val="auto"/>
        </w:rPr>
      </w:pPr>
    </w:p>
    <w:p>
      <w:pPr>
        <w:jc w:val="both"/>
        <w:ind w:firstLine="397"/>
        <w:spacing w:after="0" w:line="277" w:lineRule="auto"/>
        <w:rPr>
          <w:sz w:val="20"/>
          <w:szCs w:val="20"/>
          <w:color w:val="auto"/>
        </w:rPr>
      </w:pPr>
      <w:r>
        <w:rPr>
          <w:rFonts w:ascii="Arial" w:cs="Arial" w:eastAsia="Arial" w:hAnsi="Arial"/>
          <w:sz w:val="17"/>
          <w:szCs w:val="17"/>
          <w:color w:val="231F20"/>
        </w:rPr>
        <w:t xml:space="preserve">Most of the Company's project subsidiaries enter into interest rate swaps, intended to hedge the risks associated with interest rates on non-recourse project level debt. See Item 15 — </w:t>
      </w:r>
      <w:r>
        <w:rPr>
          <w:rFonts w:ascii="Arial" w:cs="Arial" w:eastAsia="Arial" w:hAnsi="Arial"/>
          <w:sz w:val="17"/>
          <w:szCs w:val="17"/>
          <w:color w:val="000000"/>
        </w:rPr>
        <w:t>Note 10</w:t>
      </w:r>
      <w:r>
        <w:rPr>
          <w:rFonts w:ascii="Arial" w:cs="Arial" w:eastAsia="Arial" w:hAnsi="Arial"/>
          <w:sz w:val="17"/>
          <w:szCs w:val="17"/>
          <w:color w:val="231F20"/>
        </w:rPr>
        <w:t xml:space="preserve">, </w:t>
      </w:r>
      <w:r>
        <w:rPr>
          <w:rFonts w:ascii="Arial" w:cs="Arial" w:eastAsia="Arial" w:hAnsi="Arial"/>
          <w:sz w:val="17"/>
          <w:szCs w:val="17"/>
          <w:i w:val="1"/>
          <w:iCs w:val="1"/>
          <w:color w:val="000000"/>
        </w:rPr>
        <w:t>Long-term Debt</w:t>
      </w:r>
      <w:r>
        <w:rPr>
          <w:rFonts w:ascii="Arial" w:cs="Arial" w:eastAsia="Arial" w:hAnsi="Arial"/>
          <w:sz w:val="17"/>
          <w:szCs w:val="17"/>
          <w:i w:val="1"/>
          <w:iCs w:val="1"/>
          <w:color w:val="231F20"/>
        </w:rPr>
        <w:t>,</w:t>
      </w:r>
      <w:r>
        <w:rPr>
          <w:rFonts w:ascii="Arial" w:cs="Arial" w:eastAsia="Arial" w:hAnsi="Arial"/>
          <w:sz w:val="17"/>
          <w:szCs w:val="17"/>
          <w:color w:val="231F20"/>
        </w:rPr>
        <w:t xml:space="preserve"> to the Company's </w:t>
      </w:r>
      <w:r>
        <w:rPr>
          <w:rFonts w:ascii="Arial" w:cs="Arial" w:eastAsia="Arial" w:hAnsi="Arial"/>
          <w:sz w:val="17"/>
          <w:szCs w:val="17"/>
          <w:color w:val="000000"/>
        </w:rPr>
        <w:t>audited consolidated financial statements for the year ended December 31, 2020</w:t>
      </w:r>
      <w:r>
        <w:rPr>
          <w:rFonts w:ascii="Arial" w:cs="Arial" w:eastAsia="Arial" w:hAnsi="Arial"/>
          <w:sz w:val="17"/>
          <w:szCs w:val="17"/>
          <w:color w:val="231F20"/>
        </w:rPr>
        <w:t xml:space="preserve"> </w:t>
      </w:r>
      <w:r>
        <w:rPr>
          <w:rFonts w:ascii="Arial" w:cs="Arial" w:eastAsia="Arial" w:hAnsi="Arial"/>
          <w:sz w:val="17"/>
          <w:szCs w:val="17"/>
          <w:color w:val="000000"/>
        </w:rPr>
        <w:t xml:space="preserve">included in the 2020 Form 10-K </w:t>
      </w:r>
      <w:r>
        <w:rPr>
          <w:rFonts w:ascii="Arial" w:cs="Arial" w:eastAsia="Arial" w:hAnsi="Arial"/>
          <w:sz w:val="17"/>
          <w:szCs w:val="17"/>
          <w:color w:val="231F20"/>
        </w:rPr>
        <w:t>for more information about interest rate swaps of the Company's project subsidiaries.</w:t>
      </w:r>
    </w:p>
    <w:p>
      <w:pPr>
        <w:spacing w:after="0" w:line="118"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231F20"/>
        </w:rPr>
        <w:t xml:space="preserve">If all of the interest rate swaps had been discontinued on </w:t>
      </w:r>
      <w:r>
        <w:rPr>
          <w:rFonts w:ascii="Arial" w:cs="Arial" w:eastAsia="Arial" w:hAnsi="Arial"/>
          <w:sz w:val="18"/>
          <w:szCs w:val="18"/>
          <w:color w:val="000000"/>
        </w:rPr>
        <w:t>June 30, 2021</w:t>
      </w:r>
      <w:r>
        <w:rPr>
          <w:rFonts w:ascii="Arial" w:cs="Arial" w:eastAsia="Arial" w:hAnsi="Arial"/>
          <w:sz w:val="18"/>
          <w:szCs w:val="18"/>
          <w:color w:val="231F20"/>
        </w:rPr>
        <w:t xml:space="preserve">, the Company would have owed the counterparties </w:t>
      </w:r>
      <w:r>
        <w:rPr>
          <w:rFonts w:ascii="Arial" w:cs="Arial" w:eastAsia="Arial" w:hAnsi="Arial"/>
          <w:sz w:val="18"/>
          <w:szCs w:val="18"/>
          <w:color w:val="000000"/>
        </w:rPr>
        <w:t>$88 million.</w:t>
      </w:r>
      <w:r>
        <w:rPr>
          <w:rFonts w:ascii="Arial" w:cs="Arial" w:eastAsia="Arial" w:hAnsi="Arial"/>
          <w:sz w:val="18"/>
          <w:szCs w:val="18"/>
          <w:color w:val="231F20"/>
        </w:rPr>
        <w:t xml:space="preserve"> Based on the credit ratings of the counterparties, the Company believes its exposure to credit risk due to nonperformance by counterparties to its hedge contracts to be insignificant.</w:t>
      </w:r>
    </w:p>
    <w:p>
      <w:pPr>
        <w:spacing w:after="0" w:line="135" w:lineRule="exact"/>
        <w:rPr>
          <w:sz w:val="20"/>
          <w:szCs w:val="20"/>
          <w:color w:val="auto"/>
        </w:rPr>
      </w:pPr>
    </w:p>
    <w:p>
      <w:pPr>
        <w:jc w:val="both"/>
        <w:ind w:firstLine="397"/>
        <w:spacing w:after="0" w:line="365" w:lineRule="auto"/>
        <w:rPr>
          <w:sz w:val="20"/>
          <w:szCs w:val="20"/>
          <w:color w:val="auto"/>
        </w:rPr>
      </w:pPr>
      <w:r>
        <w:rPr>
          <w:rFonts w:ascii="Arial" w:cs="Arial" w:eastAsia="Arial" w:hAnsi="Arial"/>
          <w:sz w:val="15"/>
          <w:szCs w:val="15"/>
          <w:color w:val="231F20"/>
        </w:rPr>
        <w:t xml:space="preserve">The Company has long-term debt instruments that subject it to the risk of loss associated with movements in market interest rates. As of </w:t>
      </w:r>
      <w:r>
        <w:rPr>
          <w:rFonts w:ascii="Arial" w:cs="Arial" w:eastAsia="Arial" w:hAnsi="Arial"/>
          <w:sz w:val="15"/>
          <w:szCs w:val="15"/>
          <w:color w:val="000000"/>
        </w:rPr>
        <w:t>June 30, 2021</w:t>
      </w:r>
      <w:r>
        <w:rPr>
          <w:rFonts w:ascii="Arial" w:cs="Arial" w:eastAsia="Arial" w:hAnsi="Arial"/>
          <w:sz w:val="15"/>
          <w:szCs w:val="15"/>
          <w:color w:val="231F20"/>
        </w:rPr>
        <w:t>, a 1% change in interest rates would result in an approximately $2 million change in market interest expense on a rolling twelve-month basis.</w:t>
      </w:r>
    </w:p>
    <w:p>
      <w:pPr>
        <w:spacing w:after="0" w:line="58"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2021</w:t>
      </w:r>
      <w:r>
        <w:rPr>
          <w:rFonts w:ascii="Arial" w:cs="Arial" w:eastAsia="Arial" w:hAnsi="Arial"/>
          <w:sz w:val="18"/>
          <w:szCs w:val="18"/>
          <w:color w:val="231F20"/>
        </w:rPr>
        <w:t xml:space="preserve">, the fair value of the Company's debt was $8,007 million and the carrying value was $8,031 million. The Company estimates that a 1% decrease in market interest rates would have increased the fair value of its long-term debt by approximately </w:t>
      </w:r>
      <w:r>
        <w:rPr>
          <w:rFonts w:ascii="Arial" w:cs="Arial" w:eastAsia="Arial" w:hAnsi="Arial"/>
          <w:sz w:val="18"/>
          <w:szCs w:val="18"/>
          <w:color w:val="000000"/>
        </w:rPr>
        <w:t>$497 million</w:t>
      </w:r>
      <w:r>
        <w:rPr>
          <w:rFonts w:ascii="Arial" w:cs="Arial" w:eastAsia="Arial" w:hAnsi="Arial"/>
          <w:sz w:val="18"/>
          <w:szCs w:val="18"/>
          <w:color w:val="231F20"/>
        </w:rPr>
        <w:t>.</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64" w:lineRule="exact"/>
        <w:rPr>
          <w:sz w:val="20"/>
          <w:szCs w:val="20"/>
          <w:color w:val="auto"/>
        </w:rPr>
      </w:pPr>
    </w:p>
    <w:p>
      <w:pPr>
        <w:jc w:val="both"/>
        <w:ind w:firstLine="397"/>
        <w:spacing w:after="0" w:line="318" w:lineRule="auto"/>
        <w:rPr>
          <w:sz w:val="20"/>
          <w:szCs w:val="20"/>
          <w:color w:val="auto"/>
        </w:rPr>
      </w:pPr>
      <w:r>
        <w:rPr>
          <w:rFonts w:ascii="Arial" w:cs="Arial" w:eastAsia="Arial" w:hAnsi="Arial"/>
          <w:sz w:val="15"/>
          <w:szCs w:val="15"/>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93" w:lineRule="exact"/>
        <w:rPr>
          <w:sz w:val="20"/>
          <w:szCs w:val="20"/>
          <w:color w:val="auto"/>
        </w:rPr>
      </w:pPr>
    </w:p>
    <w:p>
      <w:pPr>
        <w:jc w:val="both"/>
        <w:ind w:firstLine="397"/>
        <w:spacing w:after="0" w:line="250" w:lineRule="auto"/>
        <w:rPr>
          <w:sz w:val="20"/>
          <w:szCs w:val="20"/>
          <w:color w:val="auto"/>
        </w:rPr>
      </w:pPr>
      <w:r>
        <w:rPr>
          <w:rFonts w:ascii="Arial" w:cs="Arial" w:eastAsia="Arial" w:hAnsi="Arial"/>
          <w:sz w:val="18"/>
          <w:szCs w:val="18"/>
          <w:color w:val="231F20"/>
        </w:rPr>
        <w:t xml:space="preserve">Based on a sensitivity analysis using simplified assumptions, the impact of a $0.50 per MMBtu decrease in natural gas prices across the term of the derivative contracts would cause no change to the net value of natural gas derivatives, and an increase of $.50 per MMBtu in natural gas prices across the term of the derivative contracts would cause an increase of approximately $1 million to the net value of natural gas derivatives as of </w:t>
      </w:r>
      <w:r>
        <w:rPr>
          <w:rFonts w:ascii="Arial" w:cs="Arial" w:eastAsia="Arial" w:hAnsi="Arial"/>
          <w:sz w:val="18"/>
          <w:szCs w:val="18"/>
          <w:color w:val="000000"/>
        </w:rPr>
        <w:t>June 30, 2021</w:t>
      </w:r>
      <w:r>
        <w:rPr>
          <w:rFonts w:ascii="Arial" w:cs="Arial" w:eastAsia="Arial" w:hAnsi="Arial"/>
          <w:sz w:val="18"/>
          <w:szCs w:val="18"/>
          <w:color w:val="231F20"/>
        </w:rPr>
        <w:t>. The impact of a $0.50 per MWh increase or decrease in power prices across the term of the derivatives contracts would cause a change of approximately $5 million to the net value of power derivatives as of June 30, 2021.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58" w:name="page59"/>
    <w:bookmarkEnd w:id="58"/>
    <w:p>
      <w:pPr>
        <w:ind w:left="400"/>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64" w:lineRule="exact"/>
        <w:rPr>
          <w:sz w:val="20"/>
          <w:szCs w:val="20"/>
          <w:color w:val="auto"/>
        </w:rPr>
      </w:pPr>
    </w:p>
    <w:p>
      <w:pPr>
        <w:jc w:val="both"/>
        <w:ind w:firstLine="397"/>
        <w:spacing w:after="0" w:line="312" w:lineRule="auto"/>
        <w:rPr>
          <w:sz w:val="20"/>
          <w:szCs w:val="20"/>
          <w:color w:val="auto"/>
        </w:rPr>
      </w:pPr>
      <w:r>
        <w:rPr>
          <w:rFonts w:ascii="Arial" w:cs="Arial" w:eastAsia="Arial" w:hAnsi="Arial"/>
          <w:sz w:val="15"/>
          <w:szCs w:val="15"/>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w:t>
      </w:r>
      <w:r>
        <w:rPr>
          <w:rFonts w:ascii="Arial" w:cs="Arial" w:eastAsia="Arial" w:hAnsi="Arial"/>
          <w:sz w:val="15"/>
          <w:szCs w:val="15"/>
          <w:color w:val="000000"/>
        </w:rPr>
        <w:t>Note 5</w:t>
      </w:r>
      <w:r>
        <w:rPr>
          <w:rFonts w:ascii="Arial" w:cs="Arial" w:eastAsia="Arial" w:hAnsi="Arial"/>
          <w:sz w:val="15"/>
          <w:szCs w:val="15"/>
          <w:color w:val="231F20"/>
        </w:rPr>
        <w:t xml:space="preserve">, </w:t>
      </w:r>
      <w:r>
        <w:rPr>
          <w:rFonts w:ascii="Arial" w:cs="Arial" w:eastAsia="Arial" w:hAnsi="Arial"/>
          <w:sz w:val="15"/>
          <w:szCs w:val="15"/>
          <w:i w:val="1"/>
          <w:iCs w:val="1"/>
          <w:color w:val="000000"/>
        </w:rPr>
        <w:t>Fair Value of Financial Instruments</w:t>
      </w:r>
      <w:r>
        <w:rPr>
          <w:rFonts w:ascii="Arial" w:cs="Arial" w:eastAsia="Arial" w:hAnsi="Arial"/>
          <w:sz w:val="15"/>
          <w:szCs w:val="15"/>
          <w:color w:val="231F20"/>
        </w:rPr>
        <w:t>, to the consolidated financial statements for more information about concentration of credit risk.</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64" w:lineRule="exact"/>
        <w:rPr>
          <w:sz w:val="20"/>
          <w:szCs w:val="20"/>
          <w:color w:val="auto"/>
        </w:rPr>
      </w:pPr>
    </w:p>
    <w:p>
      <w:pPr>
        <w:jc w:val="both"/>
        <w:ind w:firstLine="397"/>
        <w:spacing w:after="0" w:line="250"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64"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during the quarter ended June 30, 2021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0"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color w:val="auto"/>
        </w:rPr>
        <w:t xml:space="preserve">For a discussion of the material legal proceedings in which the Company was involved through June 30, 2021, see Item 1 — Note 10, </w:t>
      </w:r>
      <w:r>
        <w:rPr>
          <w:rFonts w:ascii="Arial" w:cs="Arial" w:eastAsia="Arial" w:hAnsi="Arial"/>
          <w:sz w:val="18"/>
          <w:szCs w:val="18"/>
          <w:i w:val="1"/>
          <w:iCs w:val="1"/>
          <w:color w:val="auto"/>
        </w:rPr>
        <w:t>Contingencies</w:t>
      </w:r>
      <w:r>
        <w:rPr>
          <w:rFonts w:ascii="Arial" w:cs="Arial" w:eastAsia="Arial" w:hAnsi="Arial"/>
          <w:sz w:val="18"/>
          <w:szCs w:val="18"/>
          <w:color w:val="auto"/>
        </w:rPr>
        <w:t>, to this Form 10-Q.</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0" w:lineRule="exact"/>
        <w:rPr>
          <w:sz w:val="20"/>
          <w:szCs w:val="20"/>
          <w:color w:val="auto"/>
        </w:rPr>
      </w:pPr>
    </w:p>
    <w:p>
      <w:pPr>
        <w:ind w:right="20" w:firstLine="397"/>
        <w:spacing w:after="0" w:line="264"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2020 Form 10-K. There have been no material changes in the Company's risk factors since those reported in its 2020 Form 10-K.</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6 — EXHIBITS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102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5740" w:type="dxa"/>
            <w:vAlign w:val="bottom"/>
            <w:gridSpan w:val="11"/>
          </w:tcPr>
          <w:p>
            <w:pPr>
              <w:spacing w:after="0"/>
              <w:rPr>
                <w:sz w:val="20"/>
                <w:szCs w:val="20"/>
                <w:color w:val="auto"/>
              </w:rPr>
            </w:pPr>
            <w:r>
              <w:rPr>
                <w:rFonts w:ascii="Arial" w:cs="Arial" w:eastAsia="Arial" w:hAnsi="Arial"/>
                <w:sz w:val="16"/>
                <w:szCs w:val="16"/>
                <w:b w:val="1"/>
                <w:bCs w:val="1"/>
                <w:color w:val="auto"/>
              </w:rPr>
              <w:t>Description</w:t>
            </w:r>
          </w:p>
        </w:tc>
      </w:tr>
      <w:tr>
        <w:trPr>
          <w:trHeight w:val="177"/>
        </w:trPr>
        <w:tc>
          <w:tcPr>
            <w:tcW w:w="1020" w:type="dxa"/>
            <w:vAlign w:val="bottom"/>
          </w:tcPr>
          <w:p>
            <w:pPr>
              <w:spacing w:after="0" w:line="178" w:lineRule="exact"/>
              <w:rPr>
                <w:sz w:val="20"/>
                <w:szCs w:val="20"/>
                <w:color w:val="auto"/>
              </w:rPr>
            </w:pPr>
            <w:r>
              <w:rPr>
                <w:rFonts w:ascii="Arial" w:cs="Arial" w:eastAsia="Arial" w:hAnsi="Arial"/>
                <w:sz w:val="16"/>
                <w:szCs w:val="16"/>
                <w:color w:val="auto"/>
              </w:rPr>
              <w:t>4.1</w:t>
            </w:r>
          </w:p>
        </w:tc>
        <w:tc>
          <w:tcPr>
            <w:tcW w:w="5740" w:type="dxa"/>
            <w:vAlign w:val="bottom"/>
            <w:gridSpan w:val="11"/>
          </w:tcPr>
          <w:p>
            <w:pPr>
              <w:spacing w:after="0" w:line="178" w:lineRule="exact"/>
              <w:rPr>
                <w:rFonts w:ascii="Arial" w:cs="Arial" w:eastAsia="Arial" w:hAnsi="Arial"/>
                <w:sz w:val="16"/>
                <w:szCs w:val="16"/>
                <w:color w:val="0000FF"/>
                <w:w w:val="89"/>
              </w:rPr>
            </w:pPr>
            <w:hyperlink r:id="rId84">
              <w:r>
                <w:rPr>
                  <w:rFonts w:ascii="Arial" w:cs="Arial" w:eastAsia="Arial" w:hAnsi="Arial"/>
                  <w:sz w:val="16"/>
                  <w:szCs w:val="16"/>
                  <w:color w:val="0000FF"/>
                  <w:w w:val="89"/>
                </w:rPr>
                <w:t>Seventeenth Supplemental Indenture, dated as of May 14, 2021, among Clearway Energy</w:t>
              </w:r>
            </w:hyperlink>
          </w:p>
        </w:tc>
      </w:tr>
      <w:tr>
        <w:trPr>
          <w:trHeight w:val="152"/>
        </w:trPr>
        <w:tc>
          <w:tcPr>
            <w:tcW w:w="1020" w:type="dxa"/>
            <w:vAlign w:val="bottom"/>
          </w:tcPr>
          <w:p>
            <w:pPr>
              <w:spacing w:after="0"/>
              <w:rPr>
                <w:sz w:val="13"/>
                <w:szCs w:val="13"/>
                <w:color w:val="auto"/>
              </w:rPr>
            </w:pPr>
          </w:p>
        </w:tc>
        <w:tc>
          <w:tcPr>
            <w:tcW w:w="5700" w:type="dxa"/>
            <w:vAlign w:val="bottom"/>
            <w:tcBorders>
              <w:top w:val="single" w:sz="8" w:color="0000FF"/>
              <w:bottom w:val="single" w:sz="8" w:color="0000FF"/>
            </w:tcBorders>
            <w:gridSpan w:val="9"/>
          </w:tcPr>
          <w:p>
            <w:pPr>
              <w:spacing w:after="0" w:line="152" w:lineRule="exact"/>
              <w:rPr>
                <w:rFonts w:ascii="Arial" w:cs="Arial" w:eastAsia="Arial" w:hAnsi="Arial"/>
                <w:sz w:val="16"/>
                <w:szCs w:val="16"/>
                <w:color w:val="0000FF"/>
                <w:w w:val="88"/>
              </w:rPr>
            </w:pPr>
            <w:hyperlink r:id="rId84">
              <w:r>
                <w:rPr>
                  <w:rFonts w:ascii="Arial" w:cs="Arial" w:eastAsia="Arial" w:hAnsi="Arial"/>
                  <w:sz w:val="16"/>
                  <w:szCs w:val="16"/>
                  <w:color w:val="0000FF"/>
                  <w:w w:val="88"/>
                </w:rPr>
                <w:t>Operating LLC, the guarantors named therein and Delaware Trust Company (as successor</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1020" w:type="dxa"/>
            <w:vAlign w:val="bottom"/>
          </w:tcPr>
          <w:p>
            <w:pPr>
              <w:spacing w:after="0"/>
              <w:rPr>
                <w:sz w:val="13"/>
                <w:szCs w:val="13"/>
                <w:color w:val="auto"/>
              </w:rPr>
            </w:pPr>
          </w:p>
        </w:tc>
        <w:tc>
          <w:tcPr>
            <w:tcW w:w="5720" w:type="dxa"/>
            <w:vAlign w:val="bottom"/>
            <w:gridSpan w:val="10"/>
          </w:tcPr>
          <w:p>
            <w:pPr>
              <w:spacing w:after="0" w:line="152" w:lineRule="exact"/>
              <w:rPr>
                <w:rFonts w:ascii="Arial" w:cs="Arial" w:eastAsia="Arial" w:hAnsi="Arial"/>
                <w:sz w:val="16"/>
                <w:szCs w:val="16"/>
                <w:color w:val="0000FF"/>
              </w:rPr>
            </w:pPr>
            <w:hyperlink r:id="rId84">
              <w:r>
                <w:rPr>
                  <w:rFonts w:ascii="Arial" w:cs="Arial" w:eastAsia="Arial" w:hAnsi="Arial"/>
                  <w:sz w:val="16"/>
                  <w:szCs w:val="16"/>
                  <w:color w:val="0000FF"/>
                </w:rPr>
                <w:t>in interest to Law Debenture Trust Company of New York).</w:t>
              </w:r>
            </w:hyperlink>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05"/>
        </w:trPr>
        <w:tc>
          <w:tcPr>
            <w:tcW w:w="1020" w:type="dxa"/>
            <w:vAlign w:val="bottom"/>
          </w:tcPr>
          <w:p>
            <w:pPr>
              <w:spacing w:after="0"/>
              <w:rPr>
                <w:sz w:val="20"/>
                <w:szCs w:val="20"/>
                <w:color w:val="auto"/>
              </w:rPr>
            </w:pPr>
            <w:r>
              <w:rPr>
                <w:rFonts w:ascii="Arial" w:cs="Arial" w:eastAsia="Arial" w:hAnsi="Arial"/>
                <w:sz w:val="16"/>
                <w:szCs w:val="16"/>
                <w:color w:val="auto"/>
              </w:rPr>
              <w:t>4.2</w:t>
            </w:r>
          </w:p>
        </w:tc>
        <w:tc>
          <w:tcPr>
            <w:tcW w:w="5740" w:type="dxa"/>
            <w:vAlign w:val="bottom"/>
            <w:gridSpan w:val="11"/>
          </w:tcPr>
          <w:p>
            <w:pPr>
              <w:spacing w:after="0"/>
              <w:rPr>
                <w:rFonts w:ascii="Arial" w:cs="Arial" w:eastAsia="Arial" w:hAnsi="Arial"/>
                <w:sz w:val="16"/>
                <w:szCs w:val="16"/>
                <w:color w:val="0000FF"/>
                <w:w w:val="97"/>
              </w:rPr>
            </w:pPr>
            <w:hyperlink r:id="rId85">
              <w:r>
                <w:rPr>
                  <w:rFonts w:ascii="Arial" w:cs="Arial" w:eastAsia="Arial" w:hAnsi="Arial"/>
                  <w:sz w:val="16"/>
                  <w:szCs w:val="16"/>
                  <w:color w:val="0000FF"/>
                  <w:w w:val="97"/>
                </w:rPr>
                <w:t>Ninth Supplemental Indenture, dated as of May 14, 2021, among Clearway Energy</w:t>
              </w:r>
            </w:hyperlink>
          </w:p>
        </w:tc>
      </w:tr>
      <w:tr>
        <w:trPr>
          <w:trHeight w:val="152"/>
        </w:trPr>
        <w:tc>
          <w:tcPr>
            <w:tcW w:w="1020" w:type="dxa"/>
            <w:vAlign w:val="bottom"/>
          </w:tcPr>
          <w:p>
            <w:pPr>
              <w:spacing w:after="0"/>
              <w:rPr>
                <w:sz w:val="13"/>
                <w:szCs w:val="13"/>
                <w:color w:val="auto"/>
              </w:rPr>
            </w:pPr>
          </w:p>
        </w:tc>
        <w:tc>
          <w:tcPr>
            <w:tcW w:w="5280" w:type="dxa"/>
            <w:vAlign w:val="bottom"/>
            <w:tcBorders>
              <w:top w:val="single" w:sz="8" w:color="0000FF"/>
            </w:tcBorders>
            <w:gridSpan w:val="6"/>
          </w:tcPr>
          <w:p>
            <w:pPr>
              <w:spacing w:after="0" w:line="152" w:lineRule="exact"/>
              <w:rPr>
                <w:rFonts w:ascii="Arial" w:cs="Arial" w:eastAsia="Arial" w:hAnsi="Arial"/>
                <w:sz w:val="16"/>
                <w:szCs w:val="16"/>
                <w:color w:val="0000FF"/>
                <w:w w:val="96"/>
              </w:rPr>
            </w:pPr>
            <w:hyperlink r:id="rId85">
              <w:r>
                <w:rPr>
                  <w:rFonts w:ascii="Arial" w:cs="Arial" w:eastAsia="Arial" w:hAnsi="Arial"/>
                  <w:sz w:val="16"/>
                  <w:szCs w:val="16"/>
                  <w:color w:val="0000FF"/>
                  <w:w w:val="96"/>
                </w:rPr>
                <w:t>Operating LLC, the guarantors named therein and Delaware Trust Company.</w:t>
              </w:r>
            </w:hyperlink>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05"/>
        </w:trPr>
        <w:tc>
          <w:tcPr>
            <w:tcW w:w="1020" w:type="dxa"/>
            <w:vAlign w:val="bottom"/>
          </w:tcPr>
          <w:p>
            <w:pPr>
              <w:spacing w:after="0"/>
              <w:rPr>
                <w:sz w:val="20"/>
                <w:szCs w:val="20"/>
                <w:color w:val="auto"/>
              </w:rPr>
            </w:pPr>
            <w:r>
              <w:rPr>
                <w:rFonts w:ascii="Arial" w:cs="Arial" w:eastAsia="Arial" w:hAnsi="Arial"/>
                <w:sz w:val="16"/>
                <w:szCs w:val="16"/>
                <w:color w:val="auto"/>
              </w:rPr>
              <w:t>4.3</w:t>
            </w:r>
          </w:p>
        </w:tc>
        <w:tc>
          <w:tcPr>
            <w:tcW w:w="5740" w:type="dxa"/>
            <w:vAlign w:val="bottom"/>
            <w:gridSpan w:val="11"/>
          </w:tcPr>
          <w:p>
            <w:pPr>
              <w:spacing w:after="0"/>
              <w:rPr>
                <w:rFonts w:ascii="Arial" w:cs="Arial" w:eastAsia="Arial" w:hAnsi="Arial"/>
                <w:sz w:val="16"/>
                <w:szCs w:val="16"/>
                <w:color w:val="0000FF"/>
                <w:w w:val="98"/>
              </w:rPr>
            </w:pPr>
            <w:hyperlink r:id="rId86">
              <w:r>
                <w:rPr>
                  <w:rFonts w:ascii="Arial" w:cs="Arial" w:eastAsia="Arial" w:hAnsi="Arial"/>
                  <w:sz w:val="16"/>
                  <w:szCs w:val="16"/>
                  <w:color w:val="0000FF"/>
                  <w:w w:val="98"/>
                </w:rPr>
                <w:t>First Supplemental Indenture, dated as of May 14, 2021, among Clearway Energy</w:t>
              </w:r>
            </w:hyperlink>
          </w:p>
        </w:tc>
      </w:tr>
      <w:tr>
        <w:trPr>
          <w:trHeight w:val="152"/>
        </w:trPr>
        <w:tc>
          <w:tcPr>
            <w:tcW w:w="1020" w:type="dxa"/>
            <w:vAlign w:val="bottom"/>
          </w:tcPr>
          <w:p>
            <w:pPr>
              <w:spacing w:after="0"/>
              <w:rPr>
                <w:sz w:val="13"/>
                <w:szCs w:val="13"/>
                <w:color w:val="auto"/>
              </w:rPr>
            </w:pPr>
          </w:p>
        </w:tc>
        <w:tc>
          <w:tcPr>
            <w:tcW w:w="5220" w:type="dxa"/>
            <w:vAlign w:val="bottom"/>
            <w:tcBorders>
              <w:top w:val="single" w:sz="8" w:color="0000FF"/>
            </w:tcBorders>
            <w:gridSpan w:val="5"/>
          </w:tcPr>
          <w:p>
            <w:pPr>
              <w:spacing w:after="0" w:line="152" w:lineRule="exact"/>
              <w:rPr>
                <w:rFonts w:ascii="Arial" w:cs="Arial" w:eastAsia="Arial" w:hAnsi="Arial"/>
                <w:sz w:val="16"/>
                <w:szCs w:val="16"/>
                <w:color w:val="0000FF"/>
                <w:w w:val="95"/>
              </w:rPr>
            </w:pPr>
            <w:hyperlink r:id="rId86">
              <w:r>
                <w:rPr>
                  <w:rFonts w:ascii="Arial" w:cs="Arial" w:eastAsia="Arial" w:hAnsi="Arial"/>
                  <w:sz w:val="16"/>
                  <w:szCs w:val="16"/>
                  <w:color w:val="0000FF"/>
                  <w:w w:val="95"/>
                </w:rPr>
                <w:t>Operating LLC, the guarantors named therein and Delaware Trust Company.</w:t>
              </w:r>
            </w:hyperlink>
          </w:p>
        </w:tc>
        <w:tc>
          <w:tcPr>
            <w:tcW w:w="3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05"/>
        </w:trPr>
        <w:tc>
          <w:tcPr>
            <w:tcW w:w="1020" w:type="dxa"/>
            <w:vAlign w:val="bottom"/>
          </w:tcPr>
          <w:p>
            <w:pPr>
              <w:spacing w:after="0"/>
              <w:rPr>
                <w:sz w:val="20"/>
                <w:szCs w:val="20"/>
                <w:color w:val="auto"/>
              </w:rPr>
            </w:pPr>
            <w:r>
              <w:rPr>
                <w:rFonts w:ascii="Arial" w:cs="Arial" w:eastAsia="Arial" w:hAnsi="Arial"/>
                <w:sz w:val="16"/>
                <w:szCs w:val="16"/>
                <w:color w:val="auto"/>
              </w:rPr>
              <w:t>10.1</w:t>
            </w:r>
          </w:p>
        </w:tc>
        <w:tc>
          <w:tcPr>
            <w:tcW w:w="5740" w:type="dxa"/>
            <w:vAlign w:val="bottom"/>
            <w:gridSpan w:val="11"/>
          </w:tcPr>
          <w:p>
            <w:pPr>
              <w:spacing w:after="0"/>
              <w:rPr>
                <w:rFonts w:ascii="Arial" w:cs="Arial" w:eastAsia="Arial" w:hAnsi="Arial"/>
                <w:sz w:val="16"/>
                <w:szCs w:val="16"/>
                <w:color w:val="0000FF"/>
                <w:w w:val="92"/>
              </w:rPr>
            </w:pPr>
            <w:hyperlink r:id="rId87">
              <w:r>
                <w:rPr>
                  <w:rFonts w:ascii="Arial" w:cs="Arial" w:eastAsia="Arial" w:hAnsi="Arial"/>
                  <w:sz w:val="16"/>
                  <w:szCs w:val="16"/>
                  <w:color w:val="0000FF"/>
                  <w:w w:val="92"/>
                </w:rPr>
                <w:t>Clearway Energy, Inc. Amended and Restated 2013 Equity Incentive Plan, as amended</w:t>
              </w:r>
            </w:hyperlink>
          </w:p>
        </w:tc>
      </w:tr>
      <w:tr>
        <w:trPr>
          <w:trHeight w:val="152"/>
        </w:trPr>
        <w:tc>
          <w:tcPr>
            <w:tcW w:w="1020" w:type="dxa"/>
            <w:vAlign w:val="bottom"/>
          </w:tcPr>
          <w:p>
            <w:pPr>
              <w:spacing w:after="0"/>
              <w:rPr>
                <w:sz w:val="13"/>
                <w:szCs w:val="13"/>
                <w:color w:val="auto"/>
              </w:rPr>
            </w:pPr>
          </w:p>
        </w:tc>
        <w:tc>
          <w:tcPr>
            <w:tcW w:w="2020" w:type="dxa"/>
            <w:vAlign w:val="bottom"/>
            <w:tcBorders>
              <w:top w:val="single" w:sz="8" w:color="0000FF"/>
              <w:bottom w:val="single" w:sz="8" w:color="0000FF"/>
            </w:tcBorders>
          </w:tcPr>
          <w:p>
            <w:pPr>
              <w:spacing w:after="0" w:line="152" w:lineRule="exact"/>
              <w:rPr>
                <w:rFonts w:ascii="Arial" w:cs="Arial" w:eastAsia="Arial" w:hAnsi="Arial"/>
                <w:sz w:val="16"/>
                <w:szCs w:val="16"/>
                <w:color w:val="0000FF"/>
                <w:w w:val="87"/>
              </w:rPr>
            </w:pPr>
            <w:hyperlink r:id="rId87">
              <w:r>
                <w:rPr>
                  <w:rFonts w:ascii="Arial" w:cs="Arial" w:eastAsia="Arial" w:hAnsi="Arial"/>
                  <w:sz w:val="16"/>
                  <w:szCs w:val="16"/>
                  <w:color w:val="0000FF"/>
                  <w:w w:val="87"/>
                </w:rPr>
                <w:t>and restated February 19, 2021.</w:t>
              </w:r>
            </w:hyperlink>
          </w:p>
        </w:tc>
        <w:tc>
          <w:tcPr>
            <w:tcW w:w="3520" w:type="dxa"/>
            <w:vAlign w:val="bottom"/>
            <w:tcBorders>
              <w:top w:val="single" w:sz="8" w:color="0000FF"/>
            </w:tcBorders>
            <w:gridSpan w:val="6"/>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05"/>
        </w:trPr>
        <w:tc>
          <w:tcPr>
            <w:tcW w:w="1020" w:type="dxa"/>
            <w:vAlign w:val="bottom"/>
          </w:tcPr>
          <w:p>
            <w:pPr>
              <w:spacing w:after="0"/>
              <w:rPr>
                <w:sz w:val="20"/>
                <w:szCs w:val="20"/>
                <w:color w:val="auto"/>
              </w:rPr>
            </w:pPr>
            <w:r>
              <w:rPr>
                <w:rFonts w:ascii="Arial" w:cs="Arial" w:eastAsia="Arial" w:hAnsi="Arial"/>
                <w:sz w:val="16"/>
                <w:szCs w:val="16"/>
                <w:color w:val="auto"/>
              </w:rPr>
              <w:t>10.2</w:t>
            </w:r>
          </w:p>
        </w:tc>
        <w:tc>
          <w:tcPr>
            <w:tcW w:w="5740" w:type="dxa"/>
            <w:vAlign w:val="bottom"/>
            <w:gridSpan w:val="11"/>
          </w:tcPr>
          <w:p>
            <w:pPr>
              <w:spacing w:after="0"/>
              <w:rPr>
                <w:rFonts w:ascii="Arial" w:cs="Arial" w:eastAsia="Arial" w:hAnsi="Arial"/>
                <w:sz w:val="16"/>
                <w:szCs w:val="16"/>
                <w:color w:val="0000FF"/>
                <w:w w:val="93"/>
              </w:rPr>
            </w:pPr>
            <w:hyperlink w:anchor="page63">
              <w:r>
                <w:rPr>
                  <w:rFonts w:ascii="Arial" w:cs="Arial" w:eastAsia="Arial" w:hAnsi="Arial"/>
                  <w:sz w:val="16"/>
                  <w:szCs w:val="16"/>
                  <w:color w:val="0000FF"/>
                  <w:w w:val="93"/>
                </w:rPr>
                <w:t>Fifth Amendment to Right of First Offer Agreement, dated as of August 2, 2021, by and</w:t>
              </w:r>
            </w:hyperlink>
          </w:p>
        </w:tc>
      </w:tr>
      <w:tr>
        <w:trPr>
          <w:trHeight w:val="139"/>
        </w:trPr>
        <w:tc>
          <w:tcPr>
            <w:tcW w:w="102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3"/>
          </w:tcPr>
          <w:p>
            <w:pPr>
              <w:spacing w:after="0" w:line="139" w:lineRule="exact"/>
              <w:rPr>
                <w:rFonts w:ascii="Arial" w:cs="Arial" w:eastAsia="Arial" w:hAnsi="Arial"/>
                <w:sz w:val="16"/>
                <w:szCs w:val="16"/>
                <w:color w:val="0000FF"/>
                <w:w w:val="90"/>
              </w:rPr>
            </w:pPr>
            <w:hyperlink w:anchor="page63">
              <w:r>
                <w:rPr>
                  <w:rFonts w:ascii="Arial" w:cs="Arial" w:eastAsia="Arial" w:hAnsi="Arial"/>
                  <w:sz w:val="16"/>
                  <w:szCs w:val="16"/>
                  <w:color w:val="0000FF"/>
                  <w:w w:val="90"/>
                </w:rPr>
                <w:t>between Clearway Energy Group LLC and Clearway Energy, Inc.</w:t>
              </w:r>
            </w:hyperlink>
          </w:p>
        </w:tc>
        <w:tc>
          <w:tcPr>
            <w:tcW w:w="1420" w:type="dxa"/>
            <w:vAlign w:val="bottom"/>
            <w:tcBorders>
              <w:top w:val="single" w:sz="8" w:color="0000FF"/>
            </w:tcBorders>
            <w:gridSpan w:val="5"/>
          </w:tcPr>
          <w:p>
            <w:pPr>
              <w:spacing w:after="0"/>
              <w:rPr>
                <w:sz w:val="12"/>
                <w:szCs w:val="12"/>
                <w:color w:val="auto"/>
              </w:rPr>
            </w:pPr>
          </w:p>
        </w:tc>
        <w:tc>
          <w:tcPr>
            <w:tcW w:w="120" w:type="dxa"/>
            <w:vAlign w:val="bottom"/>
            <w:gridSpan w:val="3"/>
          </w:tcPr>
          <w:p>
            <w:pPr>
              <w:spacing w:after="0"/>
              <w:rPr>
                <w:sz w:val="12"/>
                <w:szCs w:val="12"/>
                <w:color w:val="auto"/>
              </w:rPr>
            </w:pPr>
          </w:p>
        </w:tc>
      </w:tr>
    </w:tbl>
    <w:p>
      <w:pPr>
        <w:spacing w:after="0" w:line="30" w:lineRule="exact"/>
        <w:rPr>
          <w:sz w:val="20"/>
          <w:szCs w:val="20"/>
          <w:color w:val="auto"/>
        </w:rPr>
      </w:pPr>
    </w:p>
    <w:p>
      <w:pPr>
        <w:ind w:left="1040" w:hanging="1016"/>
        <w:spacing w:after="0"/>
        <w:tabs>
          <w:tab w:leader="none" w:pos="1040" w:val="left"/>
        </w:tabs>
        <w:numPr>
          <w:ilvl w:val="0"/>
          <w:numId w:val="28"/>
        </w:numPr>
        <w:rPr>
          <w:rFonts w:ascii="Arial" w:cs="Arial" w:eastAsia="Arial" w:hAnsi="Arial"/>
          <w:sz w:val="16"/>
          <w:szCs w:val="16"/>
          <w:u w:val="single" w:color="auto"/>
          <w:color w:val="0000FF"/>
        </w:rPr>
      </w:pPr>
      <w:hyperlink w:anchor="page66">
        <w:r>
          <w:rPr>
            <w:rFonts w:ascii="Arial" w:cs="Arial" w:eastAsia="Arial" w:hAnsi="Arial"/>
            <w:sz w:val="16"/>
            <w:szCs w:val="16"/>
            <w:u w:val="single" w:color="auto"/>
            <w:color w:val="0000FF"/>
          </w:rPr>
          <w:t>Guarantors.</w:t>
        </w:r>
      </w:hyperlink>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20" w:type="dxa"/>
            <w:vAlign w:val="bottom"/>
          </w:tcPr>
          <w:p>
            <w:pPr>
              <w:jc w:val="right"/>
              <w:ind w:right="661"/>
              <w:spacing w:after="0"/>
              <w:rPr>
                <w:sz w:val="20"/>
                <w:szCs w:val="20"/>
                <w:color w:val="auto"/>
              </w:rPr>
            </w:pPr>
            <w:r>
              <w:rPr>
                <w:rFonts w:ascii="Arial" w:cs="Arial" w:eastAsia="Arial" w:hAnsi="Arial"/>
                <w:sz w:val="16"/>
                <w:szCs w:val="16"/>
                <w:color w:val="auto"/>
                <w:w w:val="83"/>
              </w:rPr>
              <w:t>31.1</w:t>
            </w:r>
          </w:p>
        </w:tc>
        <w:tc>
          <w:tcPr>
            <w:tcW w:w="4000" w:type="dxa"/>
            <w:vAlign w:val="bottom"/>
            <w:tcBorders>
              <w:bottom w:val="single" w:sz="8" w:color="0000FF"/>
            </w:tcBorders>
            <w:gridSpan w:val="3"/>
          </w:tcPr>
          <w:p>
            <w:pPr>
              <w:spacing w:after="0"/>
              <w:rPr>
                <w:rFonts w:ascii="Arial" w:cs="Arial" w:eastAsia="Arial" w:hAnsi="Arial"/>
                <w:sz w:val="16"/>
                <w:szCs w:val="16"/>
                <w:color w:val="0000FF"/>
                <w:w w:val="90"/>
              </w:rPr>
            </w:pPr>
            <w:hyperlink w:anchor="page67">
              <w:r>
                <w:rPr>
                  <w:rFonts w:ascii="Arial" w:cs="Arial" w:eastAsia="Arial" w:hAnsi="Arial"/>
                  <w:sz w:val="16"/>
                  <w:szCs w:val="16"/>
                  <w:color w:val="0000FF"/>
                  <w:w w:val="90"/>
                </w:rPr>
                <w:t>Rule 13a-14(a)/15d-14(a) certification of Christopher S. Sotos.</w:t>
              </w:r>
            </w:hyperlink>
          </w:p>
        </w:tc>
      </w:tr>
      <w:tr>
        <w:trPr>
          <w:trHeight w:val="192"/>
        </w:trPr>
        <w:tc>
          <w:tcPr>
            <w:tcW w:w="1020" w:type="dxa"/>
            <w:vAlign w:val="bottom"/>
          </w:tcPr>
          <w:p>
            <w:pPr>
              <w:jc w:val="right"/>
              <w:ind w:right="661"/>
              <w:spacing w:after="0"/>
              <w:rPr>
                <w:sz w:val="20"/>
                <w:szCs w:val="20"/>
                <w:color w:val="auto"/>
              </w:rPr>
            </w:pPr>
            <w:r>
              <w:rPr>
                <w:rFonts w:ascii="Arial" w:cs="Arial" w:eastAsia="Arial" w:hAnsi="Arial"/>
                <w:sz w:val="16"/>
                <w:szCs w:val="16"/>
                <w:color w:val="auto"/>
                <w:w w:val="83"/>
              </w:rPr>
              <w:t>31.2</w:t>
            </w:r>
          </w:p>
        </w:tc>
        <w:tc>
          <w:tcPr>
            <w:tcW w:w="4000" w:type="dxa"/>
            <w:vAlign w:val="bottom"/>
            <w:gridSpan w:val="3"/>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Rule 13a-14(a)/15d-14(a) certification of Chad Plotkin.</w:t>
              </w:r>
            </w:hyperlink>
          </w:p>
        </w:tc>
      </w:tr>
      <w:tr>
        <w:trPr>
          <w:trHeight w:val="20"/>
        </w:trPr>
        <w:tc>
          <w:tcPr>
            <w:tcW w:w="1020" w:type="dxa"/>
            <w:vAlign w:val="bottom"/>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2"/>
        </w:trPr>
        <w:tc>
          <w:tcPr>
            <w:tcW w:w="1020" w:type="dxa"/>
            <w:vAlign w:val="bottom"/>
          </w:tcPr>
          <w:p>
            <w:pPr>
              <w:jc w:val="right"/>
              <w:ind w:right="661"/>
              <w:spacing w:after="0"/>
              <w:rPr>
                <w:sz w:val="20"/>
                <w:szCs w:val="20"/>
                <w:color w:val="auto"/>
              </w:rPr>
            </w:pPr>
            <w:r>
              <w:rPr>
                <w:rFonts w:ascii="Arial" w:cs="Arial" w:eastAsia="Arial" w:hAnsi="Arial"/>
                <w:sz w:val="16"/>
                <w:szCs w:val="16"/>
                <w:color w:val="auto"/>
                <w:w w:val="83"/>
              </w:rPr>
              <w:t>31.3</w:t>
            </w:r>
          </w:p>
        </w:tc>
        <w:tc>
          <w:tcPr>
            <w:tcW w:w="3820" w:type="dxa"/>
            <w:vAlign w:val="bottom"/>
            <w:tcBorders>
              <w:bottom w:val="single" w:sz="8" w:color="0000FF"/>
            </w:tcBorders>
            <w:gridSpan w:val="2"/>
          </w:tcPr>
          <w:p>
            <w:pPr>
              <w:spacing w:after="0"/>
              <w:rPr>
                <w:rFonts w:ascii="Arial" w:cs="Arial" w:eastAsia="Arial" w:hAnsi="Arial"/>
                <w:sz w:val="16"/>
                <w:szCs w:val="16"/>
                <w:color w:val="0000FF"/>
                <w:w w:val="90"/>
              </w:rPr>
            </w:pPr>
            <w:hyperlink w:anchor="page69">
              <w:r>
                <w:rPr>
                  <w:rFonts w:ascii="Arial" w:cs="Arial" w:eastAsia="Arial" w:hAnsi="Arial"/>
                  <w:sz w:val="16"/>
                  <w:szCs w:val="16"/>
                  <w:color w:val="0000FF"/>
                  <w:w w:val="90"/>
                </w:rPr>
                <w:t>Rule 13a-14(a)/15d-14(a) certification of Sarah Rubenstein.</w:t>
              </w:r>
            </w:hyperlink>
          </w:p>
        </w:tc>
        <w:tc>
          <w:tcPr>
            <w:tcW w:w="180" w:type="dxa"/>
            <w:vAlign w:val="bottom"/>
          </w:tcPr>
          <w:p>
            <w:pPr>
              <w:spacing w:after="0"/>
              <w:rPr>
                <w:sz w:val="16"/>
                <w:szCs w:val="16"/>
                <w:color w:val="auto"/>
              </w:rPr>
            </w:pPr>
          </w:p>
        </w:tc>
      </w:tr>
    </w:tbl>
    <w:p>
      <w:pPr>
        <w:spacing w:after="0" w:line="30" w:lineRule="exact"/>
        <w:rPr>
          <w:sz w:val="20"/>
          <w:szCs w:val="20"/>
          <w:color w:val="auto"/>
        </w:rPr>
      </w:pPr>
    </w:p>
    <w:p>
      <w:pPr>
        <w:ind w:left="1040" w:hanging="1016"/>
        <w:spacing w:after="0"/>
        <w:tabs>
          <w:tab w:leader="none" w:pos="1040" w:val="left"/>
        </w:tabs>
        <w:numPr>
          <w:ilvl w:val="0"/>
          <w:numId w:val="29"/>
        </w:numPr>
        <w:rPr>
          <w:rFonts w:ascii="Arial" w:cs="Arial" w:eastAsia="Arial" w:hAnsi="Arial"/>
          <w:sz w:val="16"/>
          <w:szCs w:val="16"/>
          <w:u w:val="single" w:color="auto"/>
          <w:color w:val="0000FF"/>
        </w:rPr>
      </w:pPr>
      <w:hyperlink w:anchor="page70">
        <w:r>
          <w:rPr>
            <w:rFonts w:ascii="Arial" w:cs="Arial" w:eastAsia="Arial" w:hAnsi="Arial"/>
            <w:sz w:val="16"/>
            <w:szCs w:val="16"/>
            <w:u w:val="single" w:color="auto"/>
            <w:color w:val="0000FF"/>
          </w:rPr>
          <w:t>Section 1350 Certification.</w:t>
        </w:r>
      </w:hyperlink>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INS</w:t>
            </w:r>
          </w:p>
        </w:tc>
        <w:tc>
          <w:tcPr>
            <w:tcW w:w="3920" w:type="dxa"/>
            <w:vAlign w:val="bottom"/>
          </w:tcPr>
          <w:p>
            <w:pPr>
              <w:ind w:left="200"/>
              <w:spacing w:after="0"/>
              <w:rPr>
                <w:sz w:val="20"/>
                <w:szCs w:val="20"/>
                <w:color w:val="auto"/>
              </w:rPr>
            </w:pPr>
            <w:r>
              <w:rPr>
                <w:rFonts w:ascii="Arial" w:cs="Arial" w:eastAsia="Arial" w:hAnsi="Arial"/>
                <w:sz w:val="16"/>
                <w:szCs w:val="16"/>
                <w:color w:val="auto"/>
              </w:rPr>
              <w:t>Inline XBRL Instance Document.</w:t>
            </w:r>
          </w:p>
        </w:tc>
      </w:tr>
      <w:tr>
        <w:trPr>
          <w:trHeight w:val="212"/>
        </w:trPr>
        <w:tc>
          <w:tcPr>
            <w:tcW w:w="820" w:type="dxa"/>
            <w:vAlign w:val="bottom"/>
            <w:gridSpan w:val="2"/>
          </w:tcPr>
          <w:p>
            <w:pPr>
              <w:spacing w:after="0"/>
              <w:rPr>
                <w:sz w:val="20"/>
                <w:szCs w:val="20"/>
                <w:color w:val="auto"/>
              </w:rPr>
            </w:pPr>
            <w:r>
              <w:rPr>
                <w:rFonts w:ascii="Arial" w:cs="Arial" w:eastAsia="Arial" w:hAnsi="Arial"/>
                <w:sz w:val="16"/>
                <w:szCs w:val="16"/>
                <w:color w:val="auto"/>
              </w:rPr>
              <w:t>101 SCH</w:t>
            </w:r>
          </w:p>
        </w:tc>
        <w:tc>
          <w:tcPr>
            <w:tcW w:w="3920" w:type="dxa"/>
            <w:vAlign w:val="bottom"/>
          </w:tcPr>
          <w:p>
            <w:pPr>
              <w:ind w:left="200"/>
              <w:spacing w:after="0"/>
              <w:rPr>
                <w:sz w:val="20"/>
                <w:szCs w:val="20"/>
                <w:color w:val="auto"/>
              </w:rPr>
            </w:pPr>
            <w:r>
              <w:rPr>
                <w:rFonts w:ascii="Arial" w:cs="Arial" w:eastAsia="Arial" w:hAnsi="Arial"/>
                <w:sz w:val="16"/>
                <w:szCs w:val="16"/>
                <w:color w:val="auto"/>
              </w:rPr>
              <w:t>Inline XBRL Taxonomy Extension Schema.</w:t>
            </w:r>
          </w:p>
        </w:tc>
      </w:tr>
      <w:tr>
        <w:trPr>
          <w:trHeight w:val="212"/>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CAL</w:t>
            </w:r>
          </w:p>
        </w:tc>
        <w:tc>
          <w:tcPr>
            <w:tcW w:w="3920" w:type="dxa"/>
            <w:vAlign w:val="bottom"/>
          </w:tcPr>
          <w:p>
            <w:pPr>
              <w:ind w:left="200"/>
              <w:spacing w:after="0"/>
              <w:rPr>
                <w:sz w:val="20"/>
                <w:szCs w:val="20"/>
                <w:color w:val="auto"/>
              </w:rPr>
            </w:pPr>
            <w:r>
              <w:rPr>
                <w:rFonts w:ascii="Arial" w:cs="Arial" w:eastAsia="Arial" w:hAnsi="Arial"/>
                <w:sz w:val="16"/>
                <w:szCs w:val="16"/>
                <w:color w:val="auto"/>
                <w:w w:val="93"/>
              </w:rPr>
              <w:t>Inline XBRL Taxonomy Extension Calculation Linkbase.</w:t>
            </w:r>
          </w:p>
        </w:tc>
      </w:tr>
      <w:tr>
        <w:trPr>
          <w:trHeight w:val="212"/>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DEF</w:t>
            </w:r>
          </w:p>
        </w:tc>
        <w:tc>
          <w:tcPr>
            <w:tcW w:w="3920" w:type="dxa"/>
            <w:vAlign w:val="bottom"/>
          </w:tcPr>
          <w:p>
            <w:pPr>
              <w:ind w:left="200"/>
              <w:spacing w:after="0"/>
              <w:rPr>
                <w:sz w:val="20"/>
                <w:szCs w:val="20"/>
                <w:color w:val="auto"/>
              </w:rPr>
            </w:pPr>
            <w:r>
              <w:rPr>
                <w:rFonts w:ascii="Arial" w:cs="Arial" w:eastAsia="Arial" w:hAnsi="Arial"/>
                <w:sz w:val="16"/>
                <w:szCs w:val="16"/>
                <w:color w:val="auto"/>
                <w:w w:val="96"/>
              </w:rPr>
              <w:t>Inline XBRL Taxonomy Extension Definition Linkbase.</w:t>
            </w:r>
          </w:p>
        </w:tc>
      </w:tr>
      <w:tr>
        <w:trPr>
          <w:trHeight w:val="212"/>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LAB</w:t>
            </w:r>
          </w:p>
        </w:tc>
        <w:tc>
          <w:tcPr>
            <w:tcW w:w="3920" w:type="dxa"/>
            <w:vAlign w:val="bottom"/>
          </w:tcPr>
          <w:p>
            <w:pPr>
              <w:ind w:left="200"/>
              <w:spacing w:after="0"/>
              <w:rPr>
                <w:sz w:val="20"/>
                <w:szCs w:val="20"/>
                <w:color w:val="auto"/>
              </w:rPr>
            </w:pPr>
            <w:r>
              <w:rPr>
                <w:rFonts w:ascii="Arial" w:cs="Arial" w:eastAsia="Arial" w:hAnsi="Arial"/>
                <w:sz w:val="16"/>
                <w:szCs w:val="16"/>
                <w:color w:val="auto"/>
              </w:rPr>
              <w:t>Inline XBRL Taxonomy Extension Label Linkbase.</w:t>
            </w:r>
          </w:p>
        </w:tc>
      </w:tr>
      <w:tr>
        <w:trPr>
          <w:trHeight w:val="212"/>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PRE</w:t>
            </w:r>
          </w:p>
        </w:tc>
        <w:tc>
          <w:tcPr>
            <w:tcW w:w="3920" w:type="dxa"/>
            <w:vAlign w:val="bottom"/>
          </w:tcPr>
          <w:p>
            <w:pPr>
              <w:ind w:left="200"/>
              <w:spacing w:after="0"/>
              <w:rPr>
                <w:sz w:val="20"/>
                <w:szCs w:val="20"/>
                <w:color w:val="auto"/>
              </w:rPr>
            </w:pPr>
            <w:r>
              <w:rPr>
                <w:rFonts w:ascii="Arial" w:cs="Arial" w:eastAsia="Arial" w:hAnsi="Arial"/>
                <w:sz w:val="16"/>
                <w:szCs w:val="16"/>
                <w:color w:val="auto"/>
                <w:w w:val="91"/>
              </w:rPr>
              <w:t>Inline XBRL Taxonomy Extension Presentation Linkbase.</w:t>
            </w:r>
          </w:p>
        </w:tc>
      </w:tr>
    </w:tbl>
    <w:p>
      <w:pPr>
        <w:spacing w:after="0" w:line="8" w:lineRule="exact"/>
        <w:rPr>
          <w:sz w:val="20"/>
          <w:szCs w:val="20"/>
          <w:color w:val="auto"/>
        </w:rPr>
      </w:pPr>
    </w:p>
    <w:p>
      <w:pPr>
        <w:ind w:left="1040" w:right="140" w:hanging="1016"/>
        <w:spacing w:after="0" w:line="226"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Cover Page Interactive Data File (the cover page interactive data file does not appear in Exhibit 104 because its Inline XBRL tags are embedded within the Inline XBRL document).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32" w:lineRule="exact"/>
        <w:rPr>
          <w:sz w:val="20"/>
          <w:szCs w:val="20"/>
          <w:color w:val="auto"/>
        </w:rPr>
      </w:pPr>
    </w:p>
    <w:p>
      <w:pPr>
        <w:ind w:right="80"/>
        <w:spacing w:after="0" w:line="320" w:lineRule="auto"/>
        <w:rPr>
          <w:sz w:val="20"/>
          <w:szCs w:val="20"/>
          <w:color w:val="auto"/>
        </w:rPr>
      </w:pPr>
      <w:r>
        <w:rPr>
          <w:rFonts w:ascii="Arial" w:cs="Arial" w:eastAsia="Arial" w:hAnsi="Arial"/>
          <w:sz w:val="14"/>
          <w:szCs w:val="14"/>
          <w:color w:val="auto"/>
        </w:rPr>
        <w:t>Incorporated herein by reference to Exhibit 4.1 to the Company's Current Report on Form 8-K filed on May 19 2021.</w:t>
      </w:r>
    </w:p>
    <w:p>
      <w:pPr>
        <w:spacing w:after="0" w:line="140" w:lineRule="exact"/>
        <w:rPr>
          <w:sz w:val="20"/>
          <w:szCs w:val="20"/>
          <w:color w:val="auto"/>
        </w:rPr>
      </w:pPr>
    </w:p>
    <w:p>
      <w:pPr>
        <w:ind w:right="80"/>
        <w:spacing w:after="0" w:line="296" w:lineRule="auto"/>
        <w:rPr>
          <w:sz w:val="20"/>
          <w:szCs w:val="20"/>
          <w:color w:val="auto"/>
        </w:rPr>
      </w:pPr>
      <w:r>
        <w:rPr>
          <w:rFonts w:ascii="Arial" w:cs="Arial" w:eastAsia="Arial" w:hAnsi="Arial"/>
          <w:sz w:val="14"/>
          <w:szCs w:val="14"/>
          <w:color w:val="auto"/>
        </w:rPr>
        <w:t>Incorporated herein by reference to Exhibit 4.2 to the Company's Current Report on Form 8-K filed on May 19, 2021.</w:t>
      </w:r>
    </w:p>
    <w:p>
      <w:pPr>
        <w:ind w:right="80"/>
        <w:spacing w:after="0" w:line="296" w:lineRule="auto"/>
        <w:rPr>
          <w:sz w:val="20"/>
          <w:szCs w:val="20"/>
          <w:color w:val="auto"/>
        </w:rPr>
      </w:pPr>
      <w:r>
        <w:rPr>
          <w:rFonts w:ascii="Arial" w:cs="Arial" w:eastAsia="Arial" w:hAnsi="Arial"/>
          <w:sz w:val="14"/>
          <w:szCs w:val="14"/>
          <w:color w:val="auto"/>
        </w:rPr>
        <w:t>Incorporated herein by reference to Exhibit 4.3 to the Company's Current Report on Form 8-K filed on May 19, 2021.</w:t>
      </w:r>
    </w:p>
    <w:p>
      <w:pPr>
        <w:spacing w:after="0" w:line="276" w:lineRule="auto"/>
        <w:rPr>
          <w:sz w:val="20"/>
          <w:szCs w:val="20"/>
          <w:color w:val="auto"/>
        </w:rPr>
      </w:pPr>
      <w:r>
        <w:rPr>
          <w:rFonts w:ascii="Arial" w:cs="Arial" w:eastAsia="Arial" w:hAnsi="Arial"/>
          <w:sz w:val="15"/>
          <w:szCs w:val="15"/>
          <w:color w:val="auto"/>
        </w:rPr>
        <w:t>Incorporated herein by reference to Exhibit 10.1 to the Company's Current Report on Form 8-K filed on May 4, 2021.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535" w:lineRule="exact"/>
        <w:rPr>
          <w:sz w:val="20"/>
          <w:szCs w:val="20"/>
          <w:color w:val="auto"/>
        </w:rPr>
      </w:pPr>
    </w:p>
    <w:p>
      <w:pPr>
        <w:sectPr>
          <w:pgSz w:w="11900" w:h="16838" w:orient="portrait"/>
          <w:cols w:equalWidth="0" w:num="2">
            <w:col w:w="6760" w:space="160"/>
            <w:col w:w="4200"/>
          </w:cols>
          <w:pgMar w:left="320" w:top="87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876" w:right="459" w:bottom="1440" w:gutter="0" w:footer="0" w:header="0"/>
          <w:type w:val="continuous"/>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CLEARWAY ENERGY LLC</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478"/>
        </w:trPr>
        <w:tc>
          <w:tcPr>
            <w:tcW w:w="6620" w:type="dxa"/>
            <w:vAlign w:val="bottom"/>
          </w:tcPr>
          <w:p>
            <w:pPr>
              <w:spacing w:after="0"/>
              <w:rPr>
                <w:sz w:val="24"/>
                <w:szCs w:val="24"/>
                <w:color w:val="auto"/>
              </w:rPr>
            </w:pP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S. SOTOS</w:t>
            </w:r>
          </w:p>
        </w:tc>
        <w:tc>
          <w:tcPr>
            <w:tcW w:w="0" w:type="dxa"/>
            <w:vAlign w:val="bottom"/>
          </w:tcPr>
          <w:p>
            <w:pPr>
              <w:spacing w:after="0"/>
              <w:rPr>
                <w:sz w:val="1"/>
                <w:szCs w:val="1"/>
                <w:color w:val="auto"/>
              </w:rPr>
            </w:pPr>
          </w:p>
        </w:tc>
      </w:tr>
      <w:tr>
        <w:trPr>
          <w:trHeight w:val="218"/>
        </w:trPr>
        <w:tc>
          <w:tcPr>
            <w:tcW w:w="662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Christopher S. Sotos</w:t>
            </w:r>
          </w:p>
        </w:tc>
        <w:tc>
          <w:tcPr>
            <w:tcW w:w="0" w:type="dxa"/>
            <w:vAlign w:val="bottom"/>
          </w:tcPr>
          <w:p>
            <w:pPr>
              <w:spacing w:after="0"/>
              <w:rPr>
                <w:sz w:val="1"/>
                <w:szCs w:val="1"/>
                <w:color w:val="auto"/>
              </w:rPr>
            </w:pPr>
          </w:p>
        </w:tc>
      </w:tr>
      <w:tr>
        <w:trPr>
          <w:trHeight w:val="174"/>
        </w:trPr>
        <w:tc>
          <w:tcPr>
            <w:tcW w:w="6620" w:type="dxa"/>
            <w:vAlign w:val="bottom"/>
          </w:tcPr>
          <w:p>
            <w:pPr>
              <w:spacing w:after="0"/>
              <w:rPr>
                <w:sz w:val="15"/>
                <w:szCs w:val="15"/>
                <w:color w:val="auto"/>
              </w:rPr>
            </w:pPr>
          </w:p>
        </w:tc>
        <w:tc>
          <w:tcPr>
            <w:tcW w:w="454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Chief Executive Officer</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r>
        <w:trPr>
          <w:trHeight w:val="676"/>
        </w:trPr>
        <w:tc>
          <w:tcPr>
            <w:tcW w:w="6620" w:type="dxa"/>
            <w:vAlign w:val="bottom"/>
          </w:tcPr>
          <w:p>
            <w:pPr>
              <w:spacing w:after="0"/>
              <w:rPr>
                <w:sz w:val="24"/>
                <w:szCs w:val="24"/>
                <w:color w:val="auto"/>
              </w:rPr>
            </w:pP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CHAD PLOTKIN</w:t>
            </w:r>
          </w:p>
        </w:tc>
        <w:tc>
          <w:tcPr>
            <w:tcW w:w="0" w:type="dxa"/>
            <w:vAlign w:val="bottom"/>
          </w:tcPr>
          <w:p>
            <w:pPr>
              <w:spacing w:after="0"/>
              <w:rPr>
                <w:sz w:val="1"/>
                <w:szCs w:val="1"/>
                <w:color w:val="auto"/>
              </w:rPr>
            </w:pPr>
          </w:p>
        </w:tc>
      </w:tr>
      <w:tr>
        <w:trPr>
          <w:trHeight w:val="218"/>
        </w:trPr>
        <w:tc>
          <w:tcPr>
            <w:tcW w:w="662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Chad Plotkin</w:t>
            </w:r>
          </w:p>
        </w:tc>
        <w:tc>
          <w:tcPr>
            <w:tcW w:w="0" w:type="dxa"/>
            <w:vAlign w:val="bottom"/>
          </w:tcPr>
          <w:p>
            <w:pPr>
              <w:spacing w:after="0"/>
              <w:rPr>
                <w:sz w:val="1"/>
                <w:szCs w:val="1"/>
                <w:color w:val="auto"/>
              </w:rPr>
            </w:pPr>
          </w:p>
        </w:tc>
      </w:tr>
      <w:tr>
        <w:trPr>
          <w:trHeight w:val="174"/>
        </w:trPr>
        <w:tc>
          <w:tcPr>
            <w:tcW w:w="6620" w:type="dxa"/>
            <w:vAlign w:val="bottom"/>
          </w:tcPr>
          <w:p>
            <w:pPr>
              <w:spacing w:after="0"/>
              <w:rPr>
                <w:sz w:val="15"/>
                <w:szCs w:val="15"/>
                <w:color w:val="auto"/>
              </w:rPr>
            </w:pPr>
          </w:p>
        </w:tc>
        <w:tc>
          <w:tcPr>
            <w:tcW w:w="454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r>
        <w:trPr>
          <w:trHeight w:val="676"/>
        </w:trPr>
        <w:tc>
          <w:tcPr>
            <w:tcW w:w="6620" w:type="dxa"/>
            <w:vAlign w:val="bottom"/>
          </w:tcPr>
          <w:p>
            <w:pPr>
              <w:spacing w:after="0"/>
              <w:rPr>
                <w:sz w:val="24"/>
                <w:szCs w:val="24"/>
                <w:color w:val="auto"/>
              </w:rPr>
            </w:pP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SARAH RUBENSTEIN</w:t>
            </w:r>
          </w:p>
        </w:tc>
        <w:tc>
          <w:tcPr>
            <w:tcW w:w="0" w:type="dxa"/>
            <w:vAlign w:val="bottom"/>
          </w:tcPr>
          <w:p>
            <w:pPr>
              <w:spacing w:after="0"/>
              <w:rPr>
                <w:sz w:val="1"/>
                <w:szCs w:val="1"/>
                <w:color w:val="auto"/>
              </w:rPr>
            </w:pPr>
          </w:p>
        </w:tc>
      </w:tr>
      <w:tr>
        <w:trPr>
          <w:trHeight w:val="218"/>
        </w:trPr>
        <w:tc>
          <w:tcPr>
            <w:tcW w:w="662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Sarah Rubenstein</w:t>
            </w:r>
          </w:p>
        </w:tc>
        <w:tc>
          <w:tcPr>
            <w:tcW w:w="0" w:type="dxa"/>
            <w:vAlign w:val="bottom"/>
          </w:tcPr>
          <w:p>
            <w:pPr>
              <w:spacing w:after="0"/>
              <w:rPr>
                <w:sz w:val="1"/>
                <w:szCs w:val="1"/>
                <w:color w:val="auto"/>
              </w:rPr>
            </w:pPr>
          </w:p>
        </w:tc>
      </w:tr>
      <w:tr>
        <w:trPr>
          <w:trHeight w:val="174"/>
        </w:trPr>
        <w:tc>
          <w:tcPr>
            <w:tcW w:w="6620" w:type="dxa"/>
            <w:vAlign w:val="bottom"/>
            <w:vMerge w:val="restart"/>
          </w:tcPr>
          <w:p>
            <w:pPr>
              <w:spacing w:after="0"/>
              <w:rPr>
                <w:sz w:val="20"/>
                <w:szCs w:val="20"/>
                <w:color w:val="auto"/>
              </w:rPr>
            </w:pPr>
            <w:r>
              <w:rPr>
                <w:rFonts w:ascii="Arial" w:cs="Arial" w:eastAsia="Arial" w:hAnsi="Arial"/>
                <w:sz w:val="18"/>
                <w:szCs w:val="18"/>
                <w:color w:val="auto"/>
              </w:rPr>
              <w:t>Date: August 3, 2021</w:t>
            </w:r>
          </w:p>
        </w:tc>
        <w:tc>
          <w:tcPr>
            <w:tcW w:w="454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Vice President, Accounting &amp; Controller</w:t>
            </w:r>
          </w:p>
        </w:tc>
        <w:tc>
          <w:tcPr>
            <w:tcW w:w="0" w:type="dxa"/>
            <w:vAlign w:val="bottom"/>
          </w:tcPr>
          <w:p>
            <w:pPr>
              <w:spacing w:after="0"/>
              <w:rPr>
                <w:sz w:val="1"/>
                <w:szCs w:val="1"/>
                <w:color w:val="auto"/>
              </w:rPr>
            </w:pPr>
          </w:p>
        </w:tc>
      </w:tr>
      <w:tr>
        <w:trPr>
          <w:trHeight w:val="223"/>
        </w:trPr>
        <w:tc>
          <w:tcPr>
            <w:tcW w:w="6620" w:type="dxa"/>
            <w:vAlign w:val="bottom"/>
            <w:vMerge w:val="continue"/>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876"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1"/>
          <w:szCs w:val="21"/>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FIFTH AMENDMENT TO</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RIGHT OF FIRST OFFER AGREEMENT</w:t>
      </w:r>
    </w:p>
    <w:p>
      <w:pPr>
        <w:spacing w:after="0" w:line="225" w:lineRule="exact"/>
        <w:rPr>
          <w:sz w:val="20"/>
          <w:szCs w:val="20"/>
          <w:color w:val="auto"/>
        </w:rPr>
      </w:pPr>
    </w:p>
    <w:p>
      <w:pPr>
        <w:jc w:val="both"/>
        <w:ind w:firstLine="636"/>
        <w:spacing w:after="0" w:line="261"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FIFTH AMENDMENT TO RIGHT OF FIRST OFFER AGREEMENT</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Amendment</w:t>
      </w:r>
      <w:r>
        <w:rPr>
          <w:rFonts w:ascii="Arial" w:cs="Arial" w:eastAsia="Arial" w:hAnsi="Arial"/>
          <w:sz w:val="21"/>
          <w:szCs w:val="21"/>
          <w:color w:val="auto"/>
        </w:rPr>
        <w:t>”), dated as of August 2, 2021 (the “</w:t>
      </w:r>
      <w:r>
        <w:rPr>
          <w:rFonts w:ascii="Arial" w:cs="Arial" w:eastAsia="Arial" w:hAnsi="Arial"/>
          <w:sz w:val="21"/>
          <w:szCs w:val="21"/>
          <w:u w:val="single" w:color="auto"/>
          <w:color w:val="auto"/>
        </w:rPr>
        <w:t>Amendment Date</w:t>
      </w:r>
      <w:r>
        <w:rPr>
          <w:rFonts w:ascii="Arial" w:cs="Arial" w:eastAsia="Arial" w:hAnsi="Arial"/>
          <w:sz w:val="21"/>
          <w:szCs w:val="21"/>
          <w:color w:val="auto"/>
        </w:rPr>
        <w:t>”), is entered into by and between CLEARWAY ENERGY GROUP LLC, a Delaware limited liability company (f/k/a Zephyr Renewables LLC) (“</w:t>
      </w:r>
      <w:r>
        <w:rPr>
          <w:rFonts w:ascii="Arial" w:cs="Arial" w:eastAsia="Arial" w:hAnsi="Arial"/>
          <w:sz w:val="21"/>
          <w:szCs w:val="21"/>
          <w:u w:val="single" w:color="auto"/>
          <w:color w:val="auto"/>
        </w:rPr>
        <w:t>CEG</w:t>
      </w:r>
      <w:r>
        <w:rPr>
          <w:rFonts w:ascii="Arial" w:cs="Arial" w:eastAsia="Arial" w:hAnsi="Arial"/>
          <w:sz w:val="21"/>
          <w:szCs w:val="21"/>
          <w:color w:val="auto"/>
        </w:rPr>
        <w:t>”), and CLEARWAY ENERGY, INC., a Delaware corporation (f/k/a NRG Yield, Inc.) (“</w:t>
      </w:r>
      <w:r>
        <w:rPr>
          <w:rFonts w:ascii="Arial" w:cs="Arial" w:eastAsia="Arial" w:hAnsi="Arial"/>
          <w:sz w:val="21"/>
          <w:szCs w:val="21"/>
          <w:u w:val="single" w:color="auto"/>
          <w:color w:val="auto"/>
        </w:rPr>
        <w:t>CWEN</w:t>
      </w:r>
      <w:r>
        <w:rPr>
          <w:rFonts w:ascii="Arial" w:cs="Arial" w:eastAsia="Arial" w:hAnsi="Arial"/>
          <w:sz w:val="21"/>
          <w:szCs w:val="21"/>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22" w:lineRule="exact"/>
        <w:rPr>
          <w:sz w:val="20"/>
          <w:szCs w:val="20"/>
          <w:color w:val="auto"/>
        </w:rPr>
      </w:pPr>
    </w:p>
    <w:p>
      <w:pPr>
        <w:jc w:val="both"/>
        <w:ind w:firstLine="636"/>
        <w:spacing w:after="0" w:line="26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CEG and CWEN are parties to that certain Right of First Offer Agreement dated as of August 31, 2018, as</w:t>
      </w:r>
      <w:r>
        <w:rPr>
          <w:rFonts w:ascii="Arial" w:cs="Arial" w:eastAsia="Arial" w:hAnsi="Arial"/>
          <w:sz w:val="21"/>
          <w:szCs w:val="21"/>
          <w:b w:val="1"/>
          <w:bCs w:val="1"/>
          <w:color w:val="auto"/>
        </w:rPr>
        <w:t xml:space="preserve"> </w:t>
      </w:r>
      <w:r>
        <w:rPr>
          <w:rFonts w:ascii="Arial" w:cs="Arial" w:eastAsia="Arial" w:hAnsi="Arial"/>
          <w:sz w:val="21"/>
          <w:szCs w:val="21"/>
          <w:color w:val="auto"/>
        </w:rPr>
        <w:t>subsequently amended on February 14, 2019, August 1, 2019, December 6, 2019, and November 2, 2020 (as amended, the “</w:t>
      </w:r>
      <w:r>
        <w:rPr>
          <w:rFonts w:ascii="Arial" w:cs="Arial" w:eastAsia="Arial" w:hAnsi="Arial"/>
          <w:sz w:val="21"/>
          <w:szCs w:val="21"/>
          <w:u w:val="single" w:color="auto"/>
          <w:color w:val="auto"/>
        </w:rPr>
        <w:t>ROFO</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Capitalized terms used but not otherwise defined in this Amendment shall have the respective meanings specified in the ROFO Agreement.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desire to amend the ROFO Agreement as set forth herein.</w:t>
      </w:r>
    </w:p>
    <w:p>
      <w:pPr>
        <w:spacing w:after="0" w:line="222" w:lineRule="exact"/>
        <w:rPr>
          <w:sz w:val="20"/>
          <w:szCs w:val="20"/>
          <w:color w:val="auto"/>
        </w:rPr>
      </w:pPr>
    </w:p>
    <w:p>
      <w:pPr>
        <w:jc w:val="both"/>
        <w:ind w:firstLine="636"/>
        <w:spacing w:after="0" w:line="340"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covenants set forth in this Amendment and for other good and</w:t>
      </w:r>
      <w:r>
        <w:rPr>
          <w:rFonts w:ascii="Arial" w:cs="Arial" w:eastAsia="Arial" w:hAnsi="Arial"/>
          <w:sz w:val="19"/>
          <w:szCs w:val="19"/>
          <w:b w:val="1"/>
          <w:bCs w:val="1"/>
          <w:color w:val="auto"/>
        </w:rPr>
        <w:t xml:space="preserve"> </w:t>
      </w:r>
      <w:r>
        <w:rPr>
          <w:rFonts w:ascii="Arial" w:cs="Arial" w:eastAsia="Arial" w:hAnsi="Arial"/>
          <w:sz w:val="19"/>
          <w:szCs w:val="19"/>
          <w:color w:val="auto"/>
        </w:rPr>
        <w:t>valuable consideration, the receipt and sufficiency of which are hereby acknowledged, CEG and CWEN hereby agree as follows.</w:t>
      </w:r>
    </w:p>
    <w:p>
      <w:pPr>
        <w:spacing w:after="0" w:line="102" w:lineRule="exact"/>
        <w:rPr>
          <w:sz w:val="20"/>
          <w:szCs w:val="20"/>
          <w:color w:val="auto"/>
        </w:rPr>
      </w:pPr>
    </w:p>
    <w:p>
      <w:pPr>
        <w:ind w:left="1600"/>
        <w:spacing w:after="0"/>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Amendments to Section 1.1 (Definitions)</w:t>
      </w:r>
      <w:r>
        <w:rPr>
          <w:rFonts w:ascii="Arial" w:cs="Arial" w:eastAsia="Arial" w:hAnsi="Arial"/>
          <w:sz w:val="21"/>
          <w:szCs w:val="21"/>
          <w:color w:val="auto"/>
        </w:rPr>
        <w:t>.</w:t>
      </w:r>
    </w:p>
    <w:p>
      <w:pPr>
        <w:spacing w:after="0" w:line="222"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Section 1.1 of the ROFO Agreement is hereby amended by deleting therefrom the definition of “Wildflower”.</w:t>
      </w:r>
    </w:p>
    <w:p>
      <w:pPr>
        <w:spacing w:after="0" w:line="234" w:lineRule="exact"/>
        <w:rPr>
          <w:sz w:val="20"/>
          <w:szCs w:val="20"/>
          <w:color w:val="auto"/>
        </w:rPr>
      </w:pPr>
    </w:p>
    <w:p>
      <w:pPr>
        <w:ind w:left="1600"/>
        <w:spacing w:after="0"/>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Amendments to Article II</w:t>
      </w:r>
      <w:r>
        <w:rPr>
          <w:rFonts w:ascii="Arial" w:cs="Arial" w:eastAsia="Arial" w:hAnsi="Arial"/>
          <w:sz w:val="21"/>
          <w:szCs w:val="21"/>
          <w:color w:val="auto"/>
        </w:rPr>
        <w:t>.</w:t>
      </w:r>
    </w:p>
    <w:p>
      <w:pPr>
        <w:spacing w:after="0" w:line="222" w:lineRule="exact"/>
        <w:rPr>
          <w:sz w:val="20"/>
          <w:szCs w:val="20"/>
          <w:color w:val="auto"/>
        </w:rPr>
      </w:pPr>
    </w:p>
    <w:p>
      <w:pPr>
        <w:ind w:left="2240"/>
        <w:spacing w:after="0"/>
        <w:rPr>
          <w:sz w:val="20"/>
          <w:szCs w:val="20"/>
          <w:color w:val="auto"/>
        </w:rPr>
      </w:pPr>
      <w:r>
        <w:rPr>
          <w:rFonts w:ascii="Arial" w:cs="Arial" w:eastAsia="Arial" w:hAnsi="Arial"/>
          <w:sz w:val="21"/>
          <w:szCs w:val="21"/>
          <w:color w:val="auto"/>
        </w:rPr>
        <w:t>(a) Section 2.1 of the ROFO Agreement is hereby amended by deleting the word “Wildflower”</w:t>
      </w:r>
    </w:p>
    <w:p>
      <w:pPr>
        <w:spacing w:after="0" w:line="28" w:lineRule="exact"/>
        <w:rPr>
          <w:sz w:val="20"/>
          <w:szCs w:val="20"/>
          <w:color w:val="auto"/>
        </w:rPr>
      </w:pPr>
    </w:p>
    <w:p>
      <w:pPr>
        <w:ind w:left="960"/>
        <w:spacing w:after="0"/>
        <w:rPr>
          <w:sz w:val="20"/>
          <w:szCs w:val="20"/>
          <w:color w:val="auto"/>
        </w:rPr>
      </w:pPr>
      <w:r>
        <w:rPr>
          <w:rFonts w:ascii="Arial" w:cs="Arial" w:eastAsia="Arial" w:hAnsi="Arial"/>
          <w:sz w:val="21"/>
          <w:szCs w:val="21"/>
          <w:color w:val="auto"/>
        </w:rPr>
        <w:t>therefrom.</w:t>
      </w:r>
    </w:p>
    <w:p>
      <w:pPr>
        <w:spacing w:after="0" w:line="204" w:lineRule="exact"/>
        <w:rPr>
          <w:sz w:val="20"/>
          <w:szCs w:val="20"/>
          <w:color w:val="auto"/>
        </w:rPr>
      </w:pPr>
    </w:p>
    <w:p>
      <w:pPr>
        <w:ind w:left="1600"/>
        <w:spacing w:after="0"/>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Effectiveness of this Amendment</w:t>
      </w:r>
      <w:r>
        <w:rPr>
          <w:rFonts w:ascii="Arial" w:cs="Arial" w:eastAsia="Arial" w:hAnsi="Arial"/>
          <w:sz w:val="21"/>
          <w:szCs w:val="21"/>
          <w:color w:val="auto"/>
        </w:rPr>
        <w:t>. This Amendment is effective as of the Amendment Date.</w:t>
      </w:r>
    </w:p>
    <w:p>
      <w:pPr>
        <w:spacing w:after="0" w:line="222" w:lineRule="exact"/>
        <w:rPr>
          <w:sz w:val="20"/>
          <w:szCs w:val="20"/>
          <w:color w:val="auto"/>
        </w:rPr>
      </w:pPr>
    </w:p>
    <w:p>
      <w:pPr>
        <w:jc w:val="both"/>
        <w:ind w:left="960" w:firstLine="636"/>
        <w:spacing w:after="0" w:line="264"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No Other Changes</w:t>
      </w:r>
      <w:r>
        <w:rPr>
          <w:rFonts w:ascii="Arial" w:cs="Arial" w:eastAsia="Arial" w:hAnsi="Arial"/>
          <w:sz w:val="21"/>
          <w:szCs w:val="21"/>
          <w:color w:val="auto"/>
        </w:rPr>
        <w:t>. Except as expressly provided or contemplated by this Amendment, all the terms, conditions and provisions of the ROFO Agreement remain unaltered and in full force and effect. The ROFO Agreement and this Amendment shall be read and construed as one agreement.</w:t>
      </w:r>
    </w:p>
    <w:p>
      <w:pPr>
        <w:spacing w:after="0" w:line="170" w:lineRule="exact"/>
        <w:rPr>
          <w:sz w:val="20"/>
          <w:szCs w:val="20"/>
          <w:color w:val="auto"/>
        </w:rPr>
      </w:pPr>
    </w:p>
    <w:p>
      <w:pPr>
        <w:jc w:val="both"/>
        <w:ind w:left="960" w:firstLine="636"/>
        <w:spacing w:after="0" w:line="259"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Facsimile; Counterparts</w:t>
      </w:r>
      <w:r>
        <w:rPr>
          <w:rFonts w:ascii="Arial" w:cs="Arial" w:eastAsia="Arial" w:hAnsi="Arial"/>
          <w:sz w:val="21"/>
          <w:szCs w:val="21"/>
          <w:color w:val="auto"/>
        </w:rPr>
        <w:t>. Each Party may deliver executed signature pages to this Amendment by facsimile or electronic transmission to the other Parties, which facsimile or electronic copy shall be deemed to be an original executed signature page. This Amendment may be executed in any number of counterparts, each of which shall be deemed an original and all of which counterparts</w:t>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20"/>
          <w:szCs w:val="20"/>
          <w:color w:val="auto"/>
        </w:rPr>
        <w:t>together shall constitute one agreement with the same effect as if the Parties had signed the same signature page.</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Section 5.7 of the Agreement shall apply, </w:t>
      </w:r>
      <w:r>
        <w:rPr>
          <w:rFonts w:ascii="Arial" w:cs="Arial" w:eastAsia="Arial" w:hAnsi="Arial"/>
          <w:sz w:val="20"/>
          <w:szCs w:val="20"/>
          <w:i w:val="1"/>
          <w:iCs w:val="1"/>
          <w:color w:val="auto"/>
        </w:rPr>
        <w:t>mutatis mutandis</w:t>
      </w:r>
      <w:r>
        <w:rPr>
          <w:rFonts w:ascii="Arial" w:cs="Arial" w:eastAsia="Arial" w:hAnsi="Arial"/>
          <w:sz w:val="20"/>
          <w:szCs w:val="20"/>
          <w:color w:val="auto"/>
        </w:rPr>
        <w:t>, to this Amendment.</w:t>
      </w:r>
    </w:p>
    <w:p>
      <w:pPr>
        <w:spacing w:after="0" w:line="234"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term or provision of this Amendment is held to be or rendered invalid or unenforceable at any time in any jurisdiction, such term or provision shall not affect the validity or enforceability of any other terms or provisions of this Amendment, or the validity or enforceability of such affected terms or provisions at any other time or in any other jurisdiction.</w:t>
      </w:r>
    </w:p>
    <w:p>
      <w:pPr>
        <w:spacing w:after="0" w:line="177" w:lineRule="exact"/>
        <w:rPr>
          <w:sz w:val="20"/>
          <w:szCs w:val="20"/>
          <w:color w:val="auto"/>
        </w:rPr>
      </w:pPr>
    </w:p>
    <w:p>
      <w:pPr>
        <w:ind w:left="2740"/>
        <w:spacing w:after="0"/>
        <w:rPr>
          <w:sz w:val="20"/>
          <w:szCs w:val="20"/>
          <w:color w:val="auto"/>
        </w:rPr>
      </w:pPr>
      <w:r>
        <w:rPr>
          <w:rFonts w:ascii="Arial" w:cs="Arial" w:eastAsia="Arial" w:hAnsi="Arial"/>
          <w:sz w:val="21"/>
          <w:szCs w:val="2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62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280"/>
          </w:cols>
          <w:pgMar w:left="1280" w:top="1403" w:right="339" w:bottom="1440" w:gutter="0" w:footer="0" w:header="0"/>
        </w:sectPr>
      </w:pPr>
    </w:p>
    <w:bookmarkStart w:id="64" w:name="page65"/>
    <w:bookmarkEnd w:id="64"/>
    <w:p>
      <w:pPr>
        <w:ind w:firstLine="636"/>
        <w:spacing w:after="0" w:line="285"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CEG and CWEN have each caused this Amendment to be executed and delivered in their</w:t>
      </w:r>
      <w:r>
        <w:rPr>
          <w:rFonts w:ascii="Arial" w:cs="Arial" w:eastAsia="Arial" w:hAnsi="Arial"/>
          <w:sz w:val="21"/>
          <w:szCs w:val="21"/>
          <w:b w:val="1"/>
          <w:bCs w:val="1"/>
          <w:color w:val="auto"/>
        </w:rPr>
        <w:t xml:space="preserve"> </w:t>
      </w:r>
      <w:r>
        <w:rPr>
          <w:rFonts w:ascii="Arial" w:cs="Arial" w:eastAsia="Arial" w:hAnsi="Arial"/>
          <w:sz w:val="21"/>
          <w:szCs w:val="21"/>
          <w:color w:val="auto"/>
        </w:rPr>
        <w:t>names by their respective duly authorized officers or representatives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840"/>
        <w:spacing w:after="0"/>
        <w:rPr>
          <w:sz w:val="20"/>
          <w:szCs w:val="20"/>
          <w:color w:val="auto"/>
        </w:rPr>
      </w:pPr>
      <w:r>
        <w:rPr>
          <w:rFonts w:ascii="Arial" w:cs="Arial" w:eastAsia="Arial" w:hAnsi="Arial"/>
          <w:sz w:val="21"/>
          <w:szCs w:val="21"/>
          <w:b w:val="1"/>
          <w:bCs w:val="1"/>
          <w:color w:val="auto"/>
        </w:rPr>
        <w:t>CLEARWAY ENERGY GROUP LLC</w:t>
      </w:r>
    </w:p>
    <w:p>
      <w:pPr>
        <w:spacing w:after="0" w:line="69"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28575</wp:posOffset>
            </wp:positionV>
            <wp:extent cx="20783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2078355" cy="8255"/>
                    </a:xfrm>
                    <a:prstGeom prst="rect">
                      <a:avLst/>
                    </a:prstGeom>
                    <a:noFill/>
                  </pic:spPr>
                </pic:pic>
              </a:graphicData>
            </a:graphic>
          </wp:anchor>
        </w:drawing>
      </w:r>
    </w:p>
    <w:p>
      <w:pPr>
        <w:spacing w:after="0" w:line="57"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Name: Craig Cornelius</w:t>
      </w:r>
    </w:p>
    <w:p>
      <w:pPr>
        <w:spacing w:after="0" w:line="63"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Title: Chief Executive Officer</w:t>
      </w:r>
    </w:p>
    <w:p>
      <w:pPr>
        <w:spacing w:after="0" w:line="57" w:lineRule="exact"/>
        <w:rPr>
          <w:sz w:val="20"/>
          <w:szCs w:val="20"/>
          <w:color w:val="auto"/>
        </w:rPr>
      </w:pPr>
    </w:p>
    <w:p>
      <w:pPr>
        <w:ind w:left="3840"/>
        <w:spacing w:after="0"/>
        <w:rPr>
          <w:sz w:val="20"/>
          <w:szCs w:val="20"/>
          <w:color w:val="auto"/>
        </w:rPr>
      </w:pPr>
      <w:r>
        <w:rPr>
          <w:rFonts w:ascii="Arial" w:cs="Arial" w:eastAsia="Arial" w:hAnsi="Arial"/>
          <w:sz w:val="21"/>
          <w:szCs w:val="21"/>
          <w:b w:val="1"/>
          <w:bCs w:val="1"/>
          <w:color w:val="auto"/>
        </w:rPr>
        <w:t>CLEARWAY ENERGY, INC.</w:t>
      </w:r>
    </w:p>
    <w:p>
      <w:pPr>
        <w:spacing w:after="0" w:line="69"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28575</wp:posOffset>
            </wp:positionV>
            <wp:extent cx="20783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2078355" cy="8255"/>
                    </a:xfrm>
                    <a:prstGeom prst="rect">
                      <a:avLst/>
                    </a:prstGeom>
                    <a:noFill/>
                  </pic:spPr>
                </pic:pic>
              </a:graphicData>
            </a:graphic>
          </wp:anchor>
        </w:drawing>
      </w:r>
    </w:p>
    <w:p>
      <w:pPr>
        <w:spacing w:after="0" w:line="57"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Name: Christopher S. Sotos</w:t>
      </w:r>
    </w:p>
    <w:p>
      <w:pPr>
        <w:spacing w:after="0" w:line="63"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Title: President &amp; Chief Executive</w:t>
      </w:r>
    </w:p>
    <w:p>
      <w:pPr>
        <w:spacing w:after="0" w:line="28"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 Page to Fifth Amendment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Right of First Offer Agreement</w:t>
      </w:r>
    </w:p>
    <w:p>
      <w:pPr>
        <w:spacing w:after="0"/>
        <w:rPr>
          <w:sz w:val="20"/>
          <w:szCs w:val="20"/>
          <w:color w:val="auto"/>
        </w:rPr>
      </w:pPr>
      <w:r>
        <w:rPr>
          <w:rFonts w:ascii="Arial" w:cs="Arial" w:eastAsia="Arial" w:hAnsi="Arial"/>
          <w:sz w:val="14"/>
          <w:szCs w:val="14"/>
          <w:color w:val="auto"/>
        </w:rPr>
        <w:t>DCACTIVE-50622050.5</w:t>
      </w:r>
    </w:p>
    <w:p>
      <w:pPr>
        <w:sectPr>
          <w:pgSz w:w="11900" w:h="16838" w:orient="portrait"/>
          <w:cols w:equalWidth="0" w:num="1">
            <w:col w:w="11240"/>
          </w:cols>
          <w:pgMar w:left="320" w:top="1397" w:right="339" w:bottom="1440" w:gutter="0" w:footer="0" w:header="0"/>
        </w:sectPr>
      </w:pPr>
    </w:p>
    <w:bookmarkStart w:id="65" w:name="page66"/>
    <w:bookmarkEnd w:id="65"/>
    <w:p>
      <w:pPr>
        <w:ind w:left="10180"/>
        <w:spacing w:after="0"/>
        <w:rPr>
          <w:sz w:val="20"/>
          <w:szCs w:val="20"/>
          <w:color w:val="auto"/>
        </w:rPr>
      </w:pPr>
      <w:r>
        <w:rPr>
          <w:rFonts w:ascii="Arial" w:cs="Arial" w:eastAsia="Arial" w:hAnsi="Arial"/>
          <w:sz w:val="18"/>
          <w:szCs w:val="18"/>
          <w:b w:val="1"/>
          <w:bCs w:val="1"/>
          <w:color w:val="auto"/>
        </w:rPr>
        <w:t>EXHIBIT 22</w:t>
      </w:r>
    </w:p>
    <w:p>
      <w:pPr>
        <w:spacing w:after="0" w:line="17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LIST OF GUARANTOR SUBSIDIARIES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Clearway Energy LLC (the “Company”) is a guarantor of the 5.00% unsecured senior notes due 2026 (the “2026 Notes”) issued by Clearway Energy Operating LLC, a wholly-owned subsidiary of the Company. In addition, the following subsidiaries of the Company and Clearway Energy Operating LLC are guarantors of the 2026 Notes:</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7160" w:type="dxa"/>
            <w:vAlign w:val="bottom"/>
            <w:tcBorders>
              <w:top w:val="single" w:sz="8" w:color="969696"/>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19"/>
                <w:szCs w:val="19"/>
                <w:b w:val="1"/>
                <w:bCs w:val="1"/>
                <w:color w:val="auto"/>
              </w:rPr>
              <w:t>Name of Guarantor Subsidiary</w:t>
            </w:r>
          </w:p>
        </w:tc>
        <w:tc>
          <w:tcPr>
            <w:tcW w:w="400" w:type="dxa"/>
            <w:vAlign w:val="bottom"/>
            <w:tcBorders>
              <w:top w:val="single" w:sz="8" w:color="969696"/>
              <w:bottom w:val="single" w:sz="8" w:color="auto"/>
              <w:right w:val="single" w:sz="8" w:color="auto"/>
            </w:tcBorders>
            <w:shd w:val="clear" w:color="auto" w:fill="ACACAC"/>
          </w:tcPr>
          <w:p>
            <w:pPr>
              <w:spacing w:after="0"/>
              <w:rPr>
                <w:sz w:val="21"/>
                <w:szCs w:val="21"/>
                <w:color w:val="auto"/>
              </w:rPr>
            </w:pPr>
          </w:p>
        </w:tc>
        <w:tc>
          <w:tcPr>
            <w:tcW w:w="3620" w:type="dxa"/>
            <w:vAlign w:val="bottom"/>
            <w:tcBorders>
              <w:top w:val="single" w:sz="8" w:color="969696"/>
              <w:bottom w:val="single" w:sz="8" w:color="auto"/>
              <w:right w:val="single" w:sz="8" w:color="auto"/>
            </w:tcBorders>
            <w:shd w:val="clear" w:color="auto" w:fill="ACACAC"/>
          </w:tcPr>
          <w:p>
            <w:pPr>
              <w:spacing w:after="0"/>
              <w:rPr>
                <w:sz w:val="20"/>
                <w:szCs w:val="20"/>
                <w:color w:val="auto"/>
              </w:rPr>
            </w:pPr>
            <w:r>
              <w:rPr>
                <w:rFonts w:ascii="Arial" w:cs="Arial" w:eastAsia="Arial" w:hAnsi="Arial"/>
                <w:sz w:val="19"/>
                <w:szCs w:val="19"/>
                <w:b w:val="1"/>
                <w:bCs w:val="1"/>
                <w:color w:val="auto"/>
              </w:rPr>
              <w:t>Jurisdiction</w:t>
            </w:r>
          </w:p>
        </w:tc>
      </w:tr>
      <w:tr>
        <w:trPr>
          <w:trHeight w:val="232"/>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Alta Wind 1-5 Holding Company, LLC</w:t>
            </w:r>
          </w:p>
        </w:tc>
        <w:tc>
          <w:tcPr>
            <w:tcW w:w="40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Alta Wind Company, LLC</w:t>
            </w:r>
          </w:p>
        </w:tc>
        <w:tc>
          <w:tcPr>
            <w:tcW w:w="40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CBAD Holdings II, LLC</w:t>
            </w:r>
          </w:p>
        </w:tc>
        <w:tc>
          <w:tcPr>
            <w:tcW w:w="40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Central CA Fuel Cell 1, LLC</w:t>
            </w:r>
          </w:p>
        </w:tc>
        <w:tc>
          <w:tcPr>
            <w:tcW w:w="40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Clearway Solar Star LLC</w:t>
            </w:r>
          </w:p>
        </w:tc>
        <w:tc>
          <w:tcPr>
            <w:tcW w:w="40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CWEN Pinnacle Repowering Holdings LLC</w:t>
            </w:r>
          </w:p>
        </w:tc>
        <w:tc>
          <w:tcPr>
            <w:tcW w:w="40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CWSP Rattlesnake Holding LLC</w:t>
            </w:r>
          </w:p>
        </w:tc>
        <w:tc>
          <w:tcPr>
            <w:tcW w:w="40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Daggett Solar Holdco LLC</w:t>
            </w:r>
          </w:p>
        </w:tc>
        <w:tc>
          <w:tcPr>
            <w:tcW w:w="40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DG SREC HoldCo LLC</w:t>
            </w:r>
          </w:p>
        </w:tc>
        <w:tc>
          <w:tcPr>
            <w:tcW w:w="40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DG-CS Holdings LLC</w:t>
            </w:r>
          </w:p>
        </w:tc>
        <w:tc>
          <w:tcPr>
            <w:tcW w:w="40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DGPV Holding LLC</w:t>
            </w:r>
          </w:p>
        </w:tc>
        <w:tc>
          <w:tcPr>
            <w:tcW w:w="40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ECP Uptown Campus Holdings LLC</w:t>
            </w:r>
          </w:p>
        </w:tc>
        <w:tc>
          <w:tcPr>
            <w:tcW w:w="40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Energy Center Caguas Holdings LLC</w:t>
            </w:r>
          </w:p>
        </w:tc>
        <w:tc>
          <w:tcPr>
            <w:tcW w:w="40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Energy Center Fajardo Holdings LLC</w:t>
            </w:r>
          </w:p>
        </w:tc>
        <w:tc>
          <w:tcPr>
            <w:tcW w:w="40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Energy Center Honolulu Holdings LLC</w:t>
            </w:r>
          </w:p>
        </w:tc>
        <w:tc>
          <w:tcPr>
            <w:tcW w:w="40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Fuel Cell Holdings LLC</w:t>
            </w:r>
          </w:p>
        </w:tc>
        <w:tc>
          <w:tcPr>
            <w:tcW w:w="40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Langford Holding LLC</w:t>
            </w:r>
          </w:p>
        </w:tc>
        <w:tc>
          <w:tcPr>
            <w:tcW w:w="40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Lighthouse Renewable Holdings LLC</w:t>
            </w:r>
          </w:p>
        </w:tc>
        <w:tc>
          <w:tcPr>
            <w:tcW w:w="40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NIMH Solar Holdings LLC</w:t>
            </w:r>
          </w:p>
        </w:tc>
        <w:tc>
          <w:tcPr>
            <w:tcW w:w="40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Ocotillo Windpower Holdings LLC</w:t>
            </w:r>
          </w:p>
        </w:tc>
        <w:tc>
          <w:tcPr>
            <w:tcW w:w="40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Portfolio Solar I, LLC</w:t>
            </w:r>
          </w:p>
        </w:tc>
        <w:tc>
          <w:tcPr>
            <w:tcW w:w="40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Rosamond Solar Holdco LLC</w:t>
            </w:r>
          </w:p>
        </w:tc>
        <w:tc>
          <w:tcPr>
            <w:tcW w:w="40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RPV Holding LLC</w:t>
            </w:r>
          </w:p>
        </w:tc>
        <w:tc>
          <w:tcPr>
            <w:tcW w:w="40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Solar Flagstaff One LLC</w:t>
            </w:r>
          </w:p>
        </w:tc>
        <w:tc>
          <w:tcPr>
            <w:tcW w:w="40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Solar Iguana LLC</w:t>
            </w:r>
          </w:p>
        </w:tc>
        <w:tc>
          <w:tcPr>
            <w:tcW w:w="40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Solar Las Vegas MB 1 LLC</w:t>
            </w:r>
          </w:p>
        </w:tc>
        <w:tc>
          <w:tcPr>
            <w:tcW w:w="40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Solar Tabernacle LLC</w:t>
            </w:r>
          </w:p>
        </w:tc>
        <w:tc>
          <w:tcPr>
            <w:tcW w:w="40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South Trent Holdings LLC</w:t>
            </w:r>
          </w:p>
        </w:tc>
        <w:tc>
          <w:tcPr>
            <w:tcW w:w="40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SPP Asset Holdings, LLC</w:t>
            </w:r>
          </w:p>
        </w:tc>
        <w:tc>
          <w:tcPr>
            <w:tcW w:w="40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SPP Fund II Holdings, LLC</w:t>
            </w:r>
          </w:p>
        </w:tc>
        <w:tc>
          <w:tcPr>
            <w:tcW w:w="40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SPP Fund II, LLC</w:t>
            </w:r>
          </w:p>
        </w:tc>
        <w:tc>
          <w:tcPr>
            <w:tcW w:w="40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SPP Fund II-B, LLC</w:t>
            </w:r>
          </w:p>
        </w:tc>
        <w:tc>
          <w:tcPr>
            <w:tcW w:w="40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SPP Fund III, LLC</w:t>
            </w:r>
          </w:p>
        </w:tc>
        <w:tc>
          <w:tcPr>
            <w:tcW w:w="40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Thermal Canada Infrastructure Holdings LLC</w:t>
            </w:r>
          </w:p>
        </w:tc>
        <w:tc>
          <w:tcPr>
            <w:tcW w:w="40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Thermal Hawaii Development Holdings LLC</w:t>
            </w:r>
          </w:p>
        </w:tc>
        <w:tc>
          <w:tcPr>
            <w:tcW w:w="40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Thermal Infrastructure Development Holdings LLC</w:t>
            </w:r>
          </w:p>
        </w:tc>
        <w:tc>
          <w:tcPr>
            <w:tcW w:w="40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UB Fuel Cell, LLC</w:t>
            </w:r>
          </w:p>
        </w:tc>
        <w:tc>
          <w:tcPr>
            <w:tcW w:w="40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Connecticut</w:t>
            </w:r>
          </w:p>
        </w:tc>
      </w:tr>
      <w:tr>
        <w:trPr>
          <w:trHeight w:val="232"/>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9"/>
                <w:szCs w:val="19"/>
                <w:color w:val="auto"/>
              </w:rPr>
              <w:t>Utah Solar Master HoldCo LLC</w:t>
            </w:r>
          </w:p>
        </w:tc>
        <w:tc>
          <w:tcPr>
            <w:tcW w:w="400" w:type="dxa"/>
            <w:vAlign w:val="bottom"/>
            <w:tcBorders>
              <w:bottom w:val="single" w:sz="8" w:color="auto"/>
              <w:right w:val="single" w:sz="8" w:color="auto"/>
            </w:tcBorders>
            <w:shd w:val="clear" w:color="auto" w:fill="CCEEFF"/>
          </w:tcPr>
          <w:p>
            <w:pPr>
              <w:spacing w:after="0"/>
              <w:rPr>
                <w:sz w:val="20"/>
                <w:szCs w:val="20"/>
                <w:color w:val="auto"/>
              </w:rPr>
            </w:pPr>
          </w:p>
        </w:tc>
        <w:tc>
          <w:tcPr>
            <w:tcW w:w="36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9"/>
                <w:szCs w:val="19"/>
                <w:color w:val="auto"/>
              </w:rPr>
              <w:t>Delaware</w:t>
            </w:r>
          </w:p>
        </w:tc>
      </w:tr>
      <w:tr>
        <w:trPr>
          <w:trHeight w:val="232"/>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WV Wind Holdings LLC</w:t>
            </w:r>
          </w:p>
        </w:tc>
        <w:tc>
          <w:tcPr>
            <w:tcW w:w="40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Delaware</w:t>
            </w:r>
          </w:p>
        </w:tc>
      </w:tr>
    </w:tbl>
    <w:p>
      <w:pPr>
        <w:sectPr>
          <w:pgSz w:w="11900" w:h="16838" w:orient="portrait"/>
          <w:cols w:equalWidth="0" w:num="1">
            <w:col w:w="11180"/>
          </w:cols>
          <w:pgMar w:left="400" w:top="161" w:right="31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36" w:lineRule="exact"/>
        <w:rPr>
          <w:sz w:val="20"/>
          <w:szCs w:val="20"/>
          <w:color w:val="auto"/>
        </w:rPr>
      </w:pPr>
    </w:p>
    <w:p>
      <w:pPr>
        <w:ind w:left="640" w:hanging="634"/>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17" w:lineRule="exact"/>
        <w:rPr>
          <w:rFonts w:ascii="Arial" w:cs="Arial" w:eastAsia="Arial" w:hAnsi="Arial"/>
          <w:sz w:val="18"/>
          <w:szCs w:val="18"/>
          <w:color w:val="auto"/>
        </w:rPr>
      </w:pPr>
    </w:p>
    <w:p>
      <w:pPr>
        <w:jc w:val="both"/>
        <w:ind w:left="640" w:hanging="634"/>
        <w:spacing w:after="0" w:line="255"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640" w:hanging="634"/>
        <w:spacing w:after="0" w:line="294"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jc w:val="both"/>
        <w:ind w:left="640" w:hanging="634"/>
        <w:spacing w:after="0" w:line="255"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jc w:val="both"/>
        <w:ind w:left="1280" w:hanging="638"/>
        <w:spacing w:after="0" w:line="255" w:lineRule="auto"/>
        <w:tabs>
          <w:tab w:leader="none" w:pos="127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1280" w:hanging="638"/>
        <w:spacing w:after="0" w:line="255" w:lineRule="auto"/>
        <w:tabs>
          <w:tab w:leader="none" w:pos="127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1280" w:hanging="638"/>
        <w:spacing w:after="0" w:line="365" w:lineRule="auto"/>
        <w:tabs>
          <w:tab w:leader="none" w:pos="1277"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jc w:val="both"/>
        <w:ind w:left="1280" w:hanging="638"/>
        <w:spacing w:after="0" w:line="255" w:lineRule="auto"/>
        <w:tabs>
          <w:tab w:leader="none" w:pos="127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640" w:hanging="634"/>
        <w:spacing w:after="0" w:line="294"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7"/>
          <w:szCs w:val="17"/>
          <w:color w:val="auto"/>
        </w:rPr>
      </w:pPr>
    </w:p>
    <w:p>
      <w:pPr>
        <w:ind w:left="1280" w:hanging="638"/>
        <w:spacing w:after="0" w:line="294" w:lineRule="auto"/>
        <w:tabs>
          <w:tab w:leader="none" w:pos="1277"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left="1280" w:hanging="638"/>
        <w:spacing w:after="0" w:line="264" w:lineRule="auto"/>
        <w:tabs>
          <w:tab w:leader="none" w:pos="127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10795</wp:posOffset>
            </wp:positionV>
            <wp:extent cx="17754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1775460" cy="8255"/>
                    </a:xfrm>
                    <a:prstGeom prst="rect">
                      <a:avLst/>
                    </a:prstGeom>
                    <a:noFill/>
                  </pic:spPr>
                </pic:pic>
              </a:graphicData>
            </a:graphic>
          </wp:anchor>
        </w:drawing>
      </w:r>
    </w:p>
    <w:p>
      <w:pPr>
        <w:ind w:left="6920"/>
        <w:spacing w:after="0"/>
        <w:rPr>
          <w:sz w:val="20"/>
          <w:szCs w:val="20"/>
          <w:color w:val="auto"/>
        </w:rPr>
      </w:pPr>
      <w:r>
        <w:rPr>
          <w:rFonts w:ascii="Arial" w:cs="Arial" w:eastAsia="Arial" w:hAnsi="Arial"/>
          <w:sz w:val="18"/>
          <w:szCs w:val="18"/>
          <w:color w:val="auto"/>
        </w:rPr>
        <w:t>Christopher S. Sotos</w:t>
      </w:r>
    </w:p>
    <w:p>
      <w:pPr>
        <w:ind w:left="6920"/>
        <w:spacing w:after="0" w:line="199"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ind w:left="6920"/>
        <w:spacing w:after="0"/>
        <w:rPr>
          <w:sz w:val="20"/>
          <w:szCs w:val="20"/>
          <w:color w:val="auto"/>
        </w:rPr>
      </w:pPr>
      <w:r>
        <w:rPr>
          <w:rFonts w:ascii="Arial" w:cs="Arial" w:eastAsia="Arial" w:hAnsi="Arial"/>
          <w:sz w:val="18"/>
          <w:szCs w:val="18"/>
          <w:i w:val="1"/>
          <w:iCs w:val="1"/>
          <w:color w:val="auto"/>
        </w:rPr>
        <w:t>(Principal Executive Officer)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ectPr>
          <w:pgSz w:w="11900" w:h="16838" w:orient="portrait"/>
          <w:cols w:equalWidth="0" w:num="1">
            <w:col w:w="11240"/>
          </w:cols>
          <w:pgMar w:left="320" w:top="969"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36" w:lineRule="exact"/>
        <w:rPr>
          <w:sz w:val="20"/>
          <w:szCs w:val="20"/>
          <w:color w:val="auto"/>
        </w:rPr>
      </w:pPr>
    </w:p>
    <w:p>
      <w:pPr>
        <w:ind w:left="640" w:hanging="634"/>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17" w:lineRule="exact"/>
        <w:rPr>
          <w:rFonts w:ascii="Arial" w:cs="Arial" w:eastAsia="Arial" w:hAnsi="Arial"/>
          <w:sz w:val="18"/>
          <w:szCs w:val="18"/>
          <w:color w:val="auto"/>
        </w:rPr>
      </w:pPr>
    </w:p>
    <w:p>
      <w:pPr>
        <w:jc w:val="both"/>
        <w:ind w:left="640" w:hanging="634"/>
        <w:spacing w:after="0" w:line="255"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640" w:hanging="634"/>
        <w:spacing w:after="0" w:line="294"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jc w:val="both"/>
        <w:ind w:left="640" w:hanging="634"/>
        <w:spacing w:after="0" w:line="255"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jc w:val="both"/>
        <w:ind w:left="1280" w:hanging="638"/>
        <w:spacing w:after="0" w:line="255" w:lineRule="auto"/>
        <w:tabs>
          <w:tab w:leader="none" w:pos="127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1280" w:hanging="638"/>
        <w:spacing w:after="0" w:line="255" w:lineRule="auto"/>
        <w:tabs>
          <w:tab w:leader="none" w:pos="127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1280" w:hanging="638"/>
        <w:spacing w:after="0" w:line="365" w:lineRule="auto"/>
        <w:tabs>
          <w:tab w:leader="none" w:pos="1277" w:val="left"/>
        </w:tabs>
        <w:numPr>
          <w:ilvl w:val="1"/>
          <w:numId w:val="3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jc w:val="both"/>
        <w:ind w:left="1280" w:hanging="638"/>
        <w:spacing w:after="0" w:line="255" w:lineRule="auto"/>
        <w:tabs>
          <w:tab w:leader="none" w:pos="127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640" w:hanging="634"/>
        <w:spacing w:after="0" w:line="294"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7"/>
          <w:szCs w:val="17"/>
          <w:color w:val="auto"/>
        </w:rPr>
      </w:pPr>
    </w:p>
    <w:p>
      <w:pPr>
        <w:ind w:left="1280" w:hanging="638"/>
        <w:spacing w:after="0" w:line="294" w:lineRule="auto"/>
        <w:tabs>
          <w:tab w:leader="none" w:pos="1277"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left="1280" w:hanging="638"/>
        <w:spacing w:after="0" w:line="264" w:lineRule="auto"/>
        <w:tabs>
          <w:tab w:leader="none" w:pos="127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rolein the registrant's internal control over financial reporting.</w:t>
      </w:r>
    </w:p>
    <w:p>
      <w:pPr>
        <w:spacing w:after="0" w:line="220"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10795</wp:posOffset>
            </wp:positionV>
            <wp:extent cx="18510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1851025" cy="8255"/>
                    </a:xfrm>
                    <a:prstGeom prst="rect">
                      <a:avLst/>
                    </a:prstGeom>
                    <a:noFill/>
                  </pic:spPr>
                </pic:pic>
              </a:graphicData>
            </a:graphic>
          </wp:anchor>
        </w:drawing>
      </w:r>
    </w:p>
    <w:p>
      <w:pPr>
        <w:ind w:left="6800"/>
        <w:spacing w:after="0"/>
        <w:rPr>
          <w:sz w:val="20"/>
          <w:szCs w:val="20"/>
          <w:color w:val="auto"/>
        </w:rPr>
      </w:pPr>
      <w:r>
        <w:rPr>
          <w:rFonts w:ascii="Arial" w:cs="Arial" w:eastAsia="Arial" w:hAnsi="Arial"/>
          <w:sz w:val="18"/>
          <w:szCs w:val="18"/>
          <w:color w:val="auto"/>
        </w:rPr>
        <w:t>Chad Plotkin</w:t>
      </w:r>
    </w:p>
    <w:p>
      <w:pPr>
        <w:ind w:left="6800"/>
        <w:spacing w:after="0" w:line="199"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8"/>
          <w:szCs w:val="18"/>
          <w:i w:val="1"/>
          <w:iCs w:val="1"/>
          <w:color w:val="auto"/>
        </w:rPr>
        <w:t>(Principal Financial Officer)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ectPr>
          <w:pgSz w:w="11900" w:h="16838" w:orient="portrait"/>
          <w:cols w:equalWidth="0" w:num="1">
            <w:col w:w="11240"/>
          </w:cols>
          <w:pgMar w:left="320" w:top="969"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31.3</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I, Sarah Rubenstein, certify that:</w:t>
      </w:r>
    </w:p>
    <w:p>
      <w:pPr>
        <w:spacing w:after="0" w:line="336" w:lineRule="exact"/>
        <w:rPr>
          <w:sz w:val="20"/>
          <w:szCs w:val="20"/>
          <w:color w:val="auto"/>
        </w:rPr>
      </w:pPr>
    </w:p>
    <w:p>
      <w:pPr>
        <w:ind w:left="640" w:hanging="634"/>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17" w:lineRule="exact"/>
        <w:rPr>
          <w:rFonts w:ascii="Arial" w:cs="Arial" w:eastAsia="Arial" w:hAnsi="Arial"/>
          <w:sz w:val="18"/>
          <w:szCs w:val="18"/>
          <w:color w:val="auto"/>
        </w:rPr>
      </w:pPr>
    </w:p>
    <w:p>
      <w:pPr>
        <w:jc w:val="both"/>
        <w:ind w:left="640" w:hanging="634"/>
        <w:spacing w:after="0" w:line="255"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640" w:hanging="634"/>
        <w:spacing w:after="0" w:line="294" w:lineRule="auto"/>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jc w:val="both"/>
        <w:ind w:left="640" w:hanging="634"/>
        <w:spacing w:after="0" w:line="255"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jc w:val="both"/>
        <w:ind w:left="1280" w:hanging="638"/>
        <w:spacing w:after="0" w:line="255" w:lineRule="auto"/>
        <w:tabs>
          <w:tab w:leader="none" w:pos="127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1280" w:hanging="638"/>
        <w:spacing w:after="0" w:line="255" w:lineRule="auto"/>
        <w:tabs>
          <w:tab w:leader="none" w:pos="127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1280" w:hanging="638"/>
        <w:spacing w:after="0" w:line="365" w:lineRule="auto"/>
        <w:tabs>
          <w:tab w:leader="none" w:pos="1277"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jc w:val="both"/>
        <w:ind w:left="1280" w:hanging="638"/>
        <w:spacing w:after="0" w:line="255" w:lineRule="auto"/>
        <w:tabs>
          <w:tab w:leader="none" w:pos="127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640" w:hanging="634"/>
        <w:spacing w:after="0" w:line="294" w:lineRule="auto"/>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7"/>
          <w:szCs w:val="17"/>
          <w:color w:val="auto"/>
        </w:rPr>
      </w:pPr>
    </w:p>
    <w:p>
      <w:pPr>
        <w:ind w:left="1280" w:hanging="638"/>
        <w:spacing w:after="0" w:line="294" w:lineRule="auto"/>
        <w:tabs>
          <w:tab w:leader="none" w:pos="1277"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left="1280" w:hanging="638"/>
        <w:spacing w:after="0" w:line="264" w:lineRule="auto"/>
        <w:tabs>
          <w:tab w:leader="none" w:pos="127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10795</wp:posOffset>
            </wp:positionV>
            <wp:extent cx="16910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1691005" cy="8255"/>
                    </a:xfrm>
                    <a:prstGeom prst="rect">
                      <a:avLst/>
                    </a:prstGeom>
                    <a:noFill/>
                  </pic:spPr>
                </pic:pic>
              </a:graphicData>
            </a:graphic>
          </wp:anchor>
        </w:drawing>
      </w:r>
    </w:p>
    <w:p>
      <w:pPr>
        <w:ind w:left="7220"/>
        <w:spacing w:after="0"/>
        <w:rPr>
          <w:sz w:val="20"/>
          <w:szCs w:val="20"/>
          <w:color w:val="auto"/>
        </w:rPr>
      </w:pPr>
      <w:r>
        <w:rPr>
          <w:rFonts w:ascii="Arial" w:cs="Arial" w:eastAsia="Arial" w:hAnsi="Arial"/>
          <w:sz w:val="18"/>
          <w:szCs w:val="18"/>
          <w:color w:val="auto"/>
        </w:rPr>
        <w:t>Sarah Rubenstein</w:t>
      </w:r>
    </w:p>
    <w:p>
      <w:pPr>
        <w:ind w:left="7220"/>
        <w:spacing w:after="0" w:line="199" w:lineRule="auto"/>
        <w:rPr>
          <w:sz w:val="20"/>
          <w:szCs w:val="20"/>
          <w:color w:val="auto"/>
        </w:rPr>
      </w:pPr>
      <w:r>
        <w:rPr>
          <w:rFonts w:ascii="Arial" w:cs="Arial" w:eastAsia="Arial" w:hAnsi="Arial"/>
          <w:sz w:val="18"/>
          <w:szCs w:val="18"/>
          <w:i w:val="1"/>
          <w:iCs w:val="1"/>
          <w:color w:val="auto"/>
        </w:rPr>
        <w:t>Vice President, Accounting &amp; Controller</w:t>
      </w:r>
    </w:p>
    <w:p>
      <w:pPr>
        <w:spacing w:after="0" w:line="1"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(Principal Accounting Officer)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ectPr>
          <w:pgSz w:w="11900" w:h="16838" w:orient="portrait"/>
          <w:cols w:equalWidth="0" w:num="1">
            <w:col w:w="11240"/>
          </w:cols>
          <w:pgMar w:left="320" w:top="876"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connection with the Quarterly Report of Clearway Energy LLC on Form 10-Q for the quarter ended June 30, 2021,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2"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58" w:lineRule="exact"/>
        <w:rPr>
          <w:rFonts w:ascii="Arial" w:cs="Arial" w:eastAsia="Arial" w:hAnsi="Arial"/>
          <w:sz w:val="18"/>
          <w:szCs w:val="18"/>
          <w:color w:val="auto"/>
        </w:rPr>
      </w:pPr>
    </w:p>
    <w:p>
      <w:pPr>
        <w:ind w:left="640" w:hanging="316"/>
        <w:spacing w:after="0" w:line="264" w:lineRule="auto"/>
        <w:tabs>
          <w:tab w:leader="none" w:pos="6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9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10795</wp:posOffset>
            </wp:positionV>
            <wp:extent cx="24314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1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Christopher S. Sotos</w:t>
      </w:r>
    </w:p>
    <w:p>
      <w:pPr>
        <w:ind w:left="5860"/>
        <w:spacing w:after="0" w:line="237" w:lineRule="auto"/>
        <w:rPr>
          <w:sz w:val="20"/>
          <w:szCs w:val="20"/>
          <w:color w:val="auto"/>
        </w:rPr>
      </w:pPr>
      <w:r>
        <w:rPr>
          <w:rFonts w:ascii="Arial" w:cs="Arial" w:eastAsia="Arial" w:hAnsi="Arial"/>
          <w:sz w:val="18"/>
          <w:szCs w:val="18"/>
          <w:i w:val="1"/>
          <w:iCs w:val="1"/>
          <w:color w:val="auto"/>
        </w:rPr>
        <w:t>Chief Executive Officer</w:t>
      </w:r>
    </w:p>
    <w:p>
      <w:pPr>
        <w:ind w:left="58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5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10795</wp:posOffset>
            </wp:positionV>
            <wp:extent cx="24314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1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Chad Plotkin</w:t>
      </w:r>
    </w:p>
    <w:p>
      <w:pPr>
        <w:ind w:left="5860"/>
        <w:spacing w:after="0" w:line="237" w:lineRule="auto"/>
        <w:rPr>
          <w:sz w:val="20"/>
          <w:szCs w:val="20"/>
          <w:color w:val="auto"/>
        </w:rPr>
      </w:pPr>
      <w:r>
        <w:rPr>
          <w:rFonts w:ascii="Arial" w:cs="Arial" w:eastAsia="Arial" w:hAnsi="Arial"/>
          <w:sz w:val="18"/>
          <w:szCs w:val="18"/>
          <w:i w:val="1"/>
          <w:iCs w:val="1"/>
          <w:color w:val="auto"/>
        </w:rPr>
        <w:t>Chief Financial Officer</w:t>
      </w:r>
    </w:p>
    <w:p>
      <w:pPr>
        <w:ind w:left="586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10795</wp:posOffset>
            </wp:positionV>
            <wp:extent cx="24314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1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Sarah Rubenstein</w:t>
      </w:r>
    </w:p>
    <w:p>
      <w:pPr>
        <w:ind w:left="5860"/>
        <w:spacing w:after="0" w:line="237" w:lineRule="auto"/>
        <w:rPr>
          <w:sz w:val="20"/>
          <w:szCs w:val="20"/>
          <w:color w:val="auto"/>
        </w:rPr>
      </w:pPr>
      <w:r>
        <w:rPr>
          <w:rFonts w:ascii="Arial" w:cs="Arial" w:eastAsia="Arial" w:hAnsi="Arial"/>
          <w:sz w:val="18"/>
          <w:szCs w:val="18"/>
          <w:i w:val="1"/>
          <w:iCs w:val="1"/>
          <w:color w:val="auto"/>
        </w:rPr>
        <w:t>Vice President, Accounting &amp; Controller</w:t>
      </w:r>
    </w:p>
    <w:p>
      <w:pPr>
        <w:ind w:left="586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6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2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lowerLetter"/>
      <w:start w:val="1"/>
    </w:lvl>
  </w:abstractNum>
  <w:abstractNum w:abstractNumId="4">
    <w:nsid w:val="257130A3"/>
    <w:multiLevelType w:val="hybridMultilevel"/>
    <w:lvl w:ilvl="0">
      <w:lvlJc w:val="left"/>
      <w:lvlText w:val="(%1)"/>
      <w:numFmt w:val="lowerLetter"/>
      <w:start w:val="1"/>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lowerLetter"/>
      <w:start w:val="2"/>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1)"/>
      <w:numFmt w:val="lowerLetter"/>
      <w:start w:val="4"/>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emdash "/>
      <w:numFmt w:val="bullet"/>
      <w:start w:val="1"/>
    </w:lvl>
  </w:abstractNum>
  <w:abstractNum w:abstractNumId="27">
    <w:nsid w:val="7C3DBD3D"/>
    <w:multiLevelType w:val="hybridMultilevel"/>
    <w:lvl w:ilvl="0">
      <w:lvlJc w:val="left"/>
      <w:lvlText w:val="%1"/>
      <w:numFmt w:val="decimal"/>
      <w:start w:val="22"/>
    </w:lvl>
  </w:abstractNum>
  <w:abstractNum w:abstractNumId="28">
    <w:nsid w:val="737B8DDC"/>
    <w:multiLevelType w:val="hybridMultilevel"/>
    <w:lvl w:ilvl="0">
      <w:lvlJc w:val="left"/>
      <w:lvlText w:val="%1"/>
      <w:numFmt w:val="decimal"/>
      <w:start w:val="32"/>
    </w:lvl>
  </w:abstractNum>
  <w:abstractNum w:abstractNumId="29">
    <w:nsid w:val="6CEAF087"/>
    <w:multiLevelType w:val="hybridMultilevel"/>
    <w:lvl w:ilvl="0">
      <w:lvlJc w:val="left"/>
      <w:lvlText w:val="%1"/>
      <w:numFmt w:val="decimal"/>
      <w:start w:val="104"/>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84" Type="http://schemas.openxmlformats.org/officeDocument/2006/relationships/hyperlink" Target="https://www.sec.gov/Archives/edgar/data/1567683/000110465921069314/tm2116590d1_ex4-1.htm" TargetMode="External"/><Relationship Id="rId85" Type="http://schemas.openxmlformats.org/officeDocument/2006/relationships/hyperlink" Target="https://www.sec.gov/Archives/edgar/data/1567683/000110465921069314/tm2116590d1_ex4-2.htm" TargetMode="External"/><Relationship Id="rId86" Type="http://schemas.openxmlformats.org/officeDocument/2006/relationships/hyperlink" Target="https://www.sec.gov/Archives/edgar/data/1567683/000110465921069314/tm2116590d1_ex4-3.htm" TargetMode="External"/><Relationship Id="rId87" Type="http://schemas.openxmlformats.org/officeDocument/2006/relationships/hyperlink" Target="http://www.sec.gov/Archives/edgar/data/0001637757/000110465921061064/tm211517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2021-08-03T10:53:26Z</dcterms:created>
  <dcterms:modified xsi:type="dcterms:W3CDTF">2021-08-03T10:53:26Z</dcterms:modified>
</cp:coreProperties>
</file>