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Malcarney Kevin P.</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Clearway Energy,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12/02/2019</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63"/>
        <w:spacing w:after="0"/>
        <w:rPr>
          <w:sz w:val="20"/>
          <w:szCs w:val="20"/>
          <w:color w:val="auto"/>
        </w:rPr>
      </w:pPr>
      <w:r>
        <w:rPr>
          <w:rFonts w:ascii="Times New Roman" w:cs="Times New Roman" w:eastAsia="Times New Roman" w:hAnsi="Times New Roman"/>
          <w:sz w:val="18"/>
          <w:szCs w:val="18"/>
          <w:color w:val="0000FF"/>
        </w:rPr>
        <w:t>SVP, Gen Counsel and Corp Secr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52"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PRINCETON</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99"/>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0" w:type="dxa"/>
            <w:vAlign w:val="bottom"/>
            <w:tcBorders>
              <w:bottom w:val="single" w:sz="8" w:color="2C2C2C"/>
            </w:tcBorders>
            <w:gridSpan w:val="6"/>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339</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008000"/>
                <w:w w:val="93"/>
              </w:rPr>
              <w:t>(1)</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color w:val="0000FF"/>
              </w:rPr>
              <w:t>43,365</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27" w:lineRule="exact"/>
        <w:rPr>
          <w:rFonts w:ascii="Times New Roman" w:cs="Times New Roman" w:eastAsia="Times New Roman" w:hAnsi="Times New Roman"/>
          <w:sz w:val="14"/>
          <w:szCs w:val="14"/>
          <w:color w:val="008000"/>
        </w:rPr>
      </w:pPr>
    </w:p>
    <w:p>
      <w:pPr>
        <w:ind w:left="40" w:right="2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2,309 dividend equivalent rights that may only be settled in Class C Common Stock. There has been a de minimus adjustment of 1 share to the number of dividend equivalent rights as a result of rounding fractional shares.</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Kevin P. Malcarney</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12/04/2019</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2019-12-04T16:11:28Z</dcterms:created>
  <dcterms:modified xsi:type="dcterms:W3CDTF">2019-12-04T16:11:28Z</dcterms:modified>
</cp:coreProperties>
</file>