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7439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439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Malcarney Kevin P.</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01/02/2022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85"/>
        <w:spacing w:after="0"/>
        <w:rPr>
          <w:sz w:val="20"/>
          <w:szCs w:val="20"/>
          <w:color w:val="auto"/>
        </w:rPr>
      </w:pPr>
      <w:r>
        <w:rPr>
          <w:rFonts w:ascii="Arial" w:cs="Arial" w:eastAsia="Arial" w:hAnsi="Arial"/>
          <w:sz w:val="14"/>
          <w:szCs w:val="14"/>
          <w:color w:val="0000FF"/>
        </w:rPr>
        <w:t>SVP, Gen Counsel and Corp Secr</w:t>
      </w:r>
    </w:p>
    <w:p>
      <w:pPr>
        <w:spacing w:after="0" w:line="417" w:lineRule="exact"/>
        <w:rPr>
          <w:sz w:val="24"/>
          <w:szCs w:val="24"/>
          <w:color w:val="auto"/>
        </w:rPr>
      </w:pPr>
    </w:p>
    <w:p>
      <w:pPr>
        <w:sectPr>
          <w:pgSz w:w="11900" w:h="16838" w:orient="portrait"/>
          <w:cols w:equalWidth="0" w:num="3">
            <w:col w:w="3180" w:space="720"/>
            <w:col w:w="3115" w:space="720"/>
            <w:col w:w="3345"/>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20" w:type="dxa"/>
            <w:vAlign w:val="bottom"/>
            <w:gridSpan w:val="6"/>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6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NJ</w:t>
            </w:r>
          </w:p>
        </w:tc>
        <w:tc>
          <w:tcPr>
            <w:tcW w:w="9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08540</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ind w:left="24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9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3"/>
          </w:tcPr>
          <w:p>
            <w:pPr>
              <w:jc w:val="center"/>
              <w:ind w:left="47"/>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30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86"/>
              </w:rPr>
              <w:t>01/02/2022</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219"/>
              <w:spacing w:after="0"/>
              <w:rPr>
                <w:sz w:val="20"/>
                <w:szCs w:val="20"/>
                <w:color w:val="auto"/>
              </w:rPr>
            </w:pPr>
            <w:r>
              <w:rPr>
                <w:rFonts w:ascii="Arial" w:cs="Arial" w:eastAsia="Arial" w:hAnsi="Arial"/>
                <w:sz w:val="13"/>
                <w:szCs w:val="13"/>
                <w:color w:val="0000FF"/>
                <w:w w:val="74"/>
              </w:rPr>
              <w:t>F</w:t>
            </w:r>
          </w:p>
        </w:tc>
        <w:tc>
          <w:tcPr>
            <w:tcW w:w="700" w:type="dxa"/>
            <w:vAlign w:val="bottom"/>
            <w:vMerge w:val="restart"/>
          </w:tcPr>
          <w:p>
            <w:pPr>
              <w:jc w:val="center"/>
              <w:ind w:left="153"/>
              <w:spacing w:after="0"/>
              <w:rPr>
                <w:sz w:val="20"/>
                <w:szCs w:val="20"/>
                <w:color w:val="auto"/>
              </w:rPr>
            </w:pPr>
            <w:r>
              <w:rPr>
                <w:rFonts w:ascii="Arial" w:cs="Arial" w:eastAsia="Arial" w:hAnsi="Arial"/>
                <w:sz w:val="17"/>
                <w:szCs w:val="17"/>
                <w:color w:val="0000FF"/>
                <w:w w:val="84"/>
              </w:rPr>
              <w:t>1,146</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ind w:left="57"/>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44,492</w:t>
            </w:r>
            <w:r>
              <w:rPr>
                <w:rFonts w:ascii="Arial" w:cs="Arial" w:eastAsia="Arial" w:hAnsi="Arial"/>
                <w:sz w:val="21"/>
                <w:szCs w:val="21"/>
                <w:color w:val="008000"/>
                <w:w w:val="83"/>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30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86"/>
              </w:rPr>
              <w:t>01/02/2022</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219"/>
              <w:spacing w:after="0"/>
              <w:rPr>
                <w:sz w:val="20"/>
                <w:szCs w:val="20"/>
                <w:color w:val="auto"/>
              </w:rPr>
            </w:pPr>
            <w:r>
              <w:rPr>
                <w:rFonts w:ascii="Arial" w:cs="Arial" w:eastAsia="Arial" w:hAnsi="Arial"/>
                <w:sz w:val="13"/>
                <w:szCs w:val="13"/>
                <w:color w:val="0000FF"/>
                <w:w w:val="91"/>
              </w:rPr>
              <w:t>M</w:t>
            </w:r>
          </w:p>
        </w:tc>
        <w:tc>
          <w:tcPr>
            <w:tcW w:w="700" w:type="dxa"/>
            <w:vAlign w:val="bottom"/>
            <w:vMerge w:val="restart"/>
          </w:tcPr>
          <w:p>
            <w:pPr>
              <w:jc w:val="center"/>
              <w:ind w:left="173"/>
              <w:spacing w:after="0"/>
              <w:rPr>
                <w:sz w:val="20"/>
                <w:szCs w:val="20"/>
                <w:color w:val="auto"/>
              </w:rPr>
            </w:pPr>
            <w:r>
              <w:rPr>
                <w:rFonts w:ascii="Arial" w:cs="Arial" w:eastAsia="Arial" w:hAnsi="Arial"/>
                <w:sz w:val="17"/>
                <w:szCs w:val="17"/>
                <w:color w:val="0000FF"/>
                <w:w w:val="88"/>
              </w:rPr>
              <w:t>16,107</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ind w:left="57"/>
              <w:spacing w:after="0"/>
              <w:rPr>
                <w:sz w:val="20"/>
                <w:szCs w:val="20"/>
                <w:color w:val="auto"/>
              </w:rPr>
            </w:pPr>
            <w:r>
              <w:rPr>
                <w:rFonts w:ascii="Arial" w:cs="Arial" w:eastAsia="Arial" w:hAnsi="Arial"/>
                <w:sz w:val="11"/>
                <w:szCs w:val="11"/>
                <w:color w:val="008000"/>
                <w:w w:val="96"/>
              </w:rPr>
              <w:t>(3)(4)</w:t>
            </w: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60,599</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30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86"/>
              </w:rPr>
              <w:t>01/02/2022</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219"/>
              <w:spacing w:after="0"/>
              <w:rPr>
                <w:sz w:val="20"/>
                <w:szCs w:val="20"/>
                <w:color w:val="auto"/>
              </w:rPr>
            </w:pPr>
            <w:r>
              <w:rPr>
                <w:rFonts w:ascii="Arial" w:cs="Arial" w:eastAsia="Arial" w:hAnsi="Arial"/>
                <w:sz w:val="13"/>
                <w:szCs w:val="13"/>
                <w:color w:val="0000FF"/>
                <w:w w:val="91"/>
              </w:rPr>
              <w:t>M</w:t>
            </w:r>
          </w:p>
        </w:tc>
        <w:tc>
          <w:tcPr>
            <w:tcW w:w="700" w:type="dxa"/>
            <w:vAlign w:val="bottom"/>
            <w:vMerge w:val="restart"/>
          </w:tcPr>
          <w:p>
            <w:pPr>
              <w:jc w:val="right"/>
              <w:ind w:right="53"/>
              <w:spacing w:after="0"/>
              <w:rPr>
                <w:sz w:val="20"/>
                <w:szCs w:val="20"/>
                <w:color w:val="auto"/>
              </w:rPr>
            </w:pPr>
            <w:r>
              <w:rPr>
                <w:rFonts w:ascii="Arial" w:cs="Arial" w:eastAsia="Arial" w:hAnsi="Arial"/>
                <w:sz w:val="17"/>
                <w:szCs w:val="17"/>
                <w:color w:val="0000FF"/>
              </w:rPr>
              <w:t>766</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ind w:left="57"/>
              <w:spacing w:after="0"/>
              <w:rPr>
                <w:sz w:val="20"/>
                <w:szCs w:val="20"/>
                <w:color w:val="auto"/>
              </w:rPr>
            </w:pPr>
            <w:r>
              <w:rPr>
                <w:rFonts w:ascii="Arial" w:cs="Arial" w:eastAsia="Arial" w:hAnsi="Arial"/>
                <w:sz w:val="11"/>
                <w:szCs w:val="11"/>
                <w:color w:val="008000"/>
              </w:rPr>
              <w:t>(5)</w:t>
            </w: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61,365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30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86"/>
              </w:rPr>
              <w:t>01/02/2022</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219"/>
              <w:spacing w:after="0"/>
              <w:rPr>
                <w:sz w:val="20"/>
                <w:szCs w:val="20"/>
                <w:color w:val="auto"/>
              </w:rPr>
            </w:pPr>
            <w:r>
              <w:rPr>
                <w:rFonts w:ascii="Arial" w:cs="Arial" w:eastAsia="Arial" w:hAnsi="Arial"/>
                <w:sz w:val="13"/>
                <w:szCs w:val="13"/>
                <w:color w:val="0000FF"/>
              </w:rPr>
              <w:t>D</w:t>
            </w:r>
          </w:p>
        </w:tc>
        <w:tc>
          <w:tcPr>
            <w:tcW w:w="700" w:type="dxa"/>
            <w:vAlign w:val="bottom"/>
            <w:vMerge w:val="restart"/>
          </w:tcPr>
          <w:p>
            <w:pPr>
              <w:jc w:val="center"/>
              <w:ind w:left="153"/>
              <w:spacing w:after="0"/>
              <w:rPr>
                <w:sz w:val="20"/>
                <w:szCs w:val="20"/>
                <w:color w:val="auto"/>
              </w:rPr>
            </w:pPr>
            <w:r>
              <w:rPr>
                <w:rFonts w:ascii="Arial" w:cs="Arial" w:eastAsia="Arial" w:hAnsi="Arial"/>
                <w:sz w:val="17"/>
                <w:szCs w:val="17"/>
                <w:color w:val="0000FF"/>
                <w:w w:val="84"/>
              </w:rPr>
              <w:t>8,818</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center"/>
              <w:ind w:left="57"/>
              <w:spacing w:after="0"/>
              <w:rPr>
                <w:sz w:val="20"/>
                <w:szCs w:val="20"/>
                <w:color w:val="auto"/>
              </w:rPr>
            </w:pPr>
            <w:r>
              <w:rPr>
                <w:rFonts w:ascii="Arial" w:cs="Arial" w:eastAsia="Arial" w:hAnsi="Arial"/>
                <w:sz w:val="11"/>
                <w:szCs w:val="11"/>
                <w:color w:val="008000"/>
              </w:rPr>
              <w:t>(6)</w:t>
            </w:r>
          </w:p>
        </w:tc>
        <w:tc>
          <w:tcPr>
            <w:tcW w:w="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52,547</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3"/>
          </w:tcPr>
          <w:p>
            <w:pPr>
              <w:ind w:left="20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jc w:val="center"/>
              <w:ind w:right="50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3"/>
          </w:tcPr>
          <w:p>
            <w:pPr>
              <w:ind w:left="20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5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3"/>
          </w:tcPr>
          <w:p>
            <w:pPr>
              <w:ind w:left="2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ind w:right="50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 (Instr. 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Arial" w:cs="Arial" w:eastAsia="Arial" w:hAnsi="Arial"/>
                <w:sz w:val="13"/>
                <w:szCs w:val="13"/>
                <w:color w:val="0000FF"/>
                <w:w w:val="83"/>
              </w:rPr>
              <w:t>Class C</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Arial" w:cs="Arial" w:eastAsia="Arial" w:hAnsi="Arial"/>
                <w:sz w:val="13"/>
                <w:szCs w:val="13"/>
                <w:color w:val="0000FF"/>
                <w:w w:val="87"/>
              </w:rPr>
              <w:t>Common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jc w:val="center"/>
              <w:ind w:left="184"/>
              <w:spacing w:after="0"/>
              <w:rPr>
                <w:sz w:val="20"/>
                <w:szCs w:val="20"/>
                <w:color w:val="auto"/>
              </w:rPr>
            </w:pPr>
            <w:r>
              <w:rPr>
                <w:rFonts w:ascii="Arial" w:cs="Arial" w:eastAsia="Arial" w:hAnsi="Arial"/>
                <w:sz w:val="11"/>
                <w:szCs w:val="11"/>
                <w:color w:val="008000"/>
                <w:w w:val="89"/>
              </w:rPr>
              <w:t>(3)(4)</w:t>
            </w: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jc w:val="center"/>
              <w:ind w:right="16"/>
              <w:spacing w:after="0" w:line="140"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16,107</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w w:val="94"/>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center"/>
              <w:ind w:left="76"/>
              <w:spacing w:after="0" w:line="140" w:lineRule="exact"/>
              <w:rPr>
                <w:sz w:val="20"/>
                <w:szCs w:val="20"/>
                <w:color w:val="auto"/>
              </w:rPr>
            </w:pPr>
            <w:r>
              <w:rPr>
                <w:rFonts w:ascii="Arial" w:cs="Arial" w:eastAsia="Arial" w:hAnsi="Arial"/>
                <w:sz w:val="13"/>
                <w:szCs w:val="13"/>
                <w:color w:val="0000FF"/>
                <w:w w:val="89"/>
              </w:rPr>
              <w:t>01/02/2022</w:t>
            </w: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00"/>
              <w:spacing w:after="0" w:line="140"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62"/>
              <w:spacing w:after="0" w:line="140" w:lineRule="exact"/>
              <w:rPr>
                <w:sz w:val="20"/>
                <w:szCs w:val="20"/>
                <w:color w:val="auto"/>
              </w:rPr>
            </w:pPr>
            <w:r>
              <w:rPr>
                <w:rFonts w:ascii="Arial" w:cs="Arial" w:eastAsia="Arial" w:hAnsi="Arial"/>
                <w:sz w:val="13"/>
                <w:szCs w:val="13"/>
                <w:color w:val="0000FF"/>
              </w:rPr>
              <w:t>10,738</w:t>
            </w:r>
          </w:p>
        </w:tc>
        <w:tc>
          <w:tcPr>
            <w:tcW w:w="780" w:type="dxa"/>
            <w:vAlign w:val="bottom"/>
            <w:gridSpan w:val="2"/>
            <w:vMerge w:val="restart"/>
          </w:tcPr>
          <w:p>
            <w:pPr>
              <w:jc w:val="center"/>
              <w:ind w:right="59"/>
              <w:spacing w:after="0" w:line="140" w:lineRule="exact"/>
              <w:rPr>
                <w:sz w:val="20"/>
                <w:szCs w:val="20"/>
                <w:color w:val="auto"/>
              </w:rPr>
            </w:pPr>
            <w:r>
              <w:rPr>
                <w:rFonts w:ascii="Arial" w:cs="Arial" w:eastAsia="Arial" w:hAnsi="Arial"/>
                <w:sz w:val="13"/>
                <w:szCs w:val="13"/>
                <w:color w:val="0000FF"/>
                <w:w w:val="89"/>
              </w:rPr>
              <w:t>01/02/2022</w:t>
            </w:r>
          </w:p>
        </w:tc>
        <w:tc>
          <w:tcPr>
            <w:tcW w:w="700" w:type="dxa"/>
            <w:vAlign w:val="bottom"/>
            <w:vMerge w:val="restart"/>
          </w:tcPr>
          <w:p>
            <w:pPr>
              <w:jc w:val="right"/>
              <w:ind w:right="53"/>
              <w:spacing w:after="0" w:line="140" w:lineRule="exact"/>
              <w:rPr>
                <w:sz w:val="20"/>
                <w:szCs w:val="20"/>
                <w:color w:val="auto"/>
              </w:rPr>
            </w:pPr>
            <w:r>
              <w:rPr>
                <w:rFonts w:ascii="Arial" w:cs="Arial" w:eastAsia="Arial" w:hAnsi="Arial"/>
                <w:sz w:val="13"/>
                <w:szCs w:val="13"/>
                <w:color w:val="0000FF"/>
                <w:w w:val="86"/>
              </w:rPr>
              <w:t>01/02/2022</w:t>
            </w: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line="140"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16"/>
              <w:spacing w:after="0" w:line="140" w:lineRule="exact"/>
              <w:rPr>
                <w:sz w:val="20"/>
                <w:szCs w:val="20"/>
                <w:color w:val="auto"/>
              </w:rPr>
            </w:pPr>
            <w:r>
              <w:rPr>
                <w:rFonts w:ascii="Arial" w:cs="Arial" w:eastAsia="Arial" w:hAnsi="Arial"/>
                <w:sz w:val="13"/>
                <w:szCs w:val="13"/>
                <w:color w:val="0000FF"/>
                <w:w w:val="84"/>
              </w:rPr>
              <w:t>par</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6"/>
              <w:spacing w:after="0" w:line="140" w:lineRule="exact"/>
              <w:rPr>
                <w:sz w:val="20"/>
                <w:szCs w:val="20"/>
                <w:color w:val="auto"/>
              </w:rPr>
            </w:pPr>
            <w:r>
              <w:rPr>
                <w:rFonts w:ascii="Arial" w:cs="Arial" w:eastAsia="Arial" w:hAnsi="Arial"/>
                <w:sz w:val="13"/>
                <w:szCs w:val="13"/>
                <w:color w:val="0000FF"/>
                <w:w w:val="88"/>
              </w:rPr>
              <w:t>value$.01</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Arial" w:cs="Arial" w:eastAsia="Arial" w:hAnsi="Arial"/>
                <w:sz w:val="13"/>
                <w:szCs w:val="13"/>
                <w:color w:val="0000FF"/>
                <w:w w:val="83"/>
              </w:rPr>
              <w:t>per share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Arial" w:cs="Arial" w:eastAsia="Arial" w:hAnsi="Arial"/>
                <w:sz w:val="13"/>
                <w:szCs w:val="13"/>
                <w:color w:val="0000FF"/>
                <w:w w:val="83"/>
              </w:rPr>
              <w:t>Class C</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Dividend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Arial" w:cs="Arial" w:eastAsia="Arial" w:hAnsi="Arial"/>
                <w:sz w:val="13"/>
                <w:szCs w:val="13"/>
                <w:color w:val="0000FF"/>
                <w:w w:val="87"/>
              </w:rPr>
              <w:t>Common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jc w:val="center"/>
              <w:ind w:left="184"/>
              <w:spacing w:after="0"/>
              <w:rPr>
                <w:sz w:val="20"/>
                <w:szCs w:val="20"/>
                <w:color w:val="auto"/>
              </w:rPr>
            </w:pPr>
            <w:r>
              <w:rPr>
                <w:rFonts w:ascii="Arial" w:cs="Arial" w:eastAsia="Arial" w:hAnsi="Arial"/>
                <w:sz w:val="11"/>
                <w:szCs w:val="11"/>
                <w:color w:val="008000"/>
                <w:w w:val="88"/>
              </w:rPr>
              <w:t>(5)</w:t>
            </w: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5"/>
                <w:szCs w:val="5"/>
                <w:color w:val="auto"/>
              </w:rPr>
            </w:pPr>
          </w:p>
        </w:tc>
        <w:tc>
          <w:tcPr>
            <w:tcW w:w="640" w:type="dxa"/>
            <w:vAlign w:val="bottom"/>
            <w:vMerge w:val="restart"/>
          </w:tcPr>
          <w:p>
            <w:pPr>
              <w:jc w:val="center"/>
              <w:ind w:right="16"/>
              <w:spacing w:after="0" w:line="140"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766</w:t>
            </w:r>
          </w:p>
        </w:tc>
        <w:tc>
          <w:tcPr>
            <w:tcW w:w="2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Equivalent</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center"/>
              <w:ind w:left="76"/>
              <w:spacing w:after="0" w:line="140" w:lineRule="exact"/>
              <w:rPr>
                <w:sz w:val="20"/>
                <w:szCs w:val="20"/>
                <w:color w:val="auto"/>
              </w:rPr>
            </w:pPr>
            <w:r>
              <w:rPr>
                <w:rFonts w:ascii="Arial" w:cs="Arial" w:eastAsia="Arial" w:hAnsi="Arial"/>
                <w:sz w:val="13"/>
                <w:szCs w:val="13"/>
                <w:color w:val="0000FF"/>
                <w:w w:val="89"/>
              </w:rPr>
              <w:t>01/02/2022</w:t>
            </w: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00"/>
              <w:spacing w:after="0" w:line="140"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ind w:left="140"/>
              <w:spacing w:after="0" w:line="140" w:lineRule="exact"/>
              <w:rPr>
                <w:sz w:val="20"/>
                <w:szCs w:val="20"/>
                <w:color w:val="auto"/>
              </w:rPr>
            </w:pPr>
            <w:r>
              <w:rPr>
                <w:rFonts w:ascii="Arial" w:cs="Arial" w:eastAsia="Arial" w:hAnsi="Arial"/>
                <w:sz w:val="13"/>
                <w:szCs w:val="13"/>
                <w:color w:val="0000FF"/>
              </w:rPr>
              <w:t>766</w:t>
            </w:r>
          </w:p>
        </w:tc>
        <w:tc>
          <w:tcPr>
            <w:tcW w:w="780" w:type="dxa"/>
            <w:vAlign w:val="bottom"/>
            <w:gridSpan w:val="2"/>
            <w:vMerge w:val="continue"/>
          </w:tcPr>
          <w:p>
            <w:pPr>
              <w:spacing w:after="0"/>
              <w:rPr>
                <w:sz w:val="6"/>
                <w:szCs w:val="6"/>
                <w:color w:val="auto"/>
              </w:rPr>
            </w:pPr>
          </w:p>
        </w:tc>
        <w:tc>
          <w:tcPr>
            <w:tcW w:w="700" w:type="dxa"/>
            <w:vAlign w:val="bottom"/>
            <w:vMerge w:val="restart"/>
          </w:tcPr>
          <w:p>
            <w:pPr>
              <w:jc w:val="right"/>
              <w:ind w:right="53"/>
              <w:spacing w:after="0" w:line="140" w:lineRule="exact"/>
              <w:rPr>
                <w:sz w:val="20"/>
                <w:szCs w:val="20"/>
                <w:color w:val="auto"/>
              </w:rPr>
            </w:pPr>
            <w:r>
              <w:rPr>
                <w:rFonts w:ascii="Arial" w:cs="Arial" w:eastAsia="Arial" w:hAnsi="Arial"/>
                <w:sz w:val="13"/>
                <w:szCs w:val="13"/>
                <w:color w:val="0000FF"/>
                <w:w w:val="86"/>
              </w:rPr>
              <w:t>01/02/2022</w:t>
            </w: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01"/>
              <w:spacing w:after="0" w:line="140" w:lineRule="exact"/>
              <w:rPr>
                <w:sz w:val="20"/>
                <w:szCs w:val="20"/>
                <w:color w:val="auto"/>
              </w:rPr>
            </w:pPr>
            <w:r>
              <w:rPr>
                <w:rFonts w:ascii="Arial" w:cs="Arial" w:eastAsia="Arial" w:hAnsi="Arial"/>
                <w:sz w:val="13"/>
                <w:szCs w:val="13"/>
                <w:color w:val="0000FF"/>
                <w:w w:val="92"/>
              </w:rPr>
              <w:t>766</w:t>
            </w:r>
          </w:p>
        </w:tc>
        <w:tc>
          <w:tcPr>
            <w:tcW w:w="28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36"/>
              <w:spacing w:after="0" w:line="140" w:lineRule="exact"/>
              <w:rPr>
                <w:sz w:val="20"/>
                <w:szCs w:val="20"/>
                <w:color w:val="auto"/>
              </w:rPr>
            </w:pPr>
            <w:r>
              <w:rPr>
                <w:rFonts w:ascii="Arial" w:cs="Arial" w:eastAsia="Arial" w:hAnsi="Arial"/>
                <w:sz w:val="13"/>
                <w:szCs w:val="13"/>
                <w:color w:val="0000FF"/>
                <w:w w:val="85"/>
              </w:rPr>
              <w:t>par value</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6"/>
              <w:spacing w:after="0" w:line="140" w:lineRule="exact"/>
              <w:rPr>
                <w:sz w:val="20"/>
                <w:szCs w:val="20"/>
                <w:color w:val="auto"/>
              </w:rPr>
            </w:pPr>
            <w:r>
              <w:rPr>
                <w:rFonts w:ascii="Arial" w:cs="Arial" w:eastAsia="Arial" w:hAnsi="Arial"/>
                <w:sz w:val="13"/>
                <w:szCs w:val="13"/>
                <w:color w:val="0000FF"/>
                <w:w w:val="87"/>
              </w:rPr>
              <w:t>$.01 per</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Arial" w:cs="Arial" w:eastAsia="Arial" w:hAnsi="Arial"/>
                <w:sz w:val="13"/>
                <w:szCs w:val="13"/>
                <w:color w:val="0000FF"/>
                <w:w w:val="79"/>
              </w:rPr>
              <w:t>share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Arial" w:cs="Arial" w:eastAsia="Arial" w:hAnsi="Arial"/>
                <w:sz w:val="13"/>
                <w:szCs w:val="13"/>
                <w:color w:val="0000FF"/>
                <w:w w:val="83"/>
              </w:rPr>
              <w:t>Class C</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Dividend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Arial" w:cs="Arial" w:eastAsia="Arial" w:hAnsi="Arial"/>
                <w:sz w:val="13"/>
                <w:szCs w:val="13"/>
                <w:color w:val="0000FF"/>
                <w:w w:val="87"/>
              </w:rPr>
              <w:t>Common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jc w:val="center"/>
              <w:ind w:left="184"/>
              <w:spacing w:after="0"/>
              <w:rPr>
                <w:sz w:val="20"/>
                <w:szCs w:val="20"/>
                <w:color w:val="auto"/>
              </w:rPr>
            </w:pPr>
            <w:r>
              <w:rPr>
                <w:rFonts w:ascii="Arial" w:cs="Arial" w:eastAsia="Arial" w:hAnsi="Arial"/>
                <w:sz w:val="11"/>
                <w:szCs w:val="11"/>
                <w:color w:val="008000"/>
                <w:w w:val="88"/>
              </w:rPr>
              <w:t>(5)</w:t>
            </w:r>
          </w:p>
        </w:tc>
        <w:tc>
          <w:tcPr>
            <w:tcW w:w="260" w:type="dxa"/>
            <w:vAlign w:val="bottom"/>
          </w:tcPr>
          <w:p>
            <w:pPr>
              <w:spacing w:after="0"/>
              <w:rPr>
                <w:sz w:val="5"/>
                <w:szCs w:val="5"/>
                <w:color w:val="auto"/>
              </w:rPr>
            </w:pPr>
          </w:p>
        </w:tc>
        <w:tc>
          <w:tcPr>
            <w:tcW w:w="920" w:type="dxa"/>
            <w:vAlign w:val="bottom"/>
            <w:vMerge w:val="restart"/>
          </w:tcPr>
          <w:p>
            <w:pPr>
              <w:jc w:val="center"/>
              <w:ind w:left="56"/>
              <w:spacing w:after="0" w:line="204" w:lineRule="exact"/>
              <w:rPr>
                <w:sz w:val="20"/>
                <w:szCs w:val="20"/>
                <w:color w:val="auto"/>
              </w:rPr>
            </w:pPr>
            <w:r>
              <w:rPr>
                <w:rFonts w:ascii="Arial" w:cs="Arial" w:eastAsia="Arial" w:hAnsi="Arial"/>
                <w:sz w:val="13"/>
                <w:szCs w:val="13"/>
                <w:color w:val="0000FF"/>
                <w:w w:val="87"/>
              </w:rPr>
              <w:t>01/02/2022</w:t>
            </w:r>
            <w:r>
              <w:rPr>
                <w:rFonts w:ascii="Arial" w:cs="Arial" w:eastAsia="Arial" w:hAnsi="Arial"/>
                <w:sz w:val="21"/>
                <w:szCs w:val="21"/>
                <w:color w:val="008000"/>
                <w:w w:val="87"/>
                <w:vertAlign w:val="superscript"/>
              </w:rPr>
              <w:t>(5)</w:t>
            </w: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5"/>
                <w:szCs w:val="5"/>
                <w:color w:val="auto"/>
              </w:rPr>
            </w:pPr>
          </w:p>
        </w:tc>
        <w:tc>
          <w:tcPr>
            <w:tcW w:w="640" w:type="dxa"/>
            <w:vAlign w:val="bottom"/>
            <w:vMerge w:val="restart"/>
          </w:tcPr>
          <w:p>
            <w:pPr>
              <w:jc w:val="center"/>
              <w:ind w:right="16"/>
              <w:spacing w:after="0" w:line="140"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766</w:t>
            </w:r>
          </w:p>
        </w:tc>
        <w:tc>
          <w:tcPr>
            <w:tcW w:w="20" w:type="dxa"/>
            <w:vAlign w:val="bottom"/>
          </w:tcPr>
          <w:p>
            <w:pPr>
              <w:spacing w:after="0"/>
              <w:rPr>
                <w:sz w:val="5"/>
                <w:szCs w:val="5"/>
                <w:color w:val="auto"/>
              </w:rPr>
            </w:pPr>
          </w:p>
        </w:tc>
        <w:tc>
          <w:tcPr>
            <w:tcW w:w="7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Equivalent</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00"/>
              <w:spacing w:after="0" w:line="140"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142"/>
              <w:spacing w:after="0" w:line="140" w:lineRule="exact"/>
              <w:rPr>
                <w:sz w:val="20"/>
                <w:szCs w:val="20"/>
                <w:color w:val="auto"/>
              </w:rPr>
            </w:pPr>
            <w:r>
              <w:rPr>
                <w:rFonts w:ascii="Arial" w:cs="Arial" w:eastAsia="Arial" w:hAnsi="Arial"/>
                <w:sz w:val="13"/>
                <w:szCs w:val="13"/>
                <w:color w:val="0000FF"/>
              </w:rPr>
              <w:t>766</w:t>
            </w:r>
          </w:p>
        </w:tc>
        <w:tc>
          <w:tcPr>
            <w:tcW w:w="780" w:type="dxa"/>
            <w:vAlign w:val="bottom"/>
            <w:gridSpan w:val="2"/>
            <w:vMerge w:val="continue"/>
          </w:tcPr>
          <w:p>
            <w:pPr>
              <w:spacing w:after="0"/>
              <w:rPr>
                <w:sz w:val="6"/>
                <w:szCs w:val="6"/>
                <w:color w:val="auto"/>
              </w:rPr>
            </w:pPr>
          </w:p>
        </w:tc>
        <w:tc>
          <w:tcPr>
            <w:tcW w:w="700" w:type="dxa"/>
            <w:vAlign w:val="bottom"/>
            <w:vMerge w:val="restart"/>
          </w:tcPr>
          <w:p>
            <w:pPr>
              <w:jc w:val="right"/>
              <w:ind w:right="53"/>
              <w:spacing w:after="0" w:line="140" w:lineRule="exact"/>
              <w:rPr>
                <w:sz w:val="20"/>
                <w:szCs w:val="20"/>
                <w:color w:val="auto"/>
              </w:rPr>
            </w:pPr>
            <w:r>
              <w:rPr>
                <w:rFonts w:ascii="Arial" w:cs="Arial" w:eastAsia="Arial" w:hAnsi="Arial"/>
                <w:sz w:val="13"/>
                <w:szCs w:val="13"/>
                <w:color w:val="0000FF"/>
                <w:w w:val="86"/>
              </w:rPr>
              <w:t>02/01/2022</w:t>
            </w: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01"/>
              <w:spacing w:after="0" w:line="140"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16"/>
              <w:spacing w:after="0" w:line="140" w:lineRule="exact"/>
              <w:rPr>
                <w:sz w:val="20"/>
                <w:szCs w:val="20"/>
                <w:color w:val="auto"/>
              </w:rPr>
            </w:pPr>
            <w:r>
              <w:rPr>
                <w:rFonts w:ascii="Arial" w:cs="Arial" w:eastAsia="Arial" w:hAnsi="Arial"/>
                <w:sz w:val="13"/>
                <w:szCs w:val="13"/>
                <w:color w:val="0000FF"/>
                <w:w w:val="84"/>
              </w:rPr>
              <w:t>par</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6"/>
              <w:spacing w:after="0"/>
              <w:rPr>
                <w:sz w:val="20"/>
                <w:szCs w:val="20"/>
                <w:color w:val="auto"/>
              </w:rPr>
            </w:pPr>
            <w:r>
              <w:rPr>
                <w:rFonts w:ascii="Arial" w:cs="Arial" w:eastAsia="Arial" w:hAnsi="Arial"/>
                <w:sz w:val="13"/>
                <w:szCs w:val="13"/>
                <w:color w:val="0000FF"/>
                <w:w w:val="88"/>
              </w:rPr>
              <w:t>value$.01</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Arial" w:cs="Arial" w:eastAsia="Arial" w:hAnsi="Arial"/>
          <w:sz w:val="13"/>
          <w:szCs w:val="13"/>
          <w:color w:val="0000FF"/>
        </w:rPr>
        <w:t>per share</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40"/>
        <w:spacing w:after="0" w:line="256"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Malcarney was issued 5,756 Restricted Stock Units ("RSUs") by Clearway Energy, Inc. (f/k/a NRG Yield, Inc.) under Clearway Energy, Inc.'s Amended and Restated 2013 Equity Incentive Plan (the "LTIP"). These RSUs vest ratably over a three-year period beginning on January 2, 2020. Each RSU is equivalent in value to one share of Class C Common Stock of Clearway Energy, Inc., par value $.01 per share. On January 2, 2022, 1,923 shares vested. Mr. Malcarney elected to satisfy his tax obligation upon the exchange of common stock for RSUs having a value on the date of the exchange equal to the withholding obligation. This form reflects the surrender of 1,146 shares of Class C Common Stock to satisfy the grantee's tax withholding obligation.</w:t>
      </w:r>
    </w:p>
    <w:p>
      <w:pPr>
        <w:spacing w:after="0" w:line="21" w:lineRule="exact"/>
        <w:rPr>
          <w:rFonts w:ascii="Arial" w:cs="Arial" w:eastAsia="Arial" w:hAnsi="Arial"/>
          <w:sz w:val="12"/>
          <w:szCs w:val="12"/>
          <w:color w:val="008000"/>
        </w:rPr>
      </w:pPr>
    </w:p>
    <w:p>
      <w:pPr>
        <w:ind w:left="40" w:right="200"/>
        <w:spacing w:after="0" w:line="26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274 DERs converted to Class C Common Stock, resulting in the reporting person holding 3,116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6" w:lineRule="exact"/>
        <w:rPr>
          <w:rFonts w:ascii="Arial" w:cs="Arial" w:eastAsia="Arial" w:hAnsi="Arial"/>
          <w:sz w:val="12"/>
          <w:szCs w:val="12"/>
          <w:color w:val="008000"/>
        </w:rPr>
      </w:pPr>
    </w:p>
    <w:p>
      <w:pPr>
        <w:ind w:left="40" w:right="420"/>
        <w:spacing w:after="0" w:line="28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Malcarney was issued 10,738 Relative Performance Stock Units ("RPSUs") by Clearway Energy, Inc. (f/k/a NRG Yield, Inc.) (the "Company") under the Company's Amended and Restated 2013 Equity Incentive Plan (the "LTIP") on January 2, 2019. Based on the Company reaching a certain level of total shareholder return ("TSR"), 16,107 RPSUs vested on January 2, 2022.</w:t>
      </w:r>
    </w:p>
    <w:p>
      <w:pPr>
        <w:spacing w:after="0" w:line="5" w:lineRule="exact"/>
        <w:rPr>
          <w:rFonts w:ascii="Arial" w:cs="Arial" w:eastAsia="Arial" w:hAnsi="Arial"/>
          <w:sz w:val="12"/>
          <w:szCs w:val="12"/>
          <w:color w:val="008000"/>
        </w:rPr>
      </w:pPr>
    </w:p>
    <w:p>
      <w:pPr>
        <w:ind w:left="40" w:right="160"/>
        <w:spacing w:after="0" w:line="25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Malcarney was entitled to receive (i) a maximum of 16,107 shares of Class C Common Stock if Company's TSR ranked at or above the 75th percentile relative to a peer group of companies approved by the Company's Compensation Committee (the "Peer Group") for the performance period (the "Maximum"); (ii) 10,738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2,685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3" w:lineRule="exact"/>
        <w:rPr>
          <w:rFonts w:ascii="Arial" w:cs="Arial" w:eastAsia="Arial" w:hAnsi="Arial"/>
          <w:sz w:val="12"/>
          <w:szCs w:val="12"/>
          <w:color w:val="008000"/>
        </w:rPr>
      </w:pPr>
    </w:p>
    <w:p>
      <w:pPr>
        <w:ind w:left="40" w:right="32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the RPSUs described above, a previously accrued 1,532 dividend equivalent rights ("DERs") and an incremental 766 DERs vested and converted to Class C Common Stock resulting in the reporting person holding 1,584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line="243"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Malcarney elected to satisfy his tax obligation upon the exchange of common stock for RPSUs having a value on the date of the exchange equal to the withholding obligation. This form reflects the surrender of 8,818 shares of Class C Common Stock to satisfy the grantee's tax withholding obligation.</w:t>
      </w:r>
    </w:p>
    <w:p>
      <w:pPr>
        <w:spacing w:after="0" w:line="3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Kevin P. Malcarney</w:t>
            </w:r>
          </w:p>
        </w:tc>
        <w:tc>
          <w:tcPr>
            <w:tcW w:w="7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01/04/2022</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2022-01-04T16:19:53Z</dcterms:created>
  <dcterms:modified xsi:type="dcterms:W3CDTF">2022-01-04T16:19:53Z</dcterms:modified>
</cp:coreProperties>
</file>