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 (Class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1,773,795.00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1,772,537.00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1,773,795.00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1,773,795.00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1,772,537.00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1,773,795.00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1,773,795.00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 (Class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879"/>
        <w:spacing w:after="0"/>
        <w:rPr>
          <w:sz w:val="20"/>
          <w:szCs w:val="20"/>
          <w:color w:val="auto"/>
        </w:rPr>
      </w:pPr>
      <w:r>
        <w:rPr>
          <w:rFonts w:ascii="Times New Roman" w:cs="Times New Roman" w:eastAsia="Times New Roman" w:hAnsi="Times New Roman"/>
          <w:sz w:val="22"/>
          <w:szCs w:val="22"/>
          <w:color w:val="auto"/>
        </w:rPr>
        <w:t>Attn: Legal Department, 300 Carnegie Center, Suite 300, Princeton, NJ 08540, USA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620"/>
        <w:spacing w:after="0" w:line="267" w:lineRule="auto"/>
        <w:rPr>
          <w:sz w:val="20"/>
          <w:szCs w:val="20"/>
          <w:color w:val="auto"/>
        </w:rPr>
      </w:pPr>
      <w:r>
        <w:rPr>
          <w:rFonts w:ascii="Times New Roman" w:cs="Times New Roman" w:eastAsia="Times New Roman" w:hAnsi="Times New Roman"/>
          <w:sz w:val="22"/>
          <w:szCs w:val="22"/>
          <w:color w:val="auto"/>
        </w:rPr>
        <w:t>First Trust Portfolios L.P. First Trust Advisors L.P. The Charger Corporation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120 East Liberty Drive, Suite 400, Wheaton, Illinois 60187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Illinois,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18539C105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1,773,795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1,772,537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1,773,795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355" w:right="399" w:bottom="0" w:gutter="0" w:footer="0" w:header="0"/>
        </w:sectPr>
      </w:pPr>
    </w:p>
    <w:bookmarkStart w:id="4" w:name="page5"/>
    <w:bookmarkEnd w:id="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13G filing is jointly filed by The Charger Corporation, First Trust Portfolios L.P. and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pursuant to Rule 13d-1(k)(1). The Charger Corporation is the General Partner of both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Portfolios L.P. and First Trust Advisors L.P. First Trust Portfolios L.P. acts as sponsor of certain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hold shares of the issuer. The total number of shares of the issuer held by these unit investment trusts is set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forth in Row (8) above with respect to First Trust Portfolios L.P. No individual unit investment trust sponsored by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Portfolios L.P. holds more than 3% of any registered investment company issuer's shares.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an affiliate of First Trust Portfolios L.P., acts as portfolio supervisor of the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sponsored by First Trust Portfolios L.P., certain of which hold shares of the issuer. Neither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Advisors L.P. nor The Charger Corporation have the power to vote the shares of the issuer held by these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 investment trusts sponsored by First Trust Portfolios L.P. These shares are voted by the trustee of such unit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investment trusts so as to insure that the shares are ordinarily voted as closely as possible in the same manner and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same general proportion as are the shares held by owners other than such unit investment trusts. Subject to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requirements of Rule 12d1-4 under the Investment Company Act of 1940 and as further explained in the Standard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Terms and Conditions of Trust and related Trust Agreements of the unit investment trusts,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behalf of the unit investment trusts, may enter into an agreement with a deposited fund which may permit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of such fund to be voted in the best interest of unit holders at the discretion of First Trust Portfolios L.P.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difference, if any, between the aggregate amount of shares beneficially owned by each reporting person, as set forth</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 Row (9) above, and the number of shares of the issuer held by the unit investment trusts sponsored by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Portfolios L.P. represents shares of the issuer which are either held in other registered investment companies, pooled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vehicles and/or separately managed accounts for which First Trust Advisors L.P. serves as investment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advisor and/or investment sub-advisor. Each of First Trust Portfolios L.P., First Trust Advisors L.P. and The Charger</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 disclaims beneficial ownership of the shares of the issuer identified in this filing.</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6.</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ectPr>
          <w:pgSz w:w="11900" w:h="16887" w:orient="portrait"/>
          <w:cols w:equalWidth="0" w:num="1">
            <w:col w:w="11140"/>
          </w:cols>
          <w:pgMar w:left="360" w:top="102" w:right="399" w:bottom="0" w:gutter="0" w:footer="0" w:header="0"/>
        </w:sectPr>
      </w:pPr>
    </w:p>
    <w:bookmarkStart w:id="5" w:name="page6"/>
    <w:bookmarkEnd w:id="5"/>
    <w:p>
      <w:pPr>
        <w:jc w:val="right"/>
        <w:spacing w:after="0" w:line="203" w:lineRule="auto"/>
        <w:rPr>
          <w:sz w:val="20"/>
          <w:szCs w:val="20"/>
          <w:color w:val="auto"/>
        </w:rPr>
      </w:pPr>
      <w:r>
        <w:rPr>
          <w:rFonts w:ascii="Times New Roman" w:cs="Times New Roman" w:eastAsia="Times New Roman" w:hAnsi="Times New Roman"/>
          <w:sz w:val="43"/>
          <w:szCs w:val="43"/>
          <w:color w:val="auto"/>
          <w:vertAlign w:val="subscript"/>
        </w:rPr>
        <w:t>Name/Title:</w:t>
      </w:r>
      <w:r>
        <w:rPr>
          <w:rFonts w:ascii="Times New Roman" w:cs="Times New Roman" w:eastAsia="Times New Roman" w:hAnsi="Times New Roman"/>
          <w:sz w:val="22"/>
          <w:szCs w:val="22"/>
          <w:color w:val="auto"/>
        </w:rPr>
        <w:t xml:space="preserve"> James M. Dykas, Chief Financial Officer and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08"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99.1 for Joint Filing Agreement</w:t>
      </w:r>
    </w:p>
    <w:p>
      <w:pPr>
        <w:sectPr>
          <w:pgSz w:w="11900" w:h="16838" w:orient="portrait"/>
          <w:cols w:equalWidth="0" w:num="1">
            <w:col w:w="10660"/>
          </w:cols>
          <w:pgMar w:left="360" w:top="0" w:right="8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99.1 - Joint Filing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27, 2026</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Advisors L.P. and</w:t>
      </w:r>
    </w:p>
    <w:p>
      <w:pPr>
        <w:ind w:left="54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 Dykas</w:t>
            </w:r>
          </w:p>
        </w:tc>
      </w:tr>
      <w:tr>
        <w:trPr>
          <w:trHeight w:val="209"/>
        </w:trPr>
        <w:tc>
          <w:tcPr>
            <w:tcW w:w="8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 Dykas</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Financial Officer of First Trust</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Portfolios L.P. and First Trust Advisors L.P.,</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and Chief Financial Officer and Treasurer of</w:t>
            </w:r>
          </w:p>
        </w:tc>
      </w:tr>
      <w:tr>
        <w:trPr>
          <w:trHeight w:val="282"/>
        </w:trPr>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The Charger Corporation</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2026-01-27T09:20:34Z</dcterms:created>
  <dcterms:modified xsi:type="dcterms:W3CDTF">2026-01-27T09:20:34Z</dcterms:modified>
</cp:coreProperties>
</file>