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August 15, 2022</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Clearway Energy,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60" w:right="339" w:bottom="1440" w:gutter="0" w:footer="0" w:header="0"/>
        </w:sectPr>
      </w:pPr>
    </w:p>
    <w:p>
      <w:pPr>
        <w:spacing w:after="0" w:line="205"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0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840"/>
        <w:spacing w:after="0"/>
        <w:rPr>
          <w:sz w:val="20"/>
          <w:szCs w:val="20"/>
          <w:color w:val="auto"/>
        </w:rPr>
      </w:pPr>
      <w:r>
        <w:rPr>
          <w:rFonts w:ascii="Arial" w:cs="Arial" w:eastAsia="Arial" w:hAnsi="Arial"/>
          <w:sz w:val="18"/>
          <w:szCs w:val="18"/>
          <w:b w:val="1"/>
          <w:bCs w:val="1"/>
          <w:color w:val="auto"/>
        </w:rPr>
        <w:t>001-36002</w:t>
      </w:r>
    </w:p>
    <w:p>
      <w:pPr>
        <w:spacing w:after="0" w:line="27" w:lineRule="exact"/>
        <w:rPr>
          <w:sz w:val="24"/>
          <w:szCs w:val="24"/>
          <w:color w:val="auto"/>
        </w:rPr>
      </w:pPr>
    </w:p>
    <w:p>
      <w:pPr>
        <w:jc w:val="center"/>
        <w:ind w:right="8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46-1777204</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3920" w:space="720"/>
            <w:col w:w="2840" w:space="720"/>
            <w:col w:w="3040"/>
          </w:cols>
          <w:pgMar w:left="320" w:top="760" w:right="339" w:bottom="1440" w:gutter="0" w:footer="0" w:header="0"/>
          <w:type w:val="continuous"/>
        </w:sectPr>
      </w:pPr>
    </w:p>
    <w:p>
      <w:pPr>
        <w:ind w:left="130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300 Carnegie Center, Suite 300, Princeton, New Jersey 08540</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608-1525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(Former name or former address, if changed since last report)</w:t>
      </w:r>
    </w:p>
    <w:p>
      <w:pPr>
        <w:sectPr>
          <w:pgSz w:w="11900" w:h="16838" w:orient="portrait"/>
          <w:cols w:equalWidth="0" w:num="1">
            <w:col w:w="11240"/>
          </w:cols>
          <w:pgMar w:left="320" w:top="760" w:right="339" w:bottom="1440" w:gutter="0" w:footer="0" w:header="0"/>
          <w:type w:val="continuous"/>
        </w:sectPr>
      </w:pPr>
    </w:p>
    <w:p>
      <w:pPr>
        <w:spacing w:after="0" w:line="22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20" w:hanging="331"/>
        <w:spacing w:after="0"/>
        <w:tabs>
          <w:tab w:leader="none" w:pos="42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20" w:hanging="331"/>
        <w:spacing w:after="0"/>
        <w:tabs>
          <w:tab w:leader="none" w:pos="42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00" w:hanging="325"/>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00" w:firstLine="75"/>
        <w:spacing w:after="0" w:line="498" w:lineRule="auto"/>
        <w:tabs>
          <w:tab w:leader="none" w:pos="39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220" w:type="dxa"/>
            <w:vAlign w:val="bottom"/>
          </w:tcPr>
          <w:p>
            <w:pPr>
              <w:jc w:val="center"/>
              <w:ind w:right="230"/>
              <w:spacing w:after="0"/>
              <w:rPr>
                <w:sz w:val="20"/>
                <w:szCs w:val="20"/>
                <w:color w:val="auto"/>
              </w:rPr>
            </w:pPr>
            <w:r>
              <w:rPr>
                <w:rFonts w:ascii="Arial" w:cs="Arial" w:eastAsia="Arial" w:hAnsi="Arial"/>
                <w:sz w:val="18"/>
                <w:szCs w:val="18"/>
                <w:b w:val="1"/>
                <w:bCs w:val="1"/>
                <w:color w:val="auto"/>
                <w:w w:val="88"/>
              </w:rPr>
              <w:t>Name of each exchange on which</w:t>
            </w:r>
          </w:p>
        </w:tc>
      </w:tr>
      <w:tr>
        <w:trPr>
          <w:trHeight w:val="234"/>
        </w:trPr>
        <w:tc>
          <w:tcPr>
            <w:tcW w:w="432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87"/>
              </w:rPr>
              <w:t>Title of each class</w:t>
            </w: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42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7"/>
              </w:rPr>
              <w:t>registered</w:t>
            </w:r>
          </w:p>
        </w:tc>
      </w:tr>
      <w:tr>
        <w:trPr>
          <w:trHeight w:val="195"/>
        </w:trPr>
        <w:tc>
          <w:tcPr>
            <w:tcW w:w="4320" w:type="dxa"/>
            <w:vAlign w:val="bottom"/>
          </w:tcPr>
          <w:p>
            <w:pPr>
              <w:jc w:val="center"/>
              <w:ind w:left="90"/>
              <w:spacing w:after="0" w:line="195" w:lineRule="exact"/>
              <w:rPr>
                <w:sz w:val="20"/>
                <w:szCs w:val="20"/>
                <w:color w:val="auto"/>
              </w:rPr>
            </w:pPr>
            <w:r>
              <w:rPr>
                <w:rFonts w:ascii="Arial" w:cs="Arial" w:eastAsia="Arial" w:hAnsi="Arial"/>
                <w:sz w:val="18"/>
                <w:szCs w:val="18"/>
                <w:color w:val="auto"/>
                <w:w w:val="90"/>
              </w:rPr>
              <w:t>Class A Common Stock, par value $0.01</w:t>
            </w:r>
          </w:p>
        </w:tc>
        <w:tc>
          <w:tcPr>
            <w:tcW w:w="2700" w:type="dxa"/>
            <w:vAlign w:val="bottom"/>
          </w:tcPr>
          <w:p>
            <w:pPr>
              <w:jc w:val="center"/>
              <w:spacing w:after="0" w:line="195" w:lineRule="exact"/>
              <w:rPr>
                <w:sz w:val="20"/>
                <w:szCs w:val="20"/>
                <w:color w:val="auto"/>
              </w:rPr>
            </w:pPr>
            <w:r>
              <w:rPr>
                <w:rFonts w:ascii="Arial" w:cs="Arial" w:eastAsia="Arial" w:hAnsi="Arial"/>
                <w:sz w:val="18"/>
                <w:szCs w:val="18"/>
                <w:color w:val="auto"/>
                <w:w w:val="97"/>
              </w:rPr>
              <w:t>CWEN.A</w:t>
            </w:r>
          </w:p>
        </w:tc>
        <w:tc>
          <w:tcPr>
            <w:tcW w:w="4220" w:type="dxa"/>
            <w:vAlign w:val="bottom"/>
          </w:tcPr>
          <w:p>
            <w:pPr>
              <w:jc w:val="center"/>
              <w:ind w:right="170"/>
              <w:spacing w:after="0" w:line="195" w:lineRule="exact"/>
              <w:rPr>
                <w:sz w:val="20"/>
                <w:szCs w:val="20"/>
                <w:color w:val="auto"/>
              </w:rPr>
            </w:pPr>
            <w:r>
              <w:rPr>
                <w:rFonts w:ascii="Arial" w:cs="Arial" w:eastAsia="Arial" w:hAnsi="Arial"/>
                <w:sz w:val="18"/>
                <w:szCs w:val="18"/>
                <w:color w:val="auto"/>
                <w:w w:val="91"/>
              </w:rPr>
              <w:t>New York Stock Exchange</w:t>
            </w:r>
          </w:p>
        </w:tc>
      </w:tr>
      <w:tr>
        <w:trPr>
          <w:trHeight w:val="230"/>
        </w:trPr>
        <w:tc>
          <w:tcPr>
            <w:tcW w:w="4320" w:type="dxa"/>
            <w:vAlign w:val="bottom"/>
          </w:tcPr>
          <w:p>
            <w:pPr>
              <w:jc w:val="center"/>
              <w:ind w:left="110"/>
              <w:spacing w:after="0"/>
              <w:rPr>
                <w:sz w:val="20"/>
                <w:szCs w:val="20"/>
                <w:color w:val="auto"/>
              </w:rPr>
            </w:pPr>
            <w:r>
              <w:rPr>
                <w:rFonts w:ascii="Arial" w:cs="Arial" w:eastAsia="Arial" w:hAnsi="Arial"/>
                <w:sz w:val="18"/>
                <w:szCs w:val="18"/>
                <w:color w:val="auto"/>
                <w:w w:val="89"/>
              </w:rPr>
              <w:t>Class C Common Stock, par value $0.01</w:t>
            </w:r>
          </w:p>
        </w:tc>
        <w:tc>
          <w:tcPr>
            <w:tcW w:w="2700" w:type="dxa"/>
            <w:vAlign w:val="bottom"/>
          </w:tcPr>
          <w:p>
            <w:pPr>
              <w:jc w:val="center"/>
              <w:spacing w:after="0"/>
              <w:rPr>
                <w:sz w:val="20"/>
                <w:szCs w:val="20"/>
                <w:color w:val="auto"/>
              </w:rPr>
            </w:pPr>
            <w:r>
              <w:rPr>
                <w:rFonts w:ascii="Arial" w:cs="Arial" w:eastAsia="Arial" w:hAnsi="Arial"/>
                <w:sz w:val="18"/>
                <w:szCs w:val="18"/>
                <w:color w:val="auto"/>
                <w:w w:val="98"/>
              </w:rPr>
              <w:t>CWEN</w:t>
            </w:r>
          </w:p>
        </w:tc>
        <w:tc>
          <w:tcPr>
            <w:tcW w:w="4220" w:type="dxa"/>
            <w:vAlign w:val="bottom"/>
          </w:tcPr>
          <w:p>
            <w:pPr>
              <w:jc w:val="center"/>
              <w:ind w:right="170"/>
              <w:spacing w:after="0"/>
              <w:rPr>
                <w:sz w:val="20"/>
                <w:szCs w:val="20"/>
                <w:color w:val="auto"/>
              </w:rPr>
            </w:pPr>
            <w:r>
              <w:rPr>
                <w:rFonts w:ascii="Arial" w:cs="Arial" w:eastAsia="Arial" w:hAnsi="Arial"/>
                <w:sz w:val="18"/>
                <w:szCs w:val="18"/>
                <w:color w:val="auto"/>
                <w:w w:val="91"/>
              </w:rPr>
              <w:t>New York Stock Exchange</w:t>
            </w: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280"/>
        <w:spacing w:after="0" w:line="207" w:lineRule="exact"/>
        <w:tabs>
          <w:tab w:leader="none" w:pos="1042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Seventh Amendment to Clearway Energy LLC and Clearway Energy Operating LLC Revolving Credit Facility</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August 15, 2022, each of Clearway Energy Operating LLC (“Clearway Operating LLC”), as borrower, and Clearway Energy LLC (“Clearway LLC”), as guarantor, entered into the Seventh Amendment to Amended and Restated Credit Agreement (the “Seventh Amendment”), with certain subsidiaries of Clearway Operating LLC party thereto, as guarantors, JPMorgan Chase Bank, N.A., as administrative agent (the “Administrative Agent”), and the lenders party thereto, which amended that certain Amended and Restated Credit Agreement, dated as of April 25, 2014 (as amended, the “Existing Credit Agreement”), among Clearway Operating LLC, Clearway LLC, certain subsidiaries of Clearway Operating LLC party thereto, the lenders party thereto and the Administrative Agent, providing for revolving commitments in an aggregate principal amount of $495 million. Each of Clearway Operating LLC and Clearway LLC is a subsidiary of Clearway Energy, Inc (“CWEN”).</w:t>
      </w:r>
    </w:p>
    <w:p>
      <w:pPr>
        <w:spacing w:after="0" w:line="17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Seventh Amendment amends the Existing Credit Agreement to, among other things, amend the definition of Change of Control in the Existing Credit Agreement to include TotalEnergies SE and its affiliates (“TotalEnergies”) within the ownership structure of Clearway LLC, as contemplated by the previously announced agreement between TotalEnergies and Global Infrastructure Partners (“GIP”), pursuant to which, among other things, TotalEnergies has agreed to acquire 50% of GIP’s interest in Clearway Energy Group LLC, a privately held renewable development company that serves as the sponsor of CWEN with its 42% economic interest in CWEN. The Seventh Amendment’s effectiveness is conditioned on, among other things, Clearway LLC providing written notice to the Administrative Agent that the transaction between GIP and TotalEnergies has been consummated. The closing of such transaction is subject to customary conditions, including regulatory approvals, and is expected to close in the second half of 2022.</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foregoing description of the Seventh Amendment does not purport to be complete and is qualified in its entirety by reference to the full text of the Seventh Amendment, a copy of which is filed as Exhibit 10.1 to this Current Report on Form 8-K (this “Current Report”) and is incorporated herein by reference.</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disclosures under Item 1.01 of this Current Report are also responsive to Item 2.03 of this Current Report and are incorporated herein by reference.</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1300" w:hanging="1292"/>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gridSpan w:val="4"/>
          </w:tcPr>
          <w:p>
            <w:pPr>
              <w:spacing w:after="0"/>
              <w:rPr>
                <w:sz w:val="20"/>
                <w:szCs w:val="20"/>
                <w:color w:val="auto"/>
              </w:rPr>
            </w:pPr>
            <w:r>
              <w:rPr>
                <w:rFonts w:ascii="Arial" w:cs="Arial" w:eastAsia="Arial" w:hAnsi="Arial"/>
                <w:sz w:val="18"/>
                <w:szCs w:val="18"/>
                <w:b w:val="1"/>
                <w:bCs w:val="1"/>
                <w:color w:val="auto"/>
              </w:rPr>
              <w:t>Exhibit</w:t>
            </w:r>
          </w:p>
        </w:tc>
        <w:tc>
          <w:tcPr>
            <w:tcW w:w="96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140" w:type="dxa"/>
            <w:vAlign w:val="bottom"/>
            <w:gridSpan w:val="4"/>
          </w:tcPr>
          <w:p>
            <w:pPr>
              <w:spacing w:after="0"/>
              <w:rPr>
                <w:sz w:val="20"/>
                <w:szCs w:val="20"/>
                <w:color w:val="auto"/>
              </w:rPr>
            </w:pPr>
            <w:r>
              <w:rPr>
                <w:rFonts w:ascii="Arial" w:cs="Arial" w:eastAsia="Arial" w:hAnsi="Arial"/>
                <w:sz w:val="18"/>
                <w:szCs w:val="18"/>
                <w:b w:val="1"/>
                <w:bCs w:val="1"/>
                <w:color w:val="auto"/>
              </w:rPr>
              <w:t>No.</w:t>
            </w:r>
          </w:p>
        </w:tc>
        <w:tc>
          <w:tcPr>
            <w:tcW w:w="960" w:type="dxa"/>
            <w:vAlign w:val="bottom"/>
          </w:tcPr>
          <w:p>
            <w:pPr>
              <w:spacing w:after="0"/>
              <w:rPr>
                <w:sz w:val="20"/>
                <w:szCs w:val="20"/>
                <w:color w:val="auto"/>
              </w:rPr>
            </w:pPr>
          </w:p>
        </w:tc>
        <w:tc>
          <w:tcPr>
            <w:tcW w:w="9140" w:type="dxa"/>
            <w:vAlign w:val="bottom"/>
            <w:gridSpan w:val="2"/>
          </w:tcPr>
          <w:p>
            <w:pPr>
              <w:ind w:left="3700"/>
              <w:spacing w:after="0"/>
              <w:rPr>
                <w:sz w:val="20"/>
                <w:szCs w:val="20"/>
                <w:color w:val="auto"/>
              </w:rPr>
            </w:pPr>
            <w:r>
              <w:rPr>
                <w:rFonts w:ascii="Arial" w:cs="Arial" w:eastAsia="Arial" w:hAnsi="Arial"/>
                <w:sz w:val="18"/>
                <w:szCs w:val="18"/>
                <w:b w:val="1"/>
                <w:bCs w:val="1"/>
                <w:color w:val="auto"/>
              </w:rPr>
              <w:t>Document</w:t>
            </w:r>
          </w:p>
        </w:tc>
      </w:tr>
      <w:tr>
        <w:trPr>
          <w:trHeight w:val="385"/>
        </w:trPr>
        <w:tc>
          <w:tcPr>
            <w:tcW w:w="920" w:type="dxa"/>
            <w:vAlign w:val="bottom"/>
            <w:tcBorders>
              <w:top w:val="single" w:sz="8" w:color="auto"/>
            </w:tcBorders>
            <w:gridSpan w:val="3"/>
          </w:tcPr>
          <w:p>
            <w:pPr>
              <w:ind w:left="300"/>
              <w:spacing w:after="0"/>
              <w:rPr>
                <w:sz w:val="20"/>
                <w:szCs w:val="20"/>
                <w:color w:val="auto"/>
              </w:rPr>
            </w:pPr>
            <w:r>
              <w:rPr>
                <w:rFonts w:ascii="Arial" w:cs="Arial" w:eastAsia="Arial" w:hAnsi="Arial"/>
                <w:sz w:val="18"/>
                <w:szCs w:val="18"/>
                <w:color w:val="0000EE"/>
              </w:rPr>
              <w:t>10.</w:t>
            </w:r>
            <w:r>
              <w:rPr>
                <w:rFonts w:ascii="Arial" w:cs="Arial" w:eastAsia="Arial" w:hAnsi="Arial"/>
                <w:sz w:val="18"/>
                <w:szCs w:val="18"/>
                <w:u w:val="single" w:color="auto"/>
                <w:color w:val="0000EE"/>
              </w:rPr>
              <w:t>1</w:t>
            </w:r>
          </w:p>
        </w:tc>
        <w:tc>
          <w:tcPr>
            <w:tcW w:w="220" w:type="dxa"/>
            <w:vAlign w:val="bottom"/>
          </w:tcPr>
          <w:p>
            <w:pPr>
              <w:spacing w:after="0"/>
              <w:rPr>
                <w:sz w:val="24"/>
                <w:szCs w:val="24"/>
                <w:color w:val="auto"/>
              </w:rPr>
            </w:pPr>
          </w:p>
        </w:tc>
        <w:tc>
          <w:tcPr>
            <w:tcW w:w="101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0000EE"/>
                <w:w w:val="93"/>
              </w:rPr>
              <w:t>Seventh Amendment to Amended and Restated Credit Agreement, entered into as of August 15, 2022, by and among Clearway Energy</w:t>
            </w:r>
          </w:p>
        </w:tc>
      </w:tr>
      <w:tr>
        <w:trPr>
          <w:trHeight w:val="196"/>
        </w:trPr>
        <w:tc>
          <w:tcPr>
            <w:tcW w:w="30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00" w:type="dxa"/>
            <w:vAlign w:val="bottom"/>
            <w:tcBorders>
              <w:top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1"/>
              </w:rPr>
              <w:t>Operating LLC, Clearway Energy LLC, the guarantors party thereto, JPMorgan Chase Bank, N.A., as administrative agent, and the lenders</w:t>
            </w:r>
          </w:p>
        </w:tc>
      </w:tr>
      <w:tr>
        <w:trPr>
          <w:trHeight w:val="196"/>
        </w:trPr>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80" w:type="dxa"/>
            <w:vAlign w:val="bottom"/>
            <w:tcBorders>
              <w:top w:val="single" w:sz="8" w:color="0000EE"/>
            </w:tcBorders>
            <w:gridSpan w:val="2"/>
          </w:tcPr>
          <w:p>
            <w:pPr>
              <w:spacing w:after="0" w:line="196" w:lineRule="exact"/>
              <w:rPr>
                <w:sz w:val="20"/>
                <w:szCs w:val="20"/>
                <w:color w:val="auto"/>
              </w:rPr>
            </w:pPr>
            <w:r>
              <w:rPr>
                <w:rFonts w:ascii="Arial" w:cs="Arial" w:eastAsia="Arial" w:hAnsi="Arial"/>
                <w:sz w:val="18"/>
                <w:szCs w:val="18"/>
                <w:color w:val="0000EE"/>
              </w:rPr>
              <w:t>party thereto.</w:t>
            </w:r>
          </w:p>
        </w:tc>
        <w:tc>
          <w:tcPr>
            <w:tcW w:w="20" w:type="dxa"/>
            <w:vAlign w:val="bottom"/>
          </w:tcPr>
          <w:p>
            <w:pPr>
              <w:spacing w:after="0"/>
              <w:rPr>
                <w:sz w:val="17"/>
                <w:szCs w:val="17"/>
                <w:color w:val="auto"/>
              </w:rPr>
            </w:pPr>
          </w:p>
        </w:tc>
      </w:tr>
      <w:tr>
        <w:trPr>
          <w:trHeight w:val="20"/>
        </w:trPr>
        <w:tc>
          <w:tcPr>
            <w:tcW w:w="6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9140" w:type="dxa"/>
            <w:vAlign w:val="bottom"/>
            <w:gridSpan w:val="2"/>
          </w:tcPr>
          <w:p>
            <w:pPr>
              <w:spacing w:after="0" w:line="20" w:lineRule="exact"/>
              <w:rPr>
                <w:sz w:val="1"/>
                <w:szCs w:val="1"/>
                <w:color w:val="auto"/>
              </w:rPr>
            </w:pPr>
          </w:p>
        </w:tc>
      </w:tr>
      <w:tr>
        <w:trPr>
          <w:trHeight w:val="237"/>
        </w:trPr>
        <w:tc>
          <w:tcPr>
            <w:tcW w:w="620" w:type="dxa"/>
            <w:vAlign w:val="bottom"/>
            <w:gridSpan w:val="2"/>
          </w:tcPr>
          <w:p>
            <w:pPr>
              <w:ind w:left="300"/>
              <w:spacing w:after="0"/>
              <w:rPr>
                <w:sz w:val="20"/>
                <w:szCs w:val="20"/>
                <w:color w:val="auto"/>
              </w:rPr>
            </w:pPr>
            <w:r>
              <w:rPr>
                <w:rFonts w:ascii="Arial" w:cs="Arial" w:eastAsia="Arial" w:hAnsi="Arial"/>
                <w:sz w:val="18"/>
                <w:szCs w:val="18"/>
                <w:color w:val="auto"/>
                <w:w w:val="99"/>
              </w:rPr>
              <w:t>104</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10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675"/>
        </w:trPr>
        <w:tc>
          <w:tcPr>
            <w:tcW w:w="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9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Clearway Energy, Inc.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Kevin P. Malcarney</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General Counsel and 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19,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10.1</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Execution Version</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SEVENTH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AMENDED AND RESTATED CREDIT AGREEMENT</w:t>
      </w:r>
    </w:p>
    <w:p>
      <w:pPr>
        <w:spacing w:after="0" w:line="20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This SEVENTH AMENDMENT TO AMENDED AND RESTATED CREDIT AGREEMENT (this “</w:t>
      </w:r>
      <w:r>
        <w:rPr>
          <w:rFonts w:ascii="Arial" w:cs="Arial" w:eastAsia="Arial" w:hAnsi="Arial"/>
          <w:sz w:val="16"/>
          <w:szCs w:val="16"/>
          <w:b w:val="1"/>
          <w:bCs w:val="1"/>
          <w:color w:val="auto"/>
        </w:rPr>
        <w:t>Amendment</w:t>
      </w:r>
      <w:r>
        <w:rPr>
          <w:rFonts w:ascii="Arial" w:cs="Arial" w:eastAsia="Arial" w:hAnsi="Arial"/>
          <w:sz w:val="16"/>
          <w:szCs w:val="16"/>
          <w:color w:val="auto"/>
        </w:rPr>
        <w:t>”) is dated as of August 15, 2022 and is entered into by and among CLEARWAY ENERGY OPERATING LLC, a Delaware limited liability company (the “</w:t>
      </w:r>
      <w:r>
        <w:rPr>
          <w:rFonts w:ascii="Arial" w:cs="Arial" w:eastAsia="Arial" w:hAnsi="Arial"/>
          <w:sz w:val="16"/>
          <w:szCs w:val="16"/>
          <w:b w:val="1"/>
          <w:bCs w:val="1"/>
          <w:color w:val="auto"/>
        </w:rPr>
        <w:t>Borrower</w:t>
      </w:r>
      <w:r>
        <w:rPr>
          <w:rFonts w:ascii="Arial" w:cs="Arial" w:eastAsia="Arial" w:hAnsi="Arial"/>
          <w:sz w:val="16"/>
          <w:szCs w:val="16"/>
          <w:color w:val="auto"/>
        </w:rPr>
        <w:t>”), CLEARWAY ENERGY LLC, a Delaware limited liability company (“</w:t>
      </w:r>
      <w:r>
        <w:rPr>
          <w:rFonts w:ascii="Arial" w:cs="Arial" w:eastAsia="Arial" w:hAnsi="Arial"/>
          <w:sz w:val="16"/>
          <w:szCs w:val="16"/>
          <w:b w:val="1"/>
          <w:bCs w:val="1"/>
          <w:color w:val="auto"/>
        </w:rPr>
        <w:t>Holdings</w:t>
      </w:r>
      <w:r>
        <w:rPr>
          <w:rFonts w:ascii="Arial" w:cs="Arial" w:eastAsia="Arial" w:hAnsi="Arial"/>
          <w:sz w:val="16"/>
          <w:szCs w:val="16"/>
          <w:color w:val="auto"/>
        </w:rPr>
        <w:t>”), each other Guarantor party hereto, JPMORGAN CHASE BANK, N.A. (“</w:t>
      </w:r>
      <w:r>
        <w:rPr>
          <w:rFonts w:ascii="Arial" w:cs="Arial" w:eastAsia="Arial" w:hAnsi="Arial"/>
          <w:sz w:val="16"/>
          <w:szCs w:val="16"/>
          <w:b w:val="1"/>
          <w:bCs w:val="1"/>
          <w:color w:val="auto"/>
        </w:rPr>
        <w:t>JPM</w:t>
      </w:r>
      <w:r>
        <w:rPr>
          <w:rFonts w:ascii="Arial" w:cs="Arial" w:eastAsia="Arial" w:hAnsi="Arial"/>
          <w:sz w:val="16"/>
          <w:szCs w:val="16"/>
          <w:color w:val="auto"/>
        </w:rPr>
        <w:t>”), in its capacity as the administrative agent under the Credit Agreement (the “</w:t>
      </w:r>
      <w:r>
        <w:rPr>
          <w:rFonts w:ascii="Arial" w:cs="Arial" w:eastAsia="Arial" w:hAnsi="Arial"/>
          <w:sz w:val="16"/>
          <w:szCs w:val="16"/>
          <w:b w:val="1"/>
          <w:bCs w:val="1"/>
          <w:color w:val="auto"/>
        </w:rPr>
        <w:t>Administrative Agent</w:t>
      </w:r>
      <w:r>
        <w:rPr>
          <w:rFonts w:ascii="Arial" w:cs="Arial" w:eastAsia="Arial" w:hAnsi="Arial"/>
          <w:sz w:val="16"/>
          <w:szCs w:val="16"/>
          <w:color w:val="auto"/>
        </w:rPr>
        <w:t>”), and THE LENDERS party hereto and is made with reference to that certain Amended and Restated Credit Agreement dated as of April 25, 2014, as amended by that certain First Amendment to Amended &amp; Restated Credit Agreement, dated as of June 26, 2015, that certain Second Amendment to Amended &amp; Restated Credit Agreement, dated as of February 6, 2018, that certain Third Amendment to Amended and Restated Credit Agreement and Administrative Agent Resignation and Appointment Agreement, dated as of April 30, 2018, that certain Fourth Amendment to Amended and Restated Credit Agreement, dated as of November 30, 2018, that certain Fifth Amendment to Amended and Restated Credit Agreement, dated as of December 20, 2019, and that certain Sixth Amendment to Amended and Restated Credit Agreement and First Amendment to Amended and Restated Pledge and Security Agreement, dated as of November 30, 2021 (the “</w:t>
      </w:r>
      <w:r>
        <w:rPr>
          <w:rFonts w:ascii="Arial" w:cs="Arial" w:eastAsia="Arial" w:hAnsi="Arial"/>
          <w:sz w:val="16"/>
          <w:szCs w:val="16"/>
          <w:b w:val="1"/>
          <w:bCs w:val="1"/>
          <w:color w:val="auto"/>
        </w:rPr>
        <w:t>Credit</w:t>
      </w:r>
      <w:r>
        <w:rPr>
          <w:rFonts w:ascii="Arial" w:cs="Arial" w:eastAsia="Arial" w:hAnsi="Arial"/>
          <w:sz w:val="16"/>
          <w:szCs w:val="16"/>
          <w:color w:val="auto"/>
        </w:rPr>
        <w:t xml:space="preserve"> </w:t>
      </w:r>
      <w:r>
        <w:rPr>
          <w:rFonts w:ascii="Arial" w:cs="Arial" w:eastAsia="Arial" w:hAnsi="Arial"/>
          <w:sz w:val="16"/>
          <w:szCs w:val="16"/>
          <w:b w:val="1"/>
          <w:bCs w:val="1"/>
          <w:color w:val="auto"/>
        </w:rPr>
        <w:t>Agreement</w:t>
      </w:r>
      <w:r>
        <w:rPr>
          <w:rFonts w:ascii="Arial" w:cs="Arial" w:eastAsia="Arial" w:hAnsi="Arial"/>
          <w:sz w:val="16"/>
          <w:szCs w:val="16"/>
          <w:color w:val="auto"/>
        </w:rPr>
        <w:t>,” and as amended by this Amendment and as may be further amended, amended and restated, supplemented or otherwise modified from time</w:t>
      </w:r>
      <w:r>
        <w:rPr>
          <w:rFonts w:ascii="Arial" w:cs="Arial" w:eastAsia="Arial" w:hAnsi="Arial"/>
          <w:sz w:val="16"/>
          <w:szCs w:val="16"/>
          <w:b w:val="1"/>
          <w:bCs w:val="1"/>
          <w:color w:val="auto"/>
        </w:rPr>
        <w:t xml:space="preserve"> </w:t>
      </w:r>
      <w:r>
        <w:rPr>
          <w:rFonts w:ascii="Arial" w:cs="Arial" w:eastAsia="Arial" w:hAnsi="Arial"/>
          <w:sz w:val="16"/>
          <w:szCs w:val="16"/>
          <w:color w:val="auto"/>
        </w:rPr>
        <w:t>to time, the “</w:t>
      </w:r>
      <w:r>
        <w:rPr>
          <w:rFonts w:ascii="Arial" w:cs="Arial" w:eastAsia="Arial" w:hAnsi="Arial"/>
          <w:sz w:val="16"/>
          <w:szCs w:val="16"/>
          <w:b w:val="1"/>
          <w:bCs w:val="1"/>
          <w:color w:val="auto"/>
        </w:rPr>
        <w:t>Amended Credit Agreement</w:t>
      </w:r>
      <w:r>
        <w:rPr>
          <w:rFonts w:ascii="Arial" w:cs="Arial" w:eastAsia="Arial" w:hAnsi="Arial"/>
          <w:sz w:val="16"/>
          <w:szCs w:val="16"/>
          <w:color w:val="auto"/>
        </w:rPr>
        <w:t xml:space="preserve">”), by and among the Borrower, Holdings, the other Guarantors party thereto, the Lenders and L/C Issuers party thereto and the Administrative Agent. Capitalized terms used herein without definition shall have the same meanings herein as set forth in the Amended Credit Agreement, and the rules of interpretation set forth in Section 1.02 of the Amended Credit Agreement shall apply hereto, </w:t>
      </w:r>
      <w:r>
        <w:rPr>
          <w:rFonts w:ascii="Arial" w:cs="Arial" w:eastAsia="Arial" w:hAnsi="Arial"/>
          <w:sz w:val="16"/>
          <w:szCs w:val="16"/>
          <w:i w:val="1"/>
          <w:iCs w:val="1"/>
          <w:color w:val="auto"/>
        </w:rPr>
        <w:t>mutatis mutandis</w:t>
      </w:r>
      <w:r>
        <w:rPr>
          <w:rFonts w:ascii="Arial" w:cs="Arial" w:eastAsia="Arial" w:hAnsi="Arial"/>
          <w:sz w:val="16"/>
          <w:szCs w:val="16"/>
          <w:color w:val="auto"/>
        </w:rPr>
        <w: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Loan Parties have requested that the Lenders agree to amend certain provisions of the Credit Agreement as provided for herein;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0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subject to the satisfaction of the conditions specified herein, the undersigned Lenders are willing to agree to such amendments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Credit Agreement in accordance with Section 11.01 of the Credit Agreement.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premises and the agreements, provisions and covenants herein contained, the parties hereto agree as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I.</w:t>
      </w:r>
      <w:r>
        <w:rPr>
          <w:sz w:val="20"/>
          <w:szCs w:val="20"/>
          <w:color w:val="auto"/>
        </w:rPr>
        <w:tab/>
      </w:r>
      <w:r>
        <w:rPr>
          <w:rFonts w:ascii="Arial" w:cs="Arial" w:eastAsia="Arial" w:hAnsi="Arial"/>
          <w:sz w:val="18"/>
          <w:szCs w:val="18"/>
          <w:b w:val="1"/>
          <w:bCs w:val="1"/>
          <w:color w:val="auto"/>
        </w:rPr>
        <w:t>AMENDMENTS TO CREDIT AGREEMENT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Effective on and as of the date on which each of the conditions set forth in </w:t>
      </w:r>
      <w:r>
        <w:rPr>
          <w:rFonts w:ascii="Arial" w:cs="Arial" w:eastAsia="Arial" w:hAnsi="Arial"/>
          <w:sz w:val="18"/>
          <w:szCs w:val="18"/>
          <w:u w:val="single" w:color="auto"/>
          <w:color w:val="auto"/>
        </w:rPr>
        <w:t>Section II</w:t>
      </w:r>
      <w:r>
        <w:rPr>
          <w:rFonts w:ascii="Arial" w:cs="Arial" w:eastAsia="Arial" w:hAnsi="Arial"/>
          <w:sz w:val="18"/>
          <w:szCs w:val="18"/>
          <w:color w:val="auto"/>
        </w:rPr>
        <w:t xml:space="preserve"> has been satisfied (or waived by the party or parties entitled to the benefit thereof):</w:t>
      </w:r>
    </w:p>
    <w:p>
      <w:pPr>
        <w:spacing w:after="0" w:line="170" w:lineRule="exact"/>
        <w:rPr>
          <w:sz w:val="20"/>
          <w:szCs w:val="20"/>
          <w:color w:val="auto"/>
        </w:rPr>
      </w:pPr>
    </w:p>
    <w:p>
      <w:pPr>
        <w:ind w:left="1300" w:right="1120" w:hanging="644"/>
        <w:spacing w:after="0" w:line="500"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following definition in Section 1.01 of the Credit Agreement is hereby amended and restated in its entirety as follows: “</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an event or series of events by which:</w:t>
      </w:r>
    </w:p>
    <w:p>
      <w:pPr>
        <w:spacing w:after="0" w:line="1" w:lineRule="exact"/>
        <w:rPr>
          <w:rFonts w:ascii="Arial" w:cs="Arial" w:eastAsia="Arial" w:hAnsi="Arial"/>
          <w:sz w:val="18"/>
          <w:szCs w:val="18"/>
          <w:color w:val="auto"/>
        </w:rPr>
      </w:pPr>
    </w:p>
    <w:p>
      <w:pPr>
        <w:jc w:val="both"/>
        <w:ind w:left="1300" w:firstLine="4"/>
        <w:spacing w:after="0" w:line="259" w:lineRule="auto"/>
        <w:tabs>
          <w:tab w:leader="none" w:pos="1947" w:val="left"/>
        </w:tabs>
        <w:numPr>
          <w:ilvl w:val="1"/>
          <w:numId w:val="3"/>
        </w:numPr>
        <w:rPr>
          <w:rFonts w:ascii="Arial" w:cs="Arial" w:eastAsia="Arial" w:hAnsi="Arial"/>
          <w:sz w:val="18"/>
          <w:szCs w:val="18"/>
          <w:color w:val="auto"/>
        </w:rPr>
      </w:pPr>
      <w:r>
        <w:rPr>
          <w:rFonts w:ascii="Arial" w:cs="Arial" w:eastAsia="Arial" w:hAnsi="Arial"/>
          <w:sz w:val="18"/>
          <w:szCs w:val="18"/>
          <w:color w:val="auto"/>
        </w:rPr>
        <w:t>Equity Investor and TotalEnergies shall cease to collectively own, directly or indirectly, at least 35% (as measured by voting power rather than number of shares or other equity securities) of the equity securities of Parent entitled to vote for members of the board of directors or equivalent governing body of Parent on a fully-diluted basis (and taking into account all such securities that such “person” or “group” has the right to acquire pursuant to any option right);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 w:name="page5"/>
    <w:bookmarkEnd w:id="4"/>
    <w:p>
      <w:pPr>
        <w:ind w:left="1820" w:hanging="516"/>
        <w:spacing w:after="0"/>
        <w:tabs>
          <w:tab w:leader="none" w:pos="1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[reserved]; or</w:t>
      </w:r>
    </w:p>
    <w:p>
      <w:pPr>
        <w:spacing w:after="0" w:line="225" w:lineRule="exact"/>
        <w:rPr>
          <w:rFonts w:ascii="Arial" w:cs="Arial" w:eastAsia="Arial" w:hAnsi="Arial"/>
          <w:sz w:val="18"/>
          <w:szCs w:val="18"/>
          <w:color w:val="auto"/>
        </w:rPr>
      </w:pPr>
    </w:p>
    <w:p>
      <w:pPr>
        <w:ind w:left="1300" w:firstLine="4"/>
        <w:spacing w:after="0" w:line="277" w:lineRule="auto"/>
        <w:tabs>
          <w:tab w:leader="none" w:pos="2078" w:val="left"/>
        </w:tabs>
        <w:numPr>
          <w:ilvl w:val="0"/>
          <w:numId w:val="4"/>
        </w:numPr>
        <w:rPr>
          <w:rFonts w:ascii="Arial" w:cs="Arial" w:eastAsia="Arial" w:hAnsi="Arial"/>
          <w:sz w:val="18"/>
          <w:szCs w:val="18"/>
          <w:color w:val="auto"/>
        </w:rPr>
      </w:pPr>
      <w:r>
        <w:rPr>
          <w:rFonts w:ascii="Arial" w:cs="Arial" w:eastAsia="Arial" w:hAnsi="Arial"/>
          <w:sz w:val="18"/>
          <w:szCs w:val="18"/>
          <w:color w:val="auto"/>
        </w:rPr>
        <w:t>Parent, Equity Investor and TotalEnergies collectively shall cease to, directly or indirectly, own and control legally and beneficially all of the Equity Interests in Holdings; or</w:t>
      </w:r>
    </w:p>
    <w:p>
      <w:pPr>
        <w:spacing w:after="0" w:line="170" w:lineRule="exact"/>
        <w:rPr>
          <w:rFonts w:ascii="Arial" w:cs="Arial" w:eastAsia="Arial" w:hAnsi="Arial"/>
          <w:sz w:val="18"/>
          <w:szCs w:val="18"/>
          <w:color w:val="auto"/>
        </w:rPr>
      </w:pPr>
    </w:p>
    <w:p>
      <w:pPr>
        <w:ind w:left="1820" w:hanging="516"/>
        <w:spacing w:after="0"/>
        <w:tabs>
          <w:tab w:leader="none" w:pos="1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Holdings shall cease to directly own and control legally and beneficially all of the Equity Interests in the Borrower.</w:t>
      </w:r>
    </w:p>
    <w:p>
      <w:pPr>
        <w:spacing w:after="0" w:line="225" w:lineRule="exact"/>
        <w:rPr>
          <w:sz w:val="20"/>
          <w:szCs w:val="20"/>
          <w:color w:val="auto"/>
        </w:rPr>
      </w:pPr>
    </w:p>
    <w:p>
      <w:pPr>
        <w:jc w:val="both"/>
        <w:ind w:left="660" w:firstLine="648"/>
        <w:spacing w:after="0" w:line="259" w:lineRule="auto"/>
        <w:rPr>
          <w:sz w:val="20"/>
          <w:szCs w:val="20"/>
          <w:color w:val="auto"/>
        </w:rPr>
      </w:pPr>
      <w:r>
        <w:rPr>
          <w:rFonts w:ascii="Arial" w:cs="Arial" w:eastAsia="Arial" w:hAnsi="Arial"/>
          <w:sz w:val="18"/>
          <w:szCs w:val="18"/>
          <w:color w:val="auto"/>
        </w:rPr>
        <w:t>Notwithstanding anything herein to the contrary or any provision of Section 13d-3 of the Exchange Act, a Person or group shall not be deemed to beneficially own Equity Interests subject to a stock or asset purchase agreement, merger agreement, option agreement, warrant agreement or similar agreement (or voting or option or similar agreement related thereto) until the consummation of the acquisition of the Equity Interests in connection with the transactions contemplated by such agreement.</w:t>
      </w:r>
    </w:p>
    <w:p>
      <w:pPr>
        <w:spacing w:after="0" w:line="187" w:lineRule="exact"/>
        <w:rPr>
          <w:sz w:val="20"/>
          <w:szCs w:val="20"/>
          <w:color w:val="auto"/>
        </w:rPr>
      </w:pPr>
    </w:p>
    <w:p>
      <w:pPr>
        <w:ind w:left="1300" w:right="1680" w:hanging="644"/>
        <w:spacing w:after="0" w:line="563" w:lineRule="auto"/>
        <w:tabs>
          <w:tab w:leader="none" w:pos="1300" w:val="left"/>
        </w:tabs>
        <w:numPr>
          <w:ilvl w:val="0"/>
          <w:numId w:val="5"/>
        </w:numPr>
        <w:rPr>
          <w:rFonts w:ascii="Arial" w:cs="Arial" w:eastAsia="Arial" w:hAnsi="Arial"/>
          <w:sz w:val="16"/>
          <w:szCs w:val="16"/>
          <w:color w:val="auto"/>
        </w:rPr>
      </w:pPr>
      <w:r>
        <w:rPr>
          <w:rFonts w:ascii="Arial" w:cs="Arial" w:eastAsia="Arial" w:hAnsi="Arial"/>
          <w:sz w:val="16"/>
          <w:szCs w:val="16"/>
          <w:color w:val="auto"/>
        </w:rPr>
        <w:t>Section 1.01 of the Credit Agreement is hereby amended by adding the following definitions in alphabetical order: “</w:t>
      </w:r>
      <w:r>
        <w:rPr>
          <w:rFonts w:ascii="Arial" w:cs="Arial" w:eastAsia="Arial" w:hAnsi="Arial"/>
          <w:sz w:val="16"/>
          <w:szCs w:val="16"/>
          <w:u w:val="single" w:color="auto"/>
          <w:color w:val="auto"/>
        </w:rPr>
        <w:t>Seventh Amendment</w:t>
      </w:r>
      <w:r>
        <w:rPr>
          <w:rFonts w:ascii="Arial" w:cs="Arial" w:eastAsia="Arial" w:hAnsi="Arial"/>
          <w:sz w:val="16"/>
          <w:szCs w:val="16"/>
          <w:color w:val="auto"/>
        </w:rPr>
        <w:t>” means that certain Seventh Amendment to this Agreement, dated as of August 15, 2022. “</w:t>
      </w:r>
      <w:r>
        <w:rPr>
          <w:rFonts w:ascii="Arial" w:cs="Arial" w:eastAsia="Arial" w:hAnsi="Arial"/>
          <w:sz w:val="16"/>
          <w:szCs w:val="16"/>
          <w:u w:val="single" w:color="auto"/>
          <w:color w:val="auto"/>
        </w:rPr>
        <w:t>Seventh Amendment Effective Date</w:t>
      </w:r>
      <w:r>
        <w:rPr>
          <w:rFonts w:ascii="Arial" w:cs="Arial" w:eastAsia="Arial" w:hAnsi="Arial"/>
          <w:sz w:val="16"/>
          <w:szCs w:val="16"/>
          <w:color w:val="auto"/>
        </w:rPr>
        <w:t>” has the meaning given to such term in the Seventh Amendment.</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TotalEnergies</w:t>
      </w:r>
      <w:r>
        <w:rPr>
          <w:rFonts w:ascii="Arial" w:cs="Arial" w:eastAsia="Arial" w:hAnsi="Arial"/>
          <w:sz w:val="18"/>
          <w:szCs w:val="18"/>
          <w:color w:val="auto"/>
        </w:rPr>
        <w:t>” means any of TotalEnergies SE, a French société européenne, and its Affiliates.</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II.</w:t>
        <w:tab/>
        <w:t>CONDITIONS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This Amendment shall become effective as of the first date on which each of the following conditions in this </w:t>
      </w:r>
      <w:r>
        <w:rPr>
          <w:rFonts w:ascii="Arial" w:cs="Arial" w:eastAsia="Arial" w:hAnsi="Arial"/>
          <w:sz w:val="18"/>
          <w:szCs w:val="18"/>
          <w:u w:val="single" w:color="auto"/>
          <w:color w:val="auto"/>
        </w:rPr>
        <w:t>Section II</w:t>
      </w:r>
      <w:r>
        <w:rPr>
          <w:rFonts w:ascii="Arial" w:cs="Arial" w:eastAsia="Arial" w:hAnsi="Arial"/>
          <w:sz w:val="18"/>
          <w:szCs w:val="18"/>
          <w:color w:val="auto"/>
        </w:rPr>
        <w:t xml:space="preserve"> have been satisfied (the date of satisfaction of such conditions being referred to herein as the </w:t>
      </w:r>
      <w:r>
        <w:rPr>
          <w:rFonts w:ascii="Arial" w:cs="Arial" w:eastAsia="Arial" w:hAnsi="Arial"/>
          <w:sz w:val="18"/>
          <w:szCs w:val="18"/>
          <w:b w:val="1"/>
          <w:bCs w:val="1"/>
          <w:color w:val="auto"/>
        </w:rPr>
        <w:t>“Seventh Amendment Effective Date”</w:t>
      </w:r>
      <w:r>
        <w:rPr>
          <w:rFonts w:ascii="Arial" w:cs="Arial" w:eastAsia="Arial" w:hAnsi="Arial"/>
          <w:sz w:val="18"/>
          <w:szCs w:val="18"/>
          <w:color w:val="auto"/>
        </w:rPr>
        <w:t>):</w:t>
      </w:r>
    </w:p>
    <w:p>
      <w:pPr>
        <w:spacing w:after="0" w:line="16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            </w:t>
      </w:r>
      <w:r>
        <w:rPr>
          <w:rFonts w:ascii="Arial" w:cs="Arial" w:eastAsia="Arial" w:hAnsi="Arial"/>
          <w:sz w:val="18"/>
          <w:szCs w:val="18"/>
          <w:b w:val="1"/>
          <w:bCs w:val="1"/>
          <w:color w:val="auto"/>
        </w:rPr>
        <w:t>Deliverables to Administrative Agent</w:t>
      </w:r>
      <w:r>
        <w:rPr>
          <w:rFonts w:ascii="Arial" w:cs="Arial" w:eastAsia="Arial" w:hAnsi="Arial"/>
          <w:sz w:val="18"/>
          <w:szCs w:val="18"/>
          <w:color w:val="auto"/>
        </w:rPr>
        <w:t>. The Administrative Agent’s receipt of the following, each of which shall be originals or electronically transmitted copies of originals (followed as soon as reasonably practicable by originals) unless otherwise specified, each properly executed by a Responsible Officer of the signing Loan Party, each dated the Seventh Amendment Effective Date and each in form and substance reasonably satisfactory to the Administrative Agent and each of the Lenders: (i) a counterpart signature page of this Amendment duly executed by each of the Loan Parties, (ii) counterpart signature pages of this Amendment duly executed by the Administrative Agent and (iii) a counterpart signature page of this Amendment duly executed by the Required Lenders.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ind w:right="20" w:firstLine="648"/>
        <w:spacing w:after="0" w:line="293" w:lineRule="auto"/>
        <w:rPr>
          <w:sz w:val="20"/>
          <w:szCs w:val="20"/>
          <w:color w:val="auto"/>
        </w:rPr>
      </w:pPr>
      <w:r>
        <w:rPr>
          <w:rFonts w:ascii="Arial" w:cs="Arial" w:eastAsia="Arial" w:hAnsi="Arial"/>
          <w:sz w:val="16"/>
          <w:szCs w:val="16"/>
          <w:color w:val="auto"/>
        </w:rPr>
        <w:t>B.             </w:t>
      </w:r>
      <w:r>
        <w:rPr>
          <w:rFonts w:ascii="Arial" w:cs="Arial" w:eastAsia="Arial" w:hAnsi="Arial"/>
          <w:sz w:val="16"/>
          <w:szCs w:val="16"/>
          <w:b w:val="1"/>
          <w:bCs w:val="1"/>
          <w:color w:val="auto"/>
        </w:rPr>
        <w:t>Payment of Fees and Expenses</w:t>
      </w:r>
      <w:r>
        <w:rPr>
          <w:rFonts w:ascii="Arial" w:cs="Arial" w:eastAsia="Arial" w:hAnsi="Arial"/>
          <w:sz w:val="16"/>
          <w:szCs w:val="16"/>
          <w:color w:val="auto"/>
        </w:rPr>
        <w:t>. The Administrative Agent shall have received all reasonable and documented out-of-pocket fees and expenses incurred in connection with this Amendment on or prior to the Seventh Amendment Effective Date, including, to the extent invoiced at least three</w:t>
      </w:r>
    </w:p>
    <w:p>
      <w:pPr>
        <w:spacing w:after="0" w:line="1" w:lineRule="exact"/>
        <w:rPr>
          <w:sz w:val="20"/>
          <w:szCs w:val="20"/>
          <w:color w:val="auto"/>
        </w:rPr>
      </w:pPr>
    </w:p>
    <w:p>
      <w:pPr>
        <w:ind w:firstLine="8"/>
        <w:spacing w:after="0" w:line="260" w:lineRule="auto"/>
        <w:tabs>
          <w:tab w:leader="none" w:pos="268" w:val="left"/>
        </w:tabs>
        <w:numPr>
          <w:ilvl w:val="0"/>
          <w:numId w:val="6"/>
        </w:numPr>
        <w:rPr>
          <w:rFonts w:ascii="Arial" w:cs="Arial" w:eastAsia="Arial" w:hAnsi="Arial"/>
          <w:sz w:val="18"/>
          <w:szCs w:val="18"/>
          <w:color w:val="auto"/>
        </w:rPr>
      </w:pPr>
      <w:r>
        <w:rPr>
          <w:rFonts w:ascii="Arial" w:cs="Arial" w:eastAsia="Arial" w:hAnsi="Arial"/>
          <w:sz w:val="18"/>
          <w:szCs w:val="18"/>
          <w:color w:val="auto"/>
        </w:rPr>
        <w:t>Business Days prior to the Seventh Amendment Effective Date, reimbursement or other payment of all out-of-pocket fees and expenses in each case required to be reimbursed or paid by the Borrower under the Credit Agreement.</w:t>
      </w:r>
    </w:p>
    <w:p>
      <w:pPr>
        <w:spacing w:after="0" w:line="18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C.            </w:t>
      </w:r>
      <w:r>
        <w:rPr>
          <w:rFonts w:ascii="Arial" w:cs="Arial" w:eastAsia="Arial" w:hAnsi="Arial"/>
          <w:sz w:val="18"/>
          <w:szCs w:val="18"/>
          <w:b w:val="1"/>
          <w:bCs w:val="1"/>
          <w:color w:val="auto"/>
        </w:rPr>
        <w:t>Consummation of Acquisition</w:t>
      </w:r>
      <w:r>
        <w:rPr>
          <w:rFonts w:ascii="Arial" w:cs="Arial" w:eastAsia="Arial" w:hAnsi="Arial"/>
          <w:sz w:val="18"/>
          <w:szCs w:val="18"/>
          <w:color w:val="auto"/>
        </w:rPr>
        <w:t>. The acquisition of 50.0% of GIP III Zephyr Acquisition Holdings L.P., a Delaware limited partnership, by TotalEnergies shall have been consummated, as confirmed to the Administrative Agent in writing (via e-mail or otherwise) by the Borrower or its representatives.</w:t>
      </w:r>
    </w:p>
    <w:p>
      <w:pPr>
        <w:spacing w:after="0" w:line="176" w:lineRule="exact"/>
        <w:rPr>
          <w:sz w:val="20"/>
          <w:szCs w:val="20"/>
          <w:color w:val="auto"/>
        </w:rPr>
      </w:pPr>
    </w:p>
    <w:p>
      <w:pPr>
        <w:jc w:val="both"/>
        <w:ind w:right="20" w:firstLine="648"/>
        <w:spacing w:after="0" w:line="314" w:lineRule="auto"/>
        <w:rPr>
          <w:sz w:val="20"/>
          <w:szCs w:val="20"/>
          <w:color w:val="auto"/>
        </w:rPr>
      </w:pPr>
      <w:r>
        <w:rPr>
          <w:rFonts w:ascii="Arial" w:cs="Arial" w:eastAsia="Arial" w:hAnsi="Arial"/>
          <w:sz w:val="16"/>
          <w:szCs w:val="16"/>
          <w:color w:val="auto"/>
        </w:rPr>
        <w:t>D.            </w:t>
      </w:r>
      <w:r>
        <w:rPr>
          <w:rFonts w:ascii="Arial" w:cs="Arial" w:eastAsia="Arial" w:hAnsi="Arial"/>
          <w:sz w:val="16"/>
          <w:szCs w:val="16"/>
          <w:b w:val="1"/>
          <w:bCs w:val="1"/>
          <w:color w:val="auto"/>
        </w:rPr>
        <w:t>Representations and Warranties</w:t>
      </w:r>
      <w:r>
        <w:rPr>
          <w:rFonts w:ascii="Arial" w:cs="Arial" w:eastAsia="Arial" w:hAnsi="Arial"/>
          <w:sz w:val="16"/>
          <w:szCs w:val="16"/>
          <w:color w:val="auto"/>
        </w:rPr>
        <w:t>. Each of the representations and warranties in clauses (A), (B), (C)(i), (D) and (E) (solely with respect to Section 5.14 of the Credit Agreement) of Section III shall be true and correct in all material respects on the Seventh Amendment Effective Date (unless made solely as of a prior date, in which case such representation and warranty was true and correct in all material respects as of such date).</w:t>
      </w:r>
    </w:p>
    <w:p>
      <w:pPr>
        <w:spacing w:after="0" w:line="14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III.</w:t>
      </w:r>
      <w:r>
        <w:rPr>
          <w:sz w:val="20"/>
          <w:szCs w:val="20"/>
          <w:color w:val="auto"/>
        </w:rPr>
        <w:tab/>
      </w:r>
      <w:r>
        <w:rPr>
          <w:rFonts w:ascii="Arial" w:cs="Arial" w:eastAsia="Arial" w:hAnsi="Arial"/>
          <w:sz w:val="17"/>
          <w:szCs w:val="17"/>
          <w:b w:val="1"/>
          <w:bCs w:val="1"/>
          <w:color w:val="auto"/>
        </w:rPr>
        <w:t>REPRESENTATIONS AND WARRANTIES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Each Loan Party which is a party hereto represents and warrants to each Lender that the following statements are true and correct in all material respects as of the date hereof:</w:t>
      </w:r>
    </w:p>
    <w:p>
      <w:pPr>
        <w:spacing w:after="0" w:line="16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A.            </w:t>
      </w:r>
      <w:r>
        <w:rPr>
          <w:rFonts w:ascii="Arial" w:cs="Arial" w:eastAsia="Arial" w:hAnsi="Arial"/>
          <w:sz w:val="17"/>
          <w:szCs w:val="17"/>
          <w:b w:val="1"/>
          <w:bCs w:val="1"/>
          <w:color w:val="auto"/>
        </w:rPr>
        <w:t>Corporate Power and Authority.</w:t>
      </w:r>
      <w:r>
        <w:rPr>
          <w:rFonts w:ascii="Arial" w:cs="Arial" w:eastAsia="Arial" w:hAnsi="Arial"/>
          <w:sz w:val="17"/>
          <w:szCs w:val="17"/>
          <w:color w:val="auto"/>
        </w:rPr>
        <w:t xml:space="preserve"> Each Loan Party has all requisite power and authority and all requisite governmental licenses, authorizations, consents and approvals to execute, deliver and perform its obligations under this Amendment and to perform its obligations under the Amended Credit Agreement and consummate the transactions contemplated by this Amendment and the Amended Credit Agreement.</w:t>
      </w:r>
    </w:p>
    <w:p>
      <w:pPr>
        <w:spacing w:after="0" w:line="15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B.            </w:t>
      </w:r>
      <w:r>
        <w:rPr>
          <w:rFonts w:ascii="Arial" w:cs="Arial" w:eastAsia="Arial" w:hAnsi="Arial"/>
          <w:sz w:val="18"/>
          <w:szCs w:val="18"/>
          <w:b w:val="1"/>
          <w:bCs w:val="1"/>
          <w:color w:val="auto"/>
        </w:rPr>
        <w:t>Authorization of Amendment.</w:t>
      </w:r>
      <w:r>
        <w:rPr>
          <w:rFonts w:ascii="Arial" w:cs="Arial" w:eastAsia="Arial" w:hAnsi="Arial"/>
          <w:sz w:val="18"/>
          <w:szCs w:val="18"/>
          <w:color w:val="auto"/>
        </w:rPr>
        <w:t xml:space="preserve"> The execution, delivery and performance by each Loan Party of this Amendment have been duly authorized by all necessary corporate or other organizational action.</w:t>
      </w:r>
    </w:p>
    <w:p>
      <w:pPr>
        <w:spacing w:after="0" w:line="16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C.            </w:t>
      </w:r>
      <w:r>
        <w:rPr>
          <w:rFonts w:ascii="Arial" w:cs="Arial" w:eastAsia="Arial" w:hAnsi="Arial"/>
          <w:sz w:val="16"/>
          <w:szCs w:val="16"/>
          <w:b w:val="1"/>
          <w:bCs w:val="1"/>
          <w:color w:val="auto"/>
        </w:rPr>
        <w:t>No Conflict.</w:t>
      </w:r>
      <w:r>
        <w:rPr>
          <w:rFonts w:ascii="Arial" w:cs="Arial" w:eastAsia="Arial" w:hAnsi="Arial"/>
          <w:sz w:val="16"/>
          <w:szCs w:val="16"/>
          <w:color w:val="auto"/>
        </w:rPr>
        <w:t xml:space="preserve"> The execution, delivery and performance by each Loan Party of this Amendment do not and will not (i) contravene the terms of any of such Person’s Organization Documents; (ii) conflict with or result in any breach or contravention of, or require any payment to be made under, (a) any material Contractual Obligation to which such Person is a party or affecting such Person or the properties of such Person or any of its Subsidiaries, or</w:t>
      </w:r>
    </w:p>
    <w:p>
      <w:pPr>
        <w:spacing w:after="0" w:line="2" w:lineRule="exact"/>
        <w:rPr>
          <w:sz w:val="20"/>
          <w:szCs w:val="20"/>
          <w:color w:val="auto"/>
        </w:rPr>
      </w:pPr>
    </w:p>
    <w:p>
      <w:pPr>
        <w:jc w:val="both"/>
        <w:ind w:firstLine="8"/>
        <w:spacing w:after="0" w:line="255" w:lineRule="auto"/>
        <w:tabs>
          <w:tab w:leader="none" w:pos="261"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order, injunction, writ or decree of any Governmental Authority or any arbitral award to which such Person or its property is subject; (iii) result in the creation or imposition of any Lien upon or with respect to any property or assets now owned or hereafter acquired by such Person or any of its Subsidiaries (other than Liens created under the Collateral Documents); or (iv) violate any material Law.</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both"/>
        <w:ind w:firstLine="648"/>
        <w:spacing w:after="0" w:line="256"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b w:val="1"/>
          <w:bCs w:val="1"/>
          <w:color w:val="auto"/>
        </w:rPr>
        <w:t>Binding Effect.</w:t>
      </w:r>
      <w:r>
        <w:rPr>
          <w:rFonts w:ascii="Arial" w:cs="Arial" w:eastAsia="Arial" w:hAnsi="Arial"/>
          <w:sz w:val="18"/>
          <w:szCs w:val="18"/>
          <w:color w:val="auto"/>
        </w:rPr>
        <w:t xml:space="preserve"> This Amendment has been duly executed and delivered by each Loan Party that is party hereto. Each of this Amendment and the Amended Credit Agreement constitute a legal, valid and binding obligation of such Loan Party, enforceable against each Loan Party that is party hereto or thereto in accordance with its terms, except as enforceability hereof or thereof may be limited by (i) bankruptcy, insolvency, reorganization, moratorium, fraudulent transfer or other laws now or hereafter in effect relating to creditors’ rights generally (including specific performance) and (ii) general equitable principles (whether considered in a proceeding in equity or at law), and to the discretion of the court before which any proceeding may be brought.</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E.             </w:t>
      </w:r>
      <w:r>
        <w:rPr>
          <w:rFonts w:ascii="Arial" w:cs="Arial" w:eastAsia="Arial" w:hAnsi="Arial"/>
          <w:sz w:val="17"/>
          <w:szCs w:val="17"/>
          <w:b w:val="1"/>
          <w:bCs w:val="1"/>
          <w:color w:val="auto"/>
        </w:rPr>
        <w:t>Representations and Warranties, Etc</w:t>
      </w:r>
      <w:r>
        <w:rPr>
          <w:rFonts w:ascii="Arial" w:cs="Arial" w:eastAsia="Arial" w:hAnsi="Arial"/>
          <w:sz w:val="17"/>
          <w:szCs w:val="17"/>
          <w:color w:val="auto"/>
        </w:rPr>
        <w:t xml:space="preserve">. (x) All representations and warranties contained in Article V of the Credit Agreement are true and correct in all material respects (but in all respects if such representation or warranty is qualified by “materiality” or “Material Adverse Effect”), except to the extent that such representations and warranties specifically refer to an earlier date, in which case they were true and correct in all material respects (but in all respects if such representation or warranty is qualified by “materiality” or “Material Adverse Effect”) as of such earlier date, and except that the representations and warranties contained in </w:t>
      </w:r>
      <w:r>
        <w:rPr>
          <w:rFonts w:ascii="Arial" w:cs="Arial" w:eastAsia="Arial" w:hAnsi="Arial"/>
          <w:sz w:val="17"/>
          <w:szCs w:val="17"/>
          <w:u w:val="single" w:color="auto"/>
          <w:color w:val="auto"/>
        </w:rPr>
        <w:t>Sections 5.05(a)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of the Credit Agreement shall be deemed to refer to the most recent statements furnished pursuant to </w:t>
      </w:r>
      <w:r>
        <w:rPr>
          <w:rFonts w:ascii="Arial" w:cs="Arial" w:eastAsia="Arial" w:hAnsi="Arial"/>
          <w:sz w:val="17"/>
          <w:szCs w:val="17"/>
          <w:u w:val="single" w:color="auto"/>
          <w:color w:val="auto"/>
        </w:rPr>
        <w:t>Sections 6.01(a)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of the Credit Agreement, respectively, and the representations and warranties contained in </w:t>
      </w:r>
      <w:r>
        <w:rPr>
          <w:rFonts w:ascii="Arial" w:cs="Arial" w:eastAsia="Arial" w:hAnsi="Arial"/>
          <w:sz w:val="17"/>
          <w:szCs w:val="17"/>
          <w:u w:val="single" w:color="auto"/>
          <w:color w:val="auto"/>
        </w:rPr>
        <w:t>Section 5.05(c)</w:t>
      </w:r>
      <w:r>
        <w:rPr>
          <w:rFonts w:ascii="Arial" w:cs="Arial" w:eastAsia="Arial" w:hAnsi="Arial"/>
          <w:sz w:val="17"/>
          <w:szCs w:val="17"/>
          <w:color w:val="auto"/>
        </w:rPr>
        <w:t xml:space="preserve"> of the Credit Agreement shall be deemed to refer to the statements furnished pursuant to </w:t>
      </w:r>
      <w:r>
        <w:rPr>
          <w:rFonts w:ascii="Arial" w:cs="Arial" w:eastAsia="Arial" w:hAnsi="Arial"/>
          <w:sz w:val="17"/>
          <w:szCs w:val="17"/>
          <w:u w:val="single" w:color="auto"/>
          <w:color w:val="auto"/>
        </w:rPr>
        <w:t>Section 6.01(a)</w:t>
      </w:r>
      <w:r>
        <w:rPr>
          <w:rFonts w:ascii="Arial" w:cs="Arial" w:eastAsia="Arial" w:hAnsi="Arial"/>
          <w:sz w:val="17"/>
          <w:szCs w:val="17"/>
          <w:color w:val="auto"/>
        </w:rPr>
        <w:t xml:space="preserve"> of the Credit Agreement with respect to the fiscal year ended December 31, 2021, and (y) no Default or Event of Default has occurred and is continuing.</w:t>
      </w:r>
    </w:p>
    <w:p>
      <w:pPr>
        <w:spacing w:after="0" w:line="17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V.</w:t>
        <w:tab/>
        <w:t>ACKNOWLEDGMENT AND CONSENT OF LOAN PARTIES; REAFFIRMATION OF GUARANTIES AND LIENS</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A.            </w:t>
      </w:r>
      <w:r>
        <w:rPr>
          <w:rFonts w:ascii="Arial" w:cs="Arial" w:eastAsia="Arial" w:hAnsi="Arial"/>
          <w:sz w:val="18"/>
          <w:szCs w:val="18"/>
          <w:b w:val="1"/>
          <w:bCs w:val="1"/>
          <w:color w:val="auto"/>
        </w:rPr>
        <w:t>Acknowledgment and Consent.</w:t>
      </w:r>
      <w:r>
        <w:rPr>
          <w:rFonts w:ascii="Arial" w:cs="Arial" w:eastAsia="Arial" w:hAnsi="Arial"/>
          <w:sz w:val="18"/>
          <w:szCs w:val="18"/>
          <w:color w:val="auto"/>
        </w:rPr>
        <w:t xml:space="preserve"> Each Loan Party hereby acknowledges that it has reviewed the terms and provisions of the Credit Agreement and this Amendment and consents to the amendments of the Credit Agreement effected pursuant to this Amendment.</w:t>
      </w:r>
    </w:p>
    <w:p>
      <w:pPr>
        <w:spacing w:after="0" w:line="1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B.             </w:t>
      </w:r>
      <w:r>
        <w:rPr>
          <w:rFonts w:ascii="Arial" w:cs="Arial" w:eastAsia="Arial" w:hAnsi="Arial"/>
          <w:sz w:val="18"/>
          <w:szCs w:val="18"/>
          <w:b w:val="1"/>
          <w:bCs w:val="1"/>
          <w:color w:val="auto"/>
        </w:rPr>
        <w:t>Guaranty and Lien Reaffirmation.</w:t>
      </w:r>
      <w:r>
        <w:rPr>
          <w:rFonts w:ascii="Arial" w:cs="Arial" w:eastAsia="Arial" w:hAnsi="Arial"/>
          <w:sz w:val="18"/>
          <w:szCs w:val="18"/>
          <w:color w:val="auto"/>
        </w:rPr>
        <w:t xml:space="preserve"> Each Loan Party hereby (i) confirms that each Loan Document (including the Guaranty), both before and immediately after giving effect to and, if applicable, as amended by this Amendment, to which it is a party or otherwise bound, and all Collateral encumbered thereby will continue to guarantee or secure, as the case may be, to the fullest extent possible in accordance with the Loan Documents, as amended by this Amendment, if applicable, the payment and performance of the Secured Obligations and (ii) ratifies all guaranties and Liens granted by it pursuant to the Loan Documents.</w:t>
      </w:r>
    </w:p>
    <w:p>
      <w:pPr>
        <w:spacing w:after="0" w:line="183"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C.             </w:t>
      </w:r>
      <w:r>
        <w:rPr>
          <w:rFonts w:ascii="Arial" w:cs="Arial" w:eastAsia="Arial" w:hAnsi="Arial"/>
          <w:sz w:val="16"/>
          <w:szCs w:val="16"/>
          <w:b w:val="1"/>
          <w:bCs w:val="1"/>
          <w:color w:val="auto"/>
        </w:rPr>
        <w:t>Continuing Effect.</w:t>
      </w:r>
      <w:r>
        <w:rPr>
          <w:rFonts w:ascii="Arial" w:cs="Arial" w:eastAsia="Arial" w:hAnsi="Arial"/>
          <w:sz w:val="16"/>
          <w:szCs w:val="16"/>
          <w:color w:val="auto"/>
        </w:rPr>
        <w:t xml:space="preserve"> Each Loan Party hereby acknowledges and agrees that (i) each Loan Document, both before and immediately after giving effect to and, if applicable, as amended by this Amendment, to which it is a party or otherwise bound shall continue in full force and effect and (ii) all of its obligations thereunder shall be valid and enforceable and shall not be impaired or limited by the execution or effectiveness of this Amendment.</w:t>
      </w:r>
    </w:p>
    <w:p>
      <w:pPr>
        <w:spacing w:after="0" w:line="14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D.            </w:t>
      </w:r>
      <w:r>
        <w:rPr>
          <w:rFonts w:ascii="Arial" w:cs="Arial" w:eastAsia="Arial" w:hAnsi="Arial"/>
          <w:sz w:val="18"/>
          <w:szCs w:val="18"/>
          <w:b w:val="1"/>
          <w:bCs w:val="1"/>
          <w:color w:val="auto"/>
        </w:rPr>
        <w:t>No Filings Necessary.</w:t>
      </w:r>
      <w:r>
        <w:rPr>
          <w:rFonts w:ascii="Arial" w:cs="Arial" w:eastAsia="Arial" w:hAnsi="Arial"/>
          <w:sz w:val="18"/>
          <w:szCs w:val="18"/>
          <w:color w:val="auto"/>
        </w:rPr>
        <w:t xml:space="preserve"> Except as otherwise required herein, each Loan Party hereby confirms that no additional filings or recordings need to be made, and no other actions need to be taken, by such Loan Party in order to maintain the perfection, enforceability or validity of the security interests created pursuant to the Collateral Documents.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spacing w:after="0"/>
        <w:tabs>
          <w:tab w:leader="none" w:pos="1280" w:val="left"/>
        </w:tabs>
        <w:rPr>
          <w:sz w:val="20"/>
          <w:szCs w:val="20"/>
          <w:color w:val="auto"/>
        </w:rPr>
      </w:pPr>
      <w:r>
        <w:rPr>
          <w:rFonts w:ascii="Arial" w:cs="Arial" w:eastAsia="Arial" w:hAnsi="Arial"/>
          <w:sz w:val="18"/>
          <w:szCs w:val="18"/>
          <w:b w:val="1"/>
          <w:bCs w:val="1"/>
          <w:color w:val="auto"/>
        </w:rPr>
        <w:t>SECTION VI.</w:t>
        <w:tab/>
        <w:t>MISCELLANEOUS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b w:val="1"/>
          <w:bCs w:val="1"/>
          <w:u w:val="single" w:color="auto"/>
          <w:color w:val="auto"/>
        </w:rPr>
        <w:t>Reference to and Effect on Credit Agreement and Other Loan Documents</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259" w:lineRule="auto"/>
        <w:tabs>
          <w:tab w:leader="none" w:pos="886"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and after the Seventh Amendment Effective Date, each reference in the Credit Agreement to “this Agreement,” “hereunder,” “hereof,” “herein” or words of like import referring to the Credit Agreement, and each reference in the other Loan Documents to the “Credit Agreement,” “thereunder,” “thereof” or words of like import referring to the Credit Agreement shall mean and be a reference to the Credit Agreement as amended by this Amendment.</w:t>
      </w:r>
    </w:p>
    <w:p>
      <w:pPr>
        <w:spacing w:after="0" w:line="186" w:lineRule="exact"/>
        <w:rPr>
          <w:rFonts w:ascii="Arial" w:cs="Arial" w:eastAsia="Arial" w:hAnsi="Arial"/>
          <w:sz w:val="18"/>
          <w:szCs w:val="18"/>
          <w:color w:val="auto"/>
        </w:rPr>
      </w:pPr>
    </w:p>
    <w:p>
      <w:pPr>
        <w:ind w:firstLine="656"/>
        <w:spacing w:after="0" w:line="277" w:lineRule="auto"/>
        <w:tabs>
          <w:tab w:leader="none" w:pos="917"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Except as specifically amended by this Amendment, the Credit Agreement and the other Loan Documents shall remain in full force and effect and are hereby ratified and confirmed.</w:t>
      </w:r>
    </w:p>
    <w:p>
      <w:pPr>
        <w:spacing w:after="0" w:line="170" w:lineRule="exact"/>
        <w:rPr>
          <w:rFonts w:ascii="Arial" w:cs="Arial" w:eastAsia="Arial" w:hAnsi="Arial"/>
          <w:sz w:val="18"/>
          <w:szCs w:val="18"/>
          <w:color w:val="auto"/>
        </w:rPr>
      </w:pPr>
    </w:p>
    <w:p>
      <w:pPr>
        <w:jc w:val="both"/>
        <w:ind w:firstLine="656"/>
        <w:spacing w:after="0" w:line="275" w:lineRule="auto"/>
        <w:tabs>
          <w:tab w:leader="none" w:pos="971"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execution, delivery and performance of this Amendment shall not constitute either (x) a novation of the Credit Agreement or any of the other Loan Documents or any obligations thereunder or (y) a waiver of any provision of, or operate as a waiver of any right, power or remedy of any Agent, Lender or L/C Issuer under, the Credit Agreement or any of the other Loan Documents. The amendments contained herein are limited to the specified provisions and circumstances described and shall not be deemed to prejudice any rights not specifically addressed herein which any Agent, Lender or L/C Issuer may now have or may have in the future under the Amended Credit Agreement or any other Loan Document.</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b w:val="1"/>
          <w:bCs w:val="1"/>
          <w:u w:val="single" w:color="auto"/>
          <w:color w:val="auto"/>
        </w:rPr>
        <w:t>Loan Document</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avoidance of doubt, this Amendment constitutes a Loan Document.</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C. </w:t>
      </w:r>
      <w:r>
        <w:rPr>
          <w:rFonts w:ascii="Arial" w:cs="Arial" w:eastAsia="Arial" w:hAnsi="Arial"/>
          <w:sz w:val="18"/>
          <w:szCs w:val="18"/>
          <w:b w:val="1"/>
          <w:bCs w:val="1"/>
          <w:u w:val="single" w:color="auto"/>
          <w:color w:val="auto"/>
        </w:rPr>
        <w:t>Headings</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and Subsection headings in this Amendment are included herein for convenience of reference only and shall not constitute a</w:t>
      </w:r>
      <w:r>
        <w:rPr>
          <w:rFonts w:ascii="Arial" w:cs="Arial" w:eastAsia="Arial" w:hAnsi="Arial"/>
          <w:sz w:val="18"/>
          <w:szCs w:val="18"/>
          <w:b w:val="1"/>
          <w:bCs w:val="1"/>
          <w:color w:val="auto"/>
        </w:rPr>
        <w:t xml:space="preserve"> </w:t>
      </w:r>
      <w:r>
        <w:rPr>
          <w:rFonts w:ascii="Arial" w:cs="Arial" w:eastAsia="Arial" w:hAnsi="Arial"/>
          <w:sz w:val="18"/>
          <w:szCs w:val="18"/>
          <w:color w:val="auto"/>
        </w:rPr>
        <w:t>part of this Amendment for any other purpose or be given any substantive effect.</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D. </w:t>
      </w: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THIS AMENDMENT SHALL BE GOVERNED BY, AND CONSTRUED IN ACCORDANCE WITH, THE LAW OF THE STATE OF NEW YORK.</w:t>
      </w:r>
    </w:p>
    <w:p>
      <w:pPr>
        <w:spacing w:after="0" w:line="16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b w:val="1"/>
          <w:bCs w:val="1"/>
          <w:color w:val="auto"/>
        </w:rPr>
        <w:t xml:space="preserve">E. </w:t>
      </w:r>
      <w:r>
        <w:rPr>
          <w:rFonts w:ascii="Arial" w:cs="Arial" w:eastAsia="Arial" w:hAnsi="Arial"/>
          <w:sz w:val="17"/>
          <w:szCs w:val="17"/>
          <w:b w:val="1"/>
          <w:bCs w:val="1"/>
          <w:u w:val="single" w:color="auto"/>
          <w:color w:val="auto"/>
        </w:rPr>
        <w:t>Submission to Jurisdiction; Waiver of Venue; Service of Process; Waiver of Jury Trial</w:t>
      </w:r>
      <w:r>
        <w:rPr>
          <w:rFonts w:ascii="Arial" w:cs="Arial" w:eastAsia="Arial" w:hAnsi="Arial"/>
          <w:sz w:val="17"/>
          <w:szCs w:val="17"/>
          <w:b w:val="1"/>
          <w:bCs w:val="1"/>
          <w:color w:val="auto"/>
        </w:rPr>
        <w:t xml:space="preserve">. </w:t>
      </w:r>
      <w:r>
        <w:rPr>
          <w:rFonts w:ascii="Arial" w:cs="Arial" w:eastAsia="Arial" w:hAnsi="Arial"/>
          <w:sz w:val="17"/>
          <w:szCs w:val="17"/>
          <w:color w:val="auto"/>
        </w:rPr>
        <w:t>The provisions of Sections 11.14(b), (c) and (d)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and Section 11.15 of the Amended Credit Agreement are hereby incorporated by reference, </w:t>
      </w:r>
      <w:r>
        <w:rPr>
          <w:rFonts w:ascii="Arial" w:cs="Arial" w:eastAsia="Arial" w:hAnsi="Arial"/>
          <w:sz w:val="17"/>
          <w:szCs w:val="17"/>
          <w:i w:val="1"/>
          <w:iCs w:val="1"/>
          <w:color w:val="auto"/>
        </w:rPr>
        <w:t>mutatis mutandis</w:t>
      </w:r>
      <w:r>
        <w:rPr>
          <w:rFonts w:ascii="Arial" w:cs="Arial" w:eastAsia="Arial" w:hAnsi="Arial"/>
          <w:sz w:val="17"/>
          <w:szCs w:val="17"/>
          <w:color w:val="auto"/>
        </w:rPr>
        <w:t>, as if set forth in full herein.</w:t>
      </w:r>
    </w:p>
    <w:p>
      <w:pPr>
        <w:spacing w:after="0" w:line="14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b w:val="1"/>
          <w:bCs w:val="1"/>
          <w:color w:val="auto"/>
        </w:rPr>
        <w:t xml:space="preserve">F. </w:t>
      </w:r>
      <w:r>
        <w:rPr>
          <w:rFonts w:ascii="Arial" w:cs="Arial" w:eastAsia="Arial" w:hAnsi="Arial"/>
          <w:sz w:val="18"/>
          <w:szCs w:val="18"/>
          <w:b w:val="1"/>
          <w:bCs w:val="1"/>
          <w:u w:val="single" w:color="auto"/>
          <w:color w:val="auto"/>
        </w:rPr>
        <w:t>Counterparts; Electronic Execution</w:t>
      </w:r>
      <w:r>
        <w:rPr>
          <w:rFonts w:ascii="Arial" w:cs="Arial" w:eastAsia="Arial" w:hAnsi="Arial"/>
          <w:sz w:val="18"/>
          <w:szCs w:val="18"/>
          <w:b w:val="1"/>
          <w:bCs w:val="1"/>
          <w:color w:val="auto"/>
        </w:rPr>
        <w:t xml:space="preserve">. </w:t>
      </w:r>
      <w:r>
        <w:rPr>
          <w:rFonts w:ascii="Arial" w:cs="Arial" w:eastAsia="Arial" w:hAnsi="Arial"/>
          <w:sz w:val="18"/>
          <w:szCs w:val="18"/>
          <w:color w:val="auto"/>
        </w:rPr>
        <w:t>This Amendment may be executed in counterparts (and by different parties hereto in different</w:t>
      </w:r>
      <w:r>
        <w:rPr>
          <w:rFonts w:ascii="Arial" w:cs="Arial" w:eastAsia="Arial" w:hAnsi="Arial"/>
          <w:sz w:val="18"/>
          <w:szCs w:val="18"/>
          <w:b w:val="1"/>
          <w:bCs w:val="1"/>
          <w:color w:val="auto"/>
        </w:rPr>
        <w:t xml:space="preserve"> </w:t>
      </w:r>
      <w:r>
        <w:rPr>
          <w:rFonts w:ascii="Arial" w:cs="Arial" w:eastAsia="Arial" w:hAnsi="Arial"/>
          <w:sz w:val="18"/>
          <w:szCs w:val="18"/>
          <w:color w:val="auto"/>
        </w:rPr>
        <w:t>counterparts), each of which shall constitute an original, but all of which when taken together shall constitute a single contract. Delivery of an executed counterpart of a signature page of this Amendment by telecopy or other electronic imaging means shall be effective as delivery of a manually executed counterpart of this Amendment. The words “execution,” “execute”, “signed,” “signature,” and words of like import in or related to any document to be signed in connection with this Amendment and the transactions contemplated hereby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this page intentionally left blank.</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ind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caused this Amendment to be duly executed and delivered by their respective officers</w:t>
      </w:r>
      <w:r>
        <w:rPr>
          <w:rFonts w:ascii="Arial" w:cs="Arial" w:eastAsia="Arial" w:hAnsi="Arial"/>
          <w:sz w:val="18"/>
          <w:szCs w:val="18"/>
          <w:b w:val="1"/>
          <w:bCs w:val="1"/>
          <w:color w:val="auto"/>
        </w:rPr>
        <w:t xml:space="preserve"> </w:t>
      </w:r>
      <w:r>
        <w:rPr>
          <w:rFonts w:ascii="Arial" w:cs="Arial" w:eastAsia="Arial" w:hAnsi="Arial"/>
          <w:sz w:val="18"/>
          <w:szCs w:val="18"/>
          <w:color w:val="auto"/>
        </w:rPr>
        <w:t>thereunto duly authorized as of the date first written above.</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60" w:type="dxa"/>
            <w:vAlign w:val="bottom"/>
          </w:tcPr>
          <w:p>
            <w:pPr>
              <w:spacing w:after="0"/>
              <w:rPr>
                <w:sz w:val="20"/>
                <w:szCs w:val="20"/>
                <w:color w:val="auto"/>
              </w:rPr>
            </w:pPr>
            <w:r>
              <w:rPr>
                <w:rFonts w:ascii="Arial" w:cs="Arial" w:eastAsia="Arial" w:hAnsi="Arial"/>
                <w:sz w:val="18"/>
                <w:szCs w:val="18"/>
                <w:b w:val="1"/>
                <w:bCs w:val="1"/>
                <w:color w:val="auto"/>
              </w:rPr>
              <w:t>BORROWER:</w:t>
            </w:r>
          </w:p>
        </w:tc>
        <w:tc>
          <w:tcPr>
            <w:tcW w:w="8980" w:type="dxa"/>
            <w:vAlign w:val="bottom"/>
            <w:gridSpan w:val="2"/>
          </w:tcPr>
          <w:p>
            <w:pPr>
              <w:ind w:left="3380"/>
              <w:spacing w:after="0"/>
              <w:rPr>
                <w:sz w:val="20"/>
                <w:szCs w:val="20"/>
                <w:color w:val="auto"/>
              </w:rPr>
            </w:pPr>
            <w:r>
              <w:rPr>
                <w:rFonts w:ascii="Arial" w:cs="Arial" w:eastAsia="Arial" w:hAnsi="Arial"/>
                <w:sz w:val="18"/>
                <w:szCs w:val="18"/>
                <w:b w:val="1"/>
                <w:bCs w:val="1"/>
                <w:color w:val="auto"/>
              </w:rPr>
              <w:t>CLEARWAY ENERGY OPERATING LLC</w:t>
            </w:r>
          </w:p>
        </w:tc>
      </w:tr>
      <w:tr>
        <w:trPr>
          <w:trHeight w:val="648"/>
        </w:trPr>
        <w:tc>
          <w:tcPr>
            <w:tcW w:w="2260" w:type="dxa"/>
            <w:vAlign w:val="bottom"/>
          </w:tcPr>
          <w:p>
            <w:pPr>
              <w:spacing w:after="0"/>
              <w:rPr>
                <w:sz w:val="24"/>
                <w:szCs w:val="24"/>
                <w:color w:val="auto"/>
              </w:rPr>
            </w:pPr>
          </w:p>
        </w:tc>
        <w:tc>
          <w:tcPr>
            <w:tcW w:w="8980" w:type="dxa"/>
            <w:vAlign w:val="bottom"/>
            <w:gridSpan w:val="2"/>
          </w:tcPr>
          <w:p>
            <w:pPr>
              <w:ind w:left="33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Christopher S. Sotos</w:t>
            </w:r>
          </w:p>
        </w:tc>
      </w:tr>
      <w:tr>
        <w:trPr>
          <w:trHeight w:val="20"/>
        </w:trPr>
        <w:tc>
          <w:tcPr>
            <w:tcW w:w="22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5280" w:type="dxa"/>
            <w:vAlign w:val="bottom"/>
            <w:shd w:val="clear" w:color="auto" w:fill="000000"/>
          </w:tcPr>
          <w:p>
            <w:pPr>
              <w:spacing w:after="0" w:line="20" w:lineRule="exact"/>
              <w:rPr>
                <w:sz w:val="1"/>
                <w:szCs w:val="1"/>
                <w:color w:val="auto"/>
              </w:rPr>
            </w:pPr>
          </w:p>
        </w:tc>
      </w:tr>
      <w:tr>
        <w:trPr>
          <w:trHeight w:val="182"/>
        </w:trPr>
        <w:tc>
          <w:tcPr>
            <w:tcW w:w="2260" w:type="dxa"/>
            <w:vAlign w:val="bottom"/>
          </w:tcPr>
          <w:p>
            <w:pPr>
              <w:spacing w:after="0"/>
              <w:rPr>
                <w:sz w:val="15"/>
                <w:szCs w:val="15"/>
                <w:color w:val="auto"/>
              </w:rPr>
            </w:pPr>
          </w:p>
        </w:tc>
        <w:tc>
          <w:tcPr>
            <w:tcW w:w="8980" w:type="dxa"/>
            <w:vAlign w:val="bottom"/>
            <w:gridSpan w:val="2"/>
          </w:tcPr>
          <w:p>
            <w:pPr>
              <w:ind w:left="3380"/>
              <w:spacing w:after="0" w:line="182" w:lineRule="exact"/>
              <w:rPr>
                <w:sz w:val="20"/>
                <w:szCs w:val="20"/>
                <w:color w:val="auto"/>
              </w:rPr>
            </w:pPr>
            <w:r>
              <w:rPr>
                <w:rFonts w:ascii="Arial" w:cs="Arial" w:eastAsia="Arial" w:hAnsi="Arial"/>
                <w:sz w:val="18"/>
                <w:szCs w:val="18"/>
                <w:color w:val="auto"/>
              </w:rPr>
              <w:t>Name: Christopher S. Sotos</w:t>
            </w:r>
          </w:p>
        </w:tc>
      </w:tr>
      <w:tr>
        <w:trPr>
          <w:trHeight w:val="230"/>
        </w:trPr>
        <w:tc>
          <w:tcPr>
            <w:tcW w:w="2260" w:type="dxa"/>
            <w:vAlign w:val="bottom"/>
          </w:tcPr>
          <w:p>
            <w:pPr>
              <w:spacing w:after="0"/>
              <w:rPr>
                <w:sz w:val="20"/>
                <w:szCs w:val="20"/>
                <w:color w:val="auto"/>
              </w:rPr>
            </w:pPr>
          </w:p>
        </w:tc>
        <w:tc>
          <w:tcPr>
            <w:tcW w:w="8980" w:type="dxa"/>
            <w:vAlign w:val="bottom"/>
            <w:gridSpan w:val="2"/>
          </w:tcPr>
          <w:p>
            <w:pPr>
              <w:ind w:left="3380"/>
              <w:spacing w:after="0"/>
              <w:rPr>
                <w:sz w:val="20"/>
                <w:szCs w:val="20"/>
                <w:color w:val="auto"/>
              </w:rPr>
            </w:pPr>
            <w:r>
              <w:rPr>
                <w:rFonts w:ascii="Arial" w:cs="Arial" w:eastAsia="Arial" w:hAnsi="Arial"/>
                <w:sz w:val="18"/>
                <w:szCs w:val="18"/>
                <w:color w:val="auto"/>
              </w:rPr>
              <w:t>Title:  President &amp; Chief Executive Officer</w:t>
            </w:r>
          </w:p>
        </w:tc>
      </w:tr>
      <w:tr>
        <w:trPr>
          <w:trHeight w:val="630"/>
        </w:trPr>
        <w:tc>
          <w:tcPr>
            <w:tcW w:w="2260" w:type="dxa"/>
            <w:vAlign w:val="bottom"/>
          </w:tcPr>
          <w:p>
            <w:pPr>
              <w:spacing w:after="0"/>
              <w:rPr>
                <w:sz w:val="20"/>
                <w:szCs w:val="20"/>
                <w:color w:val="auto"/>
              </w:rPr>
            </w:pPr>
            <w:r>
              <w:rPr>
                <w:rFonts w:ascii="Arial" w:cs="Arial" w:eastAsia="Arial" w:hAnsi="Arial"/>
                <w:sz w:val="18"/>
                <w:szCs w:val="18"/>
                <w:b w:val="1"/>
                <w:bCs w:val="1"/>
                <w:color w:val="auto"/>
              </w:rPr>
              <w:t>GUARANTORS:</w:t>
            </w:r>
          </w:p>
        </w:tc>
        <w:tc>
          <w:tcPr>
            <w:tcW w:w="8980" w:type="dxa"/>
            <w:vAlign w:val="bottom"/>
            <w:gridSpan w:val="2"/>
          </w:tcPr>
          <w:p>
            <w:pPr>
              <w:ind w:left="3380"/>
              <w:spacing w:after="0"/>
              <w:rPr>
                <w:sz w:val="20"/>
                <w:szCs w:val="20"/>
                <w:color w:val="auto"/>
              </w:rPr>
            </w:pPr>
            <w:r>
              <w:rPr>
                <w:rFonts w:ascii="Arial" w:cs="Arial" w:eastAsia="Arial" w:hAnsi="Arial"/>
                <w:sz w:val="18"/>
                <w:szCs w:val="18"/>
                <w:b w:val="1"/>
                <w:bCs w:val="1"/>
                <w:color w:val="auto"/>
              </w:rPr>
              <w:t>CLEARWAY ENERGY LLC</w:t>
            </w:r>
          </w:p>
        </w:tc>
      </w:tr>
      <w:tr>
        <w:trPr>
          <w:trHeight w:val="234"/>
        </w:trPr>
        <w:tc>
          <w:tcPr>
            <w:tcW w:w="2260" w:type="dxa"/>
            <w:vAlign w:val="bottom"/>
          </w:tcPr>
          <w:p>
            <w:pPr>
              <w:spacing w:after="0"/>
              <w:rPr>
                <w:sz w:val="20"/>
                <w:szCs w:val="20"/>
                <w:color w:val="auto"/>
              </w:rPr>
            </w:pPr>
          </w:p>
        </w:tc>
        <w:tc>
          <w:tcPr>
            <w:tcW w:w="8980" w:type="dxa"/>
            <w:vAlign w:val="bottom"/>
            <w:gridSpan w:val="2"/>
          </w:tcPr>
          <w:p>
            <w:pPr>
              <w:ind w:left="3380"/>
              <w:spacing w:after="0"/>
              <w:rPr>
                <w:sz w:val="20"/>
                <w:szCs w:val="20"/>
                <w:color w:val="auto"/>
              </w:rPr>
            </w:pPr>
            <w:r>
              <w:rPr>
                <w:rFonts w:ascii="Arial" w:cs="Arial" w:eastAsia="Arial" w:hAnsi="Arial"/>
                <w:sz w:val="18"/>
                <w:szCs w:val="18"/>
                <w:b w:val="1"/>
                <w:bCs w:val="1"/>
                <w:color w:val="auto"/>
              </w:rPr>
              <w:t>DGPV HOLDING LLC</w:t>
            </w:r>
          </w:p>
        </w:tc>
      </w:tr>
      <w:tr>
        <w:trPr>
          <w:trHeight w:val="648"/>
        </w:trPr>
        <w:tc>
          <w:tcPr>
            <w:tcW w:w="2260" w:type="dxa"/>
            <w:vAlign w:val="bottom"/>
          </w:tcPr>
          <w:p>
            <w:pPr>
              <w:spacing w:after="0"/>
              <w:rPr>
                <w:sz w:val="24"/>
                <w:szCs w:val="24"/>
                <w:color w:val="auto"/>
              </w:rPr>
            </w:pPr>
          </w:p>
        </w:tc>
        <w:tc>
          <w:tcPr>
            <w:tcW w:w="8980" w:type="dxa"/>
            <w:vAlign w:val="bottom"/>
            <w:gridSpan w:val="2"/>
          </w:tcPr>
          <w:p>
            <w:pPr>
              <w:ind w:left="33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Christopher S. Sotos</w:t>
            </w:r>
          </w:p>
        </w:tc>
      </w:tr>
      <w:tr>
        <w:trPr>
          <w:trHeight w:val="20"/>
        </w:trPr>
        <w:tc>
          <w:tcPr>
            <w:tcW w:w="22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5280" w:type="dxa"/>
            <w:vAlign w:val="bottom"/>
            <w:shd w:val="clear" w:color="auto" w:fill="000000"/>
          </w:tcPr>
          <w:p>
            <w:pPr>
              <w:spacing w:after="0" w:line="20" w:lineRule="exact"/>
              <w:rPr>
                <w:sz w:val="1"/>
                <w:szCs w:val="1"/>
                <w:color w:val="auto"/>
              </w:rPr>
            </w:pPr>
          </w:p>
        </w:tc>
      </w:tr>
      <w:tr>
        <w:trPr>
          <w:trHeight w:val="182"/>
        </w:trPr>
        <w:tc>
          <w:tcPr>
            <w:tcW w:w="2260" w:type="dxa"/>
            <w:vAlign w:val="bottom"/>
          </w:tcPr>
          <w:p>
            <w:pPr>
              <w:spacing w:after="0"/>
              <w:rPr>
                <w:sz w:val="15"/>
                <w:szCs w:val="15"/>
                <w:color w:val="auto"/>
              </w:rPr>
            </w:pPr>
          </w:p>
        </w:tc>
        <w:tc>
          <w:tcPr>
            <w:tcW w:w="8980" w:type="dxa"/>
            <w:vAlign w:val="bottom"/>
            <w:gridSpan w:val="2"/>
          </w:tcPr>
          <w:p>
            <w:pPr>
              <w:ind w:left="3380"/>
              <w:spacing w:after="0" w:line="182" w:lineRule="exact"/>
              <w:rPr>
                <w:sz w:val="20"/>
                <w:szCs w:val="20"/>
                <w:color w:val="auto"/>
              </w:rPr>
            </w:pPr>
            <w:r>
              <w:rPr>
                <w:rFonts w:ascii="Arial" w:cs="Arial" w:eastAsia="Arial" w:hAnsi="Arial"/>
                <w:sz w:val="18"/>
                <w:szCs w:val="18"/>
                <w:color w:val="auto"/>
              </w:rPr>
              <w:t>Name: Christopher S. Sotos</w:t>
            </w:r>
          </w:p>
        </w:tc>
      </w:tr>
      <w:tr>
        <w:trPr>
          <w:trHeight w:val="230"/>
        </w:trPr>
        <w:tc>
          <w:tcPr>
            <w:tcW w:w="2260" w:type="dxa"/>
            <w:vAlign w:val="bottom"/>
          </w:tcPr>
          <w:p>
            <w:pPr>
              <w:spacing w:after="0"/>
              <w:rPr>
                <w:sz w:val="20"/>
                <w:szCs w:val="20"/>
                <w:color w:val="auto"/>
              </w:rPr>
            </w:pPr>
          </w:p>
        </w:tc>
        <w:tc>
          <w:tcPr>
            <w:tcW w:w="8980" w:type="dxa"/>
            <w:vAlign w:val="bottom"/>
            <w:gridSpan w:val="2"/>
          </w:tcPr>
          <w:p>
            <w:pPr>
              <w:ind w:left="3380"/>
              <w:spacing w:after="0"/>
              <w:rPr>
                <w:sz w:val="20"/>
                <w:szCs w:val="20"/>
                <w:color w:val="auto"/>
              </w:rPr>
            </w:pPr>
            <w:r>
              <w:rPr>
                <w:rFonts w:ascii="Arial" w:cs="Arial" w:eastAsia="Arial" w:hAnsi="Arial"/>
                <w:sz w:val="18"/>
                <w:szCs w:val="18"/>
                <w:color w:val="auto"/>
              </w:rPr>
              <w:t>Title:  President &amp; Chief Executive Officer</w:t>
            </w:r>
          </w:p>
        </w:tc>
      </w:tr>
      <w:tr>
        <w:trPr>
          <w:trHeight w:val="432"/>
        </w:trPr>
        <w:tc>
          <w:tcPr>
            <w:tcW w:w="2260" w:type="dxa"/>
            <w:vAlign w:val="bottom"/>
          </w:tcPr>
          <w:p>
            <w:pPr>
              <w:spacing w:after="0"/>
              <w:rPr>
                <w:sz w:val="24"/>
                <w:szCs w:val="24"/>
                <w:color w:val="auto"/>
              </w:rPr>
            </w:pPr>
          </w:p>
        </w:tc>
        <w:tc>
          <w:tcPr>
            <w:tcW w:w="8980" w:type="dxa"/>
            <w:vAlign w:val="bottom"/>
            <w:gridSpan w:val="2"/>
          </w:tcPr>
          <w:p>
            <w:pPr>
              <w:ind w:left="920"/>
              <w:spacing w:after="0"/>
              <w:rPr>
                <w:sz w:val="20"/>
                <w:szCs w:val="20"/>
                <w:color w:val="auto"/>
              </w:rPr>
            </w:pPr>
            <w:r>
              <w:rPr>
                <w:rFonts w:ascii="Arial" w:cs="Arial" w:eastAsia="Arial" w:hAnsi="Arial"/>
                <w:sz w:val="18"/>
                <w:szCs w:val="18"/>
                <w:color w:val="auto"/>
              </w:rPr>
              <w:t>[Signature Page to Seventh Amendment to A&amp;R Credit Agreement]</w:t>
            </w:r>
          </w:p>
        </w:tc>
      </w:tr>
      <w:tr>
        <w:trPr>
          <w:trHeight w:val="675"/>
        </w:trPr>
        <w:tc>
          <w:tcPr>
            <w:tcW w:w="22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9" w:name="page10"/>
    <w:bookmarkEnd w:id="9"/>
    <w:p>
      <w:pPr>
        <w:ind w:left="4520"/>
        <w:spacing w:after="0"/>
        <w:rPr>
          <w:sz w:val="20"/>
          <w:szCs w:val="20"/>
          <w:color w:val="auto"/>
        </w:rPr>
      </w:pPr>
      <w:r>
        <w:rPr>
          <w:rFonts w:ascii="Arial" w:cs="Arial" w:eastAsia="Arial" w:hAnsi="Arial"/>
          <w:sz w:val="18"/>
          <w:szCs w:val="18"/>
          <w:b w:val="1"/>
          <w:bCs w:val="1"/>
          <w:color w:val="auto"/>
        </w:rPr>
        <w:t>ALTA WIND 1-5 HOLDING COMPANY, LLC</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ALTA WIND COMPANY,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CAPISTRANO PORTFOLIO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CBAD HOLDINGS II,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CLEARWAY SOLAR STAR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CWEN PINNACLE REPOWERING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CWSP RATTLESNAKE HOLDING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DAGGETT SOLAR HOLDCO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DG-CS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DG SREC HOLDCO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ENERGY CENTER HONOLULU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LANGFORD HOLDING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LIGHTHOUSE RENEWABLE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MARSH LANDING HOLDCO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NIMH SOLAR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OCOTILLO WINDPOWER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PAWVA WIND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PORTFOLIO SOLAR I,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ROSAMOND SOLAR HOLDCO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RPV HOLDING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SOLAR FLAGSTAFF ONE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SOLAR IGUANA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SOLAR LAS VEGAS MB 1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SOLAR TABERNACLE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SOUTH TRENT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SPP ASSET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SPP FUND II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SPP FUND II,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SPP FUND II-B,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SPP FUND III,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THERMAL CANADA INFRASTRUCTURE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THERMAL HAWAII DEVELOPMENT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UTAH SOLAR MASTER HOLDCO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WV WIND HOLDINGS LLC</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w:t>
      </w:r>
      <w:r>
        <w:rPr>
          <w:rFonts w:ascii="Arial" w:cs="Arial" w:eastAsia="Arial" w:hAnsi="Arial"/>
          <w:sz w:val="18"/>
          <w:szCs w:val="18"/>
          <w:i w:val="1"/>
          <w:iCs w:val="1"/>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Christopher S. Sotos</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President</w:t>
      </w:r>
    </w:p>
    <w:p>
      <w:pPr>
        <w:spacing w:after="0" w:line="231" w:lineRule="exact"/>
        <w:rPr>
          <w:sz w:val="20"/>
          <w:szCs w:val="20"/>
          <w:color w:val="auto"/>
        </w:rPr>
      </w:pPr>
    </w:p>
    <w:p>
      <w:pPr>
        <w:ind w:left="1560"/>
        <w:spacing w:after="0"/>
        <w:rPr>
          <w:sz w:val="20"/>
          <w:szCs w:val="20"/>
          <w:color w:val="auto"/>
        </w:rPr>
      </w:pPr>
      <w:r>
        <w:rPr>
          <w:rFonts w:ascii="Arial" w:cs="Arial" w:eastAsia="Arial" w:hAnsi="Arial"/>
          <w:sz w:val="22"/>
          <w:szCs w:val="22"/>
          <w:color w:val="auto"/>
        </w:rPr>
        <w:t>[Signature Page to Seventh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452755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420"/>
          </w:cols>
          <w:pgMar w:left="1440" w:top="904" w:right="1039" w:bottom="1440" w:gutter="0" w:footer="0" w:header="0"/>
        </w:sectPr>
      </w:pPr>
    </w:p>
    <w:bookmarkStart w:id="10" w:name="page11"/>
    <w:bookmarkEnd w:id="10"/>
    <w:p>
      <w:pPr>
        <w:ind w:left="4520"/>
        <w:spacing w:after="0"/>
        <w:rPr>
          <w:sz w:val="20"/>
          <w:szCs w:val="20"/>
          <w:color w:val="auto"/>
        </w:rPr>
      </w:pPr>
      <w:r>
        <w:rPr>
          <w:rFonts w:ascii="Arial" w:cs="Arial" w:eastAsia="Arial" w:hAnsi="Arial"/>
          <w:sz w:val="18"/>
          <w:szCs w:val="18"/>
          <w:b w:val="1"/>
          <w:bCs w:val="1"/>
          <w:color w:val="auto"/>
        </w:rPr>
        <w:t>JPMORGAN CHASE BANK, N.A.,</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Administrative Agent</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/s/Arina Mavilian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Arina Mavilian</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Authorized Signatory</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to Seventh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474980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31" w:right="1440" w:bottom="1440" w:gutter="0" w:footer="0" w:header="0"/>
        </w:sectPr>
      </w:pPr>
    </w:p>
    <w:bookmarkStart w:id="11" w:name="page12"/>
    <w:bookmarkEnd w:id="11"/>
    <w:p>
      <w:pPr>
        <w:ind w:left="4520"/>
        <w:spacing w:after="0"/>
        <w:rPr>
          <w:sz w:val="20"/>
          <w:szCs w:val="20"/>
          <w:color w:val="auto"/>
        </w:rPr>
      </w:pPr>
      <w:r>
        <w:rPr>
          <w:rFonts w:ascii="Arial" w:cs="Arial" w:eastAsia="Arial" w:hAnsi="Arial"/>
          <w:sz w:val="18"/>
          <w:szCs w:val="18"/>
          <w:b w:val="1"/>
          <w:bCs w:val="1"/>
          <w:color w:val="auto"/>
        </w:rPr>
        <w:t>JPMORGAN CHASE BANK, N.A.,</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/s/Arina Mavilian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Arina Mavilian</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Authorized Signatory</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to Seventh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474980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31" w:right="1440" w:bottom="1440" w:gutter="0" w:footer="0" w:header="0"/>
        </w:sectPr>
      </w:pPr>
    </w:p>
    <w:bookmarkStart w:id="12" w:name="page13"/>
    <w:bookmarkEnd w:id="12"/>
    <w:p>
      <w:pPr>
        <w:ind w:left="4520"/>
        <w:spacing w:after="0"/>
        <w:rPr>
          <w:sz w:val="20"/>
          <w:szCs w:val="20"/>
          <w:color w:val="auto"/>
        </w:rPr>
      </w:pPr>
      <w:r>
        <w:rPr>
          <w:rFonts w:ascii="Arial" w:cs="Arial" w:eastAsia="Arial" w:hAnsi="Arial"/>
          <w:sz w:val="18"/>
          <w:szCs w:val="18"/>
          <w:b w:val="1"/>
          <w:bCs w:val="1"/>
          <w:color w:val="auto"/>
        </w:rPr>
        <w:t>BANK OF AMERICA, N.A.,</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/Christopher J. Heitker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Christopher J. Heitker</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Director</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to Seventh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474980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31" w:right="1440" w:bottom="1440" w:gutter="0" w:footer="0" w:header="0"/>
        </w:sectPr>
      </w:pPr>
    </w:p>
    <w:bookmarkStart w:id="13" w:name="page14"/>
    <w:bookmarkEnd w:id="13"/>
    <w:p>
      <w:pPr>
        <w:ind w:left="4520"/>
        <w:spacing w:after="0"/>
        <w:rPr>
          <w:sz w:val="20"/>
          <w:szCs w:val="20"/>
          <w:color w:val="auto"/>
        </w:rPr>
      </w:pPr>
      <w:r>
        <w:rPr>
          <w:rFonts w:ascii="Arial" w:cs="Arial" w:eastAsia="Arial" w:hAnsi="Arial"/>
          <w:sz w:val="18"/>
          <w:szCs w:val="18"/>
          <w:b w:val="1"/>
          <w:bCs w:val="1"/>
          <w:color w:val="auto"/>
        </w:rPr>
        <w:t>BARCLAYS BANK PLC,</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Sydney G. Dennis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Sydney G. Dennis</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Director</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to Seventh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474980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31" w:right="1440" w:bottom="1440" w:gutter="0" w:footer="0" w:header="0"/>
        </w:sectPr>
      </w:pPr>
    </w:p>
    <w:bookmarkStart w:id="14" w:name="page15"/>
    <w:bookmarkEnd w:id="14"/>
    <w:p>
      <w:pPr>
        <w:ind w:left="4520"/>
        <w:spacing w:after="0"/>
        <w:rPr>
          <w:sz w:val="20"/>
          <w:szCs w:val="20"/>
          <w:color w:val="auto"/>
        </w:rPr>
      </w:pPr>
      <w:r>
        <w:rPr>
          <w:rFonts w:ascii="Arial" w:cs="Arial" w:eastAsia="Arial" w:hAnsi="Arial"/>
          <w:sz w:val="18"/>
          <w:szCs w:val="18"/>
          <w:b w:val="1"/>
          <w:bCs w:val="1"/>
          <w:color w:val="auto"/>
        </w:rPr>
        <w:t>CITIBANK, N.A.,</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/Ashwani Khubani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Ashwani Khubani</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Managing Director</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to Seventh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474980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31" w:right="1440" w:bottom="1440" w:gutter="0" w:footer="0" w:header="0"/>
        </w:sectPr>
      </w:pPr>
    </w:p>
    <w:bookmarkStart w:id="15" w:name="page16"/>
    <w:bookmarkEnd w:id="15"/>
    <w:p>
      <w:pPr>
        <w:ind w:left="4520"/>
        <w:spacing w:after="0"/>
        <w:rPr>
          <w:sz w:val="20"/>
          <w:szCs w:val="20"/>
          <w:color w:val="auto"/>
        </w:rPr>
      </w:pPr>
      <w:r>
        <w:rPr>
          <w:rFonts w:ascii="Arial" w:cs="Arial" w:eastAsia="Arial" w:hAnsi="Arial"/>
          <w:sz w:val="18"/>
          <w:szCs w:val="18"/>
          <w:b w:val="1"/>
          <w:bCs w:val="1"/>
          <w:color w:val="auto"/>
        </w:rPr>
        <w:t>GOLDMAN SACHS BANK USA,</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Keshia Leday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Keshia Leday</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Authorized Signatory</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to Seventh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474980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31" w:right="1440" w:bottom="1440" w:gutter="0" w:footer="0" w:header="0"/>
        </w:sectPr>
      </w:pPr>
    </w:p>
    <w:bookmarkStart w:id="16" w:name="page17"/>
    <w:bookmarkEnd w:id="16"/>
    <w:p>
      <w:pPr>
        <w:ind w:left="4520"/>
        <w:spacing w:after="0"/>
        <w:rPr>
          <w:sz w:val="20"/>
          <w:szCs w:val="20"/>
          <w:color w:val="auto"/>
        </w:rPr>
      </w:pPr>
      <w:r>
        <w:rPr>
          <w:rFonts w:ascii="Arial" w:cs="Arial" w:eastAsia="Arial" w:hAnsi="Arial"/>
          <w:sz w:val="17"/>
          <w:szCs w:val="17"/>
          <w:b w:val="1"/>
          <w:bCs w:val="1"/>
          <w:color w:val="auto"/>
        </w:rPr>
        <w:t>CREDIT SUISSE AG, CAYMAN ISLANDS BRANCH,</w:t>
      </w:r>
    </w:p>
    <w:p>
      <w:pPr>
        <w:spacing w:after="0" w:line="3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Mikhail Faybusovich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Mikhail Faybusovich</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Michael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Michael Wagner</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Authorized Signatory</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to Seventh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474980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31" w:right="1440" w:bottom="1440" w:gutter="0" w:footer="0" w:header="0"/>
        </w:sectPr>
      </w:pPr>
    </w:p>
    <w:bookmarkStart w:id="17" w:name="page18"/>
    <w:bookmarkEnd w:id="17"/>
    <w:p>
      <w:pPr>
        <w:ind w:left="4520"/>
        <w:spacing w:after="0"/>
        <w:rPr>
          <w:sz w:val="20"/>
          <w:szCs w:val="20"/>
          <w:color w:val="auto"/>
        </w:rPr>
      </w:pPr>
      <w:r>
        <w:rPr>
          <w:rFonts w:ascii="Arial" w:cs="Arial" w:eastAsia="Arial" w:hAnsi="Arial"/>
          <w:sz w:val="18"/>
          <w:szCs w:val="18"/>
          <w:b w:val="1"/>
          <w:bCs w:val="1"/>
          <w:color w:val="auto"/>
        </w:rPr>
        <w:t>KEYBANK NATIONAL ASSOCIATION,</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Renee M. Bonnell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Renee M. Bonnell</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Senior Vice President</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to Seventh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474980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31" w:right="1440" w:bottom="1440" w:gutter="0" w:footer="0" w:header="0"/>
        </w:sectPr>
      </w:pPr>
    </w:p>
    <w:bookmarkStart w:id="18" w:name="page19"/>
    <w:bookmarkEnd w:id="18"/>
    <w:p>
      <w:pPr>
        <w:ind w:left="4520"/>
        <w:spacing w:after="0"/>
        <w:rPr>
          <w:sz w:val="20"/>
          <w:szCs w:val="20"/>
          <w:color w:val="auto"/>
        </w:rPr>
      </w:pPr>
      <w:r>
        <w:rPr>
          <w:rFonts w:ascii="Arial" w:cs="Arial" w:eastAsia="Arial" w:hAnsi="Arial"/>
          <w:sz w:val="18"/>
          <w:szCs w:val="18"/>
          <w:b w:val="1"/>
          <w:bCs w:val="1"/>
          <w:color w:val="auto"/>
        </w:rPr>
        <w:t>MORGAN STANLEY SENIOR FUNDING, INC.</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Rikin Pandya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Rikin Pandya</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to Seventh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474980</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31" w:right="1440" w:bottom="1440" w:gutter="0" w:footer="0" w:header="0"/>
        </w:sectPr>
      </w:pPr>
    </w:p>
    <w:bookmarkStart w:id="19" w:name="page20"/>
    <w:bookmarkEnd w:id="19"/>
    <w:p>
      <w:pPr>
        <w:ind w:left="4520"/>
        <w:spacing w:after="0"/>
        <w:rPr>
          <w:sz w:val="20"/>
          <w:szCs w:val="20"/>
          <w:color w:val="auto"/>
        </w:rPr>
      </w:pPr>
      <w:r>
        <w:rPr>
          <w:rFonts w:ascii="Arial" w:cs="Arial" w:eastAsia="Arial" w:hAnsi="Arial"/>
          <w:sz w:val="17"/>
          <w:szCs w:val="17"/>
          <w:b w:val="1"/>
          <w:bCs w:val="1"/>
          <w:color w:val="auto"/>
        </w:rPr>
        <w:t>MUFG UNION BANK, N.A. f/k/a UNION BANK, N.A.,</w:t>
      </w:r>
    </w:p>
    <w:p>
      <w:pPr>
        <w:spacing w:after="0" w:line="3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Jeffrey Fesenmaier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Jeffrey Fesenmaier</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Managing Director</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to Seventh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474980</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31" w:right="1440" w:bottom="1440" w:gutter="0" w:footer="0" w:header="0"/>
        </w:sectPr>
      </w:pPr>
    </w:p>
    <w:bookmarkStart w:id="20" w:name="page21"/>
    <w:bookmarkEnd w:id="20"/>
    <w:p>
      <w:pPr>
        <w:ind w:left="4520"/>
        <w:spacing w:after="0"/>
        <w:rPr>
          <w:sz w:val="20"/>
          <w:szCs w:val="20"/>
          <w:color w:val="auto"/>
        </w:rPr>
      </w:pPr>
      <w:r>
        <w:rPr>
          <w:rFonts w:ascii="Arial" w:cs="Arial" w:eastAsia="Arial" w:hAnsi="Arial"/>
          <w:sz w:val="18"/>
          <w:szCs w:val="18"/>
          <w:b w:val="1"/>
          <w:bCs w:val="1"/>
          <w:color w:val="auto"/>
        </w:rPr>
        <w:t>ROYAL BANK OF CANADA,</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Frank Lambrinos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Frank Lambrinos</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Seventh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457835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019"/>
      </w:cols>
      <w:pgMar w:left="1440" w:top="9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lvl w:ilvl="1">
      <w:lvlJc w:val="left"/>
      <w:lvlText w:val="☐"/>
      <w:numFmt w:val="bullet"/>
      <w:start w:val="1"/>
    </w:lvl>
  </w:abstractNum>
  <w:abstractNum w:abstractNumId="1">
    <w:nsid w:val="46E87CCD"/>
    <w:multiLevelType w:val="hybridMultilevel"/>
    <w:lvl w:ilvl="0">
      <w:lvlJc w:val="left"/>
      <w:lvlText w:val="(%1)"/>
      <w:numFmt w:val="lowerLetter"/>
      <w:start w:val="4"/>
    </w:lvl>
  </w:abstractNum>
  <w:abstractNum w:abstractNumId="2">
    <w:nsid w:val="3D1B58BA"/>
    <w:multiLevelType w:val="hybridMultilevel"/>
    <w:lvl w:ilvl="0">
      <w:lvlJc w:val="left"/>
      <w:lvlText w:val="%1."/>
      <w:numFmt w:val="upperLetter"/>
      <w:start w:val="1"/>
    </w:lvl>
    <w:lvl w:ilvl="1">
      <w:lvlJc w:val="left"/>
      <w:lvlText w:val="(%2)"/>
      <w:numFmt w:val="lowerLetter"/>
      <w:start w:val="1"/>
    </w:lvl>
  </w:abstractNum>
  <w:abstractNum w:abstractNumId="3">
    <w:nsid w:val="507ED7AB"/>
    <w:multiLevelType w:val="hybridMultilevel"/>
    <w:lvl w:ilvl="0">
      <w:lvlJc w:val="left"/>
      <w:lvlText w:val="(%1)"/>
      <w:numFmt w:val="lowerLetter"/>
      <w:start w:val="2"/>
    </w:lvl>
  </w:abstractNum>
  <w:abstractNum w:abstractNumId="4">
    <w:nsid w:val="2EB141F2"/>
    <w:multiLevelType w:val="hybridMultilevel"/>
    <w:lvl w:ilvl="0">
      <w:lvlJc w:val="left"/>
      <w:lvlText w:val="%1."/>
      <w:numFmt w:val="upperLetter"/>
      <w:start w:val="2"/>
    </w:lvl>
  </w:abstractNum>
  <w:abstractNum w:abstractNumId="5">
    <w:nsid w:val="41B71EFB"/>
    <w:multiLevelType w:val="hybridMultilevel"/>
    <w:lvl w:ilvl="0">
      <w:lvlJc w:val="left"/>
      <w:lvlText w:val="(%1)"/>
      <w:numFmt w:val="decimal"/>
      <w:start w:val="3"/>
    </w:lvl>
  </w:abstractNum>
  <w:abstractNum w:abstractNumId="6">
    <w:nsid w:val="79E2A9E3"/>
    <w:multiLevelType w:val="hybridMultilevel"/>
    <w:lvl w:ilvl="0">
      <w:lvlJc w:val="left"/>
      <w:lvlText w:val="(%1)"/>
      <w:numFmt w:val="lowerLetter"/>
      <w:start w:val="2"/>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2022-08-19T05:18:12Z</dcterms:created>
  <dcterms:modified xsi:type="dcterms:W3CDTF">2022-08-19T05:18:12Z</dcterms:modified>
</cp:coreProperties>
</file>