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Gen Counsel and Corp Secr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01/02/2021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2,011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41,164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01/02/2021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997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40,167</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-3369945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2018, Mr. Malcarney was issued 33,232 Restricted Stock Units ("RSUs") by Clearway Energy, Inc. (f/k/a NRG Yield, Inc.) under Clearway Energy Inc.'s Amended and Restated 2013 Equity Incentive Plan (the "LTIP"). These RSUs vest ratably over a three-year period beginning on January 4, 2019. Each RSU is equivalent in value to one share of Class C Common Stock of Clearway Energy Inc., par value $.01 per share. On January 2, 2021, 3,323 shares vested. Mr. Malcarney elected to satisfy his tax obligation upon the exchange of common stock for RSUs having a value on the date of the exchange equal to the withholding obligation. This form reflects the surrender of 2,011 shares of Class C Common Stock to satisfy the grantee's tax withholding obligation.</w:t>
      </w:r>
    </w:p>
    <w:p>
      <w:pPr>
        <w:spacing w:after="0" w:line="24"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506 DERs converted to Class C Common Stock, resulting in the reporting person holding 1,915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2019, Mr. Malcarney was issued 5,756 Restricted Stock Units ("RSUs") by Clearway Energy, Inc. (f/k/a NRG Yield, Inc.) under Clearway Energy Inc.'s Amended and Restated 2013 Equity Incentive Plan (the "LTIP"). These RSUs vest ratably over a three-year period beginning on January 2, 2020. Each RSU is equivalent in value to one share of Class C Common Stock of Clearway Energy Inc., par value $.01 per share. On January 2, 2021, 1,917 shares vested. Mr. Malcarney elected to satisfy his tax obligation upon the exchange of common stock for RSUs having a value on the date of the exchange equal to the withholding obligation. This form reflects the surrender of 997 shares of Class C Common Stock to satisfy the grantee's tax withholding obligation.</w:t>
      </w:r>
    </w:p>
    <w:p>
      <w:pPr>
        <w:spacing w:after="0" w:line="24"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181 DERs converted to Class C Common Stock, resulting in the reporting person holding 1,734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01/05/2021</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2021-01-05T18:46:34Z</dcterms:created>
  <dcterms:modified xsi:type="dcterms:W3CDTF">2021-01-05T18:46:34Z</dcterms:modified>
</cp:coreProperties>
</file>