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40d1_8k.htm"/>
      <w:bookmarkStart w:id="1" w:name="kstm26234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3_edei--DocumentType_c202601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January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107"/>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300 Carnegie Center, </w:t>
      </w:r>
      <w:bookmarkStart w:id="9" w:name="xdx_909_edei--EntityAddressAddressLine2_"/>
      <w:bookmarkEnd w:id="9"/>
      <w:r>
        <w:rPr>
          <w:rFonts w:ascii="Times New Roman;Times;Serif" w:hAnsi="Times New Roman;Times;Serif"/>
          <w:b/>
          <w:i w:val="false"/>
          <w:caps w:val="false"/>
          <w:smallCaps w:val="false"/>
          <w:sz w:val="20"/>
        </w:rPr>
        <w:t xml:space="preserve">Suite 300, </w:t>
      </w:r>
      <w:bookmarkStart w:id="10" w:name="xdx_909_edei--EntityAddressCityOrTown_c2"/>
      <w:bookmarkEnd w:id="10"/>
      <w:r>
        <w:rPr>
          <w:rFonts w:ascii="Times New Roman;Times;Serif" w:hAnsi="Times New Roman;Times;Serif"/>
          <w:b/>
          <w:i w:val="false"/>
          <w:caps w:val="false"/>
          <w:smallCaps w:val="false"/>
          <w:sz w:val="20"/>
        </w:rPr>
        <w:t xml:space="preserve">Princeton, </w:t>
      </w:r>
      <w:bookmarkStart w:id="11" w:name="xdx_90B_edei--EntityAddressStateOrProvin"/>
      <w:bookmarkEnd w:id="11"/>
      <w:r>
        <w:rPr>
          <w:rFonts w:ascii="Times New Roman;Times;Serif" w:hAnsi="Times New Roman;Times;Serif"/>
          <w:b/>
          <w:i w:val="false"/>
          <w:caps w:val="false"/>
          <w:smallCaps w:val="false"/>
          <w:sz w:val="20"/>
        </w:rPr>
        <w:t xml:space="preserve">New Jersey </w:t>
      </w:r>
      <w:bookmarkStart w:id="12" w:name="xdx_909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0107__20"/>
      <w:bookmarkEnd w:id="13"/>
      <w:r>
        <w:rPr>
          <w:rFonts w:ascii="Times New Roman;Times;Serif" w:hAnsi="Times New Roman;Times;Serif"/>
          <w:b/>
          <w:i w:val="false"/>
          <w:caps w:val="false"/>
          <w:smallCaps w:val="false"/>
          <w:sz w:val="20"/>
        </w:rPr>
        <w:t xml:space="preserve">609) </w:t>
      </w:r>
      <w:bookmarkStart w:id="14" w:name="xdx_907_edei--LocalPhoneNumber_c20260107"/>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7_edei--SolicitingMaterial_c202601"/>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1535"/>
        <w:gridCol w:w="60"/>
        <w:gridCol w:w="1610"/>
        <w:gridCol w:w="60"/>
        <w:gridCol w:w="28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C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81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Revisions to Unaudited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and its subsidiary, Clearway Energy LLC (the “Registrants”), are filing this Current Report on Form 8-K (this “Current Report”) to update certain financial information included in the Registrants’ Quarterly Reports on Form 10-Q for the quarters ended March 31, 2025, June 30, 2025 and September 30, 2025 for the correction of immaterial errors related to certain calculations of hypothetical liquidation at book value (HLBV) accounting used to allocate net income (loss) to our redeemable noncontrolling interests and noncontrolling interests in tax equity partnerships identified subsequent to the filing of the Registrants’ Quarterly Reports on Form 10-Q for the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have evaluated the materiality of the errors in accordance with relevant guidance of the Securities and Exchange Commission and concluded the resulting corrections are immaterial to all previously reported periods, individually and in the aggregate, and do not require a restatement of any previously issued financial statements. However, the Registrants will correct the errors by revising prior period financial information in all subsequent periods when such financial statement information is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corrections on the consolidated statements of operations and consolidated balance sheets included in the Registrants’ Quarterly Reports on Form 10-Q for the quarters ended March 31, 2025, June 30, 2025 and September 30, 2025 is presented in Exhibit 99.1 to this Current Report, which is incorporated herein by reference. The corrections identified had no impact on the Registrants’ net income (loss) or cash flow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our annual or interim consolidated financial statements may not be prevented or detected on a timely basis. During the fourth quarter of 2025, management identified a material weakness in our internal control over financial reporting due to ineffective controls over the review of certain calculations of hypothetical liquidation at book value (HLBV) accounting used to allocate net income (loss) to our redeemable noncontrolling interests and noncontrolling interests in tax equity partnerships. The Registrants are committed to addressing the material weakness and have begun to implement changes in processes designed to improve our internal control over financial reporting and to remediate the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 the process of developing and implementing a plan to remediate the material weakness and believe, based on our evaluation to date, that the material weakness will be remediated in a timely fashion, we cannot assure you that this will occur within a specific timeframe. The material weakness will not be remediated until all necessary internal controls have been tested and determined to be operating effectively. In addition, we may need to take additional measures to address the material weakness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 will not result in a material misstatement of our consolidated financial statements. Moreover, we cannot assure you that we will not identify additional material weaknesses in our internal control over financial reporting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28" w:type="dxa"/>
          <w:right w:w="0" w:type="dxa"/>
        </w:tblCellMar>
      </w:tblPr>
      <w:tblGrid>
        <w:gridCol w:w="665"/>
        <w:gridCol w:w="60"/>
        <w:gridCol w:w="897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89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975"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left"/>
              <w:rPr/>
            </w:pPr>
            <w:hyperlink w:anchor="tm26234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75" w:type="dxa"/>
            <w:tcBorders/>
            <w:tcMar>
              <w:bottom w:w="0" w:type="dxa"/>
            </w:tcMar>
            <w:vAlign w:val="center"/>
          </w:tcPr>
          <w:p>
            <w:pPr>
              <w:pStyle w:val="TableContents"/>
              <w:bidi w:val="0"/>
              <w:spacing w:before="0" w:after="283"/>
              <w:jc w:val="left"/>
              <w:rPr/>
            </w:pPr>
            <w:hyperlink w:anchor="tm262340d1_ex99-1.htm">
              <w:r>
                <w:rPr>
                  <w:rStyle w:val="InternetLink"/>
                  <w:rFonts w:ascii="Times New Roman;Times;Serif" w:hAnsi="Times New Roman;Times;Serif"/>
                  <w:sz w:val="20"/>
                </w:rPr>
                <w:t>Unaudited Supplemental Financial Information.</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975"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1910"/>
        <w:gridCol w:w="320"/>
        <w:gridCol w:w="3380"/>
      </w:tblGrid>
      <w:tr>
        <w:trPr/>
        <w:tc>
          <w:tcPr>
            <w:tcW w:w="1910"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Clearway Energy LLC</w:t>
            </w:r>
          </w:p>
        </w:tc>
      </w:tr>
      <w:tr>
        <w:trPr/>
        <w:tc>
          <w:tcPr>
            <w:tcW w:w="1910"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3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Kevin P. Malcarney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Kevin P. Malcarney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 and Corporate Secretary</w:t>
            </w:r>
          </w:p>
        </w:tc>
      </w:tr>
      <w:tr>
        <w:trPr/>
        <w:tc>
          <w:tcPr>
            <w:tcW w:w="1910"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January 7, 2026</w:t>
            </w:r>
          </w:p>
        </w:tc>
        <w:tc>
          <w:tcPr>
            <w:tcW w:w="3700"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20" w:name="tm262340d1_ex99-1.htm"/>
      <w:bookmarkStart w:id="21" w:name="kstm262340d1_ex991"/>
      <w:bookmarkEnd w:id="20"/>
      <w:bookmarkEnd w:id="21"/>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 and Clearway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Certain Unaudited Financial Information for the Fiscal Quarters Ended</w:t>
        <w:br/>
        <w:t>March 31, 2025, June 30, 2025 and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LLC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0"/>
        <w:gridCol w:w="60"/>
        <w:gridCol w:w="192"/>
        <w:gridCol w:w="715"/>
        <w:gridCol w:w="75"/>
        <w:gridCol w:w="69"/>
        <w:gridCol w:w="231"/>
        <w:gridCol w:w="524"/>
        <w:gridCol w:w="75"/>
        <w:gridCol w:w="69"/>
        <w:gridCol w:w="136"/>
        <w:gridCol w:w="406"/>
        <w:gridCol w:w="65"/>
        <w:gridCol w:w="60"/>
        <w:gridCol w:w="192"/>
        <w:gridCol w:w="715"/>
        <w:gridCol w:w="73"/>
        <w:gridCol w:w="68"/>
        <w:gridCol w:w="231"/>
        <w:gridCol w:w="524"/>
        <w:gridCol w:w="73"/>
        <w:gridCol w:w="68"/>
        <w:gridCol w:w="136"/>
        <w:gridCol w:w="406"/>
        <w:gridCol w:w="65"/>
        <w:gridCol w:w="60"/>
        <w:gridCol w:w="202"/>
        <w:gridCol w:w="704"/>
        <w:gridCol w:w="78"/>
        <w:gridCol w:w="72"/>
        <w:gridCol w:w="231"/>
        <w:gridCol w:w="524"/>
        <w:gridCol w:w="78"/>
        <w:gridCol w:w="72"/>
        <w:gridCol w:w="141"/>
        <w:gridCol w:w="423"/>
        <w:gridCol w:w="92"/>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March 31, 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June 30, 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September 30, 2025</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5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5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Consolidated Statement of Operations Information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 attributable to noncontrolling interests and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w:t>
            </w:r>
          </w:p>
        </w:tc>
        <w:tc>
          <w:tcPr>
            <w:tcW w:w="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w:t>
            </w:r>
          </w:p>
        </w:tc>
        <w:tc>
          <w:tcPr>
            <w:tcW w:w="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(322</w:t>
            </w:r>
          </w:p>
        </w:tc>
        <w:tc>
          <w:tcPr>
            <w:tcW w:w="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(316</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Income (Loss) Attributable to Clearway Energy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69</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Consolidated Balance Sheet Information</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Redeemable noncontrolling interest in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802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778</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w:t>
            </w:r>
          </w:p>
        </w:tc>
        <w:tc>
          <w:tcPr>
            <w:tcW w:w="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1,039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w:t>
            </w:r>
          </w:p>
        </w:tc>
        <w:tc>
          <w:tcPr>
            <w:tcW w:w="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1,016</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3,863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4,152</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4,162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4,156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4,149</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 Members'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5,479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5,575</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5,568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5,697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5,667</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4"/>
        <w:gridCol w:w="60"/>
        <w:gridCol w:w="60"/>
        <w:gridCol w:w="60"/>
        <w:gridCol w:w="60"/>
        <w:gridCol w:w="60"/>
        <w:gridCol w:w="60"/>
        <w:gridCol w:w="60"/>
        <w:gridCol w:w="60"/>
        <w:gridCol w:w="60"/>
        <w:gridCol w:w="60"/>
        <w:gridCol w:w="60"/>
        <w:gridCol w:w="60"/>
        <w:gridCol w:w="60"/>
        <w:gridCol w:w="279"/>
        <w:gridCol w:w="854"/>
        <w:gridCol w:w="82"/>
        <w:gridCol w:w="76"/>
        <w:gridCol w:w="231"/>
        <w:gridCol w:w="524"/>
        <w:gridCol w:w="82"/>
        <w:gridCol w:w="76"/>
        <w:gridCol w:w="152"/>
        <w:gridCol w:w="444"/>
        <w:gridCol w:w="65"/>
        <w:gridCol w:w="60"/>
        <w:gridCol w:w="279"/>
        <w:gridCol w:w="853"/>
        <w:gridCol w:w="95"/>
        <w:gridCol w:w="87"/>
        <w:gridCol w:w="231"/>
        <w:gridCol w:w="524"/>
        <w:gridCol w:w="95"/>
        <w:gridCol w:w="87"/>
        <w:gridCol w:w="165"/>
        <w:gridCol w:w="435"/>
        <w:gridCol w:w="85"/>
      </w:tblGrid>
      <w:tr>
        <w:trPr/>
        <w:tc>
          <w:tcPr>
            <w:tcW w:w="3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Six months ended June 30, 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5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Nine months ended September 30, 2025</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Consolidated Statement of Operations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5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 attributable to noncontrolling interests and redeemable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(161</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Income Attributable to Clearway Energy LLC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404</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0"/>
        <w:gridCol w:w="60"/>
        <w:gridCol w:w="191"/>
        <w:gridCol w:w="711"/>
        <w:gridCol w:w="72"/>
        <w:gridCol w:w="67"/>
        <w:gridCol w:w="172"/>
        <w:gridCol w:w="583"/>
        <w:gridCol w:w="72"/>
        <w:gridCol w:w="67"/>
        <w:gridCol w:w="134"/>
        <w:gridCol w:w="407"/>
        <w:gridCol w:w="65"/>
        <w:gridCol w:w="60"/>
        <w:gridCol w:w="191"/>
        <w:gridCol w:w="711"/>
        <w:gridCol w:w="71"/>
        <w:gridCol w:w="66"/>
        <w:gridCol w:w="172"/>
        <w:gridCol w:w="583"/>
        <w:gridCol w:w="71"/>
        <w:gridCol w:w="66"/>
        <w:gridCol w:w="130"/>
        <w:gridCol w:w="411"/>
        <w:gridCol w:w="65"/>
        <w:gridCol w:w="60"/>
        <w:gridCol w:w="195"/>
        <w:gridCol w:w="707"/>
        <w:gridCol w:w="75"/>
        <w:gridCol w:w="70"/>
        <w:gridCol w:w="172"/>
        <w:gridCol w:w="583"/>
        <w:gridCol w:w="75"/>
        <w:gridCol w:w="70"/>
        <w:gridCol w:w="138"/>
        <w:gridCol w:w="409"/>
        <w:gridCol w:w="93"/>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March 31, 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June 30, 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 September 30, 2025</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5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Consolidated Statement of Operations Information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 attributable to noncontrolling interests and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w:t>
            </w:r>
          </w:p>
        </w:tc>
        <w:tc>
          <w:tcPr>
            <w:tcW w:w="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w:t>
            </w:r>
          </w:p>
        </w:tc>
        <w:tc>
          <w:tcPr>
            <w:tcW w:w="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(176</w:t>
            </w:r>
          </w:p>
        </w:tc>
        <w:tc>
          <w:tcPr>
            <w:tcW w:w="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(172</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Income (Loss) Attributable to Clearway Energy,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w:t>
            </w:r>
          </w:p>
        </w:tc>
        <w:tc>
          <w:tcPr>
            <w:tcW w:w="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232</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Earnings (Loss) Per Weighted Average Class A and Class C Common Share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0.03</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(0.05</w:t>
            </w:r>
          </w:p>
        </w:tc>
        <w:tc>
          <w:tcPr>
            <w:tcW w:w="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0.28</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(0.03</w:t>
            </w:r>
          </w:p>
        </w:tc>
        <w:tc>
          <w:tcPr>
            <w:tcW w:w="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(0.03</w:t>
            </w:r>
          </w:p>
        </w:tc>
        <w:tc>
          <w:tcPr>
            <w:tcW w:w="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1.97</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Consolidated Balance Sheet Information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Redeemable noncontrolling interest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w:t>
            </w:r>
          </w:p>
        </w:tc>
        <w:tc>
          <w:tcPr>
            <w:tcW w:w="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358</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3,477</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3,484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3,693</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3,696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w:t>
            </w:r>
          </w:p>
        </w:tc>
        <w:tc>
          <w:tcPr>
            <w:tcW w:w="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3,650</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5,420</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5,420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5,542</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5,535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5,685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2"/>
        <w:gridCol w:w="60"/>
        <w:gridCol w:w="60"/>
        <w:gridCol w:w="60"/>
        <w:gridCol w:w="60"/>
        <w:gridCol w:w="60"/>
        <w:gridCol w:w="60"/>
        <w:gridCol w:w="60"/>
        <w:gridCol w:w="60"/>
        <w:gridCol w:w="60"/>
        <w:gridCol w:w="60"/>
        <w:gridCol w:w="60"/>
        <w:gridCol w:w="60"/>
        <w:gridCol w:w="60"/>
        <w:gridCol w:w="280"/>
        <w:gridCol w:w="857"/>
        <w:gridCol w:w="78"/>
        <w:gridCol w:w="72"/>
        <w:gridCol w:w="172"/>
        <w:gridCol w:w="583"/>
        <w:gridCol w:w="78"/>
        <w:gridCol w:w="72"/>
        <w:gridCol w:w="149"/>
        <w:gridCol w:w="448"/>
        <w:gridCol w:w="65"/>
        <w:gridCol w:w="60"/>
        <w:gridCol w:w="280"/>
        <w:gridCol w:w="857"/>
        <w:gridCol w:w="89"/>
        <w:gridCol w:w="82"/>
        <w:gridCol w:w="172"/>
        <w:gridCol w:w="583"/>
        <w:gridCol w:w="89"/>
        <w:gridCol w:w="82"/>
        <w:gridCol w:w="159"/>
        <w:gridCol w:w="438"/>
        <w:gridCol w:w="88"/>
      </w:tblGrid>
      <w:tr>
        <w:trPr/>
        <w:tc>
          <w:tcPr>
            <w:tcW w:w="35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8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Six months ended June 30, 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Nine months ended September 30, 2025</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5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Previously Reported</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Adjustments</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5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Revised</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Consolidated Statement of Operations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35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 attributable to noncontrolling interests and redeemable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(129</w:t>
            </w:r>
          </w:p>
        </w:tc>
        <w:tc>
          <w:tcPr>
            <w:tcW w:w="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(305</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(291</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5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Income Attributable to Clearway Energy,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w:t>
            </w:r>
          </w:p>
        </w:tc>
        <w:tc>
          <w:tcPr>
            <w:tcW w:w="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273</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259</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Earnings Per Weighted Average Class A and Class C Common Share - 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0.31</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(0.08</w:t>
            </w:r>
          </w:p>
        </w:tc>
        <w:tc>
          <w:tcPr>
            <w:tcW w:w="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(0.12</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1492</Words>
  <Characters>7921</Characters>
  <CharactersWithSpaces>10014</CharactersWithSpaces>
  <Paragraphs>1327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