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Malcarney Kevin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5"/>
        <w:spacing w:after="0"/>
        <w:rPr>
          <w:sz w:val="20"/>
          <w:szCs w:val="20"/>
          <w:color w:val="auto"/>
        </w:rPr>
      </w:pPr>
      <w:r>
        <w:rPr>
          <w:rFonts w:ascii="Times New Roman" w:cs="Times New Roman" w:eastAsia="Times New Roman" w:hAnsi="Times New Roman"/>
          <w:sz w:val="17"/>
          <w:szCs w:val="17"/>
          <w:color w:val="0000FF"/>
        </w:rPr>
        <w:t>EVP, GEN COUNSEL AND CORP SECR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08540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726</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86,383</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5,293 dividend equivalent rights that may only be settled in Class C Common Stock. There has been a de minimus adjustment of 2 shares to the number of dividend equivalent rights as a result of rounding fractional shares.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Kevin P. Malcarney</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12/03/2025</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859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2025-12-03T15:25:37Z</dcterms:created>
  <dcterms:modified xsi:type="dcterms:W3CDTF">2025-12-03T15:25:37Z</dcterms:modified>
</cp:coreProperties>
</file>