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13039d1_8k.htm"/>
      <w:bookmarkStart w:id="1" w:name="kstm241303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2_edei--DocumentType_c2024043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April 30,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4"/>
      <w:bookmarkEnd w:id="4"/>
      <w:r>
        <w:rPr>
          <w:rFonts w:ascii="Times New Roman;Times;Serif" w:hAnsi="Times New Roman;Times;Serif"/>
          <w:b/>
          <w:i w:val="false"/>
          <w:caps w:val="false"/>
          <w:smallCaps w:val="false"/>
          <w:sz w:val="36"/>
        </w:rPr>
        <w:t>Clearway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2735"/>
        <w:gridCol w:w="60"/>
        <w:gridCol w:w="2210"/>
        <w:gridCol w:w="60"/>
        <w:gridCol w:w="2780"/>
      </w:tblGrid>
      <w:tr>
        <w:trPr/>
        <w:tc>
          <w:tcPr>
            <w:tcW w:w="2735" w:type="dxa"/>
            <w:tcBorders/>
            <w:vAlign w:val="center"/>
          </w:tcPr>
          <w:p>
            <w:pPr>
              <w:pStyle w:val="TableContents"/>
              <w:bidi w:val="0"/>
              <w:spacing w:before="0" w:after="283"/>
              <w:jc w:val="center"/>
              <w:rPr>
                <w:b/>
                <w:sz w:val="20"/>
              </w:rPr>
            </w:pPr>
            <w:bookmarkStart w:id="5" w:name="xdx_909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E_edei--EntityFileNumber_c20240430"/>
            <w:bookmarkEnd w:id="6"/>
            <w:r>
              <w:rPr>
                <w:b/>
                <w:sz w:val="20"/>
              </w:rPr>
              <w:t>001-36002</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b/>
                <w:sz w:val="20"/>
              </w:rPr>
            </w:pPr>
            <w:bookmarkStart w:id="7" w:name="xdx_902_edei--EntityTaxIdentificationNum"/>
            <w:bookmarkEnd w:id="7"/>
            <w:r>
              <w:rPr>
                <w:b/>
                <w:sz w:val="20"/>
              </w:rPr>
              <w:t>46-1777204</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300 Carnegie Center, </w:t>
      </w:r>
      <w:bookmarkStart w:id="9" w:name="xdx_909_edei--EntityAddressAddressLine2_"/>
      <w:bookmarkEnd w:id="9"/>
      <w:r>
        <w:rPr>
          <w:rFonts w:ascii="Times New Roman;Times;Serif" w:hAnsi="Times New Roman;Times;Serif"/>
          <w:b/>
          <w:i w:val="false"/>
          <w:caps w:val="false"/>
          <w:smallCaps w:val="false"/>
          <w:sz w:val="20"/>
        </w:rPr>
        <w:t xml:space="preserve">Suite 300, </w:t>
      </w:r>
      <w:bookmarkStart w:id="10" w:name="xdx_90C_edei--EntityAddressCityOrTown_c2"/>
      <w:bookmarkEnd w:id="10"/>
      <w:r>
        <w:rPr>
          <w:rFonts w:ascii="Times New Roman;Times;Serif" w:hAnsi="Times New Roman;Times;Serif"/>
          <w:b/>
          <w:i w:val="false"/>
          <w:caps w:val="false"/>
          <w:smallCaps w:val="false"/>
          <w:sz w:val="20"/>
        </w:rPr>
        <w:t xml:space="preserve">Princeton, </w:t>
      </w:r>
      <w:bookmarkStart w:id="11" w:name="xdx_905_edei--EntityAddressStateOrProvin"/>
      <w:bookmarkEnd w:id="11"/>
      <w:r>
        <w:rPr>
          <w:rFonts w:ascii="Times New Roman;Times;Serif" w:hAnsi="Times New Roman;Times;Serif"/>
          <w:b/>
          <w:i w:val="false"/>
          <w:caps w:val="false"/>
          <w:smallCaps w:val="false"/>
          <w:sz w:val="20"/>
        </w:rPr>
        <w:t xml:space="preserve">New Jersey </w:t>
      </w:r>
      <w:bookmarkStart w:id="12" w:name="xdx_900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B_edei--CityAreaCode_c20240430__20"/>
      <w:bookmarkEnd w:id="13"/>
      <w:r>
        <w:rPr>
          <w:rFonts w:ascii="Times New Roman;Times;Serif" w:hAnsi="Times New Roman;Times;Serif"/>
          <w:b/>
          <w:i w:val="false"/>
          <w:caps w:val="false"/>
          <w:smallCaps w:val="false"/>
          <w:sz w:val="20"/>
        </w:rPr>
        <w:t xml:space="preserve">609) </w:t>
      </w:r>
      <w:bookmarkStart w:id="14" w:name="xdx_90D_edei--LocalPhoneNumber_c20240430"/>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C_edei--WrittenCommunications_c202"/>
            <w:bookmarkEnd w:id="15"/>
            <w:r>
              <w:rPr>
                <w:caps w:val="false"/>
                <w:smallCaps w:val="false"/>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7_edei--SolicitingMaterial_c202404"/>
            <w:bookmarkEnd w:id="16"/>
            <w:r>
              <w:rPr>
                <w:caps w:val="false"/>
                <w:smallCaps w:val="false"/>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C_edei--PreCommencementTenderOffer"/>
            <w:bookmarkEnd w:id="17"/>
            <w:r>
              <w:rPr>
                <w:caps w:val="false"/>
                <w:smallCaps w:val="false"/>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9_edei--PreCommencementIssuerTende"/>
            <w:bookmarkEnd w:id="18"/>
            <w:r>
              <w:rPr>
                <w:caps w:val="false"/>
                <w:smallCaps w:val="false"/>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28" w:type="dxa"/>
          <w:right w:w="0" w:type="dxa"/>
        </w:tblCellMar>
      </w:tblPr>
      <w:tblGrid>
        <w:gridCol w:w="3305"/>
        <w:gridCol w:w="1610"/>
        <w:gridCol w:w="3710"/>
      </w:tblGrid>
      <w:tr>
        <w:trPr/>
        <w:tc>
          <w:tcPr>
            <w:tcW w:w="330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305" w:type="dxa"/>
            <w:tcBorders/>
            <w:tcMar>
              <w:bottom w:w="0" w:type="dxa"/>
            </w:tcMar>
            <w:vAlign w:val="center"/>
          </w:tcPr>
          <w:p>
            <w:pPr>
              <w:pStyle w:val="TableContents"/>
              <w:bidi w:val="0"/>
              <w:spacing w:before="0" w:after="283"/>
              <w:jc w:val="center"/>
              <w:rPr>
                <w:sz w:val="20"/>
              </w:rPr>
            </w:pPr>
            <w:bookmarkStart w:id="19" w:name="xdx_90E_edei--Security12bTitle_c20240430"/>
            <w:bookmarkEnd w:id="19"/>
            <w:r>
              <w:rPr>
                <w:sz w:val="20"/>
              </w:rPr>
              <w:t>Class A Common Stock, par value $0.01</w:t>
            </w:r>
          </w:p>
        </w:tc>
        <w:tc>
          <w:tcPr>
            <w:tcW w:w="1610" w:type="dxa"/>
            <w:tcBorders/>
            <w:tcMar>
              <w:bottom w:w="0" w:type="dxa"/>
            </w:tcMar>
            <w:vAlign w:val="center"/>
          </w:tcPr>
          <w:p>
            <w:pPr>
              <w:pStyle w:val="TableContents"/>
              <w:bidi w:val="0"/>
              <w:spacing w:before="0" w:after="283"/>
              <w:jc w:val="center"/>
              <w:rPr>
                <w:sz w:val="20"/>
              </w:rPr>
            </w:pPr>
            <w:bookmarkStart w:id="20" w:name="xdx_90B_edei--TradingSymbol_c20240430__2"/>
            <w:bookmarkEnd w:id="20"/>
            <w:r>
              <w:rPr>
                <w:sz w:val="20"/>
              </w:rPr>
              <w:t>CWEN.A</w:t>
            </w:r>
          </w:p>
        </w:tc>
        <w:tc>
          <w:tcPr>
            <w:tcW w:w="3710" w:type="dxa"/>
            <w:tcBorders/>
            <w:tcMar>
              <w:bottom w:w="0" w:type="dxa"/>
            </w:tcMar>
            <w:vAlign w:val="center"/>
          </w:tcPr>
          <w:p>
            <w:pPr>
              <w:pStyle w:val="TableContents"/>
              <w:bidi w:val="0"/>
              <w:spacing w:before="0" w:after="283"/>
              <w:jc w:val="center"/>
              <w:rPr>
                <w:sz w:val="20"/>
              </w:rPr>
            </w:pPr>
            <w:bookmarkStart w:id="21" w:name="xdx_908_edei--SecurityExchangeName_c2024"/>
            <w:bookmarkEnd w:id="21"/>
            <w:r>
              <w:rPr>
                <w:sz w:val="20"/>
              </w:rPr>
              <w:t>New York Stock Exchange</w:t>
            </w:r>
          </w:p>
        </w:tc>
      </w:tr>
      <w:tr>
        <w:trPr/>
        <w:tc>
          <w:tcPr>
            <w:tcW w:w="3305" w:type="dxa"/>
            <w:tcBorders/>
            <w:tcMar>
              <w:bottom w:w="0" w:type="dxa"/>
            </w:tcMar>
            <w:vAlign w:val="center"/>
          </w:tcPr>
          <w:p>
            <w:pPr>
              <w:pStyle w:val="TableContents"/>
              <w:bidi w:val="0"/>
              <w:spacing w:before="0" w:after="283"/>
              <w:jc w:val="center"/>
              <w:rPr>
                <w:sz w:val="20"/>
              </w:rPr>
            </w:pPr>
            <w:bookmarkStart w:id="22" w:name="xdx_904_edei--Security12bTitle_c20240430"/>
            <w:bookmarkEnd w:id="22"/>
            <w:r>
              <w:rPr>
                <w:sz w:val="20"/>
              </w:rPr>
              <w:t>Class C Common Stock, par value $0.01</w:t>
            </w:r>
          </w:p>
        </w:tc>
        <w:tc>
          <w:tcPr>
            <w:tcW w:w="1610" w:type="dxa"/>
            <w:tcBorders/>
            <w:tcMar>
              <w:bottom w:w="0" w:type="dxa"/>
            </w:tcMar>
            <w:vAlign w:val="center"/>
          </w:tcPr>
          <w:p>
            <w:pPr>
              <w:pStyle w:val="TableContents"/>
              <w:bidi w:val="0"/>
              <w:spacing w:before="0" w:after="283"/>
              <w:jc w:val="center"/>
              <w:rPr>
                <w:sz w:val="20"/>
              </w:rPr>
            </w:pPr>
            <w:bookmarkStart w:id="23" w:name="xdx_902_edei--TradingSymbol_c20240430__2"/>
            <w:bookmarkEnd w:id="23"/>
            <w:r>
              <w:rPr>
                <w:sz w:val="20"/>
              </w:rPr>
              <w:t>CWEN</w:t>
            </w:r>
          </w:p>
        </w:tc>
        <w:tc>
          <w:tcPr>
            <w:tcW w:w="3710" w:type="dxa"/>
            <w:tcBorders/>
            <w:tcMar>
              <w:bottom w:w="0" w:type="dxa"/>
            </w:tcMar>
            <w:vAlign w:val="center"/>
          </w:tcPr>
          <w:p>
            <w:pPr>
              <w:pStyle w:val="TableContents"/>
              <w:bidi w:val="0"/>
              <w:spacing w:before="0" w:after="283"/>
              <w:jc w:val="center"/>
              <w:rPr>
                <w:sz w:val="20"/>
              </w:rPr>
            </w:pPr>
            <w:bookmarkStart w:id="24" w:name="xdx_904_edei--SecurityExchangeName_c2024"/>
            <w:bookmarkEnd w:id="24"/>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5" w:name="xdx_904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948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Departure of Chief Executive Officer and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2024, Christopher S. Sotos informed Clearway Energy, Inc. (the “Company”) that, effective as of June 30, 2024 (the “Effective Date), he will move on from his position as President and Chief Executive Officer of the Company and resign from his role as a member of the Board of Directors (the “Board”) of the Company to pursue other opportunities. Mr. Sotos’ resignation from the Board was not the result of any disagreement with the Company on any matter relating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Sotos’ departure, Mr. Sotos and the Company entered into a Separation Agreement and General Release on April 30, 2024 (the “Separation Agreement”), which governs the terms of his separation from the Company. Under the Separation Agreement, the Company will continue to provide Mr. Sotos with certain compensation and benefits described in his amended and restated employment agreement, dated as of September 23, 2021 (the “Sotos Employment Agreement”), until the Effective Date, including (i) Mr. Sotos’ current annual base salary, (ii) any bonus, incentive compensation, deferred compensation and other compensation earned or accrued by Mr. Sotos as of the Effective Date under the Company’s compensation and benefit plans, programs and arrangements, (iii) any accrued but unused vacation pay, expense reimbursements and other cash entitlements accrued by Mr. Sotos, in accordance with Company policy, as of the Effective Date and (iv) all benefits accrued by Mr. Sotos under the Company’s benefit plans and qualified and nonqualified retirement, pension, 401(k) and similar plans and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Separation Agreement, Mr. Sotos will receive the following additional separation benefits (the “Separation Benefits”): (i) the waiver by the Company of the non-compete covenant contained in the Sotos Employment Agreement, (ii) his annual performance bonus in respect of the 2024 calendar year, adjusted on a pro rata basis based on the number of days Mr. Sotos is actually employed by the Company during 2024, which if earned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contingent on the satisfaction of applicable performance goals), will be paid to Mr. Sotos in a lump sum cash payment on or about the date on which annual bonuses are paid to the Company’s other executive officers (but in any event prior to March 15, 2025), and (iii) reimbursement of certain expenses incurred by Mr. Sotos in connection with the negotiation of the Separation Agreement, up to a maximum of $20,000.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Separation Benefits are conditioned on Mr. Sotos complying with the Separation Agreement and executing (and not revoking with seven days after his execution) a general release of claims, pursuant to which Mr. Sotos would agree to release the Company, its affiliates and their officers, directors, agents, employees, representatives, successors and assigns from any and all claims and causes of action arising out of or relating to his employment with the Company, subject to certain excluded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Separation Agreement contains a non-disparagement provision and provides that the restrictive covenants set forth in the Sotos Employment Agreement, other than the non-compete covenant, will remain in effect with respect to Mr. Sotos.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Separation Agreement does not purport to be complete and is qualified in its entirety by reference to the full text of the Separation Agreement, a copy of which is attached as Exhibit 10.1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Chief Executive Officer and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Sotos’ departure, on April 30, 2024, the Board elected Craig Cornelius to serve as a member of the Board and appointed Mr. Cornelius to serve as the Chief Executive Officer of the Company, in each case effective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Cornelius, age 44, currently serves as the Chief Executive Officer of the Company’s sponsor, Clearway Energy Group LLC (“CEG”). Prior to becoming the Chief Executive Officer of CEG at its formation through a spin-out of NRG Energy Inc.’s (“NRG”) clean energy businesses in 2018, Mr. Cornelius was President of NRG’s renewables division. In this capacity, he oversaw origination, development, engineering and construction, operations, and asset management across the company’s businesses in wind and solar power. He joined NRG in 2013 and initially led new business development for renewables, including the establishment of new market segments, acquisition of projects and direction of process improvement initiatives. Before joining NRG, Mr. Cornelius served for five years as a Principal and then a Managing Director in the solar investing practice at Hudson Clean Energy Partners. Previously, he was the Program Manager of the U.S. Department of Energy’s Solar Energy Technologies Program, where he led the creation of the $1.5 billion Solar America Initiative. </w:t>
      </w:r>
      <w:r>
        <w:rPr>
          <w:rFonts w:ascii="Times New Roman;Times;Serif" w:hAnsi="Times New Roman;Times;Serif"/>
          <w:b w:val="false"/>
          <w:i w:val="false"/>
          <w:caps w:val="false"/>
          <w:smallCaps w:val="false"/>
          <w:sz w:val="20"/>
          <w:shd w:fill="FFFFFF" w:val="clear"/>
        </w:rPr>
        <w:t>He has also served terms at the U.S. National Aeronautics and Space Administration, the Thai Geoinformatics and Space Technology Development Agency and the U.S. National Academies of Science.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April 30, 2024, the Company, CEG and Mr. Cornelius entered </w:t>
      </w:r>
      <w:r>
        <w:rPr>
          <w:rFonts w:ascii="Times New Roman;Times;Serif" w:hAnsi="Times New Roman;Times;Serif"/>
          <w:b w:val="false"/>
          <w:i w:val="false"/>
          <w:caps w:val="false"/>
          <w:smallCaps w:val="false"/>
          <w:sz w:val="20"/>
        </w:rPr>
        <w:t>into an amended and restated employment agreement (the “Cornelius Employment Agreement”), pursuant to which Mr. Cornelius will continue to serve as the Chief Executive Officer of CEG and, beginning on the Effective Date, will also serve as the Chief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Cornelius Employment Agreement entitles Mr. Cornelius to an annual base salary, payable solely by CEG, of $500,000, which will be increased to $750,000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Cornelius Employment Agreement provides that, beginning with the 2024 fiscal year, Mr. Cornelius will be eligible to receive an annual incentive bonus (the “Annual Bonus”) at a target amount equal to 175% of his then-current base salary (the “Target Annual Bonus”), with the actual Annual Bonus with respect to a fiscal year payable solely by CEG based on the level of achievement of annual performance objectives established for such fiscal year with respect to the Company; provided that such actual Annual Bonus may not exceed 300% of Mr. Cornelius’ base salary as in effect at the end of such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Cornelius Employment Agreement provides that Mr. Cornelius is eligible to participate in the Clearway Energy, Inc. Amended and Restated 2013 Equity Incentive Plan (the “LTIP”), on such terms as are set forth in the LTIP. Mr. Cornelius’ annual long term incentive grant under the LTIP (the “Target LTIP Award”) will be 350% of his then-current annual base salary. The Target LTIP Award, one-third of which will be in the form of service-based restricted stock units and the remainder of which will be in the form of performance-based restricted stock units, will be issued to Mr. Cornelius on or as soon as practicable (and no later than thirty days)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compensation and benefits described above, the Cornelius Employment Agreement provides that Mr. Cornelius will receive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reimbursement by CEG for reasonable business expenses incurred by Mr. Cornelius in carrying out his duties and responsibilities as the Chief Executive Officer of the Company;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reimbursement by CEG for personal financial advisory and tax preparation services, or related legal advisory services, up to a maximum of $12,000 per year;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payment by CEG of an amount equal to $40,000 in connection with the attorneys’ fees anticipated to be incurred by Mr. Cornelius in connection with the establishment of the terms of Mr. Cornelius’ transition to Chief Executive Officer of the Company, the negotiating of the Cornelius Employment Agreement and related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Cornelius’ employment is terminated as a result of his death or disability, Mr. Cornelius will be entitled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 all accrued but unpaid base salary through the date of termination, (ii) any unpaid or unreimbursed expenses incurred in accordance with the Cornelius Employment Agreement and (iii) any benefits provided under CEG’s employee benefit plans upon a termination of employment (collectively, the “Accrued Obligations”);</w:t>
            </w:r>
          </w:p>
        </w:tc>
      </w:tr>
    </w:tbl>
    <w:tbl>
      <w:tblPr>
        <w:tblW w:w="5403" w:type="dxa"/>
        <w:jc w:val="left"/>
        <w:tblInd w:w="0" w:type="dxa"/>
        <w:tblLayout w:type="fixed"/>
        <w:tblCellMar>
          <w:top w:w="0" w:type="dxa"/>
          <w:left w:w="0" w:type="dxa"/>
          <w:bottom w:w="0" w:type="dxa"/>
          <w:right w:w="0" w:type="dxa"/>
        </w:tblCellMar>
      </w:tblPr>
      <w:tblGrid>
        <w:gridCol w:w="38"/>
        <w:gridCol w:w="17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left"/>
              <w:rPr/>
            </w:pPr>
            <w:r>
              <w:rPr/>
              <w:t>any unpaid Annual Bonus for the prior fiscal year;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an amount equal to the Target Annual Bonus for the year of termination, which amount will be prorated based on the number of days during the year that Mr. Cornelius was employed by CEG or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Cornelius will receive the following severance benefits if his employment is terminated by CEG without cause or if he terminates his employment for good reason, subject to Mr. Cornelius executing a release of claims:</w:t>
      </w:r>
    </w:p>
    <w:p>
      <w:pPr>
        <w:pStyle w:val="TextBody"/>
        <w:bidi w:val="0"/>
        <w:spacing w:before="0" w:after="0"/>
        <w:ind w:left="0" w:right="0" w:hanging="0"/>
        <w:jc w:val="left"/>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17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left"/>
              <w:rPr/>
            </w:pPr>
            <w:r>
              <w:rPr/>
              <w:t>the Accrued Obligations;</w:t>
            </w:r>
          </w:p>
        </w:tc>
      </w:tr>
    </w:tbl>
    <w:tbl>
      <w:tblPr>
        <w:tblW w:w="4998" w:type="dxa"/>
        <w:jc w:val="left"/>
        <w:tblInd w:w="0" w:type="dxa"/>
        <w:tblLayout w:type="fixed"/>
        <w:tblCellMar>
          <w:top w:w="0" w:type="dxa"/>
          <w:left w:w="0" w:type="dxa"/>
          <w:bottom w:w="0" w:type="dxa"/>
          <w:right w:w="0" w:type="dxa"/>
        </w:tblCellMar>
      </w:tblPr>
      <w:tblGrid>
        <w:gridCol w:w="38"/>
        <w:gridCol w:w="170"/>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left"/>
              <w:rPr/>
            </w:pPr>
            <w:r>
              <w:rPr/>
              <w:t>any unpaid Annual Bonus for the prior fiscal year;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an amount equal to his then-current base salary plus the Target Annual Bonus for the year of termination, which amount will be paid during the 12-month period after the date of termination in accordance with CEG’s regular payroll practices;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reimbursement of COBRA premiums for 12 months after the date of termination, except that such coverage will be discontinued if Mr. Cornelius becomes eligible to receive any health benefits as a result of subsequent employment or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Cornelius’ employment is terminated for cause or if he terminates his employment without good reason, he will be entitled only to the Accrued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excise tax under section 4999 of the Internal Revenue Code would be triggered by any payments under the Cornelius Employment Agreement or otherwise, CEG will reduce such payments so that no amounts are subject to section 4999 of the Internal Revenue Code, provided that such payments will only be reduced to the extent that the after-tax value of amounts received by Mr. Cornelius after application of such reduction would exceed the after-tax value of the amounts received without application of such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Cornelius Employment Agreement includes non-competition, non-disparagement and non-solicitation of employees and customers restrictions on Mr. Cornelius. The Cornelius Employment Agreement also includes a non-disclosure of confidential information provision and intellectual property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Cornelius Employment Agreement is not complete and is qualified in its entirety by reference to the full text of the Cornelius Employment Agreement, a copy of which is attached as Exhibit 10.2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Cornelius’ appointment, on April 30, 2024, Mr. Cornelius received from CEG a grant of 375,000 restricted shares of the Class C common stock of the Company, which will vest in three equal amounts, with one-third vesting on September 15, 2024 and one-third vesting on each of the next two anniversaries of such initial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There are no arrangements or understandings between Mr. Cornelius and any other person pursuant to which Mr. Cornelius was elected to serve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shd w:fill="FFFFFF" w:val="clear"/>
        </w:rPr>
        <w:t xml:space="preserve">As of March 31, 2024, CEG owned approximately 54.91% of the combined voting power of the Company’s common stock. Information about the Company’s material related party transactions with CEG required to be disclosed pursuant to Item 404(a) of Regulation S-K can be found in, and is incorporated into this Item 5.02 by reference to, Note 15 to the consolidated financial statements included in the Company’s </w:t>
      </w:r>
      <w:hyperlink r:id="rId2">
        <w:r>
          <w:rPr>
            <w:rStyle w:val="InternetLink"/>
            <w:rFonts w:ascii="Times New Roman;Times;Serif" w:hAnsi="Times New Roman;Times;Serif"/>
            <w:b w:val="false"/>
            <w:i w:val="false"/>
            <w:caps w:val="false"/>
            <w:smallCaps w:val="false"/>
            <w:sz w:val="20"/>
            <w:shd w:fill="FFFFFF" w:val="clear"/>
          </w:rPr>
          <w:t>Annual Report on Form 10-K filed with the Securities and Exchange Commission on February 22, 2024</w:t>
        </w:r>
      </w:hyperlink>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shd w:fill="FFFFFF" w:val="clear"/>
              </w:rPr>
            </w:pPr>
            <w:r>
              <w:rPr>
                <w:b/>
                <w:shd w:fill="FFFFFF" w:val="clear"/>
              </w:rPr>
              <w:t>Item 7.01</w:t>
            </w:r>
          </w:p>
        </w:tc>
        <w:tc>
          <w:tcPr>
            <w:tcW w:w="2705" w:type="dxa"/>
            <w:tcBorders/>
            <w:vAlign w:val="center"/>
          </w:tcPr>
          <w:p>
            <w:pPr>
              <w:pStyle w:val="TableContents"/>
              <w:bidi w:val="0"/>
              <w:spacing w:before="0" w:after="283"/>
              <w:jc w:val="left"/>
              <w:rPr>
                <w:b/>
                <w:shd w:fill="FFFFFF" w:val="clear"/>
              </w:rPr>
            </w:pPr>
            <w:r>
              <w:rPr>
                <w:b/>
                <w:shd w:fill="FFFFFF" w:val="clear"/>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color w:val="212529"/>
          <w:sz w:val="20"/>
          <w:shd w:fill="FFFFFF" w:val="clear"/>
        </w:rPr>
      </w:pPr>
      <w:r>
        <w:rPr>
          <w:rFonts w:ascii="Times New Roman;Times;Serif" w:hAnsi="Times New Roman;Times;Serif"/>
          <w:b w:val="false"/>
          <w:i w:val="false"/>
          <w:caps w:val="false"/>
          <w:smallCaps w:val="false"/>
          <w:color w:val="212529"/>
          <w:sz w:val="20"/>
          <w:shd w:fill="FFFFFF" w:val="clear"/>
        </w:rPr>
        <w:t>On April 30, 2024, the Company issued a press release announcing the departure of Mr. Sotos and the appointment of Mr. Cornelius as the Chief Executive Officer of the Company and a member of the Board. In the press release, the Company also re-affirmed the 2024 full year CAFD guidance communicated in its earnings release issued on November 2, 2023 and re-affirmed in its earnings release issued on February 22, 2024. A copy of the press release is attached as Exhibit 99.1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accordance with General Instruction B.2 of Form 8-K, the information set forth in this Item 7.01, including Exhibit 99.1, are deemed to be “furnished” and shall not be deemed to be “filed” for the purposes of Section 18 of the Securities Exchange Act of 1934 (the “Exchange Act”), as amended, and will not be incorporated by reference into any filing under the Securities Act of 1933, as amended, or the Exchange Act, unless specifically identified therein as being incorporated therein by reference.</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95"/>
        <w:gridCol w:w="60"/>
        <w:gridCol w:w="9450"/>
      </w:tblGrid>
      <w:tr>
        <w:trPr/>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w:t>
              <w:br/>
              <w:t>No.</w:t>
            </w:r>
          </w:p>
        </w:tc>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Description</w:t>
            </w:r>
          </w:p>
        </w:tc>
      </w:tr>
      <w:tr>
        <w:trPr/>
        <w:tc>
          <w:tcPr>
            <w:tcW w:w="695"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0" w:type="dxa"/>
            <w:tcBorders>
              <w:top w:val="single" w:sz="8" w:space="0" w:color="000000"/>
            </w:tcBorders>
            <w:tcMar>
              <w:top w:w="30" w:type="dxa"/>
            </w:tcMar>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center"/>
              <w:rPr/>
            </w:pPr>
            <w:hyperlink w:anchor="tm2413039d1_ex10-1.htm">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w:anchor="tm2413039d1_ex10-1.htm">
              <w:r>
                <w:rPr>
                  <w:rStyle w:val="InternetLink"/>
                  <w:rFonts w:ascii="Times New Roman;Times;Serif" w:hAnsi="Times New Roman;Times;Serif"/>
                  <w:sz w:val="20"/>
                </w:rPr>
                <w:t>Separation Agreement and General Release, dated as of April 30, 2024, by and between Clearway Energy, Inc. and Christopher Sotos</w:t>
              </w:r>
            </w:hyperlink>
          </w:p>
        </w:tc>
      </w:tr>
      <w:tr>
        <w:trPr/>
        <w:tc>
          <w:tcPr>
            <w:tcW w:w="695" w:type="dxa"/>
            <w:tcBorders/>
            <w:vAlign w:val="center"/>
          </w:tcPr>
          <w:p>
            <w:pPr>
              <w:pStyle w:val="TableContents"/>
              <w:bidi w:val="0"/>
              <w:spacing w:before="0" w:after="283"/>
              <w:jc w:val="center"/>
              <w:rPr/>
            </w:pPr>
            <w:hyperlink w:anchor="tm2413039d1_ex10-2.htm">
              <w:r>
                <w:rPr>
                  <w:rStyle w:val="InternetLink"/>
                  <w:rFonts w:ascii="Times New Roman;Times;Serif" w:hAnsi="Times New Roman;Times;Serif"/>
                  <w:sz w:val="20"/>
                </w:rPr>
                <w:t>10.2</w:t>
              </w:r>
            </w:hyperlink>
          </w:p>
        </w:tc>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w:anchor="tm2413039d1_ex10-2.htm">
              <w:r>
                <w:rPr>
                  <w:rStyle w:val="InternetLink"/>
                  <w:rFonts w:ascii="Times New Roman;Times;Serif" w:hAnsi="Times New Roman;Times;Serif"/>
                  <w:sz w:val="20"/>
                </w:rPr>
                <w:t>Amended and Restated Employment Agreement, dated as of April 30, 2024, by and between Clearway Energy Group LLC, Clearway Energy, Inc., GIP III Zephyr Management Partners, L.P., GIP III Zephyr Midco Holdings, L.P. and Craig Cornelius</w:t>
              </w:r>
            </w:hyperlink>
          </w:p>
        </w:tc>
      </w:tr>
      <w:tr>
        <w:trPr/>
        <w:tc>
          <w:tcPr>
            <w:tcW w:w="695" w:type="dxa"/>
            <w:tcBorders/>
            <w:vAlign w:val="center"/>
          </w:tcPr>
          <w:p>
            <w:pPr>
              <w:pStyle w:val="TableContents"/>
              <w:bidi w:val="0"/>
              <w:spacing w:before="0" w:after="283"/>
              <w:jc w:val="center"/>
              <w:rPr/>
            </w:pPr>
            <w:hyperlink w:anchor="tm2413039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hyperlink w:anchor="tm2413039d1_ex99-1.htm">
              <w:r>
                <w:rPr>
                  <w:rStyle w:val="InternetLink"/>
                  <w:rFonts w:ascii="Times New Roman;Times;Serif" w:hAnsi="Times New Roman;Times;Serif"/>
                  <w:sz w:val="20"/>
                </w:rPr>
                <w:t>Press Release, dated April 30, 2024</w:t>
              </w:r>
            </w:hyperlink>
          </w:p>
        </w:tc>
      </w:tr>
      <w:tr>
        <w:trPr/>
        <w:tc>
          <w:tcPr>
            <w:tcW w:w="6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410"/>
        <w:gridCol w:w="3380"/>
      </w:tblGrid>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Clearway Energy, Inc.</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3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P. Malcarney</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P. Malcarney</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413039d1_ex10-1.htm"/>
      <w:bookmarkStart w:id="27" w:name="kstm2413039d1_ex101"/>
      <w:bookmarkEnd w:id="26"/>
      <w:bookmarkEnd w:id="27"/>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SEPARATION AGREEMENT AND GENERAL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SEPARATION AGREEMENT AND GENERAL RELEASE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as of April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2024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between Clearway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Christopher Sotos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Executive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previously entered into that certain amended and restated employment agreement dated September 23, 2021, under which the Company has employed Executive as its President and Chief Executive Officer (the “</w:t>
      </w:r>
      <w:r>
        <w:rPr>
          <w:rFonts w:ascii="Times New Roman;Times;Serif" w:hAnsi="Times New Roman;Times;Serif"/>
          <w:b w:val="false"/>
          <w:i w:val="false"/>
          <w:caps w:val="false"/>
          <w:smallCaps w:val="false"/>
          <w:sz w:val="20"/>
          <w:u w:val="single"/>
        </w:rPr>
        <w:t>Employment 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Executive and the Company desire to enter into an agreement regarding Executive’s voluntary resignation from employment with the Company and a release of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promises and agreements contained herein and for other good and valuable consideration, the sufficiency and receipt of which are hereby acknowledged, the Company and Executive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Capitalized terms used herein without definition shall, unless the context otherwise requires, have the respective meanings assigned to them in the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Transition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Position</w:t>
      </w:r>
      <w:r>
        <w:rPr>
          <w:rFonts w:ascii="Times New Roman;Times;Serif" w:hAnsi="Times New Roman;Times;Serif"/>
          <w:b w:val="false"/>
          <w:i w:val="false"/>
          <w:caps w:val="false"/>
          <w:smallCaps w:val="false"/>
          <w:sz w:val="20"/>
        </w:rPr>
        <w:t>. From and after the Effective Date, Executive shall continue in employment in his current position as President and Chief Executive Officer of the Company until June 30, 2024 (such final day of Executive’s employment with the Company,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Effective upon the Termination Date, Executive shall resign as a director of the Company and its affiliates, as the case may be. Executive’s termination of employment with the Company on the Termination Date will constitute a “separation from service” for purposes of Section 409A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Duties</w:t>
      </w:r>
      <w:r>
        <w:rPr>
          <w:rFonts w:ascii="Times New Roman;Times;Serif" w:hAnsi="Times New Roman;Times;Serif"/>
          <w:b w:val="false"/>
          <w:i w:val="false"/>
          <w:caps w:val="false"/>
          <w:smallCaps w:val="false"/>
          <w:sz w:val="20"/>
        </w:rPr>
        <w:t>. From and after the Effective Date until the Termination Date (such period the “</w:t>
      </w:r>
      <w:r>
        <w:rPr>
          <w:rFonts w:ascii="Times New Roman;Times;Serif" w:hAnsi="Times New Roman;Times;Serif"/>
          <w:b w:val="false"/>
          <w:i w:val="false"/>
          <w:caps w:val="false"/>
          <w:smallCaps w:val="false"/>
          <w:sz w:val="20"/>
          <w:u w:val="single"/>
        </w:rPr>
        <w:t>Transition Period</w:t>
      </w:r>
      <w:r>
        <w:rPr>
          <w:rFonts w:ascii="Times New Roman;Times;Serif" w:hAnsi="Times New Roman;Times;Serif"/>
          <w:b w:val="false"/>
          <w:i w:val="false"/>
          <w:caps w:val="false"/>
          <w:smallCaps w:val="false"/>
          <w:sz w:val="20"/>
        </w:rPr>
        <w:t>”), Executive shall (i) devote his best efforts and his full business time and attention (except for permitted vacation periods and reasonable periods of illness or other incapacity) to the business and affairs of the Company, (ii) perform his duties, responsibilities and functions to the Company to the best of his abilities in a diligent, trustworthy, professional and efficient manner, and (iii) comply with the Company’s policies and procedures in all material respects. In addition, Executive shall perform such other duties, responsibilities and functions to the Company, as may be reasonably assigned to Executive by the Board, in accordance with the standards set forth in the immediately preceding sentence, which shall include (without limitation) assisting with the following: transferring historical information, files, financial records and contact information; assisting with knowledge transfer; and providing documentation and insights related to consolidation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Compensation and Benefits</w:t>
      </w:r>
      <w:r>
        <w:rPr>
          <w:rFonts w:ascii="Times New Roman;Times;Serif" w:hAnsi="Times New Roman;Times;Serif"/>
          <w:b w:val="false"/>
          <w:i w:val="false"/>
          <w:caps w:val="false"/>
          <w:smallCaps w:val="false"/>
          <w:sz w:val="20"/>
        </w:rPr>
        <w:t xml:space="preserve">. The Company shall continue to provide Executive with the compensation and benefits (minus applicable tax withholding) described in Section 3 of the Employment Agreement (as such compensation and benefits have been modified from time to time, as applicable) during the Transition Period. Upon the close of the Transition Period, the Company shall provide Executive with the payments and benefits (minus applicable tax withholding) described in Section 6(e) of the Employment Agreement, including for the avoidance of doubt, any accrued but unused vacation pay. Except as otherwise provided in the preceding sentence and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below, all of Executive’s rights to salary, bonuses, employee benefits and other compensation hereunder which would have accrued or become payable after the Transition Period shall cease upon his termination of employment with the Company on the Termination Date, other than those expressly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Further Obligations</w:t>
      </w:r>
      <w:r>
        <w:rPr>
          <w:rFonts w:ascii="Times New Roman;Times;Serif" w:hAnsi="Times New Roman;Times;Serif"/>
          <w:b w:val="false"/>
          <w:i w:val="false"/>
          <w:caps w:val="false"/>
          <w:smallCaps w:val="false"/>
          <w:sz w:val="20"/>
        </w:rPr>
        <w:t xml:space="preserve">. Executive and the Company agree that, by executing this Agreement and providing, subject to the terms and conditions of this Agreement, the compensation and benefits described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above and the Separation Benefits (as defined below) contemplated herein, the Company shall be deemed to have satisfied any and all obligations under the Employment Agreement. Executive agrees that none of the terms and conditions set forth in this Agreement, nor any other circumstances relating to Executive’s employment with the Company, constitute a Good Reason event for purposes of the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Separation Benefits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Subject</w:t>
      </w:r>
      <w:r>
        <w:rPr>
          <w:rFonts w:ascii="Times New Roman;Times;Serif" w:hAnsi="Times New Roman;Times;Serif"/>
          <w:b w:val="false"/>
          <w:i w:val="false"/>
          <w:caps w:val="false"/>
          <w:smallCaps w:val="false"/>
          <w:sz w:val="20"/>
        </w:rPr>
        <w:t xml:space="preserve"> to the terms of this Agreement and provided that Executive (w) signs and returns this Agreement to the Company within five (5) business days after Executive’s receipt hereof, (x) signs and returns to the Company the General Release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within twenty-one (21) days after the Termination Date (provided, however, that Executive may not sign the Release prior to the Termination Date), (y) does not revoke the Release in accordance with Section 9 thereof, and (z) complies with this Agreement, Executive shall be entitled to the following additional benefits (the “</w:t>
      </w:r>
      <w:r>
        <w:rPr>
          <w:rFonts w:ascii="Times New Roman;Times;Serif" w:hAnsi="Times New Roman;Times;Serif"/>
          <w:b w:val="false"/>
          <w:i w:val="false"/>
          <w:caps w:val="false"/>
          <w:smallCaps w:val="false"/>
          <w:sz w:val="20"/>
          <w:u w:val="single"/>
        </w:rPr>
        <w:t>Separation Benefits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Bonus Rights</w:t>
      </w:r>
      <w:r>
        <w:rPr>
          <w:rFonts w:ascii="Times New Roman;Times;Serif" w:hAnsi="Times New Roman;Times;Serif"/>
          <w:b w:val="false"/>
          <w:i w:val="false"/>
          <w:caps w:val="false"/>
          <w:smallCaps w:val="false"/>
          <w:sz w:val="20"/>
        </w:rPr>
        <w:t>. Executive shall remain eligible to receive the Annual Bonus in respect of the 2024 calendar year, which if earned (i.e., contingent on satisfaction of the performance goals that are applicable to such Annual Bonus), shall be paid to Executive in a lump-sum cash payment (minus applicable tax withholding) on or about the date on which 2024 annual bonus payments will be made to the Company’s executive officers, but in any event prior to March 15, 2025, and in an amount at least equal to the Annual Bonus payment Executive would have earned, if any, as set forth in Section 3(b)(i) of the Employment Agreement if his termination of employment had not occurred, adjusted on a pro rata basis based on the number of days Executive was actually employed by the Company during the 2024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Reimbursement Rights</w:t>
      </w:r>
      <w:r>
        <w:rPr>
          <w:rFonts w:ascii="Times New Roman;Times;Serif" w:hAnsi="Times New Roman;Times;Serif"/>
          <w:b w:val="false"/>
          <w:i w:val="false"/>
          <w:caps w:val="false"/>
          <w:smallCaps w:val="false"/>
          <w:sz w:val="20"/>
        </w:rPr>
        <w:t xml:space="preserve">. Within thirty (30) days after the occurrence of the Termination Date, the Company shall reimburse Executive for any reasonable expenses (up to a maximum of Twenty Thousand Dollars ($20,000)) incurred by Executive in connection with the negotiation of this Agreement including, without limitation, reasonable attorneys’ fees incurred by Executive. Executive shall submit all requests to the Company for expense reimbursements under this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within twenty-one (21) days after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Waiver of Non-Compete</w:t>
      </w:r>
      <w:r>
        <w:rPr>
          <w:rFonts w:ascii="Times New Roman;Times;Serif" w:hAnsi="Times New Roman;Times;Serif"/>
          <w:b w:val="false"/>
          <w:i w:val="false"/>
          <w:caps w:val="false"/>
          <w:smallCaps w:val="false"/>
          <w:sz w:val="20"/>
        </w:rPr>
        <w:t>. Effective as of the Termination Date, the Company shall waive the non-compete covenant in Section 11(a) of the Employment Agreement, and Executive shall not be precluded from participating in or otherwise being employed by or providing services to any person or entity, it being understood that the other restrictive covenants set forth in the Employment Agreement (including without limitation, restrictive covenants relating to confidential information and non-solicitation) shall remain in effect with respect to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acknowledges and agrees that the foregoing Separation Benefits each provide Executive with valuable consideration to which Executive would not otherwise be entitled if Executive had not signed this Agreement and the Release. If Executive does not sign and return the Release or revokes the Release during the revocation period set forth in Section 9 of the Release, any Separation Benefits that have not already been provided or paid to Executive shall not, or shall cease to, be paid or provided to Executive, and Executive shall not be entitled to any such payments or benefits. For the avoidance of doubt, the non-compete covenant described above shall not be waived if Executive does not sign and return the Release or revokes the Release during the revocation period. Notwithstanding anything herein to the contrary, in the event (i) of the breach or a threatened breach by Executive of any of the provisions of this Agreement, or (ii) the Company terminates Executive for Cause during the Transition Period (or circumstances constituting Cause are found to have existed at the time of such termination), then Executive shall forfeit all rights to the Separation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Employee Benefits</w:t>
      </w:r>
      <w:r>
        <w:rPr>
          <w:rFonts w:ascii="Times New Roman;Times;Serif" w:hAnsi="Times New Roman;Times;Serif"/>
          <w:b w:val="false"/>
          <w:i w:val="false"/>
          <w:caps w:val="false"/>
          <w:smallCaps w:val="false"/>
          <w:sz w:val="20"/>
        </w:rPr>
        <w:t>. Except as set forth in this Agreement or as otherwise required by applicable law (including without limitation COBRA or any similar applicable state law), Executive’s participation in and rights under any Company employee benefit plans and programs will be governed by the terms and conditions of those plans and programs, which plans, programs, terms and conditions may be amended, modified, suspended or terminated by the Company at any time for any or no reason to the extent permitted therein and/or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Other Release Matters</w:t>
      </w:r>
      <w:r>
        <w:rPr>
          <w:rFonts w:ascii="Times New Roman;Times;Serif" w:hAnsi="Times New Roman;Times;Serif"/>
          <w:b w:val="false"/>
          <w:i w:val="false"/>
          <w:caps w:val="false"/>
          <w:smallCaps w:val="false"/>
          <w:sz w:val="20"/>
        </w:rPr>
        <w:t>. Executive understands and agrees that Executive’s execution of the Release within twenty-one (21) days after (but not before) the Termination Date, without revocation thereof as provided therein, is among the conditions precedent to the Company’s obligation to provide the Separation Benefits under this Agreement, and any failure to execute and return the Release or revocation of the Release shall result in Executive no longer being entitled to receive any Separation Benefits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 Other Payments or Benefits</w:t>
      </w:r>
      <w:r>
        <w:rPr>
          <w:rFonts w:ascii="Times New Roman;Times;Serif" w:hAnsi="Times New Roman;Times;Serif"/>
          <w:b w:val="false"/>
          <w:i w:val="false"/>
          <w:caps w:val="false"/>
          <w:smallCaps w:val="false"/>
          <w:sz w:val="20"/>
        </w:rPr>
        <w:t>. Except as expressly provided in this Agreement, Executive acknowledges and agrees that he is not entitled to and will not receive any other compensation, payments, benefits, or recovery of any kind from the Company and its affiliates, including without limitation any severance, equity or other payments. In the event of any complaint, charge, proceeding or other claim (collectively,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filed with any court, other tribunal, or governmental or regulatory entity that involves or is based upon any claim waived and released by Executive in the Release, Executive hereby waives and agrees not to accept any money or other personal relief on account of any such Claims for any actual or alleged personal injury or damages to Executive, including without limitation any costs, expenses and attorneys’ fees incurred by or on behalf of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that (i) if Executive is made a party, or is threatened to be made a party, to any threatened or actual action, suit or proceeding, whether civil, criminal, administrative, investigative, appellate or other (each, a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by reason of the fact that he is or was a director, officer, employee, agent, manager, consultant or representative of the Company or is or was serving at the request of the Company as a director, officer, member, employee, agent, manager, consultant or representative of another entity or (ii) if any claim, demand, request, investigation, dispute, controversy, threat, discovery request or request for testimony or information (each, a “</w:t>
      </w:r>
      <w:r>
        <w:rPr>
          <w:rFonts w:ascii="Times New Roman;Times;Serif" w:hAnsi="Times New Roman;Times;Serif"/>
          <w:b w:val="false"/>
          <w:i w:val="false"/>
          <w:caps w:val="false"/>
          <w:smallCaps w:val="false"/>
          <w:sz w:val="20"/>
          <w:u w:val="single"/>
        </w:rPr>
        <w:t>Covered Claim</w:t>
      </w:r>
      <w:r>
        <w:rPr>
          <w:rFonts w:ascii="Times New Roman;Times;Serif" w:hAnsi="Times New Roman;Times;Serif"/>
          <w:b w:val="false"/>
          <w:i w:val="false"/>
          <w:caps w:val="false"/>
          <w:smallCaps w:val="false"/>
          <w:sz w:val="20"/>
        </w:rPr>
        <w:t>”) is made, or threatened to be made, that arises out of or relates to Executive’s service in any of the foregoing capacities, then Executive shall promptly be indemnified and held harmless by the Company to the fullest extent legally permitted or authorized by the Company’s certificate of incorporation, bylaws or Board resolutions or, if greater, by the laws of the State of Delaware, against any and all costs, expenses, liabilities and losses (including, without limitation, attorney’s fees, judgments, interest, expenses of investigation, penalties, fines, excise taxes or penalties and amounts paid or to be paid in settlement) incurred or suffered by Executive in connection therewith, and such indemnification shall continue as to Executive even if he has ceased to be a director, member, employee, agent, manager, consultant or representative of the Company or other entity and shall inure to the benefit of Executive’s heirs, executors and administrators. The Company shall advance to Executive all attorneys’ fees, costs and expenses incurred by him in connection with any such Proceeding or Covered Claim within fifteen (15) calendar days after receiving written notice requesting such an advance. Such notice shall include, to the extent required by applicable law, an undertaking by Executive to repay the amount advanced if he is ultimately determined not to be entitled to indemnification against such costs and expenses. Executive shall have the right to select counsel of his choosing.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the failure of the Company (including the Board, independent legal counsel or stockholders) to have made a determination in connection with any request for indemnification or advancement under </w:t>
      </w:r>
      <w:r>
        <w:rPr>
          <w:rFonts w:ascii="Times New Roman;Times;Serif" w:hAnsi="Times New Roman;Times;Serif"/>
          <w:b w:val="false"/>
          <w:i w:val="false"/>
          <w:caps w:val="false"/>
          <w:smallCaps w:val="false"/>
          <w:sz w:val="20"/>
          <w:u w:val="single"/>
        </w:rPr>
        <w:t>Section 7(a)</w:t>
      </w:r>
      <w:r>
        <w:rPr>
          <w:rFonts w:ascii="Times New Roman;Times;Serif" w:hAnsi="Times New Roman;Times;Serif"/>
          <w:b w:val="false"/>
          <w:i w:val="false"/>
          <w:caps w:val="false"/>
          <w:smallCaps w:val="false"/>
          <w:sz w:val="20"/>
        </w:rPr>
        <w:t> that Executive has satisfied any applicable standard of conduct nor a determination by the Company (including the Board, independent legal counsel or stockholders) that Executive has not met any applicable standard of conduct, shall create a presumption that Executive has or has not met an applicable standard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communication or request provided for in this Agreement shall be in writing and shall be either personally delivered (with a written acknowledgement of receipt), sent by nationally recognized overnight courier service (with a written acknowledgement of receipt by the overnight courier) or mailed by certified or registered mail, return receipt requested, to the recipient at the address below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to Executive: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Sotos</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on file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R. Ford</w:t>
        <w:br/>
        <w:t>Lead Independent Director</w:t>
        <w:br/>
        <w:t>Clearway Energy, Inc.</w:t>
        <w:br/>
        <w:t>300 Carnegie Center, Suite 300</w:t>
        <w:br/>
        <w:t>Princeton, NJ 08540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w:t>
        <w:br/>
        <w:t>Attn: EVP General Counsel and Corporate Secretary</w:t>
        <w:br/>
        <w:t>300 Carnegie Center, Suite 300</w:t>
        <w:br/>
        <w:t>Princeton, NJ 08540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such other address or to the attention of such other person as the recipient party shall have specified by ten (10) calendar days prior written notice to the sending party. Any notice under this Agreement shall be deemed to have been given when (i) when personally delivered, (ii) two (2) business days after being sent by overnight courier or (iii) three (3) business days after mailing by certified or registered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No Right to Employment or Services Relationship</w:t>
      </w:r>
      <w:r>
        <w:rPr>
          <w:rFonts w:ascii="Times New Roman;Times;Serif" w:hAnsi="Times New Roman;Times;Serif"/>
          <w:b w:val="false"/>
          <w:i w:val="false"/>
          <w:caps w:val="false"/>
          <w:smallCaps w:val="false"/>
          <w:sz w:val="20"/>
        </w:rPr>
        <w:t>. Executive acknowledges and agrees that Executive has no present or future right to employment with the Company or any of the Released Parties (as defined in the Release) and will not apply or seek consideration for any employment, engagement, or contract with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 as if such, invalid, illegal or unenforceable provision had never been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xml:space="preserve">. Except as requested by any of the Released Parties, as permitted by applicable law that may supersede the terms of this Agreement, or as compelled by valid legal process, Executive shall not make to any other party any statement about the Company or any of the Released Parties (whether oral, written, electronic, anonymous, on the Internet, or otherwise) that is false, or maliciously untrue such that they are made with knowledge of their falsity or with reckless disregard for their truth or falsity, in any manner likely to be harmful to them or their business, business reputation or personal reputation. Similarly, following the Effective Date, the Company will instruct the directors, officers and managers of the Company and its subsidiaries not to defame or disparage Executive in any medium to any person. Notwithstanding anything herein to the contrary, nothing in this Agreement shall prevent Executive from making statements and disclosures as set forth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In executing this Agreement, Executive acknowledges and agrees that he has knowingly, voluntarily, and intelligently waived any (a) free speech, free association, free press, or First Amendment to the United States Constitution (including, without limitation, any counterpart or similar provision or right under any State Constitution) rights to disclose, communicate, or publish any statements prohibited by this subparagraph and (b) right to file a motion to dismiss or pursue any other relief under the any Citizens Participation Act or similar state law in connection with any Claim filed against him by the Company or any of the other Released Parties, including without limitation any Claim arising from any alleged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Protected Communication</w:t>
      </w:r>
      <w:r>
        <w:rPr>
          <w:rFonts w:ascii="Times New Roman;Times;Serif" w:hAnsi="Times New Roman;Times;Serif"/>
          <w:b w:val="false"/>
          <w:i w:val="false"/>
          <w:caps w:val="false"/>
          <w:smallCaps w:val="false"/>
          <w:sz w:val="20"/>
        </w:rPr>
        <w:t>. Notwithstanding any other provision of this Agreement or the Release, nothing in this Agreement or the Release is intended to, or does, preclude Executive from (a) disclosing the fact or terms of this Agreement and the Release as part of a government investigation; (b) contacting, reporting to, responding to an inquiry from, filing a charge or complaint with, communicating with, or otherwise participating in an investigation conducted by, any federal, state, or local governmental agency, commission, or regulatory body; (c) reporting possible violations of federal and/or state law or regulation to any federal, state, or local governmental agency or entity, including with respect to alleged criminal conduct or unlawful employment practices, or from making other disclosures that are protected under the whistleblower provisions of federal and/or state law or regulation, (d) making truthful statements or disclosures regarding alleged unlawful employment practices, (e) giving truthful testimony or making statements under oath in response to a subpoena or other valid legal process or in any legal proceeding; (f) otherwise making truthful statements as required by law or valid legal process; (g) engaging in protected concerted activity under the National Labor Relations Act for the purpose of collective bargaining or other mutual aid or protection, including (i) making disclosures concerning this Agreement and the Release in aid of such concerted activities; (ii) filing unfair labor practice charges with the National Labor Relations Board; (iii) assisting others who are filing such charges; or (iv) cooperating with the investigative process of the National Labor Relations Board and other government agencies; or (h) disclosing a trade secret in confidence to a governmental official, directly or indirectly, or to an attorney, if the disclosure is made solely for the purpose of reporting or investigating a suspected violation of law. Accordingly, Executive understands that he will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Executive likewise understands that, if he files a lawsuit for retaliation by the Company for reporting a suspected violation of law, he may disclose the Company’s trade secret(s) to his attorney and use the trade secret information in the court proceeding, if he (x) files any document containing the trade secret under seal; and (y) does not disclose the trade secret, except pursuant to court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shall be deemed to be the language chosen by the Parties to express their mutual intent, and no rule of strict construction shall be applied against 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beneficiaries, heirs and representatives of Executive and the successors and assigns of the Company. The Company shall require any successor (whether direct or indirect, by purchase, merger, reorganization, consolidation, acquisition of property or stock, liquidation, or otherwise) to all or a majority of its assets, by agreement in form and substance satisfactory to Executive, expressly to assume and agree to perform this Agreement in the same manner and to the same extent that the Company would be required to perform this Agreement if no such succession had taken place. Regardless whether such agreement is executed, this Agreement shall be binding upon any successor of the Company in accordance with the operation of law and such successor shall be deemed the “Company” for purposes of this Agreement. Executive may not assign his rights (except by will or the laws of descent and distribution) or delegate his duties or obligations hereunder. Except as provided by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this Agreement is not assignable by any Party and no payment to be made hereunder shall be subject to anticipation, alienation, sale, transfer, assignment, pledge, encumbrance or other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Choice of Law</w:t>
      </w:r>
      <w:r>
        <w:rPr>
          <w:rFonts w:ascii="Times New Roman;Times;Serif" w:hAnsi="Times New Roman;Times;Serif"/>
          <w:b w:val="false"/>
          <w:i w:val="false"/>
          <w:caps w:val="false"/>
          <w:smallCaps w:val="false"/>
          <w:sz w:val="20"/>
        </w:rPr>
        <w:t>. All issues and questions concerning the construction, validity, enforcement and interpretation of this Agreement and the exhibits and schedules hereto shall be governed by, and construed in accordance with, the laws of the State of New Jersey, without giving effect to any choice of law or conflict of law rules or provisions (whether of the State of New Jersey or any other jurisdiction) that would cause the application of the laws of any jurisdiction other than the State of New Jersey.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Complete Agreement</w:t>
      </w:r>
      <w:r>
        <w:rPr>
          <w:rFonts w:ascii="Times New Roman;Times;Serif" w:hAnsi="Times New Roman;Times;Serif"/>
          <w:b w:val="false"/>
          <w:i w:val="false"/>
          <w:caps w:val="false"/>
          <w:smallCaps w:val="false"/>
          <w:sz w:val="20"/>
        </w:rPr>
        <w:t>. This Agreement, those documents expressly referred to herein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The provisions of this Agreement may be amended, modified or waived only with the prior written consent of the Company and Executive, and no course of conduct or course of dealing or failure or delay by any Party in enforcing or exercising any of the provisions of this Agreement (including, without limitation, the Company’s right to terminate Executive for Cause) shall affect the validity, binding effect or enforceability of this Agreement or be deemed to be an implied waiver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Other Covenants</w:t>
      </w:r>
      <w:r>
        <w:rPr>
          <w:rFonts w:ascii="Times New Roman;Times;Serif" w:hAnsi="Times New Roman;Times;Serif"/>
          <w:b w:val="false"/>
          <w:i w:val="false"/>
          <w:caps w:val="false"/>
          <w:smallCaps w:val="false"/>
          <w:sz w:val="20"/>
        </w:rPr>
        <w:t>. Executive acknowledges and agrees that, except as expressly provided in this Agreement, the covenants in Sections 8 through 12, 19 and 23 of the Employment Agreement shall remain in effect and continue to apply to Executive pursuant to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Complete Agreement</w:t>
      </w:r>
      <w:r>
        <w:rPr>
          <w:rFonts w:ascii="Times New Roman;Times;Serif" w:hAnsi="Times New Roman;Times;Serif"/>
          <w:b w:val="false"/>
          <w:i w:val="false"/>
          <w:caps w:val="false"/>
          <w:smallCaps w:val="false"/>
          <w:sz w:val="20"/>
        </w:rPr>
        <w:t>. This Agreement, those documents expressly referred to herein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Withholding; Indemnification and Reimbursement of Payments on Behalf of Executive</w:t>
      </w:r>
      <w:r>
        <w:rPr>
          <w:rFonts w:ascii="Times New Roman;Times;Serif" w:hAnsi="Times New Roman;Times;Serif"/>
          <w:b w:val="false"/>
          <w:i w:val="false"/>
          <w:caps w:val="false"/>
          <w:smallCaps w:val="false"/>
          <w:sz w:val="20"/>
        </w:rPr>
        <w:t>. The Company and its affiliates shall be entitled to deduct or withhold from any amounts owing from the Company or any of its affiliates to Executive any federal, state, local or foreign withholding taxes, excise tax, or employment taxes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imposed with respect to Executive’s compensation or other payments from the Company or any of its affiliates or Executive’s ownership interest in the Company (including, without limitation, wages, bonuses, dividends, the receipt or exercise of equity options and/or the receipt or vesting of restricted equity or restricted equity based compensation). In the event the Company or any of its affiliates does not make such deductions or withholdings at the written request of Executive, Executive shall indemnify the Company and its affiliates for any amounts paid with respect to any such Taxes, together with any interest, penalties and related expenses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xml:space="preserve">. EACH OF THE PARTIES IRREVOCABLY SUBMITS TO THE EXCLUSIVE JURISDICTION OF THE STATE COURTS OF NEW JERSEY OR THE UNITED STATES DISTRICT COURT FOR THE DISTRICT OF NEW JERSEY, FOR THE PURPOSES OF ANY SUIT, ACTION OR OTHER PROCEEDING ARISING OUT OF THIS AGREEMENT, ANY RELATED AGREEMENT OR ANY TRANSACTION CONTEMPLATED HEREBY OR THEREBY. EACH OF THE PARTIES HERETO FURTHER AGREES THAT SERVICE OF ANY PROCESS, SUMMONS, NOTICE OR DOCUMENT IN COMPLIANCE WITH THE PROVISIONS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(NOTICES) SHALL BE EFFECTIVE SERVICE OF PROCESS FOR ANY ACTION, SUIT OR PROCEEDING WITH RESPECT TO ANY MATTERS TO WHICH IT HAS SUBMITTED TO JURISDICTION IN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EACH OF THE PARTIES HERETO IRREVOCABLY AND UNCONDITIONALLY WAIVES ANY OBJECTION TO THE LAYING OF VENUE OF ANY ACTION, SUIT OR PROCEEDING ARISING OUT OF THIS AGREEMENT, ANY RELATED DOCUMENT OR THE TRANSACTIONS CONTEMPLATED HEREBY AND THEREBY IN THE STATE COURTS OF NEW JERSEY OR THE UNITED STATES DISTRICT COURT FOR THE DISTRICT OF NEW JERSEY, AND HEREBY AND THEREBY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Corporate Opportunity</w:t>
      </w:r>
      <w:r>
        <w:rPr>
          <w:rFonts w:ascii="Times New Roman;Times;Serif" w:hAnsi="Times New Roman;Times;Serif"/>
          <w:b w:val="false"/>
          <w:i w:val="false"/>
          <w:caps w:val="false"/>
          <w:smallCaps w:val="false"/>
          <w:sz w:val="20"/>
        </w:rPr>
        <w:t xml:space="preserve">. During the Transition Period, Executive shall submit to the Board all Corporate Opportunities, if Executive wishes to accept or pursue, directly or indirectly, such Corporate Opportunities on Executive’s own behalf.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shall not apply to purchases of publicly traded stock by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No Admission</w:t>
      </w:r>
      <w:r>
        <w:rPr>
          <w:rFonts w:ascii="Times New Roman;Times;Serif" w:hAnsi="Times New Roman;Times;Serif"/>
          <w:b w:val="false"/>
          <w:i w:val="false"/>
          <w:caps w:val="false"/>
          <w:smallCaps w:val="false"/>
          <w:sz w:val="20"/>
        </w:rPr>
        <w:t>. Nothing in this Agreement is intended to or shall be construed as an admission by the Company or any of the other Released Parties that any of them violated any law, interfered with any right, breached any obligation or otherwise engaged in any improper or illegal conduct with respect to Executive or otherwise. The Company and the other Released Parties expressly deny any such illegal or wrongful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Legal Costs</w:t>
      </w:r>
      <w:r>
        <w:rPr>
          <w:rFonts w:ascii="Times New Roman;Times;Serif" w:hAnsi="Times New Roman;Times;Serif"/>
          <w:b w:val="false"/>
          <w:i w:val="false"/>
          <w:caps w:val="false"/>
          <w:smallCaps w:val="false"/>
          <w:sz w:val="20"/>
        </w:rPr>
        <w:t>. Except as otherwise agreed to by the Parties, the Company shall pay Executive for costs of litigation or other disputes, in each case that relate to matters that primarily involve this Agreement, during the twelve (12) month period following the Effective Date, including, without limitation, reasonable attorneys’ fees incurred by Executive in asserting any claims or defenses under this Agreement, except that Executive shall bear his own costs of such litigation or disputes (including, without limitation attorneys’ fees) only to the extent the court finds in favor of the Company with respect to any such claims or defenses asserted by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Executive’s Cooperation</w:t>
      </w:r>
      <w:r>
        <w:rPr>
          <w:rFonts w:ascii="Times New Roman;Times;Serif" w:hAnsi="Times New Roman;Times;Serif"/>
          <w:b w:val="false"/>
          <w:i w:val="false"/>
          <w:caps w:val="false"/>
          <w:smallCaps w:val="false"/>
          <w:sz w:val="20"/>
        </w:rPr>
        <w:t xml:space="preserve">. During the Transition Period and thereafter, Executive shall cooperate with the Company and its affiliates, upon the Company’s reasonable request, with respect to any internal, investigation or administrative, regulatory or judicial proceeding involving matters within the scope of Executive’s duties and responsibilities to the Company during the Transition Period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come into Executive’s possession during the Transition Period); provided, however, that any such request by the Company shall not be unduly burdensome or interfere with Executive’s personal schedule or ability to engage in gainful employment. In the event the Company requires Executive’s cooperation in accordance with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the Company shall reimburse Executive for reasonable out-of-pocket expenses (including travel, lodging, meals, attorneys’ fees) incurred by Executive during Executive’s lifetime in connection with such cooperation, subject to reasonable documentation. In addition, the Company shall compensate Executive at a rate of $500 per hour for the time, that Executive reasonably spends complying with his obligations under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after the termination of the Transition Period. Such reimbursement and compensation shall be paid within fifteen (15) calendar days after submission of same to the Company. Nothing in this Agreement shall prohibit any person from giving truthful information, testimony or evidence to a governmental entity or in any investigatory proceeding, or if properly subpoenaed or otherwise required to do so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To the extent applicable, it is intended that this Agreement comply with the provisions of Section 409A of the Code and the regulations and other guidance promulgated thereunder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so as to prevent inclusion in gross income of any amounts payable or benefits provided hereunder in a taxable year that is prior to the taxable year or years in which such amounts or benefits would otherwise actually be distributed, provided or otherwise made available to Executive. This Agreement shall be construed, administered, and governed in a manner consistent with this intent and the following provisions of this paragraph shall control over any contrary provisions of this agreement. In furtherance thereof, to the extent that any provision hereof would otherwise result in Executive being subject to the payment of tax, interest, and tax penalty under Section 409A, Executive and the Company agree to amend this agreement in a manner that brings this Agreement in compliance with Section 409A. Notwithstanding the foregoing, in no event shall the Company be responsible for reimbursing or indemnifying Executive for any violation of Section 409A. Payments and benefits that are paid or provided under this Agreement upon Executive’s termination or severance of employment that constitute deferred compensation under Section 409A shall be paid or provided only at the time of a termination or severance of Executive’s employment that constitutes a “separation from service” within the meaning of Section 409A. For purposes of Section 409A, each payment under this Agreement shall be treated as a right to a separate payment and not part of a series of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separate counterparts, each of which is deemed to be an original and all of which taken together constitute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STATE THAT THEY HAVE READ AND UNDERSTAND THE FOREGOING AND KNOWINGLY AND VOLUNTARILY INTEND TO BE BOUND THERETO:</w:t>
      </w:r>
    </w:p>
    <w:p>
      <w:pPr>
        <w:pStyle w:val="TextBody"/>
        <w:bidi w:val="0"/>
        <w:spacing w:before="0" w:after="0"/>
        <w:ind w:left="0" w:right="0" w:hanging="0"/>
        <w:jc w:val="left"/>
        <w:rPr>
          <w:caps w:val="false"/>
          <w:smallCaps w:val="false"/>
        </w:rPr>
      </w:pPr>
      <w:r>
        <w:rPr>
          <w:caps w:val="false"/>
          <w:smallCaps w:val="false"/>
        </w:rPr>
        <w:t> </w:t>
      </w:r>
    </w:p>
    <w:tbl>
      <w:tblPr>
        <w:tblW w:w="7794" w:type="dxa"/>
        <w:jc w:val="left"/>
        <w:tblInd w:w="0" w:type="dxa"/>
        <w:tblLayout w:type="fixed"/>
        <w:tblCellMar>
          <w:top w:w="0" w:type="dxa"/>
          <w:left w:w="0" w:type="dxa"/>
          <w:bottom w:w="0" w:type="dxa"/>
          <w:right w:w="0" w:type="dxa"/>
        </w:tblCellMar>
      </w:tblPr>
      <w:tblGrid>
        <w:gridCol w:w="1730"/>
        <w:gridCol w:w="60"/>
        <w:gridCol w:w="976"/>
        <w:gridCol w:w="5028"/>
      </w:tblGrid>
      <w:tr>
        <w:trPr/>
        <w:tc>
          <w:tcPr>
            <w:tcW w:w="17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Christopher Sotos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Inc.</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 </w:t>
            </w:r>
          </w:p>
        </w:tc>
      </w:tr>
      <w:tr>
        <w:trPr/>
        <w:tc>
          <w:tcPr>
            <w:tcW w:w="17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Sotos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502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P. Malcarney</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Vice President, General Counsel and Corporate Secretary</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payments and benefits (the “</w:t>
      </w:r>
      <w:r>
        <w:rPr>
          <w:rFonts w:ascii="Times New Roman;Times;Serif" w:hAnsi="Times New Roman;Times;Serif"/>
          <w:b w:val="false"/>
          <w:i w:val="false"/>
          <w:caps w:val="false"/>
          <w:smallCaps w:val="false"/>
          <w:sz w:val="20"/>
          <w:u w:val="single"/>
        </w:rPr>
        <w:t>Separation Benefits</w:t>
      </w:r>
      <w:r>
        <w:rPr>
          <w:rFonts w:ascii="Times New Roman;Times;Serif" w:hAnsi="Times New Roman;Times;Serif"/>
          <w:b w:val="false"/>
          <w:i w:val="false"/>
          <w:caps w:val="false"/>
          <w:smallCaps w:val="false"/>
          <w:sz w:val="20"/>
        </w:rPr>
        <w:t>”) paid or to be paid to me pursuant to and in accordance with the terms of my Separation Agreement and General Release, dated April 30, 2024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on behalf of myself, my heirs, executors, administrators, successors, and assigns, I hereby fully and forever RELEASE and DISCHARGE CLEARWAY ENERGY, INC., its affiliates and their officers, directors, agents, employees, representatives, successors and assigns (hereinafter, collectively called the “</w:t>
      </w:r>
      <w:r>
        <w:rPr>
          <w:rFonts w:ascii="Times New Roman;Times;Serif" w:hAnsi="Times New Roman;Times;Serif"/>
          <w:b w:val="false"/>
          <w:i w:val="false"/>
          <w:caps w:val="false"/>
          <w:smallCaps w:val="false"/>
          <w:sz w:val="20"/>
          <w:u w:val="single"/>
        </w:rPr>
        <w:t>Released Parties</w:t>
      </w:r>
      <w:r>
        <w:rPr>
          <w:rFonts w:ascii="Times New Roman;Times;Serif" w:hAnsi="Times New Roman;Times;Serif"/>
          <w:b w:val="false"/>
          <w:i w:val="false"/>
          <w:caps w:val="false"/>
          <w:smallCaps w:val="false"/>
          <w:sz w:val="20"/>
        </w:rPr>
        <w:t>”), from any and all claims and causes of action arising out of or relating in any way to my employment with the Released Parties, including, but not limited to, the offer of employment and termination of my employment, and I agree that I will not in any manner institute, prosecute or pursue any complaints, claims, charges, liabilities, claims for relief, demands, suits, actions or causes of action against the Released Parties that are covered by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expressly excluded from this RELEASE are any claims or causes of action which I may have (i) seeking enforcement of my rights under the Agreement, including, without limitation, Sections 3, 7 and 26 thereof, or any other plan, policy or arrangement of the Released Parties, (ii) seeking to obtain contribution as permitted by applicable law in the event of the entry of judgment against me as a result of any act or failure to act for which both I and any of the Released Parties are held to be jointly liable, (iii) arising out of or relating in any way to acts or omissions after the date of this RELEASE or otherwise not covered by this RELEASE, and (iv) which cannot be waived by law. I shall also retain the right to seek indemnification from the Company, to the extent permitted under applicable law and Section 7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understand and agree that, except as specifically provided above, this RELEASE is a full and complete waiver of all claims relating to my employment with the Company, including, but not limited to, claims of wrongful discharge, breach of contract, breach of the covenant of good faith and fair dealing, violation of public policy, defamation, personal injury and emotional distress, claims under Title VII of the Civil Rights Act of 1964, as amended, the Civil Rights Act of 1991, the Age Discrimination in Employment Act of 1967, as amended by the Older Workers Benefit Protection Act of 1990, the Americans With Disabilities Act, the Rehabilitation Act of 1973, as amended, the Equal Pay Act of 1963, Section 1981 of the Civil Rights Act of 1866, any of the Delaware State employment, discrimination or wage payment laws, the Fair Labor Standards Act of 1938, as amended, the Family and Medical Leave Act of 1993, and the Employee Retirement Income Security Act of 1974, as amended, claims arising from any legal restrictions on the Company’s right to terminate employees (including, without limitation, claims arising under various contract, tort, public policy or wrongful discharge theories under any federal, state or local law, or under the federal Worker Adjustment and Retraining Notification Act of 1988, as amended, or any similar state or local law), and any claims for attorney’s fees or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 understand that I have received or will receive, regardless of the execution of this RELEASE, all amounts due to me pursuant to Sections 2(c) and 7 of the Agreement. I further understand and agree that the Company will not provide me with any additional payments or benefits under the Agreement (including, without limitation, Separation Benefits) unless I execute this RELEASE. In consideration of the execution of this RELEASE, I will receive the Separation Benefits specified in Section 3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addition, and in further consideration of the foregoing, I acknowledge and agree that if I hereafter discover facts different from or in addition to those which I now know or believe to be true that this RELEASE shall be and remain effective in all respects notwithstanding such different or additional facts or the discovery thereof. I understand that this RELEASE does not waive or release any rights or claims that I may have under the Age Discrimination in Employment Act of 1967, as amended, which arise after the date I sign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As part of my existing and continuing obligation to the Company, I have returned or, within seven (7) days of my termination will return to the Company all Confidential Information and Third Party Information (as such terms are defined in the Agreement (by reference to Section 9 of the Employment Agreement)) in accordance with the terms of the Agreement. I affirm my obligation to keep all Confidential Information confidential and not to disclose it to any third party as required by Section 18 of the Agreement (by reference to Section 9 of the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Subject to Section 12 of the Agreement, I agree not to disclose, either directly or indirectly, any information whatsoever regarding (i) any of the terms or the existence of this RELEASE and my benefits under the Agreement or (ii) any other claim I may have against the Released Parties, to any person or organization, including but not limited to members of the press and media, present and former employees of the Company or its affiliates, companies who do business with the Company or its affiliates; or other members of the public, it being understood that, I may reveal such terms of this RELEASE and the Separation Benefits to my spouse, accountants and attorneys or as are necessary to comply with a request made by the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This RELEASE shall be governed by the laws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This RELEASE contains the entire agreement between the Company and me with respect to any matters referred to in the RELEASE and shall supersede any all other agreements, whether written or oral, with respect to such matters. I understand and agree that this RELEASE shall not be deemed or construed at any time as an admission of liability or wrongdoing by either myself or any of the Released Parties. Notwithstanding the foregoing, it is understood and agreed that my termination will be treated for all purposes as my voluntary resignation without Good Reason and that I shall be entitled to all payments and benefits under the Agreement consistent with such a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If any one or more of the provisions contained in this RELEASE is, for any reason, held to be unenforceable, that holding will not affect any other provision of this RELEASE, but, with respect only to the jurisdiction holding the provision to be unenforceable, this RELEASE shall then be construed as if such unenforceable provision or provisions had never been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Before executing this RELEASE, I obtained sufficient information to intelligently exercise my own judgment about the terms of the RELEASE. The Company has informed me in writing to consult an attorney before signing this RELEASE, if I wish.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also understand for a period of seven (7) days after I sign this RELEASE, I may revoke this RELEASE and that the RELEASE will not become effective until seven (7) days after I sign it, and only then if I do not revoke it. In order to revoke this RELEASE, I must deliver, or cause to be delivered, to Jonathan Bram; Chairman of the Board by First Class mail, facsimile [Fax Number] or email [Email Address], by no later than seven (7) days after I execute this RELEASE, a letter stating that I am revoking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My Separation Benefits under the Agreement will be paid or provided in accordance with the terms of the Agreement. If I choose to revoke this RELEASE within seven (7) days after I sign it, such benefits will not be due and payable or otherwise provided, and the RELEASE will have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If I fail to comply with my agreement not to institute, prosecute or pursue any complaints, claims, charges, liabilities, claims for relief, demands suits or causes of actions against any of the Released Parties (except as set forth in the second unnumbered paragraph at the beginning of this Release above, including, without limitation, any claims or causes of actions I may have as a result of any acts or omissions that occur after the date of this Release), or if I materially and willfully fail to comply with the terms of Section 4 or 5 of this RELEASE, I will forfeit the additional payments and benefits due under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ACCEPTANCE OF RELEASE: BEFORE SIGNING MY NAME TO THIS RELEASE, I STATE THAT: I HAVE READ IT; UNDERSTAND IT AND KNOW THAT I AM GIVING UP IMPORTANT RIGHTS; I AM AWARE OF MY RIGHT TO CONSULT WITH AN ATTORNEY BEFORE SIGNING IT; AND I HAVE SIGNED IT KNOWINGLY AND VOLUNTARILY. EXCEPT FOR THE MATTERS EXPRESSLY STATED IN THIS RELEASE, THE COMPANY HAS NEITHER MADE ANY REPRESENTATION NOR OFFERED ME ANY INDUCEMENT TO SIGN THIS RELEASE.</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320"/>
        <w:gridCol w:w="455"/>
        <w:gridCol w:w="145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1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Sotos</w:t>
            </w:r>
          </w:p>
        </w:tc>
      </w:tr>
      <w:tr>
        <w:trPr/>
        <w:tc>
          <w:tcPr>
            <w:tcW w:w="75" w:type="dxa"/>
            <w:tcBorders/>
            <w:vAlign w:val="center"/>
          </w:tcPr>
          <w:p>
            <w:pPr>
              <w:pStyle w:val="TableContents"/>
              <w:bidi w:val="0"/>
              <w:spacing w:before="0" w:after="283"/>
              <w:jc w:val="left"/>
              <w:rPr/>
            </w:pPr>
            <w:r>
              <w:rPr/>
              <w:t> </w:t>
            </w:r>
          </w:p>
        </w:tc>
        <w:tc>
          <w:tcPr>
            <w:tcW w:w="22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4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479"/>
        <w:gridCol w:w="651"/>
        <w:gridCol w:w="1289"/>
        <w:gridCol w:w="75"/>
      </w:tblGrid>
      <w:tr>
        <w:trPr/>
        <w:tc>
          <w:tcPr>
            <w:tcW w:w="241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to and accepted:</w:t>
            </w:r>
          </w:p>
        </w:tc>
        <w:tc>
          <w:tcPr>
            <w:tcW w:w="75" w:type="dxa"/>
            <w:tcBorders/>
            <w:vAlign w:val="center"/>
          </w:tcPr>
          <w:p>
            <w:pPr>
              <w:pStyle w:val="TableContents"/>
              <w:bidi w:val="0"/>
              <w:spacing w:before="0" w:after="283"/>
              <w:jc w:val="left"/>
              <w:rPr/>
            </w:pPr>
            <w:r>
              <w:rPr/>
              <w:t> </w:t>
            </w:r>
          </w:p>
        </w:tc>
      </w:tr>
      <w:tr>
        <w:trPr/>
        <w:tc>
          <w:tcPr>
            <w:tcW w:w="241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w:t>
            </w:r>
          </w:p>
        </w:tc>
        <w:tc>
          <w:tcPr>
            <w:tcW w:w="75" w:type="dxa"/>
            <w:tcBorders/>
            <w:vAlign w:val="center"/>
          </w:tcPr>
          <w:p>
            <w:pPr>
              <w:pStyle w:val="TableContents"/>
              <w:bidi w:val="0"/>
              <w:spacing w:before="0" w:after="283"/>
              <w:jc w:val="left"/>
              <w:rPr/>
            </w:pPr>
            <w:r>
              <w:rPr/>
              <w:t> </w:t>
            </w:r>
          </w:p>
        </w:tc>
      </w:tr>
      <w:tr>
        <w:trPr/>
        <w:tc>
          <w:tcPr>
            <w:tcW w:w="2419"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Bram</w:t>
            </w:r>
          </w:p>
        </w:tc>
        <w:tc>
          <w:tcPr>
            <w:tcW w:w="75" w:type="dxa"/>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c>
          <w:tcPr>
            <w:tcW w:w="75" w:type="dxa"/>
            <w:tcBorders/>
            <w:vAlign w:val="center"/>
          </w:tcPr>
          <w:p>
            <w:pPr>
              <w:pStyle w:val="TableContents"/>
              <w:bidi w:val="0"/>
              <w:spacing w:before="0" w:after="283"/>
              <w:jc w:val="left"/>
              <w:rPr/>
            </w:pPr>
            <w:r>
              <w:rPr/>
              <w:t> </w:t>
            </w:r>
          </w:p>
        </w:tc>
      </w:tr>
      <w:tr>
        <w:trPr/>
        <w:tc>
          <w:tcPr>
            <w:tcW w:w="2419"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79" w:type="dxa"/>
            <w:tcBorders/>
            <w:vAlign w:val="center"/>
          </w:tcPr>
          <w:p>
            <w:pPr>
              <w:pStyle w:val="TableContents"/>
              <w:bidi w:val="0"/>
              <w:spacing w:before="0" w:after="283"/>
              <w:jc w:val="left"/>
              <w:rPr>
                <w:caps w:val="false"/>
                <w:smallCaps w:val="false"/>
              </w:rPr>
            </w:pPr>
            <w:r>
              <w:rPr>
                <w:caps w:val="false"/>
                <w:smallCaps w:val="false"/>
              </w:rPr>
              <w:t> </w:t>
            </w:r>
          </w:p>
        </w:tc>
        <w:tc>
          <w:tcPr>
            <w:tcW w:w="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28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8" w:name="tm2413039d1_ex10-2.htm"/>
      <w:bookmarkStart w:id="29" w:name="kstm2413039d1_ex102"/>
      <w:bookmarkEnd w:id="28"/>
      <w:bookmarkEnd w:id="29"/>
      <w:r>
        <w:rPr/>
        <w:t> </w:t>
      </w:r>
      <w:r>
        <w:br w:type="page"/>
      </w:r>
    </w:p>
    <w:p>
      <w:pPr>
        <w:pStyle w:val="TextBody"/>
        <w:bidi w:val="0"/>
        <w:jc w:val="right"/>
        <w:rPr>
          <w:b/>
        </w:rPr>
      </w:pPr>
      <w:r>
        <w:rPr>
          <w:b/>
        </w:rPr>
        <w:t>Exhibit 10.2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EMPLOYMENT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this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April, 2024, by and between Clearway Energy Group LLC, a Delaware limited liability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Clearway Energy, Inc., a Delaware corporation (“</w:t>
      </w:r>
      <w:r>
        <w:rPr>
          <w:rFonts w:ascii="Times New Roman;Times;Serif" w:hAnsi="Times New Roman;Times;Serif"/>
          <w:b w:val="false"/>
          <w:i w:val="false"/>
          <w:caps w:val="false"/>
          <w:smallCaps w:val="false"/>
          <w:sz w:val="20"/>
          <w:u w:val="single"/>
        </w:rPr>
        <w:t>CWEN</w:t>
      </w:r>
      <w:r>
        <w:rPr>
          <w:rFonts w:ascii="Times New Roman;Times;Serif" w:hAnsi="Times New Roman;Times;Serif"/>
          <w:b w:val="false"/>
          <w:i w:val="false"/>
          <w:caps w:val="false"/>
          <w:smallCaps w:val="false"/>
          <w:sz w:val="20"/>
        </w:rPr>
        <w:t>”), GIP III Zephyr Management Partners, L.P., a Delaware limited partners, GIP III Zephyr Midco Holdings, L.P. and Craig Cornelius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Executive (together with CWEN,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previously entered into that certain employment agreement dated August 31, 2018, under which the Company has employed Executive as its Chief Executive Officer (the “</w:t>
      </w:r>
      <w:r>
        <w:rPr>
          <w:rFonts w:ascii="Times New Roman;Times;Serif" w:hAnsi="Times New Roman;Times;Serif"/>
          <w:b w:val="false"/>
          <w:i w:val="false"/>
          <w:caps w:val="false"/>
          <w:smallCaps w:val="false"/>
          <w:sz w:val="20"/>
          <w:u w:val="single"/>
        </w:rPr>
        <w:t>Prior 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amend and restate the Prior Agreement to reflect, among other things, Executive’s additional roles and responsibilities with respect to CWEN, the Parties obligations and the other terms and conditions related thereto, and Executive is willing to accept his continued employment under the terms and conditions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promises and mutual covenants contained herein and for other good and valuable consideration, the receipt and sufficiency of which are mutually acknowledged,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xml:space="preserve">. Capitalized terms not otherwise defined in this Agreement shall have the meaning set forth on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Acceptance and Term of Employment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continue to employ Executive, and Executive agrees to continue to serve the Company, on the terms and conditions set forth herein and for the period beginning April 30, 2024 (the “</w:t>
      </w:r>
      <w:r>
        <w:rPr>
          <w:rFonts w:ascii="Times New Roman;Times;Serif" w:hAnsi="Times New Roman;Times;Serif"/>
          <w:b w:val="false"/>
          <w:i w:val="false"/>
          <w:caps w:val="false"/>
          <w:smallCaps w:val="false"/>
          <w:sz w:val="20"/>
          <w:u w:val="single"/>
        </w:rPr>
        <w:t>Commencement Date</w:t>
      </w:r>
      <w:r>
        <w:rPr>
          <w:rFonts w:ascii="Times New Roman;Times;Serif" w:hAnsi="Times New Roman;Times;Serif"/>
          <w:b w:val="false"/>
          <w:i w:val="false"/>
          <w:caps w:val="false"/>
          <w:smallCaps w:val="false"/>
          <w:sz w:val="20"/>
        </w:rPr>
        <w:t>”) and ending as provided in Section 7 hereof (the “</w:t>
      </w:r>
      <w:r>
        <w:rPr>
          <w:rFonts w:ascii="Times New Roman;Times;Serif" w:hAnsi="Times New Roman;Times;Serif"/>
          <w:b w:val="false"/>
          <w:i w:val="false"/>
          <w:caps w:val="false"/>
          <w:smallCaps w:val="false"/>
          <w:sz w:val="20"/>
          <w:u w:val="single"/>
        </w:rPr>
        <w:t>Term of Employment</w:t>
      </w:r>
      <w:r>
        <w:rPr>
          <w:rFonts w:ascii="Times New Roman;Times;Serif" w:hAnsi="Times New Roman;Times;Serif"/>
          <w:b w:val="false"/>
          <w:i w:val="false"/>
          <w:caps w:val="false"/>
          <w:smallCaps w:val="false"/>
          <w:sz w:val="20"/>
        </w:rPr>
        <w:t>”). Notwithstanding the foregoing, with respect to the period beginning July 1, 2024 (the “</w:t>
      </w:r>
      <w:r>
        <w:rPr>
          <w:rFonts w:ascii="Times New Roman;Times;Serif" w:hAnsi="Times New Roman;Times;Serif"/>
          <w:b w:val="false"/>
          <w:i w:val="false"/>
          <w:caps w:val="false"/>
          <w:smallCaps w:val="false"/>
          <w:sz w:val="20"/>
          <w:u w:val="single"/>
        </w:rPr>
        <w:t>Transition Date</w:t>
      </w:r>
      <w:r>
        <w:rPr>
          <w:rFonts w:ascii="Times New Roman;Times;Serif" w:hAnsi="Times New Roman;Times;Serif"/>
          <w:b w:val="false"/>
          <w:i w:val="false"/>
          <w:caps w:val="false"/>
          <w:smallCaps w:val="false"/>
          <w:sz w:val="20"/>
        </w:rPr>
        <w:t>”), it is acknowledged that Executive shall also serve as Chief Executive Officer of CWEN (the “</w:t>
      </w:r>
      <w:r>
        <w:rPr>
          <w:rFonts w:ascii="Times New Roman;Times;Serif" w:hAnsi="Times New Roman;Times;Serif"/>
          <w:b w:val="false"/>
          <w:i w:val="false"/>
          <w:caps w:val="false"/>
          <w:smallCaps w:val="false"/>
          <w:sz w:val="20"/>
          <w:u w:val="single"/>
        </w:rPr>
        <w:t>CWEN CEO</w:t>
      </w:r>
      <w:r>
        <w:rPr>
          <w:rFonts w:ascii="Times New Roman;Times;Serif" w:hAnsi="Times New Roman;Times;Serif"/>
          <w:b w:val="false"/>
          <w:i w:val="false"/>
          <w:caps w:val="false"/>
          <w:smallCaps w:val="false"/>
          <w:sz w:val="20"/>
        </w:rPr>
        <w:t>”), and (i) for so long as Executive remains the CWEN CEO, the Board of Directors of CWEN (the “</w:t>
      </w:r>
      <w:r>
        <w:rPr>
          <w:rFonts w:ascii="Times New Roman;Times;Serif" w:hAnsi="Times New Roman;Times;Serif"/>
          <w:b w:val="false"/>
          <w:i w:val="false"/>
          <w:caps w:val="false"/>
          <w:smallCaps w:val="false"/>
          <w:sz w:val="20"/>
          <w:u w:val="single"/>
        </w:rPr>
        <w:t>CWEN Board</w:t>
      </w:r>
      <w:r>
        <w:rPr>
          <w:rFonts w:ascii="Times New Roman;Times;Serif" w:hAnsi="Times New Roman;Times;Serif"/>
          <w:b w:val="false"/>
          <w:i w:val="false"/>
          <w:caps w:val="false"/>
          <w:smallCaps w:val="false"/>
          <w:sz w:val="20"/>
        </w:rPr>
        <w:t>”) shall have the authority and responsibility to direct and control the day-to-day activities of Executive in his capacity as the CWEN CEO, subject to the terms of Section 3 of this Agreement. For purposes of this Agreement, all references to employment, service, engagement and terms of similar import, shall refer to Executive’s services to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Position, Duties, and Responsibilities; Place of Performance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Position, Duties, and Responsibilities</w:t>
      </w:r>
      <w:r>
        <w:rPr>
          <w:rFonts w:ascii="Times New Roman;Times;Serif" w:hAnsi="Times New Roman;Times;Serif"/>
          <w:b w:val="false"/>
          <w:i w:val="false"/>
          <w:caps w:val="false"/>
          <w:smallCaps w:val="false"/>
          <w:sz w:val="20"/>
        </w:rPr>
        <w:t>. During the Term of Employment, Executive shall be employed and serve as the Chief Executive Officer of the Company, and from and after the Transition Date, Executive shall also serve as the CWEN CEO and, in each case, shall have such duties and responsibilities commensurate with such title. Executive shall report directly to the Board in his capacity as Chief Executive Officer of the Company at all times during the Term of Employment, and shall report to the CWEN Board from and after the Transition Date in his capacity as the CWEN CEO. Executive also agrees to serve as an officer and/or director of any other member of the Company Group, including CWEN for periods on and after the Transition Date, in each case without additional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Performance</w:t>
      </w:r>
      <w:r>
        <w:rPr>
          <w:rFonts w:ascii="Times New Roman;Times;Serif" w:hAnsi="Times New Roman;Times;Serif"/>
          <w:b w:val="false"/>
          <w:i w:val="false"/>
          <w:caps w:val="false"/>
          <w:smallCaps w:val="false"/>
          <w:sz w:val="20"/>
        </w:rPr>
        <w:t xml:space="preserve">. Executive shall devote his full business time, attention, skill, and best efforts to the performance of his duties under this Agreement and shall not engage in any other business or occupation during the Term of Employment, including, without limitation, any activity that (i) conflicts with the interests of the Company or any other member of the Company Group, (ii) interferes with the proper and efficient performance of Executive’s duties hereunder, or (iii) interferes with Executive’s exercise of judgment in the Company’s or, with respect to periods following the Transition Date, CWEN’s, best interests, as the case may be. Notwithstanding the foregoing, nothing herein shall preclude Executive from (A) serving, with the prior written consent of the Board, and with respect to periods following the Transition Date, the CWEN Board, as a member of the board of directors or advisory board (or the equivalent in the case of a non-corporate entity) of a non-competing for-profit business and one or more charitable organizations, (B) engaging in charitable activities and community affairs, and (C) managing his personal investments and affairs;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activities set out in clauses (A), (B), and (C) shall be limited by Executive so as not to materially interfere, individually or in the aggregate, with the performance of his duties and responsibilities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Principal Place of Employment</w:t>
      </w:r>
      <w:r>
        <w:rPr>
          <w:rFonts w:ascii="Times New Roman;Times;Serif" w:hAnsi="Times New Roman;Times;Serif"/>
          <w:b w:val="false"/>
          <w:i w:val="false"/>
          <w:caps w:val="false"/>
          <w:smallCaps w:val="false"/>
          <w:sz w:val="20"/>
        </w:rPr>
        <w:t>. Executive’s principal place of employment shall be in San Francisco, California, although Executive understands and agrees that he may be required to travel from time to time for business reasons.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Term of Employment, Executive shall be entitled to the following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Executive shall be paid an annualized Base Salary, payable solely by the Company in accordance with the regular payroll practices of the Company, of $500,000 which shall be increased to $750,000 as of the Transition Date, in each case, with adjustments, if any, as may be approved in writing by the CEG Compensation Committee. Notwithstanding the foregoing, the CWEN Compensation Committee shall be permitted to make non-binding recommendations to the CEG Compensation Committee regarding any Base Salary adjustments, and the CEG Compensation Committee shall have final decisional authority with respect to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Annual Bonus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Executive shall be eligible for an annual incentive bonus award in respect of each fiscal year during the Term of Employment (the “</w:t>
      </w:r>
      <w:r>
        <w:rPr>
          <w:rFonts w:ascii="Times New Roman;Times;Serif" w:hAnsi="Times New Roman;Times;Serif"/>
          <w:b w:val="false"/>
          <w:i w:val="false"/>
          <w:caps w:val="false"/>
          <w:smallCaps w:val="false"/>
          <w:sz w:val="20"/>
          <w:u w:val="single"/>
        </w:rPr>
        <w:t>Annual Bonus</w:t>
      </w:r>
      <w:r>
        <w:rPr>
          <w:rFonts w:ascii="Times New Roman;Times;Serif" w:hAnsi="Times New Roman;Times;Serif"/>
          <w:b w:val="false"/>
          <w:i w:val="false"/>
          <w:caps w:val="false"/>
          <w:smallCaps w:val="false"/>
          <w:sz w:val="20"/>
        </w:rPr>
        <w:t>”). The target Annual Bonus for the 2024 fiscal year and each fiscal year thereafter shall be 175% of Base Salary as in effect at the end of the applicable fiscal year (the “</w:t>
      </w:r>
      <w:r>
        <w:rPr>
          <w:rFonts w:ascii="Times New Roman;Times;Serif" w:hAnsi="Times New Roman;Times;Serif"/>
          <w:b w:val="false"/>
          <w:i w:val="false"/>
          <w:caps w:val="false"/>
          <w:smallCaps w:val="false"/>
          <w:sz w:val="20"/>
          <w:u w:val="single"/>
        </w:rPr>
        <w:t>Target Annual Bonus</w:t>
      </w:r>
      <w:r>
        <w:rPr>
          <w:rFonts w:ascii="Times New Roman;Times;Serif" w:hAnsi="Times New Roman;Times;Serif"/>
          <w:b w:val="false"/>
          <w:i w:val="false"/>
          <w:caps w:val="false"/>
          <w:smallCaps w:val="false"/>
          <w:sz w:val="20"/>
        </w:rPr>
        <w:t xml:space="preserve">”). The actual Annual Bonus with respect to a fiscal year shall be payable solely by the Company based upon the level of achievement of annual performance objectives established for such fiscal year;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amount paid in respect of such actual Annual Bonus exceed 300% of Base Salary as in effect at the end of such fiscal year. The Annual Bonus shall be paid to Executive at the same time as annual bonuses are generally payable to other senior executives of the Company subject to Executive’s continuous employment through the applicable payment date (subject to Section 7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fiscal years in which Executive shall not serve as the CWEN CEO, the annual performance objectives with respect to Executive’s Annual Bonus shall be determined by the CEG Compensation Committee and communicated to Executive in accordance with the Company’s standard practices. For fiscal years beginning with fiscal year 2024 and any periods thereafter in which Executive shall serve as the CWEN CEO, the performance objectives with respect to Executive’s Annual Bonus shall be (A) established, evaluated and approved (including for such purposes that relate to the extent to which such performance objectives are attained) by the CWEN Compensation Committee (subject to any follow-on approval by the CWEN Board), and (B) communicated to Executive in accordance with CWEN’s standard practices. Notwithstanding the foregoing sentence, the CEG Compensation Committee shall be permitted to make non-binding recommendations to the CWEN Compensation Committee regarding the performance objective matters described in the foregoing sentence, and the CWEN Compensation Committee shall have final decisional authority with respect to the same (subject to any follow-on approval by the CWEN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Equity Participation</w:t>
      </w:r>
      <w:r>
        <w:rPr>
          <w:rFonts w:ascii="Times New Roman;Times;Serif" w:hAnsi="Times New Roman;Times;Serif"/>
          <w:b w:val="false"/>
          <w:i w:val="false"/>
          <w:caps w:val="false"/>
          <w:smallCaps w:val="false"/>
          <w:sz w:val="20"/>
        </w:rPr>
        <w:t>. For periods on and after the Commencement Date, Executive shall be eligible to participate in and receive a grant under, the Clearway Energy, Inc. Amended and Restated 2013 Equity Incentive Plan, as such plan may be amended and/or restated from time to time or any successor plan thereto (the “</w:t>
      </w:r>
      <w:r>
        <w:rPr>
          <w:rFonts w:ascii="Times New Roman;Times;Serif" w:hAnsi="Times New Roman;Times;Serif"/>
          <w:b w:val="false"/>
          <w:i w:val="false"/>
          <w:caps w:val="false"/>
          <w:smallCaps w:val="false"/>
          <w:sz w:val="20"/>
          <w:u w:val="single"/>
        </w:rPr>
        <w:t>CWEN LTIP</w:t>
      </w:r>
      <w:r>
        <w:rPr>
          <w:rFonts w:ascii="Times New Roman;Times;Serif" w:hAnsi="Times New Roman;Times;Serif"/>
          <w:b w:val="false"/>
          <w:i w:val="false"/>
          <w:caps w:val="false"/>
          <w:smallCaps w:val="false"/>
          <w:sz w:val="20"/>
        </w:rPr>
        <w:t>”), on such terms and conditions as are stated therein. It is acknowledged by the Parties that (i) Executive’s annual long term incentive target shall equal three hundred and fifty percent (350%) of Executive’s then Base Salary (the “</w:t>
      </w:r>
      <w:r>
        <w:rPr>
          <w:rFonts w:ascii="Times New Roman;Times;Serif" w:hAnsi="Times New Roman;Times;Serif"/>
          <w:b w:val="false"/>
          <w:i w:val="false"/>
          <w:caps w:val="false"/>
          <w:smallCaps w:val="false"/>
          <w:sz w:val="20"/>
          <w:u w:val="single"/>
        </w:rPr>
        <w:t>Target LTIP Award</w:t>
      </w:r>
      <w:r>
        <w:rPr>
          <w:rFonts w:ascii="Times New Roman;Times;Serif" w:hAnsi="Times New Roman;Times;Serif"/>
          <w:b w:val="false"/>
          <w:i w:val="false"/>
          <w:caps w:val="false"/>
          <w:smallCaps w:val="false"/>
          <w:sz w:val="20"/>
        </w:rPr>
        <w:t xml:space="preserve">”), (ii) one-third (&amp;frac13;) of the Target LTIP Award shall be issued to Executive in the form of service-based restricted stock unit awards and the remainder of the Target LTIP Award shall be issued to Executive in the form of performance-based restricted stock unit awards, and (iii) the initial Target LTIP Award shall be issued to Executive on or as soon as practicable (and no later than thirty (30) days) after the Transition Date. For purposes of determining the number of service-based and performance-based restricted stock units subject to the Target LTIP Award, CWEN shall apply its standard methodology for grants to its executive officers;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for Executive’s initial Target LTIP Award, the grant shall be made based on the 10-day average closing stock price ending on the Commencement Date. The initial service-based and performance-based awards described in this Section 4(c) shall be evidenced by award agreements in the forms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Employee Benefits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Term of Employment, Executive shall be entitled to participate in health, insurance, retirement, and other benefits (including perquisites) provided generally to the senior executives of the Company. Executive shall also be entitled to the same number of holidays, vacation or paid-time-off (“</w:t>
      </w:r>
      <w:r>
        <w:rPr>
          <w:rFonts w:ascii="Times New Roman;Times;Serif" w:hAnsi="Times New Roman;Times;Serif"/>
          <w:b w:val="false"/>
          <w:i w:val="false"/>
          <w:caps w:val="false"/>
          <w:smallCaps w:val="false"/>
          <w:sz w:val="20"/>
          <w:u w:val="single"/>
        </w:rPr>
        <w:t>PTO</w:t>
      </w:r>
      <w:r>
        <w:rPr>
          <w:rFonts w:ascii="Times New Roman;Times;Serif" w:hAnsi="Times New Roman;Times;Serif"/>
          <w:b w:val="false"/>
          <w:i w:val="false"/>
          <w:caps w:val="false"/>
          <w:smallCaps w:val="false"/>
          <w:sz w:val="20"/>
        </w:rPr>
        <w:t xml:space="preserve">”) days, and sick days, in each case as are generally allowed to senior executives of the Company in accordance with the Company policy as in effect from time to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the number of PTO days available for accrual in any calendar year be less than the highest number of days available for accrual by any other senior executive. Nothing contained herein shall be construed to limit the Company’s ability to amend, suspend, or terminate any employee benefit plan or policy at any time, and the right to do so is expressly reserved;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at all times that Executive is employed by the Company hereunder, Executive and his eligible dependents will have access to Company-provided health, dental, life and disability policies on terms and costs that are no less favorable than those generally provided to other senior executives (excluding differences in costs resulting for individual status (e.g., age, medical history)).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Reimbursements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Executive is authorized to incur reasonable business expenses in carrying out his duties and responsibilities under this Agreement, including his duties and responsibilities as the CWEN CEO, and the Company shall be solely responsible pursuant to this Agreement to promptly reimburse him for all such reasonable business expenses, subject to documentation in accordance with the Company’s policy,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foregoing, the Company will reimburse Executive for personal financial advisory and tax preparation services, or related legal advisory services, for each calendar year (or partial calendar year) during the Term of Employment in an amount not to exceed $12,000 per calendar year (or partial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will pay Executive an amount equal to $40,000 in connection with the attorneys’ fees anticipated to be incurred by Executive in connection with the establishment of the terms of Executive’s transition, the negotiation and finalization of this Agreement and related matters. Such payment will be made promptly, but in no event later than thirty (30) days following the Commencement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Termination of Employment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Term of Employment, and Executive’s employment hereunder, shall terminate upon the earliest to occur of (i) Executive’s death, (ii) a termination by reason of a Disability, (iii) a termination by the Company with or without Cause, and (iv) a termination by Executive with or without Good Reason. Except as otherwise expressly required by law (e.g., COBRA) or as specifically provided herein, all of Executive’s rights to Base Salary, Annual Bonus, employee benefits and other compensatory amounts hereunder (if any) shall cease upon the termination of Executive’s employment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Deemed Resignation</w:t>
      </w:r>
      <w:r>
        <w:rPr>
          <w:rFonts w:ascii="Times New Roman;Times;Serif" w:hAnsi="Times New Roman;Times;Serif"/>
          <w:b w:val="false"/>
          <w:i w:val="false"/>
          <w:caps w:val="false"/>
          <w:smallCaps w:val="false"/>
          <w:sz w:val="20"/>
        </w:rPr>
        <w:t>. Upon any termination of Executive’s employment for any reason, except as may otherwise be requested by the Company in writing and agreed upon in writing by Executive, Executive shall be deemed to have resigned, or shall take such steps as shall be necessary to affirmatively resign, from any and all directorships, committee memberships, and any other positions Executive holds with the Company or any other member of the Company Group, including CWEN and its subsidiaries, it being understood that such deemed resignations shall not otherwise recharacterize the event under which Executive’s employment shall terminate hereunder pursuant to Section 7(a)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Due to Death or Disability</w:t>
      </w:r>
      <w:r>
        <w:rPr>
          <w:rFonts w:ascii="Times New Roman;Times;Serif" w:hAnsi="Times New Roman;Times;Serif"/>
          <w:b w:val="false"/>
          <w:i w:val="false"/>
          <w:caps w:val="false"/>
          <w:smallCaps w:val="false"/>
          <w:sz w:val="20"/>
        </w:rPr>
        <w:t>. Executive’s employment shall terminate automatically upon his death. The Company may terminate Executive’s employment immediately upon the occurrence of a Disability, such termination to be effective upon Executive’s receipt of written notice of such termination. Upon Executive’s death or in the event that Executive’s employment is terminated due to his Disability, Executive or his estate or his beneficiaries, as the case may be, shall be entitled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Accrued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unpaid Annual Bonus in respect of any completed fiscal year that has ended prior to the date of such termination, which amount shall be paid at such time annual bonuses are paid to other senior executives of the Company, but in no event later than the date that is two and one-half (2½) months following the last day of the fiscal year in which such termination occurred;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amount equal to (A) the Target Annual Bonus multiplied by (B) a fraction, (x) the numerator of which is the number of days elapsed from the commencement of the fiscal year in which such termination occurs through the date of such termination and (y) the denominator of which is 365 (or 366, as applicable), which amount shall be paid within thirty (30) days of Executive’s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Executive’s death or a termination of Executive’s employment by reason of a Disability, except as set forth in this Section 7(c), Executive shall have no further rights to any compensation or any other benefits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by the Company for Cause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may terminate Executive’s employment at any time for Cause, effective upon delivery to Executive of written notice of such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 respect to any Cause termination relying on clause (ii), (vi) or (vii) of the definition of Cause, to the extent that such act or acts or failure or failures to act are curable (as determined by the Board in good faith), Executive shall be given not less than thirty (30) days’ written notice by the Board of the Company’s intention to terminate him for Cause, such notice to state in detail the particular act or acts or failure or failures to act that constitute the grounds on which the proposed termination for Cause is based, and such termination shall be effective at the expiration of such thirty (30)-day notice period unless Executive has fully cured such act or acts or failure or failures to act that give rise to Cause during such period. For the avoidance of doubt, to the extent the cure period described above is applicable, if Executive fully cures the applicable conduct that the Company identifies as the basis of Cause within the aforementioned cure period, the Company shall not be permitted to terminate Executive for Cause on the basis of such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the Company terminates Executive’s employment for Cause, Executive shall be entitled only to the Accrued Obligations. Following such termination of Executive’s employment for Cause, except as set forth in this Section 7(d)(ii), Executive shall have no further rights to any compensation or any other benefits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Termination by the Company without Cause</w:t>
      </w:r>
      <w:r>
        <w:rPr>
          <w:rFonts w:ascii="Times New Roman;Times;Serif" w:hAnsi="Times New Roman;Times;Serif"/>
          <w:b w:val="false"/>
          <w:i w:val="false"/>
          <w:caps w:val="false"/>
          <w:smallCaps w:val="false"/>
          <w:sz w:val="20"/>
        </w:rPr>
        <w:t>. The Company may terminate Executive’s employment at any time without Cause, effective upon delivery to Executive of written notice of such termination. In the event that Executive’s employment is terminated by the Company without Cause (other than due to Disability), Executive shall be entitled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Accrued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unpaid Annual Bonus in respect of any completed fiscal year that has ended prior to the date of such termination, which amount shall be paid at such time annual bonuses are paid to other senior executives of the Company, but in no event later than the date that is two and one-half (2½) months following the last day of the fiscal year in which such termination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amount equal to the sum of (A) Base Salary, plus (B) the Target Annual Bonus, such amount to be paid in substantially equal payments during the Severance Term, and payable in accordance with the Company’s regular payroll practices;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Subject to Executive’s election of COBRA continuation coverage under the Company’s group health plan, payment, on the first regularly scheduled payroll date of each month during the Severance Term, of an amount equal to the difference between the monthly COBRA premium cost and the monthly contribution paid by active employees for the same coverage;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payments described in this clause shall cease earlier than the expiration of the Severance Term in the event that Executive becomes eligible to receive any health benefits as a result of subsequent employment or service during the Severance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payments and benefits described in clauses (ii), (iii), and (iv) of this Section 7(e) shall immediately terminate and be forfeited by Executive, and the Company shall have no further obligations to Executive with respect thereto, in the event that Executive materially breaches any provision set forth in Section 9 hereof. Following such termination of Executive’s employment by the Company without Cause, except as set forth in this Section 7(e), Executive shall have no further rights to any compensation or any other benefits under this Agreement. For the avoidance of doubt, Executive’s sole and exclusive remedy upon a termination of employment by the Company without Cause shall be receipt of the Severance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Termination by Executive with Good Reason</w:t>
      </w:r>
      <w:r>
        <w:rPr>
          <w:rFonts w:ascii="Times New Roman;Times;Serif" w:hAnsi="Times New Roman;Times;Serif"/>
          <w:b w:val="false"/>
          <w:i w:val="false"/>
          <w:caps w:val="false"/>
          <w:smallCaps w:val="false"/>
          <w:sz w:val="20"/>
        </w:rPr>
        <w:t>. Executive may terminate his employment with Good Reason by providing the Company ten (10) days’ written notice setting forth in reasonable specificity the event that constitutes Good Reason, which written notice, to be effective, must be provided to the Company within sixty (60) days following the occurrence of such event. During the ten (10) day period following the Company’s receipt of such notice from Executive, the Company shall have a cure right (if curable), and if not cured within such period, Executive’s termination will be effective upon the expiration of such cure period, and Executive shall be entitled to the same payments and benefits as provided in Section 7(e) hereof for a termination by the Company without Cause, subject to the same conditions on payment and benefits as described in Section 7(e) hereof. Following such termination of Executive’s employment by Executive with Good Reason, except as set forth in this Section 7(f), Executive shall have no further rights to any compensation or any other benefits under this Agreement. For the avoidance of doubt, Executive’s sole and exclusive remedy upon a termination of employment with Good Reason shall be receipt of the Severance Benefits. For the avoidance of doubt, to the extent the cure period described above is applicable, if the Company fully cures the applicable conduct that Executive identifies as the basis of Good Reason within the aforementioned cure period, Executive shall not be permitted to terminate Executive’s employment with Good Reason on the basis of such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Termination by Executive without Good Reason</w:t>
      </w:r>
      <w:r>
        <w:rPr>
          <w:rFonts w:ascii="Times New Roman;Times;Serif" w:hAnsi="Times New Roman;Times;Serif"/>
          <w:b w:val="false"/>
          <w:i w:val="false"/>
          <w:caps w:val="false"/>
          <w:smallCaps w:val="false"/>
          <w:sz w:val="20"/>
        </w:rPr>
        <w:t>. Executive may terminate his employment without Good Reason by providing the Company sixty (60) days’ advance written notice of such termination. In the event of a termination of employment by Executive under this Section 7(g), Executive shall be entitled only to the Accrued Obligations. In the event of termination of Executive’s employment under this Section 7(g), the Company may, in its sole and absolute discretion, by written notice accelerate such date of termination without changing the characterization of such termination as a termination by Executive without Good Reason. Following such termination of Executive’s employment by Executive without Good Reason, except as set forth in this Section 7(g), Executive shall have no further rights to any compensation or any other benefits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Notwithstanding any provision herein to the contrary, the payment of any amount or provision of any benefit pursuant to subsection (c), (e) or (f) of this Section 7 (collectively, the “</w:t>
      </w:r>
      <w:r>
        <w:rPr>
          <w:rFonts w:ascii="Times New Roman;Times;Serif" w:hAnsi="Times New Roman;Times;Serif"/>
          <w:b w:val="false"/>
          <w:i w:val="false"/>
          <w:caps w:val="false"/>
          <w:smallCaps w:val="false"/>
          <w:sz w:val="20"/>
          <w:u w:val="single"/>
        </w:rPr>
        <w:t>Severance Benefits</w:t>
      </w:r>
      <w:r>
        <w:rPr>
          <w:rFonts w:ascii="Times New Roman;Times;Serif" w:hAnsi="Times New Roman;Times;Serif"/>
          <w:b w:val="false"/>
          <w:i w:val="false"/>
          <w:caps w:val="false"/>
          <w:smallCaps w:val="false"/>
          <w:sz w:val="20"/>
        </w:rPr>
        <w:t>”) (other than the Accrued Obligations) shall be conditioned upon Executive’s (or, in the case of Executive’s death or Disability, his estate or, as applicable, authorized representative’s) execution, delivery to the Company, and non-revocation of the Release of Claims (and the expiration of any revocation period contained in such Release of Claims) within sixty (60) days following the date of Executive’s termination of employment hereunder. If Executive (or, in the case of Executive’s death or Disability, his estate or, as applicable, authorized representative) fails to execute the Release of Claims in such a timely manner so as to permit any revocation period to expire prior to the end of such sixty (60) day period, or timely revokes his acceptance of such release following its execution, Executive shall not be entitled to any of the Severance Benefits. Further, to the extent that any of the Severance Benefits constitutes “nonqualified deferred compensation” for purposes of Section 409A of the Code, any payment of any amount or provision of any benefit otherwise scheduled to occur prior to the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of Executive’s termination of employment hereunder, but for the condition on timely executing the Release of Claims as set forth herein, shall not be made until the first regularly scheduled payroll date following such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which any remaining Severance Benefits shall thereafter be provided to Executive according to the applicable schedule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Certain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payment(s), benefit(s) or distribution(s) of any type to or for the benefit of Executive, whether paid or payable, provided or to be provided, or distributed or distributable pursuant to the terms of this Agreement or otherwise by the Company or any of its affiliates (collectively, the “</w:t>
      </w:r>
      <w:r>
        <w:rPr>
          <w:rFonts w:ascii="Times New Roman;Times;Serif" w:hAnsi="Times New Roman;Times;Serif"/>
          <w:b w:val="false"/>
          <w:i w:val="false"/>
          <w:caps w:val="false"/>
          <w:smallCaps w:val="false"/>
          <w:sz w:val="20"/>
          <w:u w:val="single"/>
        </w:rPr>
        <w:t>Parachute Payments</w:t>
      </w:r>
      <w:r>
        <w:rPr>
          <w:rFonts w:ascii="Times New Roman;Times;Serif" w:hAnsi="Times New Roman;Times;Serif"/>
          <w:b w:val="false"/>
          <w:i w:val="false"/>
          <w:caps w:val="false"/>
          <w:smallCaps w:val="false"/>
          <w:sz w:val="20"/>
        </w:rPr>
        <w:t>”) would subject Executive to the excise tax imposed under Section 4999 of the Code (the “</w:t>
      </w:r>
      <w:r>
        <w:rPr>
          <w:rFonts w:ascii="Times New Roman;Times;Serif" w:hAnsi="Times New Roman;Times;Serif"/>
          <w:b w:val="false"/>
          <w:i w:val="false"/>
          <w:caps w:val="false"/>
          <w:smallCaps w:val="false"/>
          <w:sz w:val="20"/>
          <w:u w:val="single"/>
        </w:rPr>
        <w:t>Excise Tax</w:t>
      </w:r>
      <w:r>
        <w:rPr>
          <w:rFonts w:ascii="Times New Roman;Times;Serif" w:hAnsi="Times New Roman;Times;Serif"/>
          <w:b w:val="false"/>
          <w:i w:val="false"/>
          <w:caps w:val="false"/>
          <w:smallCaps w:val="false"/>
          <w:sz w:val="20"/>
        </w:rPr>
        <w:t xml:space="preserve">”), the Parachute Payments shall be reduced so that the maximum amount of the Parachute Payments (after reduction) shall be one dollar ($1.00) less than the amount which would subject Executive to the Excise Tax;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Parachute Payments shall only be reduced to the extent the after-tax value of amounts received by Executive after application of the above reduction would exceed the after-tax value of the amounts received without application of such reduction. For this purpose, the after-tax value of an amount shall be determined taking into account all federal, state, and local income, employment and excise taxes applicable to such amount. To the extent such aggregate parachute payment amounts are required to be so reduced, the Parachute Payment amounts due to Executive (but no non-Parachute Payment amounts) shall be reduced in the following order: (i) the Parachute Payments that are payable in cash shall be reduced (if necessary, to zero) with amounts that are payable last reduced first; (ii) the Parachute Payments due in respect of any equity, valued at full value (rather than accelerated value), with the highest values reduced first (as such values are determined under Treasury Regulation Section 1.280G-1, Q&amp;A 24); and (iii) all other non-cash Parachute Payments, not otherwise described in clause (ii) of this Section 8, reduced last.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Executive acknowledges and recognizes the highly competitive nature of the business of the Company Group, that access to Confidential Information renders Executive special and unique within the industry of the Company Group, and that Executive will have the opportunity to develop substantial relationships with existing and prospective clients, accounts, customers, consultants, contractors, investors, and strategic partners of the Company Group during the course of and as a result of his employment with the Company. In light of the foregoing, as a condition of Executive’s employment by the Company, and in consideration of Executive’s employment hereunder and the compensation and benefits provided herein, Executive acknowledges and agrees to the covenants contained in this Section 9. Executive further recognizes and acknowledges that the restrictions and limitations set forth in this Section 9 are reasonable and valid in geographical and temporal scope and in all other respects and are essential to protect the value of the business and assets of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Executive acknowledges that, during the Term of Employment, Executive will have access to information about the Company Group and that his employment with the Company shall bring him into close contact with confidential and proprietary information of the Company Group. In recognition of the foregoing, Executive agrees, at all times during the Term of Employment and thereafter, to hold in confidence, and not to use, except for the benefit of the Company Group, or to disclose to any Person without written authorization of the Company, any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Nothing in this Agreement shall prohibit or impede Executive from communicating, cooperating or filing a complaint with any U.S. federal, state or local governmental or law enforcement branch, agency or entity (collectively, a “</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Executive understands and acknowledges that an individual shall not be held criminally or civilly liable under any Federal or State trade secret law for the disclosure of a trade secret that is made (A) in confidence to a Federal, State, or local government official or to an attorney solely for the purpose of reporting or investigating a suspected violation of law, or (B)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Except as otherwise provided in this paragraph or under applicable law, under no circumstance will Executive be authorized to disclose any information covered by attorney-client privilege or attorney work product of any member of the Company Group without prior written consent of the Company’s General Counsel or other officer designated by the Company. Executive does not need the prior authorization of (or to give notice to) any member of the Company Group regarding any communication, disclosure, or activity permitted by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Assignment of 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Executive agrees that he will, without additional compensation, promptly make full written disclosure to the Company, and will hold in trust for the sole right and benefit of the Company all developments, original works of authorship, inventions, concepts, know-how, improvements, trade secrets, and similar proprietary rights, whether or not patentable or registrable under copyright or similar laws, which Executive may (or have previously) solely or jointly conceive or develop or reduce to practice, or cause to be conceived or developed or reduced to practice, during the Term of Employment, whether or not during regular working hours, provided they either (A) relate at the time of conception or reduction to practice of the invention to the business of any member of the Company Group, or actual or demonstrably anticipated research or development of any member of the Company Group; (B) result from or relate to any work performed for any member of the Company Group; or (C) are developed through the use of equipment, supplies, or facilities of any member of the Company Group, or any Confidential Information, or in consultation with personnel of any member of the Company Group (collectively referred to as “</w:t>
      </w:r>
      <w:r>
        <w:rPr>
          <w:rFonts w:ascii="Times New Roman;Times;Serif" w:hAnsi="Times New Roman;Times;Serif"/>
          <w:b w:val="false"/>
          <w:i w:val="false"/>
          <w:caps w:val="false"/>
          <w:smallCaps w:val="false"/>
          <w:sz w:val="20"/>
          <w:u w:val="single"/>
        </w:rPr>
        <w:t>Developments</w:t>
      </w:r>
      <w:r>
        <w:rPr>
          <w:rFonts w:ascii="Times New Roman;Times;Serif" w:hAnsi="Times New Roman;Times;Serif"/>
          <w:b w:val="false"/>
          <w:i w:val="false"/>
          <w:caps w:val="false"/>
          <w:smallCaps w:val="false"/>
          <w:sz w:val="20"/>
        </w:rPr>
        <w:t>”). Executive further acknowledges that all Developments made by him (solely or jointly with others) within the scope of and during the Term of Employment are “works made for hire” (to the greatest extent permitted by applicable law) for which Executive is, in part, compensated by his Base Salary, unless regulated otherwise by law, but that, in the event any such Development is deemed not to be a work made for hire, Executive hereby assigns to the Company, or its designee, all Executive’s right, title, and interest throughout the world in and to any such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Executive agrees to assist the Company, or its designee, at the Company’s expense, in every way to secure the rights of the Company Group in the Developments and any copyrights, patents, trademarks, service marks, database rights, domain names, mask work rights, moral rights, and other intellectual property rights relating thereto in any and all countries, including the disclosure to the Company of all pertinent information and data with respect thereto, the execution of all applications, specifications, oaths, assignments, recordations, and all other instruments that the Company shall deem necessary in order to apply for, obtain, maintain, and transfer such rights and in order to assign and convey to the Company Group the sole and exclusive right, title, and interest in and to such Developments, and any intellectual property and other proprietary rights relating thereto. Executive further agrees that his obligation to execute or cause to be executed, when it is in Executive’s power to do so, any such instrument or papers shall continue after the termination of the Term of Employment until the expiration of the last such intellectual property right to expire in any country of the world;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the Company shall reimburse Executive for his reasonable expenses incurred in connection with carrying out the foregoing obligation. If the Company is unable because of Executive’s mental or physical incapacity or unavailability for any other reason to secure Executive’s signature to apply for or to pursue any application for any United States or foreign patents or copyright registrations covering Developments or original works of authorship assigned to the Company as above, then Executive hereby irrevocably designates and appoints the Company and its duly authorized officers and agents as Executive’s agent and attorney in fact to act for and in Executive’s behalf and stead to execute and file any such applications or records and to do all other lawfully permitted acts to further the application for, prosecution, issuance, maintenance, and transfer of letters patent or registrations thereon with the same legal force and effect as if originally executed by me. Executive hereby waives and irrevocably quitclaims to the Company any and all claims, of any nature whatsoever, that Executive now or hereafter have for past, present, or future infringement of any and all proprietary rights assigned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Notwithstanding the foregoing, this Section 9(c) is subject to the provisions of California Labor Code Sections 2870, 2871 and 2872. In accordance with Section 2870 of the California Labor Code, Executive’s obligation to assign Executive’s right, title and interest throughout the world in and to all Developments does not apply to any Developments that Executive developed entirely on his own time without using the Company’s equipment, supplies, facilities, or Confidential Information except for those Developments that relate to either (A) the business of the Company at the time of conception or reduction to practice of the Development, or actual or demonstrably anticipated research or development of the Company or (B) result from any work performed by Executive for the Company. A copy of California Labor Code Sections 2870, 2871 and 2872 is attached to this Agreement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Executive shall disclose all Developments to the Company, even if Executive does not believe that Executive is required under this Agreement, or pursuant to California Labor Code Section 2870, to assign his interest in such Developments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Non-Competition</w:t>
      </w:r>
      <w:r>
        <w:rPr>
          <w:rFonts w:ascii="Times New Roman;Times;Serif" w:hAnsi="Times New Roman;Times;Serif"/>
          <w:b w:val="false"/>
          <w:i w:val="false"/>
          <w:caps w:val="false"/>
          <w:smallCaps w:val="false"/>
          <w:sz w:val="20"/>
        </w:rPr>
        <w:t>. During the Term of Employment, Executive shall not, directly or indirectly engage in, have any equity interest in, manage, provide services to or operate any person, firm, corporation, partnership or business (whether as director, officer, employee, agent, representative, partner, member, security holder, consultant or otherwise) that engages in the Business within the United States of America or any other jurisdiction in which any member of the Company Group engages in business derives a material portion of its revenues or has demonstrable plans to commence business activities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Non-Interference</w:t>
      </w:r>
      <w:r>
        <w:rPr>
          <w:rFonts w:ascii="Times New Roman;Times;Serif" w:hAnsi="Times New Roman;Times;Serif"/>
          <w:b w:val="false"/>
          <w:i w:val="false"/>
          <w:caps w:val="false"/>
          <w:smallCaps w:val="false"/>
          <w:sz w:val="20"/>
        </w:rPr>
        <w:t>. During the Term of Employment, Executive shall not, directly or indirectly for his own account or for the account of any other Person, engage in Interfering Activities, it being understood that Executive shall remain bound by the requirements of non-interference and interfering activities provisions as set forth in the Other Covenants. The Parties also hereby acknowledge and agree that the solicitation of any Business Relation or Person for a new business relationship is and has been permitted hereunder as well as pursuant to the Other Covenants as long as Executive does not encourage, solicit, or induce any Business Relation or Person to cease doing business with or reduce the amount of business with the Company Group. For the avoidance of doubt, and notwithstanding any provision in the Other Covenants to the contrary, the Parties acknowledge and agree that (i) none of the restrictive covenants specified in this Section 9 or any Other Covenant shall, in and of itself (subject to other restrictions on non-interference set herein, and confidentiality set forth herein and therein) restrict Executive from holding investments in, being employed by, or having affiliations with any investment partnership or any manager or general partner thereof that may pursue or hold investments in any enterprise engaged directly in the business of development or operation of electrolyzer, battery, wind, solar or gas-fired electricity generation assets within the United States of America, and (ii) Executive may confidentially interview for potential employment outside the Company Group prior to the end of Term of Employment, and each member of the Company Group waives, and shall cause any affiliate thereof to waive, any rights it might otherwise have pursuant to this Agreement, any Other Covenant or otherwise with respect to any such interview.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Company Personnel</w:t>
      </w:r>
      <w:r>
        <w:rPr>
          <w:rFonts w:ascii="Times New Roman;Times;Serif" w:hAnsi="Times New Roman;Times;Serif"/>
          <w:b w:val="false"/>
          <w:i w:val="false"/>
          <w:caps w:val="false"/>
          <w:smallCaps w:val="false"/>
          <w:sz w:val="20"/>
        </w:rPr>
        <w:t>. To the extent permitted by law, during the Term of Employment and throughout the Post-Termination Restricted Period, Executive shall not, directly or indirectly for his own account or for the account of any other Person: (i) solicit, induce, recruit or encourage any of the employees, contractors, or consultants of any member of the Company Group who are or were employed or retained by any member of the Company Group within the twelve (12) month period immediately preceding the termination of Executive’s employment (“</w:t>
      </w:r>
      <w:r>
        <w:rPr>
          <w:rFonts w:ascii="Times New Roman;Times;Serif" w:hAnsi="Times New Roman;Times;Serif"/>
          <w:b w:val="false"/>
          <w:i w:val="false"/>
          <w:caps w:val="false"/>
          <w:smallCaps w:val="false"/>
          <w:sz w:val="20"/>
          <w:u w:val="single"/>
        </w:rPr>
        <w:t>Company Personnel</w:t>
      </w:r>
      <w:r>
        <w:rPr>
          <w:rFonts w:ascii="Times New Roman;Times;Serif" w:hAnsi="Times New Roman;Times;Serif"/>
          <w:b w:val="false"/>
          <w:i w:val="false"/>
          <w:caps w:val="false"/>
          <w:smallCaps w:val="false"/>
          <w:sz w:val="20"/>
        </w:rPr>
        <w:t>”) to terminate their relationship with the applicable member of the Company Group; (ii) solicit or attempt to solicit for employment, induce, recruit, bring about, influence, promote, facilitate, encourage, or assist the solicitation of any Company Personnel to enter into any business relationship with Executive that directly interferes with or conflicts with the Business; and/or (iii) interfere with the relationship between any member of the Company Group and Company Personnel, or with the performance by current or former Company Personnel of their obligations or responsibilities to any member of the Company Group. Nothing herein shall apply as to Company Personnel who are not otherwise senior executives of the Company who reply to general solicitations not directed at such Company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Following the termination of Executive’s employment hereunder for any reason, Executive hereby agrees not to defame or disparage any member of the Company Group or any executive, manager, director, or officer of any member of the Company Group in any medium to any person. Similarly, following the termination of Executive’s employment for any reason, the Company will instruct the directors, officers and managers of any member of the Company Group not to defame or disparage Executive in any medium to any person. Notwithstanding the preceding provisions of this Section 9(g), the Company and Executive may confer in confidence with their respective legal representatives and make truthful statements as required by law or legal process, or to enforce this Agreement. For the avoidance of doubt, nothing in this Agreement prevents Executive from discussing or disclosing information about unlawful acts in the workplace, such as harassment or discrimination or any other conduct that Executive may have reason to believe is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Return of Documents</w:t>
      </w:r>
      <w:r>
        <w:rPr>
          <w:rFonts w:ascii="Times New Roman;Times;Serif" w:hAnsi="Times New Roman;Times;Serif"/>
          <w:b w:val="false"/>
          <w:i w:val="false"/>
          <w:caps w:val="false"/>
          <w:smallCaps w:val="false"/>
          <w:sz w:val="20"/>
        </w:rPr>
        <w:t xml:space="preserve">. In the event of Executive’s termination of employment hereunder for any reason, or any earlier time if requested by the Company or other member of the Company Group, Executive shall deliver to the Company (and will not keep in his possession, recreate, or deliver to anyone else) any and all Confidential Information and all other documents, materials, information, and property developed by Executive pursuant to his employment hereunder or otherwise belonging to the Company Group;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Executive may retain any documents regarding his compensation or equitable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Independence; Severability; Blue Pencil</w:t>
      </w:r>
      <w:r>
        <w:rPr>
          <w:rFonts w:ascii="Times New Roman;Times;Serif" w:hAnsi="Times New Roman;Times;Serif"/>
          <w:b w:val="false"/>
          <w:i w:val="false"/>
          <w:caps w:val="false"/>
          <w:smallCaps w:val="false"/>
          <w:sz w:val="20"/>
        </w:rPr>
        <w:t>. Each of the rights enumerated in this Section 9 shall be independent of the others and shall be in addition to and not in lieu of any other rights and remedies available to the Company Group at law or in equity. If any of the provisions of this Section 9 or any part of any of them is hereafter construed or adjudicated to be invalid or unenforceable, the same shall not affect the remainder of this Section 9, which shall be given full effect without regard to the invalid portions. If any of the covenants contained herein are held to be invalid or unenforceable because of the duration of such provisions or the area or scope covered thereby, each of the Company and Executive agree that the court making such determination shall have the power to reduce the duration, scope, and/or area of such provision to the maximum and/or broadest duration, scope, and/or area permissible by law, and in its reduced form said provision shall then be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Other Covenants</w:t>
      </w:r>
      <w:r>
        <w:rPr>
          <w:rFonts w:ascii="Times New Roman;Times;Serif" w:hAnsi="Times New Roman;Times;Serif"/>
          <w:b w:val="false"/>
          <w:i w:val="false"/>
          <w:caps w:val="false"/>
          <w:smallCaps w:val="false"/>
          <w:sz w:val="20"/>
        </w:rPr>
        <w:t>. Notwithstanding anything contained in this Agreement to the contrary, it is acknowledged and agreed all parties hereto that (i) Executive is subject to similar restrictive covenants as a result of (A) his participation in the Zephyr Management Carry Program (the “</w:t>
      </w:r>
      <w:r>
        <w:rPr>
          <w:rFonts w:ascii="Times New Roman;Times;Serif" w:hAnsi="Times New Roman;Times;Serif"/>
          <w:b w:val="false"/>
          <w:i w:val="false"/>
          <w:caps w:val="false"/>
          <w:smallCaps w:val="false"/>
          <w:sz w:val="20"/>
          <w:u w:val="single"/>
        </w:rPr>
        <w:t>Carry Program</w:t>
      </w:r>
      <w:r>
        <w:rPr>
          <w:rFonts w:ascii="Times New Roman;Times;Serif" w:hAnsi="Times New Roman;Times;Serif"/>
          <w:b w:val="false"/>
          <w:i w:val="false"/>
          <w:caps w:val="false"/>
          <w:smallCaps w:val="false"/>
          <w:sz w:val="20"/>
        </w:rPr>
        <w:t>”) or otherwise as a result of his equity ownership in any member of the Company Group, including any equity ownership in CWEN arising as a result of any award issued to Executive under any long-term incentive plan of the Company or, subject to clause (ii) below, the CWEN LTIP, (B) the Restrictive Covenant Agreement by and between the Company and Executive dated September 11, 2018, or (C) any other plan, contract or arrangement, including the definition of “Post-Termination Detrimental Activity” in the Carry Program (collectively, the “</w:t>
      </w:r>
      <w:r>
        <w:rPr>
          <w:rFonts w:ascii="Times New Roman;Times;Serif" w:hAnsi="Times New Roman;Times;Serif"/>
          <w:b w:val="false"/>
          <w:i w:val="false"/>
          <w:caps w:val="false"/>
          <w:smallCaps w:val="false"/>
          <w:sz w:val="20"/>
          <w:u w:val="single"/>
        </w:rPr>
        <w:t>Other Covenants</w:t>
      </w:r>
      <w:r>
        <w:rPr>
          <w:rFonts w:ascii="Times New Roman;Times;Serif" w:hAnsi="Times New Roman;Times;Serif"/>
          <w:b w:val="false"/>
          <w:i w:val="false"/>
          <w:caps w:val="false"/>
          <w:smallCaps w:val="false"/>
          <w:sz w:val="20"/>
        </w:rPr>
        <w:t>”), (ii) except as set forth in Section 9(e) above, such Other Covenants are entirely replaced and superseded by the covenants contained in this Agreement, and (iii) enforcement by the Company of the covenants contained in this Agreement by any applicable member of the Company Group shall be subject to Section 9(k)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Cure Right</w:t>
      </w:r>
      <w:r>
        <w:rPr>
          <w:rFonts w:ascii="Times New Roman;Times;Serif" w:hAnsi="Times New Roman;Times;Serif"/>
          <w:b w:val="false"/>
          <w:i w:val="false"/>
          <w:caps w:val="false"/>
          <w:smallCaps w:val="false"/>
          <w:sz w:val="20"/>
        </w:rPr>
        <w:t>. In the event of any alleged breach by Executive of any restrictive covenant described herein or similar provision that, notwithstanding Section 9(j), remains in effect under any other contract (including any forfeiture for competition provision), the Company will provide Executive with written notice specifying the circumstances of the alleged breach in reasonable detail and provide Executive with at least twenty (20) days to cure such alleged breach. If reasonably cured by Executive during the foregoing cure period, the alleged breach will be disregarded and will have no effect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Injunctive Relief</w:t>
      </w:r>
      <w:r>
        <w:rPr>
          <w:rFonts w:ascii="Times New Roman;Times;Serif" w:hAnsi="Times New Roman;Times;Serif"/>
          <w:b w:val="false"/>
          <w:i w:val="false"/>
          <w:caps w:val="false"/>
          <w:smallCaps w:val="false"/>
          <w:sz w:val="20"/>
        </w:rPr>
        <w:t>. Executive expressly acknowledges that any breach or threatened breach of any of the terms and/or conditions set forth in Section 9 hereof may result in substantial, continuing, and irreparable injury to the members of the Company Group. Therefore, Executive hereby agrees that, in addition to any other remedy that may be available to the Company, any member of the Company Group shall be entitled to seek injunctive relief, specific performance, or other equitable relief by a court of appropriate jurisdiction in the event of any breach or threatened breach of the terms of Section 9 hereof. Notwithstanding any other provision to the contrary, Executive acknowledges and agrees that the Post-Termination Restricted Period shall be tolled during any period of violation of any of the covenants in Section 9 hereof and during any other period required for litigation during which the Company or any other member of the Company Group seeks to enforce such covenants against Executive if it is ultimately determined that Executive was in breach of such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Use of Track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Agreement, following the date of Executive’s termination of employment either by the Company without Cause or by Executive with or without Good Reason (excluding any resignation without Good Reason when grounds to terminate Executive for Cause exists), Executive shall be permitted to retain a track record of Executive’s project investment history for which Executive had supervisory responsibility from the point of Executive’s initial employment within the NRG renewables business in 2013 through the date of the “Closing” as set forth in, and subject to, the Prior Agreement (the “</w:t>
      </w:r>
      <w:r>
        <w:rPr>
          <w:rFonts w:ascii="Times New Roman;Times;Serif" w:hAnsi="Times New Roman;Times;Serif"/>
          <w:b w:val="false"/>
          <w:i w:val="false"/>
          <w:caps w:val="false"/>
          <w:smallCaps w:val="false"/>
          <w:sz w:val="20"/>
          <w:u w:val="single"/>
        </w:rPr>
        <w:t>Track Record</w:t>
      </w:r>
      <w:r>
        <w:rPr>
          <w:rFonts w:ascii="Times New Roman;Times;Serif" w:hAnsi="Times New Roman;Times;Serif"/>
          <w:b w:val="false"/>
          <w:i w:val="false"/>
          <w:caps w:val="false"/>
          <w:smallCaps w:val="false"/>
          <w:sz w:val="20"/>
        </w:rPr>
        <w:t>”). Executive shall have access to the following details for purposes of validating the Track Record: (i) date of initial investment; (ii) name of investment (i.e., Project Name); (iii) investment characteristics (i.e., location, technology, size); (iv) equity invested in dollars; and (v) multiple-of-invested capital and internal rate of return. Notwithstanding the foregoing, the Company’s obligations with respect to the Track Record described herein shall be limited to any such information the Company has in its possession and is itself permitted to share with Executive without violation of any confidentiality obligations the Company (or other member of the Company Group, if applicable) may be subject to. In addition, subject to Executive’s continuous employment hereunder through the date of a Sale of the Company (as defined in the Carry Program), Executive shall be provided a record of the aggregate investment return of Global Infrastructure Partners and its affiliates, as reported to its limited partners, in respect of its investment in the Company from and after the “Closing Date” as set forth in, and subject to, the Prior Agreement through the date of a Sale of the Company (the “</w:t>
      </w:r>
      <w:r>
        <w:rPr>
          <w:rFonts w:ascii="Times New Roman;Times;Serif" w:hAnsi="Times New Roman;Times;Serif"/>
          <w:b w:val="false"/>
          <w:i w:val="false"/>
          <w:caps w:val="false"/>
          <w:smallCaps w:val="false"/>
          <w:sz w:val="20"/>
          <w:u w:val="single"/>
        </w:rPr>
        <w:t>GIP Performance Record</w:t>
      </w:r>
      <w:r>
        <w:rPr>
          <w:rFonts w:ascii="Times New Roman;Times;Serif" w:hAnsi="Times New Roman;Times;Serif"/>
          <w:b w:val="false"/>
          <w:i w:val="false"/>
          <w:caps w:val="false"/>
          <w:smallCaps w:val="false"/>
          <w:sz w:val="20"/>
        </w:rPr>
        <w:t xml:space="preserve">”). The Company hereby acknowledges and agrees that Executive may furnish the Track Record at any time following such qualifying termination of employment hereunder, and the GIP Performance Record following a Sale of the Company, in either case, for any use, including, but not limited to, for purposes of fundraising;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Track Record and GIP Performance Record may only be provided to third-parties under a non-disclosure agreement in a form provided by Executive and approved by the Company (which approval shall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Representations and Warranties of Executive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represents and warrants to the Company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Executive is entering into this Agreement voluntarily and that his employment hereunder and compliance with the terms and conditions hereof will not conflict with or result in the breach by him of any agreement to which he is a party or by which he may be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Executive has not violated, and in connection with his employment with the Company Group will not violate, any non-solicitation, non-competition, or other similar covenant or agreement with any Person by which he is or may be bound;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his employment with the Company, Executive will not use any confidential or proprietary information he may have obtained in connection with employment or service with any prior service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withhold from any payments made by the Company under this Agreement all applicable taxes, including but not limited to income, employment, and social insurance taxes, as shall be required by law. Executive acknowledges and represents that none of the Company nor any member of the Company has provided any tax advice to him in connection with this Agreement and that he has been advised by the Company to seek tax advice from his own tax advisors regarding this Agreement and payments that may be made to him pursuant to this Agreement, including specifically, the application of the provisions of Section 409A of the Code to such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Set Off; Mitigation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obligation to pay Executive the amounts provided and to make the arrangements provided hereunder shall be subject to set-off, counterclaim, or recoupment of amounts owed by Executive to the Company or its affiliates;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the extent any amount so subject to set-off, counterclaim, or recoupment is payable in installments hereunder, such set-off, counterclaim, or recoupment shall not modify the applicable payment date of any installment, and to the extent an obligation cannot be satisfied by reduction of a single installment payment, any portion not satisfied shall remain an outstanding obligation of Executive and shall be applied to the next installment only at such time the installment is otherwise payable pursuant to the specified payment schedule. Executive shall not be required to mitigate the amount of any payment provided pursuant to this Agreement by seeking other employment or otherwise, and except as provided in Sections 7(e)(iv) and 7(f) hereof, the amount of any payment provided for pursuant to this Agreement shall not be reduced by any compensation earned as a result of Executive’s other employment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Additional Section 409A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in this Agreement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payment otherwise required to be made hereunder to Executive at any date as a result of the termination of Executive’s employment shall be delayed for such period of time as may be necessary to meet the requirements of Section 409A(a)(2)(B)(i) of the Code (the “</w:t>
      </w:r>
      <w:r>
        <w:rPr>
          <w:rFonts w:ascii="Times New Roman;Times;Serif" w:hAnsi="Times New Roman;Times;Serif"/>
          <w:b w:val="false"/>
          <w:i w:val="false"/>
          <w:caps w:val="false"/>
          <w:smallCaps w:val="false"/>
          <w:sz w:val="20"/>
          <w:u w:val="single"/>
        </w:rPr>
        <w:t>Delay Period</w:t>
      </w:r>
      <w:r>
        <w:rPr>
          <w:rFonts w:ascii="Times New Roman;Times;Serif" w:hAnsi="Times New Roman;Times;Serif"/>
          <w:b w:val="false"/>
          <w:i w:val="false"/>
          <w:caps w:val="false"/>
          <w:smallCaps w:val="false"/>
          <w:sz w:val="20"/>
        </w:rPr>
        <w:t>”).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payment in a series of payments hereunder shall be deemed to be a separate payment for purposes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herein to the contrary, the payment (or commencement of a series of payments) hereunder of any nonqualified deferred compensation (within the meaning of Section 409A of the Code)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Section 7 as if Executive had undergone such termination of employment (under the same circumstances) on the date of his ultimate “separation from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foregoing clause shall not be violated with regard to expenses reimbursed under any arrangement covered by Section 105(b) of the Code solely because such expenses are subject to a limit related to the period the arrangement is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While the payments and benefits provided hereunder are intended to be structured in a manner to avoid the implication of any penalty taxes under Section 409A of the Code, in no event whatsoever shall any member of the Company Group be liable for any additional tax, interest, or penalties that may be imposed on Executive as a result of Section 409A of the Code or any damages for failing to comply with Section 409A of the Code (other than for withholding obligations or other obligations applicable to employers, if any, under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Successors and Assigns; No Third-Party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The Company</w:t>
      </w:r>
      <w:r>
        <w:rPr>
          <w:rFonts w:ascii="Times New Roman;Times;Serif" w:hAnsi="Times New Roman;Times;Serif"/>
          <w:b w:val="false"/>
          <w:i w:val="false"/>
          <w:caps w:val="false"/>
          <w:smallCaps w:val="false"/>
          <w:sz w:val="20"/>
        </w:rPr>
        <w:t xml:space="preserve">. This Agreement shall inure to the benefit of the Company and its respective successors and assigns. Neither this Agreement nor any of the rights, obligations, or interests arising hereunder may be assigned by the Company to a Person (other than another member of the Company Group, or its or their respective successors) without Executive’s prior written consent (which shall not be unreasonably withheld, delayed, or conditioned);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of a sale of all or substantially all of the assets of the Company or any direct or indirect division or subsidiary thereof to which Executive’s employment primarily relates, the Company may provide that this Agreement will be assigned to, and assumed by, the acquiror of such assets, division or subsidiary, as applicable, without Executive’s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xml:space="preserve">. Executive’s rights and obligations under this Agreement shall not be transferable by Executive by assignment or otherwise, without the prior written consent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Executive shall die, all amounts then payable to Executive hereunder shall be paid in accordance with the terms of this Agreement to Executive’s devisee, legatee, or other designee, or if there be no such designee, to Executive’s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Except as otherwise set forth in Section 7(c) or Section 16(b) hereof, nothing expressed or referred to in this Agreement will be construed to give any Person other than the Company, the other members of the Company Group, and Executive any legal or equitable right, remedy, or claim under or with respect to this Agreement or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Waiver and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waiver, alteration, amendment, or modification of any of the terms of this Agreement shall be valid only if made in writing and signed by each of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such waiver, alteration, amendment, or modification must be consented to on the Company’s behalf by the Board. No waiver by either of the Parties of their rights hereunder shall be deemed to constitute a waiver with respect to any subsequent occurrences or transactions hereunder unless such waiver specifically states that it is to be construed as a continuing waiver. This Agreement will be binding upon and inure solely to the benefit of the Parties and each of their respective legal representatives, successors, heirs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covenants or such other provisions of this Agreement are found to be invalid or unenforceable by a final determination of a court of competent jurisdiction, (a) the remaining terms and provisions hereof shall be unimpaired, and (b) the invalid or unenforceable term or provision hereof shall be deemed replaced by a term or provision that is valid and enforceable and that comes closest to expressing the intention of the invalid or unenforceable term or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Governing Law; Waiver of Jury Trial; Arbitration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GOVERNED BY AND IS TO BE CONSTRUED UNDER THE LAWS OF THE STATE OF CALIFORNIA</w:t>
      </w:r>
      <w:r>
        <w:rPr>
          <w:rFonts w:ascii="Times New Roman;Times;Serif" w:hAnsi="Times New Roman;Times;Serif"/>
          <w:b w:val="false"/>
          <w:i w:val="false"/>
          <w:caps/>
          <w:sz w:val="20"/>
        </w:rPr>
        <w:t>, without regard to any conflict of laws rule or principle that would result in the application of the laws of any other jurisdiction</w:t>
      </w:r>
      <w:r>
        <w:rPr>
          <w:rFonts w:ascii="Times New Roman;Times;Serif" w:hAnsi="Times New Roman;Times;Serif"/>
          <w:b w:val="false"/>
          <w:i w:val="false"/>
          <w:caps w:val="false"/>
          <w:smallCaps w:val="false"/>
          <w:sz w:val="20"/>
        </w:rPr>
        <w:t>. EACH PARTY TO THIS AGREEMENT ALSO HEREBY WAIVES ANY RIGHT TO TRIAL BY JURY IN CONNECTION WITH ANY SUIT, ACTION, OR PROCEEDING UNDER OR IN CONNECTION WITH THIS AGREEMENT. Except as permitted under Section 10 hereof, any controversy or claim arising out of or relating to this Agreement (or the breach thereof) shall be settled by final, binding and non-appealable arbitration in New York, New York by three arbitrators. The arbitration shall be conducted by JAMS pursuant to its Employment Arbitration Rules and Procedures and subject to JAMS Policy on Employment Arbitration in accordance with its Employment Arbitration Rules and Procedures then in effect. Judgment on the award rendered by the arbitrators may be entered in any court having jurisdiction thereof. The arbitrators shall have the authority to award any remedy or relief that a court of competent jurisdiction could order or grant, including, without limitation, the issuance of an injunction. However, either party may, without inconsistency with this arbitration provision, apply to any court having jurisdiction over such dispute or controversy and seek interim provisional, injunctive or other equitable relief until the arbitration award is rendered or the controversy is otherwise resolved, or permanent injunctive relief. Except as necessary in court proceedings to enforce this arbitration provision or an award rendered hereunder, to obtain interim relief or as otherwise required by law, neither a party nor an arbitrator may disclose the content or results of any arbitration hereunder without the prior written consent of the Company and Executive, other than general statements. The Company shall pay all filing fees in excess of those which would be required if the dispute were decided in a court of law, and shall pay the arbitrator’s fees and any other fees or costs unique to arbitration.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Place of Delivery</w:t>
      </w:r>
      <w:r>
        <w:rPr>
          <w:rFonts w:ascii="Times New Roman;Times;Serif" w:hAnsi="Times New Roman;Times;Serif"/>
          <w:b w:val="false"/>
          <w:i w:val="false"/>
          <w:caps w:val="false"/>
          <w:smallCaps w:val="false"/>
          <w:sz w:val="20"/>
        </w:rPr>
        <w:t xml:space="preserve">. Every notice or other communication relating to this Agreement shall be in writing, and shall be mailed to or delivered to the party for whom or which it is intended at such address as may from time to time be designated by it in a notice mailed or delivered to the other party as herein provided;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unless and until some other address be so designated, all notices and communications by Executive to the Company shall be mailed or delivered to the Company at its principal executive office, and all notices and communications by the Company to Executive may be given to Executive personally or may be mailed to Executive at Executive’s last known address, as reflected in the Company’s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Date of Delivery</w:t>
      </w:r>
      <w:r>
        <w:rPr>
          <w:rFonts w:ascii="Times New Roman;Times;Serif" w:hAnsi="Times New Roman;Times;Serif"/>
          <w:b w:val="false"/>
          <w:i w:val="false"/>
          <w:caps w:val="false"/>
          <w:smallCaps w:val="false"/>
          <w:sz w:val="20"/>
        </w:rPr>
        <w:t>. Any notice so addressed shall be deemed to be given (i) if delivered by hand, on the date of such delivery, (ii) if mailed by courier or by overnight mail, on the first business day following the date of such mailing, and (iii) if mailed by registered or certified mail, on the third business day after the date of such mailing.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Section Headings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of the sections and subsections of this Agreement are inserted for convenience only and shall not be deemed to constitute a part thereof or affect the meaning or interpretation of this Agreement or of any term or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Entire Agreement; Construction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together with any exhibits attached hereto, constitutes the entire understanding and agreement of the parties hereto regarding the employment of Executive. This Agreement supersedes all prior negotiations, discussions, correspondence, communications, understandings, and agreements between Executive and any member of the Company Group relating to the subject matter of this Agreement. Except as modified by this Agreement (including, without limitation, Section 9(j) hereof), the Restrictive Covenant Agreement, the Incentive Profits Interest Unit Award Agreement by and between GIP III Zephyr Management Partners, L.P. and Executive dated August 31, 2018 and Executive’s participation in the Carry Program (such agreements and program collectively referred to herein as the “</w:t>
      </w:r>
      <w:r>
        <w:rPr>
          <w:rFonts w:ascii="Times New Roman;Times;Serif" w:hAnsi="Times New Roman;Times;Serif"/>
          <w:b w:val="false"/>
          <w:i w:val="false"/>
          <w:caps w:val="false"/>
          <w:smallCaps w:val="false"/>
          <w:sz w:val="20"/>
          <w:u w:val="single"/>
        </w:rPr>
        <w:t>Other Programs</w:t>
      </w:r>
      <w:r>
        <w:rPr>
          <w:rFonts w:ascii="Times New Roman;Times;Serif" w:hAnsi="Times New Roman;Times;Serif"/>
          <w:b w:val="false"/>
          <w:i w:val="false"/>
          <w:caps w:val="false"/>
          <w:smallCaps w:val="false"/>
          <w:sz w:val="20"/>
        </w:rPr>
        <w:t>”), remain in effect in accordance with their terms. In the event of any conflict between the terms of this Agreement and the terms of the Other Programs or any other contract, the terms of this Agreement will control. Every part of this Agreement will be construed simply according to its fair meaning and not strictly for or against 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Indemnification and 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 General</w:t>
      </w:r>
      <w:r>
        <w:rPr>
          <w:rFonts w:ascii="Times New Roman;Times;Serif" w:hAnsi="Times New Roman;Times;Serif"/>
          <w:b w:val="false"/>
          <w:i w:val="false"/>
          <w:caps w:val="false"/>
          <w:smallCaps w:val="false"/>
          <w:sz w:val="20"/>
        </w:rPr>
        <w:t>. The Parties agree that (i) if Executive is made a party, or is threatened to be made a party, to any threatened or actual action, suit or proceeding, whether civil, criminal, administrative, investigative, appellate or other (each, a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by reason of the fact that he is or was a director, officer, employee, agent, manager, consultant or representative of the Company or CWEN or is or was serving at the, request of the Company or CWEN as a director, officer, member, employee, agent, manager, consultant or representative of another entity or (ii) if any claim, demand, request, investigation, dispute, controversy, threat, discovery request or request for testimony or information (each, a “</w:t>
      </w:r>
      <w:r>
        <w:rPr>
          <w:rFonts w:ascii="Times New Roman;Times;Serif" w:hAnsi="Times New Roman;Times;Serif"/>
          <w:b w:val="false"/>
          <w:i w:val="false"/>
          <w:caps w:val="false"/>
          <w:smallCaps w:val="false"/>
          <w:sz w:val="20"/>
          <w:u w:val="single"/>
        </w:rPr>
        <w:t>Claim</w:t>
      </w:r>
      <w:r>
        <w:rPr>
          <w:rFonts w:ascii="Times New Roman;Times;Serif" w:hAnsi="Times New Roman;Times;Serif"/>
          <w:b w:val="false"/>
          <w:i w:val="false"/>
          <w:caps w:val="false"/>
          <w:smallCaps w:val="false"/>
          <w:sz w:val="20"/>
        </w:rPr>
        <w:t>”) is made, or threatened to be made, that arises out of or relates to Executive’s service in any of the foregoing capacities, then Executive shall promptly be indemnified and held harmless by the Company and CWEN to the fullest extent legally permitted or authorized by the Company’s and CWEN’s certificate of incorporation, bylaws or board resolutions (in each case, as applicable to the Company and CWEN) or, if greater, by the laws of the State of Delaware, against any and all costs, expenses, liabilities and losses (including, without limitation, attorney’s fees, judgments, interest, expenses of investigation, penalties, fines, excise taxes or penalties and amounts paid or to be paid in settlement) incurred or suffered by Executive in connection therewith, and such indemnification shall continue as to Executive even if he has ceased to be a director, member, employee, agent, manager, consultant or representative of the Company or other entity and shall inure to the benefit of Executive’s heirs, executors and administrators. The Company shall advance to Executive all attorneys’ fees, costs and expenses incurred by him in connection with any such Proceeding or Claim within fifteen (15) calendar days after receiving written notice requesting such an advance. Such notice shall include, to the extent required by applicable law, an undertaking by Executive to repay the amount advanced if he is ultimately determined not to be entitled to indemnification against such costs and expenses. Executive shall have the right to select counsel of his choosing.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the failure of the Company or CWEN (including its board, independent legal counsel or stockholders) to have made a determination in connection with any request for indemnification or advancement under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that Executive has satisfied any applicable standard of conduct nor a determination by the Company or CWEN (including its board, independent legal counsel or stockholders) that Executive has not met any applicable standard of conduct, shall create a presumption that Executive has or has not met an applicable standard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D&amp;O Insurance</w:t>
      </w:r>
      <w:r>
        <w:rPr>
          <w:rFonts w:ascii="Times New Roman;Times;Serif" w:hAnsi="Times New Roman;Times;Serif"/>
          <w:b w:val="false"/>
          <w:i w:val="false"/>
          <w:caps w:val="false"/>
          <w:smallCaps w:val="false"/>
          <w:sz w:val="20"/>
        </w:rPr>
        <w:t>. For a period of seven (7) years after the conclusion of the Term of Employment, the Company and CWEN will maintain reasonable and customary directors’ and officers’ liability insurance for the benefit of Executive that provides coverage that is no less favorable to Executive than what is provided to active directors, managers and officers of the Company, CWEN and their respective affiliates (and without adverse effect to Executive based on the fact that he is no longer actively providing services to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Survival of Operative Sections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any termination of Executive’s employment, the provisions of Section 7 through Section 26 of this Agreement (together with any related definitions set forth on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shall survive to the extent necessary to give effect to the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Source of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Sections 4(c) and 23 of this Agreement, all compensation, benefits, reimbursements that are paid or provided to Executive hereunder shall be paid or provided at the Company’s sole expense without, direct or indirect, reimbursement, offset or other payment from CWEN.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two or more counterparts, each of which shall be deemed to be an original but all of which together shall constitute one and the same instrument. The execution of this Agreement may be by actual or facsimile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to appear on the following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6064" w:type="dxa"/>
        <w:jc w:val="left"/>
        <w:tblInd w:w="0" w:type="dxa"/>
        <w:tblLayout w:type="fixed"/>
        <w:tblCellMar>
          <w:top w:w="0" w:type="dxa"/>
          <w:left w:w="0" w:type="dxa"/>
          <w:bottom w:w="0" w:type="dxa"/>
          <w:right w:w="0" w:type="dxa"/>
        </w:tblCellMar>
      </w:tblPr>
      <w:tblGrid>
        <w:gridCol w:w="75"/>
        <w:gridCol w:w="1550"/>
        <w:gridCol w:w="4439"/>
      </w:tblGrid>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CLEARWAY ENERGY GROUP LLC</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Jonathan Bram</w:t>
            </w:r>
          </w:p>
        </w:tc>
      </w:tr>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Jonathan Bram</w:t>
            </w:r>
          </w:p>
        </w:tc>
      </w:tr>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CLEARWAY ENERGY, INC.</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 Stanley O’Neal</w:t>
            </w:r>
          </w:p>
        </w:tc>
      </w:tr>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 Stanley O’Neal</w:t>
            </w:r>
          </w:p>
        </w:tc>
      </w:tr>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GIP III ZEPHYR MANAGEMENT PARTNERS, L.P.</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(solely with respect to Sections 9(j) and 22)</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By: GIP III Zephyr GP, LLC</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Jonathan Bram</w:t>
            </w:r>
          </w:p>
        </w:tc>
      </w:tr>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Jonathan Bram</w:t>
            </w:r>
          </w:p>
        </w:tc>
      </w:tr>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439" w:type="dxa"/>
            <w:tcBorders/>
            <w:vAlign w:val="center"/>
          </w:tcPr>
          <w:p>
            <w:pPr>
              <w:pStyle w:val="TableContents"/>
              <w:bidi w:val="0"/>
              <w:spacing w:before="0" w:after="283"/>
              <w:jc w:val="left"/>
              <w:rPr/>
            </w:pPr>
            <w:r>
              <w:rPr/>
              <w:t>President</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GIP III Zephyr Midco Holdings, L.P.</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(solely with respect to Sections 9(j) and 22)</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By: Global Infrastructure GP III, L.P., its general partner</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By: Global Infrastructure Investors III, LLC, its general partner</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Jonathan Bram</w:t>
            </w:r>
          </w:p>
        </w:tc>
      </w:tr>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Jonathan Bram</w:t>
            </w:r>
          </w:p>
        </w:tc>
      </w:tr>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8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Cornelius</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Cornelius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Employment Agreement—Craig Cornelius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shall mean (i) all accrued but unpaid Base Salary through the date of termination of Executive’s employment, (ii) any unpaid or unreimbursed expenses incurred in accordance with Section 6 hereof, and (iii) any benefits provided under the Company’s employee benefit plans upon a termination of employment, including rights with respect to Company equity (or equity derivatives), in accordance with the terms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set forth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Annual Bonus</w:t>
      </w:r>
      <w:r>
        <w:rPr>
          <w:rFonts w:ascii="Times New Roman;Times;Serif" w:hAnsi="Times New Roman;Times;Serif"/>
          <w:b w:val="false"/>
          <w:i w:val="false"/>
          <w:caps w:val="false"/>
          <w:smallCaps w:val="false"/>
          <w:sz w:val="20"/>
        </w:rPr>
        <w:t>” shall have the meaning set forth in Section 4(b)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shall mean the salary provided for in Section 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shall mean the governing body of the ultimate parent entity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 shall mean any business activities related to the development or ownership of renewable power generation assets, or any other business activity that is materially competitive with the then current or demonstrably planned business activities of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Business Relation</w:t>
      </w:r>
      <w:r>
        <w:rPr>
          <w:rFonts w:ascii="Times New Roman;Times;Serif" w:hAnsi="Times New Roman;Times;Serif"/>
          <w:b w:val="false"/>
          <w:i w:val="false"/>
          <w:caps w:val="false"/>
          <w:smallCaps w:val="false"/>
          <w:sz w:val="20"/>
        </w:rPr>
        <w:t>” shall mean any current or prospective client, customer, licensee, supplier, or other business relation of the Company Group, or any such relation that was a client, customer, licensee or other business relation within the prior twelve (12) month period, in each case, with whom Executive transacted business or whose identity became known to Executive in connection with his employment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shall mean (i) Executive’s act(s) of gross negligence or willful misconduct in the course of Executive’s employment hereunder, (ii) willful failure or refusal by Executive to perform in any material respect his duties or responsibilities (other than by reason of disability or illness), (iii) misappropriation (or attempted misappropriation) by Executive of any assets or business opportunities of the Company or any other member of the Company Group, (iv) embezzlement or fraud committed (or attempted) by Executive, or at his direction, (v) Executive’s conviction of, indictment for, or pleading “guilty” or “ no contest” to, (x) a felony or (y) any other criminal charge that has, or could be reasonably expected to have, an adverse impact on the performance of Executive’s duties to the Company or any other member of the Company Group or otherwise result in material injury to the reputation or business of the Company or any other member of the Company Group, (vi) any material violation by Executive of the policies of the Company, including but not limited to those relating to sexual harassment or business conduct, and those otherwise set forth in the manuals or statements of policy of the Company, or (vii) Executive’s material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Carry Program</w:t>
      </w:r>
      <w:r>
        <w:rPr>
          <w:rFonts w:ascii="Times New Roman;Times;Serif" w:hAnsi="Times New Roman;Times;Serif"/>
          <w:b w:val="false"/>
          <w:i w:val="false"/>
          <w:caps w:val="false"/>
          <w:smallCaps w:val="false"/>
          <w:sz w:val="20"/>
        </w:rPr>
        <w:t>” shall have the meaning set forth in Section 9(j)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CEG Compensation Committee</w:t>
      </w:r>
      <w:r>
        <w:rPr>
          <w:rFonts w:ascii="Times New Roman;Times;Serif" w:hAnsi="Times New Roman;Times;Serif"/>
          <w:b w:val="false"/>
          <w:i w:val="false"/>
          <w:caps w:val="false"/>
          <w:smallCaps w:val="false"/>
          <w:sz w:val="20"/>
        </w:rPr>
        <w:t>” shall mean the committee of the Board designated to make compensation decisions relating to senior executive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Claim</w:t>
      </w:r>
      <w:r>
        <w:rPr>
          <w:rFonts w:ascii="Times New Roman;Times;Serif" w:hAnsi="Times New Roman;Times;Serif"/>
          <w:b w:val="false"/>
          <w:i w:val="false"/>
          <w:caps w:val="false"/>
          <w:smallCaps w:val="false"/>
          <w:sz w:val="20"/>
        </w:rPr>
        <w:t>” shall have the meaning set forth in Section 23(a)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mean the Internal Revenue Code of 1986,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set forth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Company Group</w:t>
      </w:r>
      <w:r>
        <w:rPr>
          <w:rFonts w:ascii="Times New Roman;Times;Serif" w:hAnsi="Times New Roman;Times;Serif"/>
          <w:b w:val="false"/>
          <w:i w:val="false"/>
          <w:caps w:val="false"/>
          <w:smallCaps w:val="false"/>
          <w:sz w:val="20"/>
        </w:rPr>
        <w:t>” shall mean the Company together with any of its direct or indirect parents and subsidiaries, including CWEN and its direct and indirect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Company Personnel</w:t>
      </w:r>
      <w:r>
        <w:rPr>
          <w:rFonts w:ascii="Times New Roman;Times;Serif" w:hAnsi="Times New Roman;Times;Serif"/>
          <w:b w:val="false"/>
          <w:i w:val="false"/>
          <w:caps w:val="false"/>
          <w:smallCaps w:val="false"/>
          <w:sz w:val="20"/>
        </w:rPr>
        <w:t>” shall have the meaning set forth in Section 9(f)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shall mean all information about the Company Group, the business of each member of the Company Group and the customers and clients of each such member and information that the Company Group has or will develop, acquire, create, compile, discover, or own, that has value in or to the business of the Company Group, or any member thereof, that is not generally known to the public, including, but not limited to, any and all non-public information that relates to the actual or anticipated business and/or products, research, or development of the Company Group, or any member thereof, and the Company Group’s, or any member’s thereof, technical data, trade secrets, and know-how, including, but not limited to, research, product plans, or other information regarding the Company Group’s products or services and markets, customer lists, and customers, software, developments, inventions, processes, formulas, technology, designs, drawings, engineering, hardware configuration information, marketing, finances, and other business information. Confidential Information shall not include an information generally known to and available to the public other than as a result of Executive’s breach of this Agreement. Additionally, for the avoidance of doubt, nothing in this Agreement shall prevent Executive from: (i) discussing or disclosing information about unlawful acts in the workplace, such as harassment or discrimination or any other conduct that Executive has reason to believe is unlawful, (ii) discussing or disclosing information with others regarding the terms and conditions of Executive’s employment (including, but not limited to, compensation), or (iii) reporting possible violations of law or regulation with any federal government agency or similar state or local agency, including but not limited to “whistleblower” statutes or other similar provisions that protect such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CWEN</w:t>
      </w:r>
      <w:r>
        <w:rPr>
          <w:rFonts w:ascii="Times New Roman;Times;Serif" w:hAnsi="Times New Roman;Times;Serif"/>
          <w:b w:val="false"/>
          <w:i w:val="false"/>
          <w:caps w:val="false"/>
          <w:smallCaps w:val="false"/>
          <w:sz w:val="20"/>
        </w:rPr>
        <w:t>” shall have the meaning set forth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CWEN Board</w:t>
      </w:r>
      <w:r>
        <w:rPr>
          <w:rFonts w:ascii="Times New Roman;Times;Serif" w:hAnsi="Times New Roman;Times;Serif"/>
          <w:b w:val="false"/>
          <w:i w:val="false"/>
          <w:caps w:val="false"/>
          <w:smallCaps w:val="false"/>
          <w:sz w:val="20"/>
        </w:rPr>
        <w:t>” shall have the meaning set forth in Section 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CWEN CEO</w:t>
      </w:r>
      <w:r>
        <w:rPr>
          <w:rFonts w:ascii="Times New Roman;Times;Serif" w:hAnsi="Times New Roman;Times;Serif"/>
          <w:b w:val="false"/>
          <w:i w:val="false"/>
          <w:caps w:val="false"/>
          <w:smallCaps w:val="false"/>
          <w:sz w:val="20"/>
        </w:rPr>
        <w:t>” shall have the meaning set forth in Section 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CWEN Compensation Committee</w:t>
      </w:r>
      <w:r>
        <w:rPr>
          <w:rFonts w:ascii="Times New Roman;Times;Serif" w:hAnsi="Times New Roman;Times;Serif"/>
          <w:b w:val="false"/>
          <w:i w:val="false"/>
          <w:caps w:val="false"/>
          <w:smallCaps w:val="false"/>
          <w:sz w:val="20"/>
        </w:rPr>
        <w:t>” shall mean the committee of the CWEN Board designated to make compensation decisions relating to senior executive officers of CWEN.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CWEN LTIP</w:t>
      </w:r>
      <w:r>
        <w:rPr>
          <w:rFonts w:ascii="Times New Roman;Times;Serif" w:hAnsi="Times New Roman;Times;Serif"/>
          <w:b w:val="false"/>
          <w:i w:val="false"/>
          <w:caps w:val="false"/>
          <w:smallCaps w:val="false"/>
          <w:sz w:val="20"/>
        </w:rPr>
        <w:t>” shall have the meaning set forth in Section 4(c)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Delay Period</w:t>
      </w:r>
      <w:r>
        <w:rPr>
          <w:rFonts w:ascii="Times New Roman;Times;Serif" w:hAnsi="Times New Roman;Times;Serif"/>
          <w:b w:val="false"/>
          <w:i w:val="false"/>
          <w:caps w:val="false"/>
          <w:smallCaps w:val="false"/>
          <w:sz w:val="20"/>
        </w:rPr>
        <w:t>” shall have the meaning set forth in Section 15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Development</w:t>
      </w:r>
      <w:r>
        <w:rPr>
          <w:rFonts w:ascii="Times New Roman;Times;Serif" w:hAnsi="Times New Roman;Times;Serif"/>
          <w:b w:val="false"/>
          <w:i w:val="false"/>
          <w:caps w:val="false"/>
          <w:smallCaps w:val="false"/>
          <w:sz w:val="20"/>
        </w:rPr>
        <w:t>” shall have the meaning set forth in Section 9(c)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shall mean any physical or mental disability or infirmity of Executive that prevents the performance of Executive’s duties, with or without reasonable accommodation, for a period of (i) ninety (90) consecutive days or (ii) one hundred twenty (120) non-consecutive days during any twelve (12) month period. Any question as to the existence, extent, or potentiality of Executive’s Disability upon which Executive and the Company cannot agree shall be determined by a qualified, independent physician selected by the Company and approved by Executive (which approval shall not be unreasonably withheld, delayed or conditioned). The determination of any such physician shall be final and conclusive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Excise Tax</w:t>
      </w:r>
      <w:r>
        <w:rPr>
          <w:rFonts w:ascii="Times New Roman;Times;Serif" w:hAnsi="Times New Roman;Times;Serif"/>
          <w:b w:val="false"/>
          <w:i w:val="false"/>
          <w:caps w:val="false"/>
          <w:smallCaps w:val="false"/>
          <w:sz w:val="20"/>
        </w:rPr>
        <w:t>” shall have the meaning set forth in Section 8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shall have the meaning set forth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GIP Performance Record</w:t>
      </w:r>
      <w:r>
        <w:rPr>
          <w:rFonts w:ascii="Times New Roman;Times;Serif" w:hAnsi="Times New Roman;Times;Serif"/>
          <w:b w:val="false"/>
          <w:i w:val="false"/>
          <w:caps w:val="false"/>
          <w:smallCaps w:val="false"/>
          <w:sz w:val="20"/>
        </w:rPr>
        <w:t>” shall have the meaning set forth in Section 11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xml:space="preserve">” shall mean, without Executive’s consent, (i) a material demotion in Executive’s title, duties, or responsibilities as set forth in Section 3 hereof, including a change in reporting relationship to the Board, (ii) a material reduction in Base Salary set forth in Section 4(a) hereof or Target Annual Bonus opportunity set forth in Section 4(b) hereof (other than pursuant to an across-the-board reduction applicable to all similarly situated executives), (iii) the relocation of Executive’s principal place of employment (as provided in Section 3(c) hereof) more than twenty (20) miles from its current location, or (iv) any other material breach of a provision of this Agreement by the Company (other than a provision that is covered by clause (i), (ii), or (iii) above). Executive acknowledges and agrees that his exclusive remedy in the event of any breach of this Agreement shall be to assert Good Reason pursuant to the terms and conditions of Section 7(f) hereof. Notwithstanding the foregoing, during the Term of Employment, in the event that the Board reasonably believes that Executive may have engaged in conduct that could constitute Cause hereunder, the Board may, in its sole and absolute discretion, suspend Executive from performing his duties hereunder, and in no event shall any such suspension constitute an event pursuant to which Executive may terminate employment with Good Reason or otherwise constitute a breach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such suspension shall alter the Company’s obligations under this Agreement during such period of suspension.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shall have the meaning set forth in Section 9(b)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Interfering Activities</w:t>
      </w:r>
      <w:r>
        <w:rPr>
          <w:rFonts w:ascii="Times New Roman;Times;Serif" w:hAnsi="Times New Roman;Times;Serif"/>
          <w:b w:val="false"/>
          <w:i w:val="false"/>
          <w:caps w:val="false"/>
          <w:smallCaps w:val="false"/>
          <w:sz w:val="20"/>
        </w:rPr>
        <w:t>” shall mean encouraging, soliciting, or inducing, or in any manner attempting to encourage, solicit, or induce, any Business Relation to cease doing business with or reduce the amount of business conducted with the Company Group, or in any way interfering with the relationship between any such Business Relation and the Company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NRG</w:t>
      </w:r>
      <w:r>
        <w:rPr>
          <w:rFonts w:ascii="Times New Roman;Times;Serif" w:hAnsi="Times New Roman;Times;Serif"/>
          <w:b w:val="false"/>
          <w:i w:val="false"/>
          <w:caps w:val="false"/>
          <w:smallCaps w:val="false"/>
          <w:sz w:val="20"/>
        </w:rPr>
        <w:t>” means NRG Energy Inc. and its subsidiaries and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Other Covenants</w:t>
      </w:r>
      <w:r>
        <w:rPr>
          <w:rFonts w:ascii="Times New Roman;Times;Serif" w:hAnsi="Times New Roman;Times;Serif"/>
          <w:b w:val="false"/>
          <w:i w:val="false"/>
          <w:caps w:val="false"/>
          <w:smallCaps w:val="false"/>
          <w:sz w:val="20"/>
        </w:rPr>
        <w:t>” shall have the meaning set forth in Section 9(j)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Other Programs</w:t>
      </w:r>
      <w:r>
        <w:rPr>
          <w:rFonts w:ascii="Times New Roman;Times;Serif" w:hAnsi="Times New Roman;Times;Serif"/>
          <w:b w:val="false"/>
          <w:i w:val="false"/>
          <w:caps w:val="false"/>
          <w:smallCaps w:val="false"/>
          <w:sz w:val="20"/>
        </w:rPr>
        <w:t>” shall have the meaning set forth in Section 22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Parachute Payments</w:t>
      </w:r>
      <w:r>
        <w:rPr>
          <w:rFonts w:ascii="Times New Roman;Times;Serif" w:hAnsi="Times New Roman;Times;Serif"/>
          <w:b w:val="false"/>
          <w:i w:val="false"/>
          <w:caps w:val="false"/>
          <w:smallCaps w:val="false"/>
          <w:sz w:val="20"/>
        </w:rPr>
        <w:t>” shall have the meaning set forth in Section 8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shall have the meaning set forth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corporation, partnership, limited liability company, joint venture, association, joint-stock company, trust (charitable or non- charitable), unincorporated organization, or other form of business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Post-Termination Restricted Period</w:t>
      </w:r>
      <w:r>
        <w:rPr>
          <w:rFonts w:ascii="Times New Roman;Times;Serif" w:hAnsi="Times New Roman;Times;Serif"/>
          <w:b w:val="false"/>
          <w:i w:val="false"/>
          <w:caps w:val="false"/>
          <w:smallCaps w:val="false"/>
          <w:sz w:val="20"/>
        </w:rPr>
        <w:t>” shall mean the period commencing on Executive’s termination of employment for any reason and ending on the twelve (12)-month anniversary of such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shall have the meaning set forth in Section 23(a)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PTO</w:t>
      </w:r>
      <w:r>
        <w:rPr>
          <w:rFonts w:ascii="Times New Roman;Times;Serif" w:hAnsi="Times New Roman;Times;Serif"/>
          <w:b w:val="false"/>
          <w:i w:val="false"/>
          <w:caps w:val="false"/>
          <w:smallCaps w:val="false"/>
          <w:sz w:val="20"/>
        </w:rPr>
        <w:t>” shall have the meaning set forth in Section 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u w:val="single"/>
        </w:rPr>
        <w:t>Release Effective Date</w:t>
      </w:r>
      <w:r>
        <w:rPr>
          <w:rFonts w:ascii="Times New Roman;Times;Serif" w:hAnsi="Times New Roman;Times;Serif"/>
          <w:b w:val="false"/>
          <w:i w:val="false"/>
          <w:caps w:val="false"/>
          <w:smallCaps w:val="false"/>
          <w:sz w:val="20"/>
        </w:rPr>
        <w:t>” shall have the meaning set forth in the Release of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Release of Claims</w:t>
      </w:r>
      <w:r>
        <w:rPr>
          <w:rFonts w:ascii="Times New Roman;Times;Serif" w:hAnsi="Times New Roman;Times;Serif"/>
          <w:b w:val="false"/>
          <w:i w:val="false"/>
          <w:caps w:val="false"/>
          <w:smallCaps w:val="false"/>
          <w:sz w:val="20"/>
        </w:rPr>
        <w:t xml:space="preserve">” shall mean the Release of Claims in substantially the same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(as the same may be revised from time to time by the Company upon the advice of counsel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val="false"/>
          <w:caps w:val="false"/>
          <w:smallCaps w:val="false"/>
          <w:sz w:val="20"/>
          <w:u w:val="single"/>
        </w:rPr>
        <w:t>Severance Benefits</w:t>
      </w:r>
      <w:r>
        <w:rPr>
          <w:rFonts w:ascii="Times New Roman;Times;Serif" w:hAnsi="Times New Roman;Times;Serif"/>
          <w:b w:val="false"/>
          <w:i w:val="false"/>
          <w:caps w:val="false"/>
          <w:smallCaps w:val="false"/>
          <w:sz w:val="20"/>
        </w:rPr>
        <w:t>” shall have the meaning set forth in Section 7(h)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val="false"/>
          <w:caps w:val="false"/>
          <w:smallCaps w:val="false"/>
          <w:sz w:val="20"/>
          <w:u w:val="single"/>
        </w:rPr>
        <w:t>Severance Term</w:t>
      </w:r>
      <w:r>
        <w:rPr>
          <w:rFonts w:ascii="Times New Roman;Times;Serif" w:hAnsi="Times New Roman;Times;Serif"/>
          <w:b w:val="false"/>
          <w:i w:val="false"/>
          <w:caps w:val="false"/>
          <w:smallCaps w:val="false"/>
          <w:sz w:val="20"/>
        </w:rPr>
        <w:t>” shall mean the twelve (12) month period following Executive’s termination by the Company without Cause (other than by reason of Disability) or by Executive with Good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val="false"/>
          <w:caps w:val="false"/>
          <w:smallCaps w:val="false"/>
          <w:sz w:val="20"/>
          <w:u w:val="single"/>
        </w:rPr>
        <w:t>Target Annual Bonus</w:t>
      </w:r>
      <w:r>
        <w:rPr>
          <w:rFonts w:ascii="Times New Roman;Times;Serif" w:hAnsi="Times New Roman;Times;Serif"/>
          <w:b w:val="false"/>
          <w:i w:val="false"/>
          <w:caps w:val="false"/>
          <w:smallCaps w:val="false"/>
          <w:sz w:val="20"/>
        </w:rPr>
        <w:t>” shall have the meaning set forth in Section 4(b)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val="false"/>
          <w:caps w:val="false"/>
          <w:smallCaps w:val="false"/>
          <w:sz w:val="20"/>
          <w:u w:val="single"/>
        </w:rPr>
        <w:t>Target LTIP Award</w:t>
      </w:r>
      <w:r>
        <w:rPr>
          <w:rFonts w:ascii="Times New Roman;Times;Serif" w:hAnsi="Times New Roman;Times;Serif"/>
          <w:b w:val="false"/>
          <w:i w:val="false"/>
          <w:caps w:val="false"/>
          <w:smallCaps w:val="false"/>
          <w:sz w:val="20"/>
        </w:rPr>
        <w:t>” shall have the meaning set forth in Section 4(c)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val="false"/>
          <w:caps w:val="false"/>
          <w:smallCaps w:val="false"/>
          <w:sz w:val="20"/>
          <w:u w:val="single"/>
        </w:rPr>
        <w:t>Term of Employment</w:t>
      </w:r>
      <w:r>
        <w:rPr>
          <w:rFonts w:ascii="Times New Roman;Times;Serif" w:hAnsi="Times New Roman;Times;Serif"/>
          <w:b w:val="false"/>
          <w:i w:val="false"/>
          <w:caps w:val="false"/>
          <w:smallCaps w:val="false"/>
          <w:sz w:val="20"/>
        </w:rPr>
        <w:t>” shall mean the period specified in Section 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val="false"/>
          <w:i w:val="false"/>
          <w:caps w:val="false"/>
          <w:smallCaps w:val="false"/>
          <w:sz w:val="20"/>
          <w:u w:val="single"/>
        </w:rPr>
        <w:t>Track Record</w:t>
      </w:r>
      <w:r>
        <w:rPr>
          <w:rFonts w:ascii="Times New Roman;Times;Serif" w:hAnsi="Times New Roman;Times;Serif"/>
          <w:b w:val="false"/>
          <w:i w:val="false"/>
          <w:caps w:val="false"/>
          <w:smallCaps w:val="false"/>
          <w:sz w:val="20"/>
        </w:rPr>
        <w:t>” shall have the meaning set forth in Section 11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val="false"/>
          <w:i w:val="false"/>
          <w:caps w:val="false"/>
          <w:smallCaps w:val="false"/>
          <w:sz w:val="20"/>
          <w:u w:val="single"/>
        </w:rPr>
        <w:t>Transition Date</w:t>
      </w:r>
      <w:r>
        <w:rPr>
          <w:rFonts w:ascii="Times New Roman;Times;Serif" w:hAnsi="Times New Roman;Times;Serif"/>
          <w:b w:val="false"/>
          <w:i w:val="false"/>
          <w:caps w:val="false"/>
          <w:smallCaps w:val="false"/>
          <w:sz w:val="20"/>
        </w:rPr>
        <w:t>” shall mean the period specified in Section 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Release of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RELEASE OF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Severance Benefits (as defined in my Amended and Restated Employment Agreement, dated as of April 30, 2024, with Clearway Energy Group LLC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Employment Agreement</w:t>
      </w:r>
      <w:r>
        <w:rPr>
          <w:rFonts w:ascii="Times New Roman;Times;Serif" w:hAnsi="Times New Roman;Times;Serif"/>
          <w:b w:val="false"/>
          <w:i w:val="false"/>
          <w:caps w:val="false"/>
          <w:smallCaps w:val="false"/>
          <w:sz w:val="20"/>
        </w:rPr>
        <w:t>”)), and other good and valuable consideration, I, Craig Cornelius for and on behalf of myself and my heirs, administrators, executors, and assigns, effective the date on which this Release of Claims (this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becomes effective pursuant to its terms, do fully and forever release, remise, and discharge each of the Company and each of its direct and indirect subsidiaries, direct and indirect parent entities, and affiliates, together with their respective officers, directors, partners, members, shareholders, employees, assigns, and agents (collectively, the “</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from any and all claims whatsoever, both known or unknown, up to the date hereof that I had, may have had, or now have against the Group, for or by reason of any matter, cause, or thing whatsoever, including, without limitation, any claim arising out of or attributable to my employment or the termination of my employment with the Company or services for the other members of the Group, whether for tort, breach of express or implied employment contract, intentional infliction of emotional distress, wrongful termination, unjust dismissal, defamation, libel, or slander, or under any federal, state, or local law dealing with discrimination or harassment based on age, race, sex, national origin, handicap, religion, disability, or sexual orientation. This release of claims includes, but is not limited to, all claims arising under, each as amended, the Age Discrimination in Employment Act (“</w:t>
      </w:r>
      <w:r>
        <w:rPr>
          <w:rFonts w:ascii="Times New Roman;Times;Serif" w:hAnsi="Times New Roman;Times;Serif"/>
          <w:b w:val="false"/>
          <w:i w:val="false"/>
          <w:caps w:val="false"/>
          <w:smallCaps w:val="false"/>
          <w:sz w:val="20"/>
          <w:u w:val="single"/>
        </w:rPr>
        <w:t>ADEA</w:t>
      </w:r>
      <w:r>
        <w:rPr>
          <w:rFonts w:ascii="Times New Roman;Times;Serif" w:hAnsi="Times New Roman;Times;Serif"/>
          <w:b w:val="false"/>
          <w:i w:val="false"/>
          <w:caps w:val="false"/>
          <w:smallCaps w:val="false"/>
          <w:sz w:val="20"/>
        </w:rPr>
        <w:t>”), Title VII of the Civil Rights Act, the Americans with Disabilities Act, the Civil Rights Act of 1991, the Family Medical Leave Act, and the Equal Pay Act, the California Labor Code, the California Fair Employment and Housing Act, the California Private Attorney General Act, the California Business and Professions Code, the California Civil Code, the California Family Rights Act, the California Government Code, the Orders of the California Industrial Welfare Commission, and all other federal, state, and local laws, the common law, and any other purported restriction on an employer’s right to terminate the employment of employees. The release contained herein is intended to be a general release of any and all claims to the fullest extent permissible by law. As used in this Release, the term “claims” will include all claims, covenants, warranties, promises, undertakings, actions, suits, causes of action, obligations, debts, accounts, attorneys’ fees, judgments, losses, and liabilities, of whatsoever kind or nature, in law, in equity, or otherwise. The claims referenced above are hereafter referred to as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general release, I understand that nothing in this Release is intended to unlawfully release or waive any of my rights under any laws or to prevent, impede, or interfere with my ability or right to testify in court under subpoena or court order regarding sexual harassment or criminal conduct by the Company or any of its direct and indirect subsidiaries and affiliates or their agents or employees, or before a state legislature in those regards if my testimony is requested by the legislature.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Release prevents me from discussing or disclosing information about unlawful acts in the workplace, such as harassment or discrimination or any other conduct that I have reason to believe is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nothing in this Release prevents the disclosure of factual information relating to claims of sexual assault, sexual harassment, harassment or discrimination, failure to prevent harassment or discrimination, or retaliation against a person for reporting an act of harassment or discrimination, as those claims are defined under the California Fair Employment and Housing Act, to the extent the claims are filed in a civil or administrative action and to the extent such disclosures are protected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acknowledge that this Release is a “negotiated” severance agreement as defined under Government Code 12964.5(d)(2).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acknowledge and agree that as of the date I execute this Release, I have no knowledge of any facts or circumstances that give rise or could give rise to any Claims, including any Claims under any of the laws listed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this Release, I specifically release all Claims relating to my employment and its termination under ADEA, a United States federal statute that, among other things, prohibits discrimination on the basis of age in employment and 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of this Release to the contrary, by executing this Release, I am not releasing (i) any claims relating to my rights under Section 7 or Section 11 of the Employment Agreement, (ii) any claims that cannot be waived by law, or (iii) my right of indemnification as provided by, and in accordance with the terms of, the Company’s by-laws or a Company insurance policy providing such coverage, as any of such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expressly acknowledge and agree that 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am able to read the language, and understand the meaning and effect,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have no physical or mental impairment of any kind that has interfered with my ability to read and understand the meaning of this Release or its terms, and that I am not acting under the influence of any medication, drug, or chemical of any type in entering into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am specifically agreeing to the terms of the release contained in this Release because the Company has agreed to pay me the Severance Benefits in consideration for my agreement to accept it in full settlement of all Claims I might have or ever had, and because of my execution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acknowledge that, but for my execution of this Release, I would not be entitled to the Severance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understand that, by entering into this Release, I do not waive rights or Claims under ADEA that may arise after the date I execute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had or could have [twenty-one (21)][forty-five (45)]</w:t>
      </w: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days in which to review and consider this Release (the end of such review period, the “</w:t>
      </w:r>
      <w:r>
        <w:rPr>
          <w:rFonts w:ascii="Times New Roman;Times;Serif" w:hAnsi="Times New Roman;Times;Serif"/>
          <w:b w:val="false"/>
          <w:i w:val="false"/>
          <w:caps w:val="false"/>
          <w:smallCaps w:val="false"/>
          <w:sz w:val="20"/>
          <w:u w:val="single"/>
        </w:rPr>
        <w:t>Release Expiration Date</w:t>
      </w:r>
      <w:r>
        <w:rPr>
          <w:rFonts w:ascii="Times New Roman;Times;Serif" w:hAnsi="Times New Roman;Times;Serif"/>
          <w:b w:val="false"/>
          <w:i w:val="false"/>
          <w:caps w:val="false"/>
          <w:smallCaps w:val="false"/>
          <w:sz w:val="20"/>
        </w:rPr>
        <w:t>”), and that if I execute this Release prior to the Release Expiration Date, I have voluntarily and knowingly waived the remainder of such review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have not relied upon any representation or statement not set forth in this Release or my Employment Agreement made by the Company or any of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was advised to consult with an attorney regarding the terms and effect of this Release;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have signed this Release knowingly and voluntarily.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specifically waive all rights under California Civil Code Section 1542, which states,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I acknowledge that I may later discover claims or facts in addition to or different from those which I now know or believe to exist with regards to the subject matter of this Release, and which, if known or suspected at the time of executing this Release, may have materially affected its terms. Nevertheless, I waive any and all Claims that might arise as a result of such different or additional claims or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represent and warrant that I have not previously filed, and to the maximum extent permitted by law agree that I will not file, a complaint, charge, or lawsuit against any member of the Group regarding any of the Claims released herein. If, notwithstanding this representation and warranty, I have filed or file such a complaint, charge, or lawsuit, I agree that I shall cause such complaint, charge, or lawsuit to be dismissed with prejudice and shall pay any and all costs required in obtaining dismissal of such complaint, charge, or lawsuit, including without limitation the attorneys’ fees of any member of the Group against whom I have filed such a complaint, charge, or lawsuit. This paragraph shall not apply, however, to a Claim of age discrimination under ADEA or to any non-waivable right to file a charge with the United States Equal Employment Opportunity Commission (the “</w:t>
      </w:r>
      <w:r>
        <w:rPr>
          <w:rFonts w:ascii="Times New Roman;Times;Serif" w:hAnsi="Times New Roman;Times;Serif"/>
          <w:b w:val="false"/>
          <w:i w:val="false"/>
          <w:caps w:val="false"/>
          <w:smallCaps w:val="false"/>
          <w:sz w:val="20"/>
          <w:u w:val="single"/>
        </w:rPr>
        <w:t>EEOC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EEOC were to pursue any claims relating to my employment with Company, I agree that I shall not be entitled to recover any monetary damages or any other remedies or benefits as a result and that this Release and the Severance Benefits will control as the exclusive remedy and full settlement of all such Claims by 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Nothing in this Release shall prohibit or impede me from communicating, cooperating or filing a complaint with any Governmental Entity with respect to possible violations of any U.S. federal, state or local law or regulation, or otherwise making disclosures to any Governmental Entity, in each case, that are protected under the whistleblower provisions of any such law or regulation;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each case such communications and disclosures are consistent with applicable law. I understand and acknowledge that an individual shall not be held criminally or civilly liable under any federal or state trade secret law for the disclosure of a trade secret that is made (1) in confidence to a federal, state, or local government official or to an attorney solely for the purpose of reporting or investigating a suspected violation of law, or (2) in a complaint or other document filed in a lawsuit or other proceeding, if such filing is made under seal. I understand and acknowledge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Except as otherwise provided in this paragraph or under applicable law, under no circumstance am I authorized to disclose any information covered by the Company’s attorney-client privilege or attorney work product, or the Company’s trade secrets, without the prior written consent of the Company’s General Counsel or other officer designated by the Company. I do not need the prior authorization of (or to give notice to) any member of the Company Group regarding any communication, disclosure, or activity permitted by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To be selected based on whether applicable termination was “in connection with an exit incentive or other employment termination program” (as such phrase is defined in the Age Discrimination in Employment Act of 1967).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this Release will not become effective or enforceable prior to the expiration of the period of seven (7) calendar days following the date of its execution by me (the “</w:t>
      </w:r>
      <w:r>
        <w:rPr>
          <w:rFonts w:ascii="Times New Roman;Times;Serif" w:hAnsi="Times New Roman;Times;Serif"/>
          <w:b w:val="false"/>
          <w:i w:val="false"/>
          <w:caps w:val="false"/>
          <w:smallCaps w:val="false"/>
          <w:sz w:val="20"/>
          <w:u w:val="single"/>
        </w:rPr>
        <w:t>Revocation Period</w:t>
      </w:r>
      <w:r>
        <w:rPr>
          <w:rFonts w:ascii="Times New Roman;Times;Serif" w:hAnsi="Times New Roman;Times;Serif"/>
          <w:b w:val="false"/>
          <w:i w:val="false"/>
          <w:caps w:val="false"/>
          <w:smallCaps w:val="false"/>
          <w:sz w:val="20"/>
        </w:rPr>
        <w:t>”), during which time I may revoke my acceptance of this Release by notifying the Company and the Board, in writing, delivered to the Company at its principal executive office, marked for the attention of its General Counsel and Lead Director. To be effective, such revocation must be received by the Company no later than 11:59 p.m. on the seventh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calendar day following the execution of this Release. Provided that the Release is executed and I do not revoke it during the Revocation Period, the eighth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on which this Release is executed shall be its effective date (the “</w:t>
      </w:r>
      <w:r>
        <w:rPr>
          <w:rFonts w:ascii="Times New Roman;Times;Serif" w:hAnsi="Times New Roman;Times;Serif"/>
          <w:b w:val="false"/>
          <w:i w:val="false"/>
          <w:caps w:val="false"/>
          <w:smallCaps w:val="false"/>
          <w:sz w:val="20"/>
          <w:u w:val="single"/>
        </w:rPr>
        <w:t>Release Effective Date</w:t>
      </w:r>
      <w:r>
        <w:rPr>
          <w:rFonts w:ascii="Times New Roman;Times;Serif" w:hAnsi="Times New Roman;Times;Serif"/>
          <w:b w:val="false"/>
          <w:i w:val="false"/>
          <w:caps w:val="false"/>
          <w:smallCaps w:val="false"/>
          <w:sz w:val="20"/>
        </w:rPr>
        <w:t>”). I acknowledge and agree that if I revoke this Release during the Revocation Period, this Release will be null and void and of no effect, and neither the Company nor any other member of the Company Group will have any obligations to pay me the Severance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Release shall be binding upon my heirs, executors, administrators, legal personal representatives, and assigns. If any provision of this Release shall be held by any court of competent jurisdiction to be illegal, void, or unenforceable, such provision shall be of no force or effect. The illegality or unenforceability of such provision, however, shall have no effect upon and shall not impair the enforceability of any other provision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PREEMPTED BY FEDERAL LAW, THIS RELEASE SHALL BE GOVERNED BY AND CONSTRUED IN ACCORDANCE WITH FEDERAL LAW AND THE LAWS OF THE STATE OF CALIFORNIA, APPLICABLE TO AGREEMENTS MADE AND TO BE PERFORMED IN THAT STATE WITHOUT GIVING EFFECT TO THE PRINCIPLES OF CONFLICTS OF LAWS. I HEREBY WAIVE ANY RIGHT TO TRIAL BY JURY IN CONNECTION WITH ANY SUIT, ACTION, OR PROCEEDING UNDER OR IN CONNECTION WITH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herein, shall have the meanings ascribed to such terms in the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400" w:type="dxa"/>
        <w:jc w:val="left"/>
        <w:tblInd w:w="0" w:type="dxa"/>
        <w:tblLayout w:type="fixed"/>
        <w:tblCellMar>
          <w:top w:w="0" w:type="dxa"/>
          <w:left w:w="0" w:type="dxa"/>
          <w:bottom w:w="0" w:type="dxa"/>
          <w:right w:w="0" w:type="dxa"/>
        </w:tblCellMar>
      </w:tblPr>
      <w:tblGrid>
        <w:gridCol w:w="75"/>
        <w:gridCol w:w="1325"/>
      </w:tblGrid>
      <w:tr>
        <w:trPr/>
        <w:tc>
          <w:tcPr>
            <w:tcW w:w="75" w:type="dxa"/>
            <w:tcBorders/>
            <w:vAlign w:val="center"/>
          </w:tcPr>
          <w:p>
            <w:pPr>
              <w:pStyle w:val="TableContents"/>
              <w:bidi w:val="0"/>
              <w:spacing w:before="0" w:after="283"/>
              <w:jc w:val="left"/>
              <w:rPr/>
            </w:pPr>
            <w:r>
              <w:rPr/>
              <w:t> </w:t>
            </w:r>
          </w:p>
        </w:tc>
        <w:tc>
          <w:tcPr>
            <w:tcW w:w="132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Cornelius</w:t>
            </w:r>
          </w:p>
        </w:tc>
      </w:tr>
      <w:tr>
        <w:trPr/>
        <w:tc>
          <w:tcPr>
            <w:tcW w:w="75"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California Labor Code Sections 2870, 2871 and 2872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Relate at the time of conception or reduction to practice of the invention to the employer’s business, or actual or demonstrably anticipated research or development of the employer;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Result from any work performed by the employee for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a provision in an employment agreement purports to require an employee to assign an invention otherwise excluded from being required to be assigned under subdivision (a), the provision is against the public policy of this state and is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Forms of Award Agreement for initial RSU and RPSU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RESTRICTED STOCK UNIT GRANT</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CRAIG CORNELIUS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Congratulations on your selection as a Participant under the Clearway Energy, Inc. Amended and Restated 2013 Equity Incentive Plan</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You have been chosen to receive Restricted Stock Units (“</w:t>
      </w:r>
      <w:r>
        <w:rPr>
          <w:rFonts w:ascii="Times New Roman;Times;Serif" w:hAnsi="Times New Roman;Times;Serif"/>
          <w:b w:val="false"/>
          <w:i w:val="false"/>
          <w:caps w:val="false"/>
          <w:smallCaps w:val="false"/>
          <w:sz w:val="20"/>
          <w:u w:val="single"/>
        </w:rPr>
        <w:t>RSUs</w:t>
      </w:r>
      <w:r>
        <w:rPr>
          <w:rFonts w:ascii="Times New Roman;Times;Serif" w:hAnsi="Times New Roman;Times;Serif"/>
          <w:b w:val="false"/>
          <w:i w:val="false"/>
          <w:caps w:val="false"/>
          <w:smallCaps w:val="false"/>
          <w:sz w:val="20"/>
        </w:rPr>
        <w:t>”) under the Plan. This Notice of Restricted Stock Unit Grant (the “</w:t>
      </w:r>
      <w:r>
        <w:rPr>
          <w:rFonts w:ascii="Times New Roman;Times;Serif" w:hAnsi="Times New Roman;Times;Serif"/>
          <w:b w:val="false"/>
          <w:i w:val="false"/>
          <w:caps w:val="false"/>
          <w:smallCaps w:val="false"/>
          <w:sz w:val="20"/>
          <w:u w:val="single"/>
        </w:rPr>
        <w:t>Grant Notice</w:t>
      </w:r>
      <w:r>
        <w:rPr>
          <w:rFonts w:ascii="Times New Roman;Times;Serif" w:hAnsi="Times New Roman;Times;Serif"/>
          <w:b w:val="false"/>
          <w:i w:val="false"/>
          <w:caps w:val="false"/>
          <w:smallCaps w:val="false"/>
          <w:sz w:val="20"/>
        </w:rPr>
        <w:t>”) and the attached Restricted Stock Unit Agreement (collectively referred to as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constitute an agreement between you and Clearway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pursuant to Section 8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are hereby granted as follows to Craig Cornelius:</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2495"/>
        <w:gridCol w:w="60"/>
        <w:gridCol w:w="3455"/>
      </w:tblGrid>
      <w:tr>
        <w:trPr/>
        <w:tc>
          <w:tcPr>
            <w:tcW w:w="7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Grant: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 2024</w:t>
            </w:r>
          </w:p>
        </w:tc>
      </w:tr>
      <w:tr>
        <w:trPr/>
        <w:tc>
          <w:tcPr>
            <w:tcW w:w="7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Vesting Commencement Date:</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Grant</w:t>
            </w:r>
          </w:p>
        </w:tc>
      </w:tr>
      <w:tr>
        <w:trPr/>
        <w:tc>
          <w:tcPr>
            <w:tcW w:w="7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Vesting Period:</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Please refer to </w:t>
            </w:r>
            <w:r>
              <w:rPr>
                <w:rFonts w:ascii="Times New Roman;Times;Serif" w:hAnsi="Times New Roman;Times;Serif"/>
                <w:sz w:val="20"/>
                <w:u w:val="single"/>
              </w:rPr>
              <w:t>Section 2</w:t>
            </w:r>
            <w:r>
              <w:rPr>
                <w:rFonts w:ascii="Times New Roman;Times;Serif" w:hAnsi="Times New Roman;Times;Serif"/>
                <w:sz w:val="20"/>
              </w:rPr>
              <w:t xml:space="preserve"> of this Agreement</w:t>
            </w:r>
          </w:p>
        </w:tc>
      </w:tr>
      <w:tr>
        <w:trPr/>
        <w:tc>
          <w:tcPr>
            <w:tcW w:w="7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of RSUs:</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of this Agreement, if your employment by, or service to, the Company or an Affiliate thereof is terminated at any time during the Vesting Period, any unvested portion of this Award shall expire and be forfeited, and you will not be entitled to any Class C Common Stock underlying the RSUs or any dividend equivalents that may have accrued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disagree with any of the terms of this Award or choose not to accept this Award, please contact Shannon Reznick at 281-906-0827 within 45 days of the Date of Grant. Otherwise, you will be deemed to have accepted this Award under the terms and conditions set forth in this Agreement and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As amended and restated on January 1,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AGREEMENT</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Restricted Stock Unit Agreement, dated as of the Date of Grant set forth in the Notice of Restricted Stock Unit Grant (the “</w:t>
      </w:r>
      <w:r>
        <w:rPr>
          <w:rFonts w:ascii="Times New Roman;Times;Serif" w:hAnsi="Times New Roman;Times;Serif"/>
          <w:b w:val="false"/>
          <w:i w:val="false"/>
          <w:caps w:val="false"/>
          <w:smallCaps w:val="false"/>
          <w:sz w:val="20"/>
          <w:u w:val="single"/>
        </w:rPr>
        <w:t>Grant Notice</w:t>
      </w:r>
      <w:r>
        <w:rPr>
          <w:rFonts w:ascii="Times New Roman;Times;Serif" w:hAnsi="Times New Roman;Times;Serif"/>
          <w:b w:val="false"/>
          <w:i w:val="false"/>
          <w:caps w:val="false"/>
          <w:smallCaps w:val="false"/>
          <w:sz w:val="20"/>
        </w:rPr>
        <w:t>,” and together with this Restricted Stock Unit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to which this Agreement is attached, is made between Clearway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Participant, as set forth in the Grant Notice. The Grant Notice is included in, and made part of, this Agreement.</w:t>
      </w:r>
    </w:p>
    <w:p>
      <w:pPr>
        <w:pStyle w:val="TextBody"/>
        <w:bidi w:val="0"/>
        <w:spacing w:before="0" w:after="0"/>
        <w:ind w:left="0" w:right="0" w:hanging="0"/>
        <w:jc w:val="left"/>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38"/>
        <w:gridCol w:w="17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1.</w:t>
            </w:r>
          </w:p>
        </w:tc>
        <w:tc>
          <w:tcPr>
            <w:tcW w:w="1250" w:type="dxa"/>
            <w:tcBorders/>
            <w:vAlign w:val="center"/>
          </w:tcPr>
          <w:p>
            <w:pPr>
              <w:pStyle w:val="TableContents"/>
              <w:bidi w:val="0"/>
              <w:spacing w:before="0" w:after="283"/>
              <w:jc w:val="both"/>
              <w:rPr>
                <w:b/>
                <w:sz w:val="20"/>
              </w:rPr>
            </w:pPr>
            <w:r>
              <w:rPr>
                <w:b/>
                <w:sz w:val="20"/>
              </w:rPr>
              <w:t>Grant of RSUs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this Agreement and the provisions of the Clearway Energy, Inc. Amended and Restated 2013 Equity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the Company hereby grants to the Participant the number of Restricted Stock Units (“</w:t>
      </w:r>
      <w:r>
        <w:rPr>
          <w:rFonts w:ascii="Times New Roman;Times;Serif" w:hAnsi="Times New Roman;Times;Serif"/>
          <w:b w:val="false"/>
          <w:i w:val="false"/>
          <w:caps w:val="false"/>
          <w:smallCaps w:val="false"/>
          <w:sz w:val="20"/>
          <w:u w:val="single"/>
        </w:rPr>
        <w:t>RSUs</w:t>
      </w:r>
      <w:r>
        <w:rPr>
          <w:rFonts w:ascii="Times New Roman;Times;Serif" w:hAnsi="Times New Roman;Times;Serif"/>
          <w:b w:val="false"/>
          <w:i w:val="false"/>
          <w:caps w:val="false"/>
          <w:smallCaps w:val="false"/>
          <w:sz w:val="20"/>
        </w:rPr>
        <w:t>”) set forth in the Grant Notice, each of which will have a value equivalent to one (1) share of the Company’s Class C Common Stock.</w:t>
      </w:r>
    </w:p>
    <w:p>
      <w:pPr>
        <w:pStyle w:val="TextBody"/>
        <w:bidi w:val="0"/>
        <w:spacing w:before="0" w:after="0"/>
        <w:ind w:left="0" w:right="0" w:hanging="0"/>
        <w:jc w:val="left"/>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17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2.</w:t>
            </w:r>
          </w:p>
        </w:tc>
        <w:tc>
          <w:tcPr>
            <w:tcW w:w="1460" w:type="dxa"/>
            <w:tcBorders/>
            <w:vAlign w:val="center"/>
          </w:tcPr>
          <w:p>
            <w:pPr>
              <w:pStyle w:val="TableContents"/>
              <w:bidi w:val="0"/>
              <w:spacing w:before="0" w:after="283"/>
              <w:jc w:val="both"/>
              <w:rPr>
                <w:b/>
                <w:sz w:val="20"/>
              </w:rPr>
            </w:pPr>
            <w:r>
              <w:rPr>
                <w:b/>
                <w:sz w:val="20"/>
              </w:rPr>
              <w:t>Vesting Schedule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you have been continuously employed by the Company or its Affiliate during the vesting period, the RSUs will vest one-third each year beginning on the first anniversary of the Date of Grant. For the avoidance of doubt, the vesting period for the second and third portions of the RSUs begins when the previous one-third portion of the RSUs has completed vesting.</w:t>
      </w:r>
    </w:p>
    <w:p>
      <w:pPr>
        <w:pStyle w:val="TextBody"/>
        <w:bidi w:val="0"/>
        <w:spacing w:before="0" w:after="0"/>
        <w:ind w:left="0" w:right="0" w:hanging="0"/>
        <w:jc w:val="left"/>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17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3.</w:t>
            </w:r>
          </w:p>
        </w:tc>
        <w:tc>
          <w:tcPr>
            <w:tcW w:w="3665" w:type="dxa"/>
            <w:tcBorders/>
            <w:vAlign w:val="center"/>
          </w:tcPr>
          <w:p>
            <w:pPr>
              <w:pStyle w:val="TableContents"/>
              <w:bidi w:val="0"/>
              <w:spacing w:before="0" w:after="283"/>
              <w:jc w:val="both"/>
              <w:rPr>
                <w:b/>
                <w:sz w:val="20"/>
              </w:rPr>
            </w:pPr>
            <w:r>
              <w:rPr>
                <w:b/>
                <w:sz w:val="20"/>
              </w:rPr>
              <w:t>Conversion of RSUs and Issuance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soon as reasonably practicable following vesting of the RSUs contemplated by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but in no event later than sixty (60) days thereafter, subject to satisfaction of applicable tax withholding obligations in accordance with </w:t>
      </w:r>
      <w:r>
        <w:rPr>
          <w:rFonts w:ascii="Times New Roman;Times;Serif" w:hAnsi="Times New Roman;Times;Serif"/>
          <w:b w:val="false"/>
          <w:i w:val="false"/>
          <w:caps w:val="false"/>
          <w:smallCaps w:val="false"/>
          <w:sz w:val="20"/>
          <w:u w:val="single"/>
        </w:rPr>
        <w:t>Section 12(g)</w:t>
      </w:r>
      <w:r>
        <w:rPr>
          <w:rFonts w:ascii="Times New Roman;Times;Serif" w:hAnsi="Times New Roman;Times;Serif"/>
          <w:b w:val="false"/>
          <w:i w:val="false"/>
          <w:caps w:val="false"/>
          <w:smallCaps w:val="false"/>
          <w:sz w:val="20"/>
        </w:rPr>
        <w:t xml:space="preserve">, the Company shall cause to be paid to the Participant one (1) share of the Company’s Class C Common Stock for each RSU that vests on such vesting date. Notwithstanding the foregoing, if the Participant incurs a Termination of Service as described in </w:t>
      </w:r>
      <w:r>
        <w:rPr>
          <w:rFonts w:ascii="Times New Roman;Times;Serif" w:hAnsi="Times New Roman;Times;Serif"/>
          <w:b w:val="false"/>
          <w:i w:val="false"/>
          <w:caps w:val="false"/>
          <w:smallCaps w:val="false"/>
          <w:sz w:val="20"/>
          <w:u w:val="single"/>
        </w:rPr>
        <w:t xml:space="preserve">Section 8 </w:t>
      </w:r>
      <w:r>
        <w:rPr>
          <w:rFonts w:ascii="Times New Roman;Times;Serif" w:hAnsi="Times New Roman;Times;Serif"/>
          <w:b w:val="false"/>
          <w:i w:val="false"/>
          <w:caps w:val="false"/>
          <w:smallCaps w:val="false"/>
          <w:sz w:val="20"/>
        </w:rPr>
        <w:t xml:space="preserve">under circumstances where accelerated vesting (in whole or in part) of the Award applies, then such payment shall be made within sixty (60) days after the vesting date described in the applicable subsection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subject to the following paragraph and satisfaction of applicable tax withholding obligations in accordance with </w:t>
      </w:r>
      <w:r>
        <w:rPr>
          <w:rFonts w:ascii="Times New Roman;Times;Serif" w:hAnsi="Times New Roman;Times;Serif"/>
          <w:b w:val="false"/>
          <w:i w:val="false"/>
          <w:caps w:val="false"/>
          <w:smallCaps w:val="false"/>
          <w:sz w:val="20"/>
          <w:u w:val="single"/>
        </w:rPr>
        <w:t>Section 12(g)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provisions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to the contrary, if at the time of the Participant’s “separation from service” within the meaning of Code Section 409A, the Participant is a “specified employee” within the meaning of Code Section 409A, then any payment hereunder that constitutes a “deferral of compensation” under Code Section 409A and that would otherwise become due on account of such separation from service shall be delayed, and payment shall be made in full upon the earlier of (a) a date during the thirty (30) day period commencing six (6) months and one (1) day following such separation from service and (b) the date of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17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4.</w:t>
            </w:r>
          </w:p>
        </w:tc>
        <w:tc>
          <w:tcPr>
            <w:tcW w:w="2360" w:type="dxa"/>
            <w:tcBorders/>
            <w:vAlign w:val="center"/>
          </w:tcPr>
          <w:p>
            <w:pPr>
              <w:pStyle w:val="TableContents"/>
              <w:bidi w:val="0"/>
              <w:spacing w:before="0" w:after="283"/>
              <w:jc w:val="both"/>
              <w:rPr>
                <w:b/>
                <w:sz w:val="20"/>
              </w:rPr>
            </w:pPr>
            <w:r>
              <w:rPr>
                <w:b/>
                <w:sz w:val="20"/>
              </w:rPr>
              <w:t>Dividend Equivalent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shares of Class C Common Stock issuable hereunder shall be credited to a dividend book entry account on behalf of the Participant with respect to the RSUs granted hereunder; provided that such cash dividends shall be deemed to be reinvested in shares of Class C Common Stock immediately following the time declared at the then Fair Market Value of the Class C Common Stock. Such reinvested cash dividends shall be recorded for book entry purposes as additional RSUs that are subject to this Award, the number of which shall correlate to the number of deemed shares of Class C Common Stock described in the preceding sentence. Such additional RSUs shall vest and be paid to the same extent and at the same times that the Class C Common Stock underlying the RSUs vest and are delivered to the Participant in accordance with the provisions hereof. Subject to Section 20 of the Plan, stock dividends on shares of Class C Common Stock issuable hereunder shall be credited to a dividend book entry account as additional RSUs on behalf of the Participant with respect to the RSUs granted hereunder; provided that such additional RSUs shall vest and be paid to the same extent and at the same times that the shares of Class C Common Stock underlying the RSUs vest and are delivered to the Participant in accordance with the provisions hereof. Notwithstanding the foregoing, in the event that there are insufficient shares of Class C Common Stock available in the Plan to settle the accrued dividend book entry account in shares of Class C Common Stock, such accrued book entry account shall be settled in cash in an amount equal to the Fair Market Value of such shares of Class C Common Stock at the time of settlement. Except as otherwise provided herein, the Participant shall have no rights as a stockholder with respect to any shares of Class C Common Stock underlying the RSUs granted hereunder unless and until the Participant has become the holder of record of such shares.</w:t>
      </w:r>
    </w:p>
    <w:p>
      <w:pPr>
        <w:pStyle w:val="TextBody"/>
        <w:bidi w:val="0"/>
        <w:spacing w:before="0" w:after="0"/>
        <w:ind w:left="0" w:right="0" w:hanging="0"/>
        <w:jc w:val="left"/>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5.</w:t>
            </w:r>
          </w:p>
        </w:tc>
        <w:tc>
          <w:tcPr>
            <w:tcW w:w="1490" w:type="dxa"/>
            <w:tcBorders/>
            <w:vAlign w:val="center"/>
          </w:tcPr>
          <w:p>
            <w:pPr>
              <w:pStyle w:val="TableContents"/>
              <w:bidi w:val="0"/>
              <w:spacing w:before="0" w:after="283"/>
              <w:jc w:val="both"/>
              <w:rPr>
                <w:b/>
                <w:sz w:val="20"/>
              </w:rPr>
            </w:pPr>
            <w:r>
              <w:rPr>
                <w:b/>
                <w:sz w:val="20"/>
              </w:rPr>
              <w:t>Transfer of RSUs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permitted by the Committee or Section 16 of the Plan, no award or right granted hereunder may be sold, transferred, pledged, assigned or otherwise alienated or hypothecated, other than pursuant to a will or the laws of descent and distribution. Any attempted disposition in violation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and Section 16 of the Plan shall be void.</w:t>
      </w:r>
    </w:p>
    <w:p>
      <w:pPr>
        <w:pStyle w:val="TextBody"/>
        <w:bidi w:val="0"/>
        <w:spacing w:before="0" w:after="0"/>
        <w:ind w:left="0" w:right="0" w:hanging="0"/>
        <w:jc w:val="left"/>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17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6.</w:t>
            </w:r>
          </w:p>
        </w:tc>
        <w:tc>
          <w:tcPr>
            <w:tcW w:w="1760" w:type="dxa"/>
            <w:tcBorders/>
            <w:vAlign w:val="center"/>
          </w:tcPr>
          <w:p>
            <w:pPr>
              <w:pStyle w:val="TableContents"/>
              <w:bidi w:val="0"/>
              <w:spacing w:before="0" w:after="283"/>
              <w:jc w:val="both"/>
              <w:rPr>
                <w:b/>
                <w:sz w:val="20"/>
              </w:rPr>
            </w:pPr>
            <w:r>
              <w:rPr>
                <w:b/>
                <w:sz w:val="20"/>
              </w:rPr>
              <w:t>Status of Participant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shall not be, and, except as otherwise provided herein, shall not have rights as, a stockholder of the Company with respect to any of the shares of Class C Common Stock subject to, or underlying, this Award, unless such shares have been issued and delivered to the Participant pursuant to the terms of this Agreement. The Company shall not be required to issue or transfer any certificates for shares of Class C Common Stock, unless such shares are duly listed on a securities exchange on which the Class C Common Stock may then be listed and until all applicable requirements of law have been complied with.</w:t>
      </w:r>
    </w:p>
    <w:p>
      <w:pPr>
        <w:pStyle w:val="TextBody"/>
        <w:bidi w:val="0"/>
        <w:spacing w:before="0" w:after="0"/>
        <w:ind w:left="0" w:right="0" w:hanging="0"/>
        <w:jc w:val="left"/>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17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7.</w:t>
            </w:r>
          </w:p>
        </w:tc>
        <w:tc>
          <w:tcPr>
            <w:tcW w:w="2585" w:type="dxa"/>
            <w:tcBorders/>
            <w:vAlign w:val="center"/>
          </w:tcPr>
          <w:p>
            <w:pPr>
              <w:pStyle w:val="TableContents"/>
              <w:bidi w:val="0"/>
              <w:spacing w:before="0" w:after="283"/>
              <w:jc w:val="both"/>
              <w:rPr>
                <w:b/>
                <w:sz w:val="20"/>
              </w:rPr>
            </w:pPr>
            <w:r>
              <w:rPr>
                <w:b/>
                <w:sz w:val="20"/>
              </w:rPr>
              <w:t>No Effect on Capital Structure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award or right granted hereunder shall affect the right of the Company or any Subsidiary to reclassify, recapitalize or otherwise change its capital or debt structure or to merge, consolidate, convey any or all of its assets, dissolve, liquidate, windup, or otherwise reorganize.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17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8.</w:t>
            </w:r>
          </w:p>
        </w:tc>
        <w:tc>
          <w:tcPr>
            <w:tcW w:w="3065" w:type="dxa"/>
            <w:tcBorders/>
            <w:vAlign w:val="center"/>
          </w:tcPr>
          <w:p>
            <w:pPr>
              <w:pStyle w:val="TableContents"/>
              <w:bidi w:val="0"/>
              <w:spacing w:before="0" w:after="283"/>
              <w:jc w:val="both"/>
              <w:rPr>
                <w:b/>
                <w:sz w:val="20"/>
              </w:rPr>
            </w:pPr>
            <w:r>
              <w:rPr>
                <w:b/>
                <w:sz w:val="20"/>
              </w:rPr>
              <w:t>Expiration and Forfeiture of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Award shall vest and be paid, as applicable and/or expire in the circumstances described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As used herein, “</w:t>
      </w:r>
      <w:r>
        <w:rPr>
          <w:rFonts w:ascii="Times New Roman;Times;Serif" w:hAnsi="Times New Roman;Times;Serif"/>
          <w:b w:val="false"/>
          <w:i w:val="false"/>
          <w:caps w:val="false"/>
          <w:smallCaps w:val="false"/>
          <w:sz w:val="20"/>
          <w:u w:val="single"/>
        </w:rPr>
        <w:t>Termination of Service</w:t>
      </w:r>
      <w:r>
        <w:rPr>
          <w:rFonts w:ascii="Times New Roman;Times;Serif" w:hAnsi="Times New Roman;Times;Serif"/>
          <w:b w:val="false"/>
          <w:i w:val="false"/>
          <w:caps w:val="false"/>
          <w:smallCaps w:val="false"/>
          <w:sz w:val="20"/>
        </w:rPr>
        <w:t>” means termination of a Participant’s employment by, or service to, the Company, including any of its Affiliates.</w:t>
      </w:r>
    </w:p>
    <w:p>
      <w:pPr>
        <w:pStyle w:val="TextBody"/>
        <w:bidi w:val="0"/>
        <w:spacing w:before="0" w:after="0"/>
        <w:ind w:left="0" w:right="0" w:hanging="0"/>
        <w:jc w:val="left"/>
        <w:rPr>
          <w:caps w:val="false"/>
          <w:smallCaps w:val="false"/>
        </w:rPr>
      </w:pPr>
      <w:r>
        <w:rPr>
          <w:caps w:val="false"/>
          <w:smallCaps w:val="false"/>
        </w:rPr>
        <w:t> </w:t>
      </w:r>
    </w:p>
    <w:tbl>
      <w:tblPr>
        <w:tblW w:w="813" w:type="dxa"/>
        <w:jc w:val="left"/>
        <w:tblInd w:w="0" w:type="dxa"/>
        <w:tblLayout w:type="fixed"/>
        <w:tblCellMar>
          <w:top w:w="0" w:type="dxa"/>
          <w:left w:w="0" w:type="dxa"/>
          <w:bottom w:w="0" w:type="dxa"/>
          <w:right w:w="0" w:type="dxa"/>
        </w:tblCellMar>
      </w:tblPr>
      <w:tblGrid>
        <w:gridCol w:w="38"/>
        <w:gridCol w:w="245"/>
        <w:gridCol w:w="5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sz w:val="20"/>
              </w:rPr>
            </w:pPr>
            <w:r>
              <w:rPr>
                <w:b/>
                <w:i/>
                <w:sz w:val="20"/>
              </w:rPr>
              <w:t>(a)</w:t>
            </w:r>
          </w:p>
        </w:tc>
        <w:tc>
          <w:tcPr>
            <w:tcW w:w="530" w:type="dxa"/>
            <w:tcBorders/>
            <w:vAlign w:val="center"/>
          </w:tcPr>
          <w:p>
            <w:pPr>
              <w:pStyle w:val="TableContents"/>
              <w:bidi w:val="0"/>
              <w:spacing w:before="0" w:after="283"/>
              <w:jc w:val="both"/>
              <w:rPr>
                <w:b/>
                <w:i/>
                <w:sz w:val="20"/>
              </w:rPr>
            </w:pPr>
            <w:r>
              <w:rPr>
                <w:b/>
                <w:i/>
                <w:sz w:val="20"/>
              </w:rPr>
              <w:t>Death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 Termination of Service by reason of the Participant’s death, the unvested portion of the Award shall vest in full automatically and be paid to the Participant's legal representatives, heirs, legatees, or distributees in accordance with the second sentence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233" w:type="dxa"/>
        <w:jc w:val="left"/>
        <w:tblInd w:w="0" w:type="dxa"/>
        <w:tblLayout w:type="fixed"/>
        <w:tblCellMar>
          <w:top w:w="0" w:type="dxa"/>
          <w:left w:w="0" w:type="dxa"/>
          <w:bottom w:w="0" w:type="dxa"/>
          <w:right w:w="0" w:type="dxa"/>
        </w:tblCellMar>
      </w:tblPr>
      <w:tblGrid>
        <w:gridCol w:w="38"/>
        <w:gridCol w:w="245"/>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sz w:val="20"/>
              </w:rPr>
            </w:pPr>
            <w:r>
              <w:rPr>
                <w:b/>
                <w:i/>
                <w:sz w:val="20"/>
              </w:rPr>
              <w:t>(b)</w:t>
            </w:r>
          </w:p>
        </w:tc>
        <w:tc>
          <w:tcPr>
            <w:tcW w:w="950" w:type="dxa"/>
            <w:tcBorders/>
            <w:vAlign w:val="center"/>
          </w:tcPr>
          <w:p>
            <w:pPr>
              <w:pStyle w:val="TableContents"/>
              <w:bidi w:val="0"/>
              <w:spacing w:before="0" w:after="283"/>
              <w:jc w:val="both"/>
              <w:rPr>
                <w:b/>
                <w:i/>
                <w:sz w:val="20"/>
              </w:rPr>
            </w:pPr>
            <w:r>
              <w:rPr>
                <w:b/>
                <w:i/>
                <w:sz w:val="20"/>
              </w:rPr>
              <w:t>Retirement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 Termination of Service as a result of the Participant terminating his or her employment due to Retirement, the unvested portion of the Award shall be deemed to continue to vest according to the vesting schedule described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shall be paid to the Participant in accordance with the first sentence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provided that such Retirement occurs (i) more than twelve (12) months following the Date of Grant and (ii) at a time when the Participant is not being evaluated by the Company or an Affiliate thereof in connection with any potential involuntary Termination of Service due to Cause.</w:t>
      </w:r>
    </w:p>
    <w:p>
      <w:pPr>
        <w:pStyle w:val="TextBody"/>
        <w:bidi w:val="0"/>
        <w:spacing w:before="0" w:after="0"/>
        <w:ind w:left="0" w:right="0" w:hanging="0"/>
        <w:jc w:val="left"/>
        <w:rPr>
          <w:caps w:val="false"/>
          <w:smallCaps w:val="false"/>
        </w:rPr>
      </w:pPr>
      <w:r>
        <w:rPr>
          <w:caps w:val="false"/>
          <w:smallCaps w:val="false"/>
        </w:rPr>
        <w:t> </w:t>
      </w:r>
    </w:p>
    <w:tbl>
      <w:tblPr>
        <w:tblW w:w="1113" w:type="dxa"/>
        <w:jc w:val="left"/>
        <w:tblInd w:w="0" w:type="dxa"/>
        <w:tblLayout w:type="fixed"/>
        <w:tblCellMar>
          <w:top w:w="0" w:type="dxa"/>
          <w:left w:w="0" w:type="dxa"/>
          <w:bottom w:w="0" w:type="dxa"/>
          <w:right w:w="0" w:type="dxa"/>
        </w:tblCellMar>
      </w:tblPr>
      <w:tblGrid>
        <w:gridCol w:w="38"/>
        <w:gridCol w:w="230"/>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i/>
                <w:sz w:val="20"/>
              </w:rPr>
            </w:pPr>
            <w:r>
              <w:rPr>
                <w:b/>
                <w:i/>
                <w:sz w:val="20"/>
              </w:rPr>
              <w:t>(c)</w:t>
            </w:r>
          </w:p>
        </w:tc>
        <w:tc>
          <w:tcPr>
            <w:tcW w:w="845" w:type="dxa"/>
            <w:tcBorders/>
            <w:vAlign w:val="center"/>
          </w:tcPr>
          <w:p>
            <w:pPr>
              <w:pStyle w:val="TableContents"/>
              <w:bidi w:val="0"/>
              <w:spacing w:before="0" w:after="283"/>
              <w:jc w:val="both"/>
              <w:rPr>
                <w:b/>
                <w:i/>
                <w:sz w:val="20"/>
              </w:rPr>
            </w:pPr>
            <w:r>
              <w:rPr>
                <w:b/>
                <w:i/>
                <w:sz w:val="20"/>
              </w:rPr>
              <w:t>Disability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of the Participant’s Disability, the unvested portion of the Award shall vest in full automatically and be paid to the Participant in accordance with the second sentence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For purposes of this Agreement,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the Participant being unable to engage in any substantial gainful activity by reason of any medically determinable physical or mental impairment that can be expected to result in death or can be expected to last for a continuous period of not less than twelve (12) months.</w:t>
      </w:r>
    </w:p>
    <w:p>
      <w:pPr>
        <w:pStyle w:val="TextBody"/>
        <w:bidi w:val="0"/>
        <w:spacing w:before="0" w:after="0"/>
        <w:ind w:left="0" w:right="0" w:hanging="0"/>
        <w:jc w:val="left"/>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245"/>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sz w:val="20"/>
              </w:rPr>
            </w:pPr>
            <w:r>
              <w:rPr>
                <w:b/>
                <w:i/>
                <w:sz w:val="20"/>
              </w:rPr>
              <w:t>(d)</w:t>
            </w:r>
          </w:p>
        </w:tc>
        <w:tc>
          <w:tcPr>
            <w:tcW w:w="1580" w:type="dxa"/>
            <w:tcBorders/>
            <w:vAlign w:val="center"/>
          </w:tcPr>
          <w:p>
            <w:pPr>
              <w:pStyle w:val="TableContents"/>
              <w:bidi w:val="0"/>
              <w:spacing w:before="0" w:after="283"/>
              <w:jc w:val="both"/>
              <w:rPr>
                <w:b/>
                <w:i/>
                <w:sz w:val="20"/>
              </w:rPr>
            </w:pPr>
            <w:r>
              <w:rPr>
                <w:b/>
                <w:i/>
                <w:sz w:val="20"/>
              </w:rPr>
              <w:t>Change in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to the contrary, upon a Termination of Service as a result of the Company terminating the Participant’s employment without Cause or Participant’s resignation for Good Reason in connection with a Change in Control, the unvested portion of the Award shall vest in full automatically upon the later of such Change in Control or such termination of employment and be paid to the Participant in accordance with the second sentence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Company’s termination of the Participant’s employment or Participant’s resignation for Good Reason shall be treated as being in connection with a Change in Control only if such termination occurs during the period beginning six (6) months prior to the Change in Control and ending twenty-four (24) months following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Good Reason” has the meaning ascribed to such term in the Amended and Restated Employment Agreement by and among the Participant, the Company and certain other parties thereto, dated as of April 30, 2024 (as amended from time to time).</w:t>
      </w:r>
    </w:p>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i/>
                <w:sz w:val="20"/>
              </w:rPr>
            </w:pPr>
            <w:r>
              <w:rPr>
                <w:b/>
                <w:i/>
                <w:sz w:val="20"/>
              </w:rPr>
              <w:t>(e)</w:t>
            </w:r>
          </w:p>
        </w:tc>
        <w:tc>
          <w:tcPr>
            <w:tcW w:w="7325" w:type="dxa"/>
            <w:tcBorders/>
            <w:vAlign w:val="center"/>
          </w:tcPr>
          <w:p>
            <w:pPr>
              <w:pStyle w:val="TableContents"/>
              <w:bidi w:val="0"/>
              <w:spacing w:before="0" w:after="283"/>
              <w:jc w:val="both"/>
              <w:rPr>
                <w:b/>
                <w:i/>
                <w:sz w:val="20"/>
              </w:rPr>
            </w:pPr>
            <w:r>
              <w:rPr>
                <w:b/>
                <w:i/>
                <w:sz w:val="20"/>
              </w:rPr>
              <w:t>Termination of Service other than as a result of Death, Retirement, or Change in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Termination of Service by any reason other than death, Retirement, or Change in Control, including, without limitation, as a result of retirement that does not meet the requirements set forth in the definition of Retirement under the Plan, voluntary resignation (other than pursuant to a Retirement as defined in the Plan other than for Good Reason in connection with a Change in Control) or termination for Cause, any unvested portion of this Award (and any award or right related thereto) shall expire and be forfeited and no additional portion of the Award shall be paid.</w:t>
      </w:r>
    </w:p>
    <w:p>
      <w:pPr>
        <w:pStyle w:val="TextBody"/>
        <w:bidi w:val="0"/>
        <w:spacing w:before="0" w:after="0"/>
        <w:ind w:left="0" w:right="0" w:hanging="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0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i/>
                <w:sz w:val="20"/>
              </w:rPr>
            </w:pPr>
            <w:r>
              <w:rPr>
                <w:b/>
                <w:i/>
                <w:sz w:val="20"/>
              </w:rPr>
              <w:t>(f)</w:t>
            </w:r>
          </w:p>
        </w:tc>
        <w:tc>
          <w:tcPr>
            <w:tcW w:w="3335" w:type="dxa"/>
            <w:tcBorders/>
            <w:vAlign w:val="center"/>
          </w:tcPr>
          <w:p>
            <w:pPr>
              <w:pStyle w:val="TableContents"/>
              <w:bidi w:val="0"/>
              <w:spacing w:before="0" w:after="283"/>
              <w:jc w:val="both"/>
              <w:rPr>
                <w:b/>
                <w:i/>
                <w:sz w:val="20"/>
              </w:rPr>
            </w:pPr>
            <w:r>
              <w:rPr>
                <w:b/>
                <w:i/>
                <w:sz w:val="20"/>
              </w:rPr>
              <w:t>Clawback as a result of misconduct, etc.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determined by the Committee, (i) if the Company is required to prepare a material restatement of its financial statements, and the Committee (A) determines that the Participant knowingly engaged in the misconduct, was grossly negligent with respect to such misconduct, or acted knowingly or with gross negligence in failing to prevent the misconduct, or (B) concludes that the Participant engaged in willful fraud, embezzlement or other similar activity (including acts of omission) materially detrimental to the Company, or (ii) if the Company is required to prepare a restatement of its financial statements due to the Company’s noncompliance with any financial reporting requirement under the securities laws, including the Dodd-Frank Wall Street Reform and Consumer Protection Act and implementing rules and regulations thereunder, then, in each case, the Participant (or the Participant’s beneficiary) shall, as required by the Company or pursuant to its applicable policies or as required under applicable law, reimburse the Company for all or any portion of this Award, and/or forfeit the proceeds of any sale (including any sales to the Company) of any Company securities acquired by or on behalf of the Participant (or the Participant’s beneficiary) pursuant to the Award paid under this Agreement.</w:t>
      </w:r>
    </w:p>
    <w:p>
      <w:pPr>
        <w:pStyle w:val="TextBody"/>
        <w:bidi w:val="0"/>
        <w:spacing w:before="0" w:after="0"/>
        <w:ind w:left="0" w:right="0" w:hanging="0"/>
        <w:jc w:val="left"/>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17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9.</w:t>
            </w:r>
          </w:p>
        </w:tc>
        <w:tc>
          <w:tcPr>
            <w:tcW w:w="1835" w:type="dxa"/>
            <w:tcBorders/>
            <w:vAlign w:val="center"/>
          </w:tcPr>
          <w:p>
            <w:pPr>
              <w:pStyle w:val="TableContents"/>
              <w:bidi w:val="0"/>
              <w:spacing w:before="0" w:after="283"/>
              <w:jc w:val="both"/>
              <w:rPr>
                <w:b/>
                <w:sz w:val="20"/>
              </w:rPr>
            </w:pPr>
            <w:r>
              <w:rPr>
                <w:b/>
                <w:sz w:val="20"/>
              </w:rPr>
              <w:t>Committee Authority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question concerning the interpretation of this Agreement, any adjustments required to be made under the Plan, and any controversy that may arise under the Plan or this Agreement shall be determined by the Committee in its sole discretion. Any decisions by the Committee regarding the Plan or this Agreement shall be final and binding.</w:t>
      </w:r>
    </w:p>
    <w:p>
      <w:pPr>
        <w:pStyle w:val="TextBody"/>
        <w:bidi w:val="0"/>
        <w:spacing w:before="0" w:after="0"/>
        <w:ind w:left="0" w:right="0" w:hanging="0"/>
        <w:jc w:val="left"/>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275"/>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10.</w:t>
            </w:r>
          </w:p>
        </w:tc>
        <w:tc>
          <w:tcPr>
            <w:tcW w:w="1205" w:type="dxa"/>
            <w:tcBorders/>
            <w:vAlign w:val="center"/>
          </w:tcPr>
          <w:p>
            <w:pPr>
              <w:pStyle w:val="TableContents"/>
              <w:bidi w:val="0"/>
              <w:spacing w:before="0" w:after="283"/>
              <w:jc w:val="both"/>
              <w:rPr>
                <w:b/>
                <w:sz w:val="20"/>
              </w:rPr>
            </w:pPr>
            <w:r>
              <w:rPr>
                <w:b/>
                <w:sz w:val="20"/>
              </w:rPr>
              <w:t>Plan Controls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this Agreement are governed by the terms of the Plan, as it exists on the Date of Grant and as the Plan may be amended from time to time thereafter. In the event of any conflict between the provisions of this Agreement and the provisions of the Plan, the terms of the Plan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75"/>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11.</w:t>
            </w:r>
          </w:p>
        </w:tc>
        <w:tc>
          <w:tcPr>
            <w:tcW w:w="4100" w:type="dxa"/>
            <w:tcBorders/>
            <w:vAlign w:val="center"/>
          </w:tcPr>
          <w:p>
            <w:pPr>
              <w:pStyle w:val="TableContents"/>
              <w:bidi w:val="0"/>
              <w:spacing w:before="0" w:after="283"/>
              <w:jc w:val="both"/>
              <w:rPr>
                <w:b/>
                <w:sz w:val="20"/>
              </w:rPr>
            </w:pPr>
            <w:r>
              <w:rPr>
                <w:b/>
                <w:sz w:val="20"/>
              </w:rPr>
              <w:t>Limitation on Rights; No Right to Future Grants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entering into this Agreement, the Participant acknowledges that: (a) the Plan is discretionary and may be modified, suspended or terminated by the Company at any time, as provided in the Plan; provided that, except as provided in Section 22 of the Plan, no amendment to this Agreement shall adversely affect in a material manner the Participant’s rights hereunder without his or her written consent; (b) the grant of the Award hereunder is a one-time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 (d) participation in the Plan is voluntary; (e) the value of an Award is an extraordinary item that is outside the scope of the Participant’s employment contract, if any, unless expressly provided for in any such employment contract; (f) an 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(g) the future value of the Class C Common Stock subject to the Award is unknown and cannot be predicted with certainty; (h) neither the Plan, the Award nor the issuance of the shares underlying the Award confers upon the Participant any right to continue in the employ or service of (or any other relationship with) the Company or any Affiliate, nor do they limit in any respect the right of the Company or any Affiliate to terminate the Participant’s employment or other relationship with the Company or any Affiliate, as the case may be, at any time with or without Cause; and (i) the grant of the Award will not be interpreted to form an employment relationship with the Company or any Affiliate; and furthermore, the grant of the Award will not be interpreted to form an employment contract with the Company or any Affiliate.</w:t>
      </w:r>
    </w:p>
    <w:p>
      <w:pPr>
        <w:pStyle w:val="TextBody"/>
        <w:bidi w:val="0"/>
        <w:spacing w:before="0" w:after="0"/>
        <w:ind w:left="0" w:right="0" w:hanging="0"/>
        <w:jc w:val="left"/>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275"/>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12.</w:t>
            </w:r>
          </w:p>
        </w:tc>
        <w:tc>
          <w:tcPr>
            <w:tcW w:w="1670" w:type="dxa"/>
            <w:tcBorders/>
            <w:vAlign w:val="center"/>
          </w:tcPr>
          <w:p>
            <w:pPr>
              <w:pStyle w:val="TableContents"/>
              <w:bidi w:val="0"/>
              <w:spacing w:before="0" w:after="283"/>
              <w:jc w:val="both"/>
              <w:rPr>
                <w:b/>
                <w:sz w:val="20"/>
              </w:rPr>
            </w:pPr>
            <w:r>
              <w:rPr>
                <w:b/>
                <w:sz w:val="20"/>
              </w:rPr>
              <w:t>General Provisions</w:t>
            </w:r>
          </w:p>
        </w:tc>
      </w:tr>
    </w:tbl>
    <w:p>
      <w:pPr>
        <w:pStyle w:val="TextBody"/>
        <w:bidi w:val="0"/>
        <w:spacing w:before="0" w:after="0"/>
        <w:ind w:left="0" w:right="0" w:hanging="0"/>
        <w:jc w:val="left"/>
        <w:rPr>
          <w:caps w:val="false"/>
          <w:smallCaps w:val="false"/>
        </w:rPr>
      </w:pPr>
      <w:r>
        <w:rPr>
          <w:caps w:val="false"/>
          <w:smallCaps w:val="false"/>
        </w:rPr>
        <w:t> </w:t>
      </w:r>
    </w:p>
    <w:tbl>
      <w:tblPr>
        <w:tblW w:w="858" w:type="dxa"/>
        <w:jc w:val="left"/>
        <w:tblInd w:w="0" w:type="dxa"/>
        <w:tblLayout w:type="fixed"/>
        <w:tblCellMar>
          <w:top w:w="0" w:type="dxa"/>
          <w:left w:w="0" w:type="dxa"/>
          <w:bottom w:w="0" w:type="dxa"/>
          <w:right w:w="0" w:type="dxa"/>
        </w:tblCellMar>
      </w:tblPr>
      <w:tblGrid>
        <w:gridCol w:w="38"/>
        <w:gridCol w:w="245"/>
        <w:gridCol w:w="5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sz w:val="20"/>
              </w:rPr>
            </w:pPr>
            <w:r>
              <w:rPr>
                <w:b/>
                <w:i/>
                <w:sz w:val="20"/>
              </w:rPr>
              <w:t>(a)</w:t>
            </w:r>
          </w:p>
        </w:tc>
        <w:tc>
          <w:tcPr>
            <w:tcW w:w="575" w:type="dxa"/>
            <w:tcBorders/>
            <w:vAlign w:val="center"/>
          </w:tcPr>
          <w:p>
            <w:pPr>
              <w:pStyle w:val="TableContents"/>
              <w:bidi w:val="0"/>
              <w:spacing w:before="0" w:after="283"/>
              <w:jc w:val="both"/>
              <w:rPr>
                <w:b/>
                <w:i/>
                <w:sz w:val="20"/>
              </w:rPr>
            </w:pPr>
            <w:r>
              <w:rPr>
                <w:b/>
                <w:i/>
                <w:sz w:val="20"/>
              </w:rPr>
              <w:t>Notice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notices delivered electronically shall be deemed to be delivered when 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920"/>
        <w:gridCol w:w="4145"/>
      </w:tblGrid>
      <w:tr>
        <w:trPr/>
        <w:tc>
          <w:tcPr>
            <w:tcW w:w="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w:t>
            </w:r>
          </w:p>
        </w:tc>
        <w:tc>
          <w:tcPr>
            <w:tcW w:w="4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Clearway Energy, Inc.</w:t>
            </w:r>
          </w:p>
        </w:tc>
      </w:tr>
      <w:tr>
        <w:trPr/>
        <w:tc>
          <w:tcPr>
            <w:tcW w:w="92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Attn: EVP, General Counsel &amp; Corporate Secretary</w:t>
            </w:r>
          </w:p>
        </w:tc>
      </w:tr>
      <w:tr>
        <w:trPr/>
        <w:tc>
          <w:tcPr>
            <w:tcW w:w="92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300 Carnegie Center, Suite 300</w:t>
            </w:r>
          </w:p>
        </w:tc>
      </w:tr>
      <w:tr>
        <w:trPr/>
        <w:tc>
          <w:tcPr>
            <w:tcW w:w="92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Princeton, NJ 08450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Participant may change, by written notice to the other, the address previously specified for receiving notices.</w:t>
      </w:r>
    </w:p>
    <w:p>
      <w:pPr>
        <w:pStyle w:val="TextBody"/>
        <w:bidi w:val="0"/>
        <w:spacing w:before="0" w:after="0"/>
        <w:ind w:left="0" w:right="0" w:hanging="0"/>
        <w:jc w:val="left"/>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245"/>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sz w:val="20"/>
              </w:rPr>
            </w:pPr>
            <w:r>
              <w:rPr>
                <w:b/>
                <w:i/>
                <w:sz w:val="20"/>
              </w:rPr>
              <w:t>(b)</w:t>
            </w:r>
          </w:p>
        </w:tc>
        <w:tc>
          <w:tcPr>
            <w:tcW w:w="920" w:type="dxa"/>
            <w:tcBorders/>
            <w:vAlign w:val="center"/>
          </w:tcPr>
          <w:p>
            <w:pPr>
              <w:pStyle w:val="TableContents"/>
              <w:bidi w:val="0"/>
              <w:spacing w:before="0" w:after="283"/>
              <w:jc w:val="both"/>
              <w:rPr>
                <w:b/>
                <w:i/>
                <w:sz w:val="20"/>
              </w:rPr>
            </w:pPr>
            <w:r>
              <w:rPr>
                <w:b/>
                <w:i/>
                <w:sz w:val="20"/>
              </w:rPr>
              <w:t>No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pStyle w:val="TextBody"/>
        <w:bidi w:val="0"/>
        <w:spacing w:before="0" w:after="0"/>
        <w:ind w:left="0" w:right="0" w:hanging="0"/>
        <w:jc w:val="left"/>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23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i/>
                <w:sz w:val="20"/>
              </w:rPr>
            </w:pPr>
            <w:r>
              <w:rPr>
                <w:b/>
                <w:i/>
                <w:sz w:val="20"/>
              </w:rPr>
              <w:t>(c)</w:t>
            </w:r>
          </w:p>
        </w:tc>
        <w:tc>
          <w:tcPr>
            <w:tcW w:w="1085" w:type="dxa"/>
            <w:tcBorders/>
            <w:vAlign w:val="center"/>
          </w:tcPr>
          <w:p>
            <w:pPr>
              <w:pStyle w:val="TableContents"/>
              <w:bidi w:val="0"/>
              <w:spacing w:before="0" w:after="283"/>
              <w:jc w:val="both"/>
              <w:rPr>
                <w:b/>
                <w:i/>
                <w:sz w:val="20"/>
              </w:rPr>
            </w:pPr>
            <w:r>
              <w:rPr>
                <w:b/>
                <w:i/>
                <w:sz w:val="20"/>
              </w:rPr>
              <w:t>Undertaking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pStyle w:val="TextBody"/>
        <w:bidi w:val="0"/>
        <w:spacing w:before="0" w:after="0"/>
        <w:ind w:left="0" w:right="0" w:hanging="0"/>
        <w:jc w:val="left"/>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45"/>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sz w:val="20"/>
              </w:rPr>
            </w:pPr>
            <w:r>
              <w:rPr>
                <w:b/>
                <w:i/>
                <w:sz w:val="20"/>
              </w:rPr>
              <w:t>(d)</w:t>
            </w:r>
          </w:p>
        </w:tc>
        <w:tc>
          <w:tcPr>
            <w:tcW w:w="1340" w:type="dxa"/>
            <w:tcBorders/>
            <w:vAlign w:val="center"/>
          </w:tcPr>
          <w:p>
            <w:pPr>
              <w:pStyle w:val="TableContents"/>
              <w:bidi w:val="0"/>
              <w:spacing w:before="0" w:after="283"/>
              <w:jc w:val="both"/>
              <w:rPr>
                <w:b/>
                <w:i/>
                <w:sz w:val="20"/>
              </w:rPr>
            </w:pPr>
            <w:r>
              <w:rPr>
                <w:b/>
                <w:i/>
                <w:sz w:val="20"/>
              </w:rPr>
              <w:t>Entire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pStyle w:val="TextBody"/>
        <w:bidi w:val="0"/>
        <w:spacing w:before="0" w:after="0"/>
        <w:ind w:left="0" w:right="0" w:hanging="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23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i/>
                <w:sz w:val="20"/>
              </w:rPr>
            </w:pPr>
            <w:r>
              <w:rPr>
                <w:b/>
                <w:i/>
                <w:sz w:val="20"/>
              </w:rPr>
              <w:t>(e)</w:t>
            </w:r>
          </w:p>
        </w:tc>
        <w:tc>
          <w:tcPr>
            <w:tcW w:w="1955" w:type="dxa"/>
            <w:tcBorders/>
            <w:vAlign w:val="center"/>
          </w:tcPr>
          <w:p>
            <w:pPr>
              <w:pStyle w:val="TableContents"/>
              <w:bidi w:val="0"/>
              <w:spacing w:before="0" w:after="283"/>
              <w:jc w:val="both"/>
              <w:rPr>
                <w:b/>
                <w:i/>
                <w:sz w:val="20"/>
              </w:rPr>
            </w:pPr>
            <w:r>
              <w:rPr>
                <w:b/>
                <w:i/>
                <w:sz w:val="20"/>
              </w:rPr>
              <w:t>Successors and Assigns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Agreement shall inure to the benefit of, and be binding on, the Company and its successors and assigns and the Participant and the Participant's legal representatives, heirs, legatees, distributees, assigns and transferees by operation of law.</w:t>
      </w:r>
    </w:p>
    <w:p>
      <w:pPr>
        <w:pStyle w:val="TextBody"/>
        <w:bidi w:val="0"/>
        <w:spacing w:before="0" w:after="0"/>
        <w:ind w:left="0" w:right="0" w:hanging="0"/>
        <w:jc w:val="left"/>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20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i/>
                <w:sz w:val="20"/>
              </w:rPr>
            </w:pPr>
            <w:r>
              <w:rPr>
                <w:b/>
                <w:i/>
                <w:sz w:val="20"/>
              </w:rPr>
              <w:t>(f)</w:t>
            </w:r>
          </w:p>
        </w:tc>
        <w:tc>
          <w:tcPr>
            <w:tcW w:w="2300" w:type="dxa"/>
            <w:tcBorders/>
            <w:vAlign w:val="center"/>
          </w:tcPr>
          <w:p>
            <w:pPr>
              <w:pStyle w:val="TableContents"/>
              <w:bidi w:val="0"/>
              <w:spacing w:before="0" w:after="283"/>
              <w:jc w:val="both"/>
              <w:rPr>
                <w:b/>
                <w:i/>
                <w:sz w:val="20"/>
              </w:rPr>
            </w:pPr>
            <w:r>
              <w:rPr>
                <w:b/>
                <w:i/>
                <w:sz w:val="20"/>
              </w:rPr>
              <w:t>Securities Law Compliance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has an effective registration statement on file with the Securities and Exchange Commission with respect to the shares of Class C Common Stock underlying the RSUs awarded under this Agreement. The Company intends to maintain this registration statement but has no obligation to the Participant to do so. If the registration statement ceases to be effective, the Participant may not be able to transfer or sell any shares of Class C Common Stock that are issued pursuant to the Award, unless exemptions from registration under applicable securities laws are available. Such exemptions from registration are very limited and might be unavailable. The Participant agrees that any resale of the shares of Class C Common Stock issued pursuant to the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Class C Common Stock or permit the resale of any such shares if such issuance or resale would violate any such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13" w:type="dxa"/>
        <w:jc w:val="left"/>
        <w:tblInd w:w="0" w:type="dxa"/>
        <w:tblLayout w:type="fixed"/>
        <w:tblCellMar>
          <w:top w:w="0" w:type="dxa"/>
          <w:left w:w="0" w:type="dxa"/>
          <w:bottom w:w="0" w:type="dxa"/>
          <w:right w:w="0" w:type="dxa"/>
        </w:tblCellMar>
      </w:tblPr>
      <w:tblGrid>
        <w:gridCol w:w="38"/>
        <w:gridCol w:w="245"/>
        <w:gridCol w:w="5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sz w:val="20"/>
              </w:rPr>
            </w:pPr>
            <w:r>
              <w:rPr>
                <w:b/>
                <w:i/>
                <w:sz w:val="20"/>
              </w:rPr>
              <w:t>(g)</w:t>
            </w:r>
          </w:p>
        </w:tc>
        <w:tc>
          <w:tcPr>
            <w:tcW w:w="530" w:type="dxa"/>
            <w:tcBorders/>
            <w:vAlign w:val="center"/>
          </w:tcPr>
          <w:p>
            <w:pPr>
              <w:pStyle w:val="TableContents"/>
              <w:bidi w:val="0"/>
              <w:spacing w:before="0" w:after="283"/>
              <w:jc w:val="both"/>
              <w:rPr>
                <w:b/>
                <w:i/>
                <w:sz w:val="20"/>
              </w:rPr>
            </w:pPr>
            <w:r>
              <w:rPr>
                <w:b/>
                <w:i/>
                <w:sz w:val="20"/>
              </w:rPr>
              <w:t>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acknowledges that the removal of restrictions with respect to an Award will give rise to a withholding tax liability, and that no shares of Class C Common Stock are issuable hereunder until such withholding obligation is satisfied in full. The Participant agrees to remit to the Company the amount of any taxes required to be withheld. The Committee, in its sole discretion, may permit the Participant to satisfy all or part of such tax obligation by (i) withholding the number of shares of Class C Common Stock otherwise issuable to the Participant hereunder and/or (ii) the Participant transferring to the Company unrestricted shares of Class C Common Stock previously owned by the Participant for at least six (6) months prior to the vesting of the Award hereunder that have a Fair Market Value equal to the amount of the withholding to be credited. Such value shall be based on the Fair Market Value of the Class C Common Stock as of the date the amount of tax to be withheld is determined.</w:t>
      </w:r>
    </w:p>
    <w:p>
      <w:pPr>
        <w:pStyle w:val="TextBody"/>
        <w:bidi w:val="0"/>
        <w:spacing w:before="0" w:after="0"/>
        <w:ind w:left="0" w:right="0" w:hanging="0"/>
        <w:jc w:val="left"/>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245"/>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sz w:val="20"/>
              </w:rPr>
            </w:pPr>
            <w:r>
              <w:rPr>
                <w:b/>
                <w:i/>
                <w:sz w:val="20"/>
              </w:rPr>
              <w:t>(h)</w:t>
            </w:r>
          </w:p>
        </w:tc>
        <w:tc>
          <w:tcPr>
            <w:tcW w:w="1295" w:type="dxa"/>
            <w:tcBorders/>
            <w:vAlign w:val="center"/>
          </w:tcPr>
          <w:p>
            <w:pPr>
              <w:pStyle w:val="TableContents"/>
              <w:bidi w:val="0"/>
              <w:spacing w:before="0" w:after="283"/>
              <w:jc w:val="both"/>
              <w:rPr>
                <w:b/>
                <w:i/>
                <w:sz w:val="20"/>
              </w:rPr>
            </w:pPr>
            <w:r>
              <w:rPr>
                <w:b/>
                <w:i/>
                <w:sz w:val="20"/>
              </w:rPr>
              <w:t>Confidentiality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partial consideration for the granting of this Award, the Participant agrees that he or she will keep confidential all information and knowledge that the Participant has relating to the manner and amount of his or her participation in the Plan; provided, however, that such information may be disclosed as required by law and may be given in confidence to the Participant’s spouse, tax and financial advisors, or to a financial institution to the extent that such information is necessary to obtain a loan.</w:t>
      </w:r>
    </w:p>
    <w:p>
      <w:pPr>
        <w:pStyle w:val="TextBody"/>
        <w:bidi w:val="0"/>
        <w:spacing w:before="0" w:after="0"/>
        <w:ind w:left="0" w:right="0" w:hanging="0"/>
        <w:jc w:val="left"/>
        <w:rPr>
          <w:caps w:val="false"/>
          <w:smallCaps w:val="false"/>
        </w:rPr>
      </w:pPr>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38"/>
        <w:gridCol w:w="20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i/>
                <w:sz w:val="20"/>
              </w:rPr>
            </w:pPr>
            <w:r>
              <w:rPr>
                <w:b/>
                <w:i/>
                <w:sz w:val="20"/>
              </w:rPr>
              <w:t>(i)</w:t>
            </w:r>
          </w:p>
        </w:tc>
        <w:tc>
          <w:tcPr>
            <w:tcW w:w="1310" w:type="dxa"/>
            <w:tcBorders/>
            <w:vAlign w:val="center"/>
          </w:tcPr>
          <w:p>
            <w:pPr>
              <w:pStyle w:val="TableContents"/>
              <w:bidi w:val="0"/>
              <w:spacing w:before="0" w:after="283"/>
              <w:jc w:val="both"/>
              <w:rPr>
                <w:b/>
                <w:i/>
                <w:sz w:val="20"/>
              </w:rPr>
            </w:pPr>
            <w:r>
              <w:rPr>
                <w:b/>
                <w:i/>
                <w:sz w:val="20"/>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otherwise be provided in the Plan, the provisions of this Agreement shall be governed by the laws of the State of Delaware without giving effect to principles of conflicts of law.</w:t>
      </w:r>
    </w:p>
    <w:p>
      <w:pPr>
        <w:pStyle w:val="TextBody"/>
        <w:bidi w:val="0"/>
        <w:spacing w:before="0" w:after="0"/>
        <w:ind w:left="0" w:right="0" w:hanging="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20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i/>
                <w:sz w:val="20"/>
              </w:rPr>
            </w:pPr>
            <w:r>
              <w:rPr>
                <w:b/>
                <w:i/>
                <w:sz w:val="20"/>
              </w:rPr>
              <w:t>(j)</w:t>
            </w:r>
          </w:p>
        </w:tc>
        <w:tc>
          <w:tcPr>
            <w:tcW w:w="2675" w:type="dxa"/>
            <w:tcBorders/>
            <w:vAlign w:val="center"/>
          </w:tcPr>
          <w:p>
            <w:pPr>
              <w:pStyle w:val="TableContents"/>
              <w:bidi w:val="0"/>
              <w:spacing w:before="0" w:after="283"/>
              <w:jc w:val="both"/>
              <w:rPr>
                <w:b/>
                <w:i/>
                <w:sz w:val="20"/>
              </w:rPr>
            </w:pPr>
            <w:r>
              <w:rPr>
                <w:b/>
                <w:i/>
                <w:sz w:val="20"/>
              </w:rPr>
              <w:t>Code Section 409A Compliance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hereunder is intended to be exempt from, or compliant with, Code Section 409A and, in construing any ambiguity regarding a matter hereunder that bears upon its exemption from, or compliance with, Code Section 409A, this Agreement and the Plan shall, to the extent possible, be construed in accordance with such intent. To the extent that the Committee determines that the Award hereunder is subject to Code Section 409A and fails to comply with the requirements of such Section, notwithstanding anything to the contrary contained in the Plan or in this Agreement, the Committee reserves the right to amend, restructure, terminate or replace this Award in order to cause the Award to either be exempt from Code Section 409A or compliant with the applicable provisions of such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has been executed as of the Date of Grant.</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545"/>
        <w:gridCol w:w="368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Malcarney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EVP, General Counsel &amp;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CLEARWAY ENERGY,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 OF RELATIVE PERFORMANCE STOCK UNIT GRANT</w:t>
      </w:r>
      <w:r>
        <w:rPr>
          <w:rFonts w:ascii="Times New Roman;Times;Serif" w:hAnsi="Times New Roman;Times;Serif"/>
          <w:b w:val="false"/>
          <w:i w:val="false"/>
          <w:caps w:val="false"/>
          <w:smallCaps w:val="false"/>
          <w:sz w:val="20"/>
        </w:rPr>
        <w:t xml:space="preserve">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CRAIG CORNELIUS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Congratulations on your selection as a Participant under the Clearway Energy, Inc. Amended and Restated 2013 Equity Incentive Plan</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You have been chosen to receive Relative Performance Stock Units (“</w:t>
      </w:r>
      <w:r>
        <w:rPr>
          <w:rFonts w:ascii="Times New Roman;Times;Serif" w:hAnsi="Times New Roman;Times;Serif"/>
          <w:b w:val="false"/>
          <w:i w:val="false"/>
          <w:caps w:val="false"/>
          <w:smallCaps w:val="false"/>
          <w:sz w:val="20"/>
          <w:u w:val="single"/>
        </w:rPr>
        <w:t>RPSUs</w:t>
      </w:r>
      <w:r>
        <w:rPr>
          <w:rFonts w:ascii="Times New Roman;Times;Serif" w:hAnsi="Times New Roman;Times;Serif"/>
          <w:b w:val="false"/>
          <w:i w:val="false"/>
          <w:caps w:val="false"/>
          <w:smallCaps w:val="false"/>
          <w:sz w:val="20"/>
        </w:rPr>
        <w:t>”) under the Plan. This Notice of Relative Performance Stock Unit Grant (the “</w:t>
      </w:r>
      <w:r>
        <w:rPr>
          <w:rFonts w:ascii="Times New Roman;Times;Serif" w:hAnsi="Times New Roman;Times;Serif"/>
          <w:b w:val="false"/>
          <w:i w:val="false"/>
          <w:caps w:val="false"/>
          <w:smallCaps w:val="false"/>
          <w:sz w:val="20"/>
          <w:u w:val="single"/>
        </w:rPr>
        <w:t>Grant Notice</w:t>
      </w:r>
      <w:r>
        <w:rPr>
          <w:rFonts w:ascii="Times New Roman;Times;Serif" w:hAnsi="Times New Roman;Times;Serif"/>
          <w:b w:val="false"/>
          <w:i w:val="false"/>
          <w:caps w:val="false"/>
          <w:smallCaps w:val="false"/>
          <w:sz w:val="20"/>
        </w:rPr>
        <w:t>”) and the attached Relative Performance Stock Unit Agreement (collectively referred to as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constitute an agreement between you and Clearway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pursuant to Section 9 of the Plan. In the event of any inconsistency between the terms of this Agreement and the terms of the Plan, the Plan’s terms shall supersede and replace the conflicting terms of this Agreement. Capitalized terms used but not defined in this Agreement shall have the meaning assigned to them in the Plan. You are sometimes referred to as the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RPSUs are hereby granted as follows to Craig Cornelius: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4"/>
        <w:gridCol w:w="60"/>
        <w:gridCol w:w="8706"/>
      </w:tblGrid>
      <w:tr>
        <w:trPr/>
        <w:tc>
          <w:tcPr>
            <w:tcW w:w="75"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Grant:</w:t>
            </w:r>
          </w:p>
        </w:tc>
        <w:tc>
          <w:tcPr>
            <w:tcW w:w="60" w:type="dxa"/>
            <w:tcBorders/>
            <w:vAlign w:val="center"/>
          </w:tcPr>
          <w:p>
            <w:pPr>
              <w:pStyle w:val="TableContents"/>
              <w:bidi w:val="0"/>
              <w:spacing w:before="0" w:after="283"/>
              <w:jc w:val="left"/>
              <w:rPr/>
            </w:pPr>
            <w:r>
              <w:rPr/>
              <w:t> </w:t>
            </w:r>
          </w:p>
        </w:tc>
        <w:tc>
          <w:tcPr>
            <w:tcW w:w="87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July 1, 2024</w:t>
            </w:r>
          </w:p>
        </w:tc>
      </w:tr>
      <w:tr>
        <w:trPr/>
        <w:tc>
          <w:tcPr>
            <w:tcW w:w="75"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Period:</w:t>
            </w:r>
          </w:p>
        </w:tc>
        <w:tc>
          <w:tcPr>
            <w:tcW w:w="60" w:type="dxa"/>
            <w:tcBorders/>
            <w:vAlign w:val="center"/>
          </w:tcPr>
          <w:p>
            <w:pPr>
              <w:pStyle w:val="TableContents"/>
              <w:bidi w:val="0"/>
              <w:spacing w:before="0" w:after="283"/>
              <w:jc w:val="left"/>
              <w:rPr/>
            </w:pPr>
            <w:r>
              <w:rPr/>
              <w:t> </w:t>
            </w:r>
          </w:p>
        </w:tc>
        <w:tc>
          <w:tcPr>
            <w:tcW w:w="87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30, 2024 through December 31, 2026</w:t>
            </w:r>
          </w:p>
        </w:tc>
      </w:tr>
      <w:tr>
        <w:trPr/>
        <w:tc>
          <w:tcPr>
            <w:tcW w:w="75"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Period:</w:t>
            </w:r>
          </w:p>
        </w:tc>
        <w:tc>
          <w:tcPr>
            <w:tcW w:w="60" w:type="dxa"/>
            <w:tcBorders/>
            <w:vAlign w:val="center"/>
          </w:tcPr>
          <w:p>
            <w:pPr>
              <w:pStyle w:val="TableContents"/>
              <w:bidi w:val="0"/>
              <w:spacing w:before="0" w:after="283"/>
              <w:jc w:val="left"/>
              <w:rPr/>
            </w:pPr>
            <w:r>
              <w:rPr/>
              <w:t> </w:t>
            </w:r>
          </w:p>
        </w:tc>
        <w:tc>
          <w:tcPr>
            <w:tcW w:w="87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 2024 through April 14, 2027</w:t>
            </w:r>
          </w:p>
        </w:tc>
      </w:tr>
      <w:tr>
        <w:trPr/>
        <w:tc>
          <w:tcPr>
            <w:tcW w:w="75"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Target Award:</w:t>
            </w:r>
          </w:p>
        </w:tc>
        <w:tc>
          <w:tcPr>
            <w:tcW w:w="60" w:type="dxa"/>
            <w:tcBorders/>
            <w:vAlign w:val="center"/>
          </w:tcPr>
          <w:p>
            <w:pPr>
              <w:pStyle w:val="TableContents"/>
              <w:bidi w:val="0"/>
              <w:spacing w:before="0" w:after="283"/>
              <w:jc w:val="left"/>
              <w:rPr/>
            </w:pPr>
            <w:r>
              <w:rPr/>
              <w:t> </w:t>
            </w:r>
          </w:p>
        </w:tc>
        <w:tc>
          <w:tcPr>
            <w:tcW w:w="870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Final Award: </w:t>
            </w:r>
          </w:p>
        </w:tc>
        <w:tc>
          <w:tcPr>
            <w:tcW w:w="60" w:type="dxa"/>
            <w:tcBorders/>
            <w:vAlign w:val="center"/>
          </w:tcPr>
          <w:p>
            <w:pPr>
              <w:pStyle w:val="TableContents"/>
              <w:bidi w:val="0"/>
              <w:spacing w:before="0" w:after="283"/>
              <w:jc w:val="left"/>
              <w:rPr/>
            </w:pPr>
            <w:r>
              <w:rPr/>
              <w:t> </w:t>
            </w:r>
          </w:p>
        </w:tc>
        <w:tc>
          <w:tcPr>
            <w:tcW w:w="87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Target Award multiplied by “Payout Percentage” based on the Company’s total shareholder return relative to total shareholder return of peer group members, as set forth in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Final Award shall be made in Clearway Energy, Inc. Class C Common Stock and shall be made no earlier than April 15, 2027 and no later than June 30, 2027, subject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 xml:space="preserve">Section 8 </w:t>
      </w:r>
      <w:r>
        <w:rPr>
          <w:rFonts w:ascii="Times New Roman;Times;Serif" w:hAnsi="Times New Roman;Times;Serif"/>
          <w:b w:val="false"/>
          <w:i w:val="false"/>
          <w:caps w:val="false"/>
          <w:smallCaps w:val="false"/>
          <w:sz w:val="20"/>
        </w:rPr>
        <w:t>of this Agreement, if your employment by, or service to, the Company or an Affiliate thereof is terminated at any time during the Restricted Period, any award or right granted hereunder shall expire and be forfeited, and no Final Award or dividend equivalent related thereto shall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disagree with any of the terms of this Award or choose not to accept this Award, please contact Shannon Reznick at 281-906-0827 within 45 days of the Date of Grant. Otherwise, you will be deemed to have accepted this Award under the terms and conditions set forth in this Agreement and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As amended and restated on January 1,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RELATIVE PERFORMANCE STOCK UNIT AGREEMENT</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Relative Performance Stock Unit Agreement, dated as of the Date of Grant set forth in the Notice of Relative Performance Stock Unit Grant (the “</w:t>
      </w:r>
      <w:r>
        <w:rPr>
          <w:rFonts w:ascii="Times New Roman;Times;Serif" w:hAnsi="Times New Roman;Times;Serif"/>
          <w:b w:val="false"/>
          <w:i w:val="false"/>
          <w:caps w:val="false"/>
          <w:smallCaps w:val="false"/>
          <w:sz w:val="20"/>
          <w:u w:val="single"/>
        </w:rPr>
        <w:t>Grant Notice</w:t>
      </w:r>
      <w:r>
        <w:rPr>
          <w:rFonts w:ascii="Times New Roman;Times;Serif" w:hAnsi="Times New Roman;Times;Serif"/>
          <w:b w:val="false"/>
          <w:i w:val="false"/>
          <w:caps w:val="false"/>
          <w:smallCaps w:val="false"/>
          <w:sz w:val="20"/>
        </w:rPr>
        <w:t>,” and together with this Relative Performance Stock Unit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to which this Agreement is attached, is made between Clearway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Participant, as set forth in the Grant Notice. The Grant Notice is included in, and made part of, this Agreement.</w:t>
      </w:r>
    </w:p>
    <w:p>
      <w:pPr>
        <w:pStyle w:val="TextBody"/>
        <w:bidi w:val="0"/>
        <w:spacing w:before="0" w:after="0"/>
        <w:ind w:left="0" w:right="0" w:hanging="0"/>
        <w:jc w:val="left"/>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color w:val="010000"/>
                <w:sz w:val="20"/>
              </w:rPr>
            </w:pPr>
            <w:r>
              <w:rPr>
                <w:b/>
                <w:color w:val="010000"/>
                <w:sz w:val="20"/>
              </w:rPr>
              <w:t>1.</w:t>
            </w:r>
          </w:p>
        </w:tc>
        <w:tc>
          <w:tcPr>
            <w:tcW w:w="4130" w:type="dxa"/>
            <w:tcBorders/>
            <w:vAlign w:val="center"/>
          </w:tcPr>
          <w:p>
            <w:pPr>
              <w:pStyle w:val="TableContents"/>
              <w:bidi w:val="0"/>
              <w:spacing w:before="0" w:after="283"/>
              <w:jc w:val="both"/>
              <w:rPr>
                <w:b/>
                <w:sz w:val="20"/>
              </w:rPr>
            </w:pPr>
            <w:r>
              <w:rPr>
                <w:b/>
                <w:sz w:val="20"/>
              </w:rPr>
              <w:t>Performance Criteria and Award Determination</w:t>
            </w:r>
          </w:p>
        </w:tc>
      </w:tr>
    </w:tbl>
    <w:p>
      <w:pPr>
        <w:pStyle w:val="TextBody"/>
        <w:bidi w:val="0"/>
        <w:spacing w:before="0" w:after="0"/>
        <w:ind w:left="0" w:right="0" w:hanging="0"/>
        <w:jc w:val="left"/>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24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color w:val="010000"/>
                <w:sz w:val="20"/>
              </w:rPr>
            </w:pPr>
            <w:r>
              <w:rPr>
                <w:b/>
                <w:i/>
                <w:color w:val="010000"/>
                <w:sz w:val="20"/>
              </w:rPr>
              <w:t>(a)</w:t>
            </w:r>
          </w:p>
        </w:tc>
        <w:tc>
          <w:tcPr>
            <w:tcW w:w="2645" w:type="dxa"/>
            <w:tcBorders/>
            <w:vAlign w:val="center"/>
          </w:tcPr>
          <w:p>
            <w:pPr>
              <w:pStyle w:val="TableContents"/>
              <w:bidi w:val="0"/>
              <w:spacing w:before="0" w:after="283"/>
              <w:jc w:val="both"/>
              <w:rPr>
                <w:b/>
                <w:i/>
                <w:sz w:val="20"/>
              </w:rPr>
            </w:pPr>
            <w:r>
              <w:rPr>
                <w:b/>
                <w:i/>
                <w:sz w:val="20"/>
              </w:rPr>
              <w:t>General - Award Determination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this Agreement and the provisions of the Clearway Energy, Inc. Amended and Restated 2013 Equity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the Company hereby grants to the Participant the number of Relative Performance Stock Units (“</w:t>
      </w:r>
      <w:r>
        <w:rPr>
          <w:rFonts w:ascii="Times New Roman;Times;Serif" w:hAnsi="Times New Roman;Times;Serif"/>
          <w:b w:val="false"/>
          <w:i w:val="false"/>
          <w:caps w:val="false"/>
          <w:smallCaps w:val="false"/>
          <w:sz w:val="20"/>
          <w:u w:val="single"/>
        </w:rPr>
        <w:t>RPSUs</w:t>
      </w:r>
      <w:r>
        <w:rPr>
          <w:rFonts w:ascii="Times New Roman;Times;Serif" w:hAnsi="Times New Roman;Times;Serif"/>
          <w:b w:val="false"/>
          <w:i w:val="false"/>
          <w:caps w:val="false"/>
          <w:smallCaps w:val="false"/>
          <w:sz w:val="20"/>
        </w:rPr>
        <w:t>”), set forth in the Grant Notice (“</w:t>
      </w:r>
      <w:r>
        <w:rPr>
          <w:rFonts w:ascii="Times New Roman;Times;Serif" w:hAnsi="Times New Roman;Times;Serif"/>
          <w:b w:val="false"/>
          <w:i w:val="false"/>
          <w:caps w:val="false"/>
          <w:smallCaps w:val="false"/>
          <w:sz w:val="20"/>
          <w:u w:val="single"/>
        </w:rPr>
        <w:t>Target Award</w:t>
      </w:r>
      <w:r>
        <w:rPr>
          <w:rFonts w:ascii="Times New Roman;Times;Serif" w:hAnsi="Times New Roman;Times;Serif"/>
          <w:b w:val="false"/>
          <w:i w:val="false"/>
          <w:caps w:val="false"/>
          <w:smallCaps w:val="false"/>
          <w:sz w:val="20"/>
        </w:rPr>
        <w:t>”), each of which will have a value equivalent to one (1) share of the Company’s Class C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the Restricted Period, the Participant shall be entitled to receive a payment, payable in shares of the Company’s Class C Common Stock, equal to the Target Award times a “Payout Percentage” (the “</w:t>
      </w:r>
      <w:r>
        <w:rPr>
          <w:rFonts w:ascii="Times New Roman;Times;Serif" w:hAnsi="Times New Roman;Times;Serif"/>
          <w:b w:val="false"/>
          <w:i w:val="false"/>
          <w:caps w:val="false"/>
          <w:smallCaps w:val="false"/>
          <w:sz w:val="20"/>
          <w:u w:val="single"/>
        </w:rPr>
        <w:t>Final Award</w:t>
      </w:r>
      <w:r>
        <w:rPr>
          <w:rFonts w:ascii="Times New Roman;Times;Serif" w:hAnsi="Times New Roman;Times;Serif"/>
          <w:b w:val="false"/>
          <w:i w:val="false"/>
          <w:caps w:val="false"/>
          <w:smallCaps w:val="false"/>
          <w:sz w:val="20"/>
        </w:rPr>
        <w:t xml:space="preserve">”). The “Payout Percentage” is based on the achievement of the performance criteria set forth in </w:t>
      </w:r>
      <w:r>
        <w:rPr>
          <w:rFonts w:ascii="Times New Roman;Times;Serif" w:hAnsi="Times New Roman;Times;Serif"/>
          <w:b w:val="false"/>
          <w:i w:val="false"/>
          <w:caps w:val="false"/>
          <w:smallCaps w:val="false"/>
          <w:sz w:val="20"/>
          <w:u w:val="single"/>
        </w:rPr>
        <w:t>Section 1(b)</w:t>
      </w:r>
      <w:r>
        <w:rPr>
          <w:rFonts w:ascii="Times New Roman;Times;Serif" w:hAnsi="Times New Roman;Times;Serif"/>
          <w:b w:val="false"/>
          <w:i w:val="false"/>
          <w:caps w:val="false"/>
          <w:smallCaps w:val="false"/>
          <w:sz w:val="20"/>
        </w:rPr>
        <w:t> of this Agreement, as determined and certified in writing by the Committee.</w:t>
      </w:r>
    </w:p>
    <w:p>
      <w:pPr>
        <w:pStyle w:val="TextBody"/>
        <w:bidi w:val="0"/>
        <w:spacing w:before="0" w:after="0"/>
        <w:ind w:left="0" w:right="0" w:hanging="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45"/>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color w:val="010000"/>
                <w:sz w:val="20"/>
              </w:rPr>
            </w:pPr>
            <w:r>
              <w:rPr>
                <w:b/>
                <w:i/>
                <w:color w:val="010000"/>
                <w:sz w:val="20"/>
              </w:rPr>
              <w:t>(b)</w:t>
            </w:r>
          </w:p>
        </w:tc>
        <w:tc>
          <w:tcPr>
            <w:tcW w:w="4370" w:type="dxa"/>
            <w:tcBorders/>
            <w:vAlign w:val="center"/>
          </w:tcPr>
          <w:p>
            <w:pPr>
              <w:pStyle w:val="TableContents"/>
              <w:bidi w:val="0"/>
              <w:spacing w:before="0" w:after="283"/>
              <w:jc w:val="both"/>
              <w:rPr>
                <w:b/>
                <w:i/>
                <w:sz w:val="20"/>
              </w:rPr>
            </w:pPr>
            <w:r>
              <w:rPr>
                <w:b/>
                <w:i/>
                <w:sz w:val="20"/>
              </w:rPr>
              <w:t>Performance Criteria and Relative TSR Comparison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provided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of this Agreement, a “Payout Percentage” is used to determine the Final Award under this Agreement. Subject to </w:t>
      </w:r>
      <w:r>
        <w:rPr>
          <w:rFonts w:ascii="Times New Roman;Times;Serif" w:hAnsi="Times New Roman;Times;Serif"/>
          <w:b w:val="false"/>
          <w:i w:val="false"/>
          <w:caps w:val="false"/>
          <w:smallCaps w:val="false"/>
          <w:sz w:val="20"/>
          <w:u w:val="single"/>
        </w:rPr>
        <w:t>Section 1(c)</w:t>
      </w:r>
      <w:r>
        <w:rPr>
          <w:rFonts w:ascii="Times New Roman;Times;Serif" w:hAnsi="Times New Roman;Times;Serif"/>
          <w:b w:val="false"/>
          <w:i w:val="false"/>
          <w:caps w:val="false"/>
          <w:smallCaps w:val="false"/>
          <w:sz w:val="20"/>
        </w:rPr>
        <w:t> of this Agreement, the “Payout Percentage” shall be based upon the Company’s total shareholder return (“</w:t>
      </w:r>
      <w:r>
        <w:rPr>
          <w:rFonts w:ascii="Times New Roman;Times;Serif" w:hAnsi="Times New Roman;Times;Serif"/>
          <w:b w:val="false"/>
          <w:i w:val="false"/>
          <w:caps w:val="false"/>
          <w:smallCaps w:val="false"/>
          <w:sz w:val="20"/>
          <w:u w:val="single"/>
        </w:rPr>
        <w:t>TSR</w:t>
      </w:r>
      <w:r>
        <w:rPr>
          <w:rFonts w:ascii="Times New Roman;Times;Serif" w:hAnsi="Times New Roman;Times;Serif"/>
          <w:b w:val="false"/>
          <w:i w:val="false"/>
          <w:caps w:val="false"/>
          <w:smallCaps w:val="false"/>
          <w:sz w:val="20"/>
        </w:rPr>
        <w:t xml:space="preserve">”) percentile ranking, as determined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this Agreement, and the Company’s TSR percentile ranking relative to “Chart A” below, where interpolation shall be used to determine the Company’s percentile ranking, in each case during the Performance Period, as described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004" w:type="dxa"/>
        <w:jc w:val="center"/>
        <w:tblInd w:w="0" w:type="dxa"/>
        <w:tblLayout w:type="fixed"/>
        <w:tblCellMar>
          <w:top w:w="0" w:type="dxa"/>
          <w:left w:w="0" w:type="dxa"/>
          <w:bottom w:w="28" w:type="dxa"/>
          <w:right w:w="0" w:type="dxa"/>
        </w:tblCellMar>
      </w:tblPr>
      <w:tblGrid>
        <w:gridCol w:w="5060"/>
        <w:gridCol w:w="60"/>
        <w:gridCol w:w="250"/>
        <w:gridCol w:w="1404"/>
        <w:gridCol w:w="230"/>
      </w:tblGrid>
      <w:tr>
        <w:trPr/>
        <w:tc>
          <w:tcPr>
            <w:tcW w:w="7004" w:type="dxa"/>
            <w:gridSpan w:val="5"/>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 A</w:t>
            </w:r>
          </w:p>
        </w:tc>
      </w:tr>
      <w:tr>
        <w:trPr/>
        <w:tc>
          <w:tcPr>
            <w:tcW w:w="50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TSR Performance Relative to Companies in the Peer Group</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Payout Percentage </w:t>
              <w:br/>
              <w:t>(% of Target)</w:t>
            </w:r>
          </w:p>
        </w:tc>
        <w:tc>
          <w:tcPr>
            <w:tcW w:w="2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75th Percentile or Above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06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50th Percentile – TARGET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0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25th Percentile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06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Below the 25th Percentile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8"/>
        <w:gridCol w:w="23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i/>
                <w:color w:val="010000"/>
                <w:sz w:val="20"/>
              </w:rPr>
            </w:pPr>
            <w:r>
              <w:rPr>
                <w:b/>
                <w:i/>
                <w:color w:val="010000"/>
                <w:sz w:val="20"/>
              </w:rPr>
              <w:t>(c)</w:t>
            </w:r>
          </w:p>
        </w:tc>
        <w:tc>
          <w:tcPr>
            <w:tcW w:w="6680" w:type="dxa"/>
            <w:tcBorders/>
            <w:vAlign w:val="center"/>
          </w:tcPr>
          <w:p>
            <w:pPr>
              <w:pStyle w:val="TableContents"/>
              <w:bidi w:val="0"/>
              <w:spacing w:before="0" w:after="283"/>
              <w:jc w:val="both"/>
              <w:rPr>
                <w:b/>
                <w:i/>
                <w:sz w:val="20"/>
              </w:rPr>
            </w:pPr>
            <w:r>
              <w:rPr>
                <w:b/>
                <w:i/>
                <w:sz w:val="20"/>
              </w:rPr>
              <w:t>Relative TSR Comparison if absolute TSR of Company is less than negative 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the Company’s absolute TSR for the Performance Period is less than negative twenty percent (-20%), the Final Award will be based on the following chart.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659" w:type="dxa"/>
        <w:jc w:val="center"/>
        <w:tblInd w:w="0" w:type="dxa"/>
        <w:tblLayout w:type="fixed"/>
        <w:tblCellMar>
          <w:top w:w="0" w:type="dxa"/>
          <w:left w:w="0" w:type="dxa"/>
          <w:bottom w:w="28" w:type="dxa"/>
          <w:right w:w="0" w:type="dxa"/>
        </w:tblCellMar>
      </w:tblPr>
      <w:tblGrid>
        <w:gridCol w:w="4760"/>
        <w:gridCol w:w="60"/>
        <w:gridCol w:w="243"/>
        <w:gridCol w:w="1366"/>
        <w:gridCol w:w="230"/>
      </w:tblGrid>
      <w:tr>
        <w:trPr/>
        <w:tc>
          <w:tcPr>
            <w:tcW w:w="6659" w:type="dxa"/>
            <w:gridSpan w:val="5"/>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 B</w:t>
            </w:r>
          </w:p>
        </w:tc>
      </w:tr>
      <w:tr>
        <w:trPr/>
        <w:tc>
          <w:tcPr>
            <w:tcW w:w="47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TSR Performance Relative to Companies in Peer Group</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9" w:type="dxa"/>
            <w:gridSpan w:val="2"/>
            <w:tcBorders>
              <w:bottom w:val="single" w:sz="8" w:space="0" w:color="000000"/>
            </w:tcBorders>
            <w:vAlign w:val="center"/>
          </w:tcPr>
          <w:p>
            <w:pPr>
              <w:pStyle w:val="TableContents"/>
              <w:bidi w:val="0"/>
              <w:spacing w:before="0" w:after="0"/>
              <w:ind w:left="15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Payout Percentage</w:t>
            </w:r>
          </w:p>
          <w:p>
            <w:pPr>
              <w:pStyle w:val="TableContents"/>
              <w:bidi w:val="0"/>
              <w:spacing w:before="0" w:after="0"/>
              <w:ind w:left="15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Target)</w:t>
            </w:r>
          </w:p>
        </w:tc>
        <w:tc>
          <w:tcPr>
            <w:tcW w:w="2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75th Percentile or Above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6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60th Percentile – TARGET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25th Percentile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6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Below the 25th Percentile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color w:val="010000"/>
                <w:sz w:val="20"/>
              </w:rPr>
            </w:pPr>
            <w:r>
              <w:rPr>
                <w:b/>
                <w:color w:val="010000"/>
                <w:sz w:val="20"/>
              </w:rPr>
              <w:t>2.</w:t>
            </w:r>
          </w:p>
        </w:tc>
        <w:tc>
          <w:tcPr>
            <w:tcW w:w="4355" w:type="dxa"/>
            <w:tcBorders/>
            <w:vAlign w:val="center"/>
          </w:tcPr>
          <w:p>
            <w:pPr>
              <w:pStyle w:val="TableContents"/>
              <w:bidi w:val="0"/>
              <w:spacing w:before="0" w:after="283"/>
              <w:jc w:val="both"/>
              <w:rPr>
                <w:b/>
                <w:sz w:val="20"/>
              </w:rPr>
            </w:pPr>
            <w:r>
              <w:rPr>
                <w:b/>
                <w:sz w:val="20"/>
              </w:rPr>
              <w:t>Measuring Performance and relative TSR Ranking</w:t>
            </w:r>
          </w:p>
        </w:tc>
      </w:tr>
    </w:tbl>
    <w:p>
      <w:pPr>
        <w:pStyle w:val="TextBody"/>
        <w:bidi w:val="0"/>
        <w:spacing w:before="0" w:after="0"/>
        <w:ind w:left="0" w:right="0" w:hanging="0"/>
        <w:jc w:val="left"/>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38"/>
        <w:gridCol w:w="245"/>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color w:val="010000"/>
                <w:sz w:val="20"/>
              </w:rPr>
            </w:pPr>
            <w:r>
              <w:rPr>
                <w:b/>
                <w:i/>
                <w:color w:val="010000"/>
                <w:sz w:val="20"/>
              </w:rPr>
              <w:t>(a)</w:t>
            </w:r>
          </w:p>
        </w:tc>
        <w:tc>
          <w:tcPr>
            <w:tcW w:w="2840" w:type="dxa"/>
            <w:tcBorders/>
            <w:vAlign w:val="center"/>
          </w:tcPr>
          <w:p>
            <w:pPr>
              <w:pStyle w:val="TableContents"/>
              <w:bidi w:val="0"/>
              <w:spacing w:before="0" w:after="283"/>
              <w:jc w:val="both"/>
              <w:rPr>
                <w:b/>
                <w:i/>
                <w:sz w:val="20"/>
              </w:rPr>
            </w:pPr>
            <w:r>
              <w:rPr>
                <w:b/>
                <w:i/>
                <w:sz w:val="20"/>
              </w:rPr>
              <w:t>Performance Measure and RPSUs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the Final Award, as soon as practicable after the completion of the Performance Period, (i) the TSRs of the Company and each of the companies and/or indices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which comprise the peer group for purposes of this Agreement (each company or index is referred to as a “</w:t>
      </w:r>
      <w:r>
        <w:rPr>
          <w:rFonts w:ascii="Times New Roman;Times;Serif" w:hAnsi="Times New Roman;Times;Serif"/>
          <w:b w:val="false"/>
          <w:i w:val="false"/>
          <w:caps w:val="false"/>
          <w:smallCaps w:val="false"/>
          <w:sz w:val="20"/>
          <w:u w:val="single"/>
        </w:rPr>
        <w:t>Peer Group Member</w:t>
      </w:r>
      <w:r>
        <w:rPr>
          <w:rFonts w:ascii="Times New Roman;Times;Serif" w:hAnsi="Times New Roman;Times;Serif"/>
          <w:b w:val="false"/>
          <w:i w:val="false"/>
          <w:caps w:val="false"/>
          <w:smallCaps w:val="false"/>
          <w:sz w:val="20"/>
        </w:rPr>
        <w:t xml:space="preserve">”), shall be calculated pursuant to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xml:space="preserve"> and (ii) the relative ranking of the Company’s TSR for the Performance Period, as compared to the TSR for each Peer Group Member for the Performance Period, shall be determined and expressed as a percentile ranking as described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245"/>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color w:val="010000"/>
                <w:sz w:val="20"/>
              </w:rPr>
            </w:pPr>
            <w:r>
              <w:rPr>
                <w:b/>
                <w:i/>
                <w:color w:val="010000"/>
                <w:sz w:val="20"/>
              </w:rPr>
              <w:t>(b)</w:t>
            </w:r>
          </w:p>
        </w:tc>
        <w:tc>
          <w:tcPr>
            <w:tcW w:w="2045" w:type="dxa"/>
            <w:tcBorders/>
            <w:vAlign w:val="center"/>
          </w:tcPr>
          <w:p>
            <w:pPr>
              <w:pStyle w:val="TableContents"/>
              <w:bidi w:val="0"/>
              <w:spacing w:before="0" w:after="283"/>
              <w:jc w:val="both"/>
              <w:rPr>
                <w:b/>
                <w:i/>
                <w:sz w:val="20"/>
              </w:rPr>
            </w:pPr>
            <w:r>
              <w:rPr>
                <w:b/>
                <w:i/>
                <w:sz w:val="20"/>
              </w:rPr>
              <w:t>TSR Percentile Ranking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TSR percentile ranking is based on the TSR achieved with respect to the Company, inclusive of dividends paid, relative to the TSR during the Performance Period, inclusive of dividends paid, achieved by each of the Peer Group Members, in each case during the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TSR percentile ranking shall be determined as follows: the TSR percentile ranking shall be determined by ranking each Peer Group Member (excluding the Company) from the highest TSR to the lowest TSR. The Peer Group Member ranked highest will be assigned the one hundred percentile (100%) rank and the Peer Group Member ranked lowest will be assigned the zero percentile (0%) rank. Each Peer Group Member ranked in between will be assigned a percentile equal to one hundred divided by n minus one (100/(n-1)), plus the percentile assigned to the Peer Group Member ranked directly below it, where “n” is the total number of companies in the Peer Group. The Company’s TSR percentile ranking is then interpolated based on the Company’s TSR.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b/>
                <w:sz w:val="20"/>
              </w:rPr>
            </w:pPr>
            <w:r>
              <w:rPr>
                <w:b/>
                <w:sz w:val="20"/>
              </w:rPr>
              <w:t>i.</w:t>
            </w:r>
          </w:p>
        </w:tc>
        <w:tc>
          <w:tcPr>
            <w:tcW w:w="10042" w:type="dxa"/>
            <w:tcBorders/>
            <w:vAlign w:val="center"/>
          </w:tcPr>
          <w:p>
            <w:pPr>
              <w:pStyle w:val="TableContents"/>
              <w:bidi w:val="0"/>
              <w:spacing w:before="0" w:after="283"/>
              <w:jc w:val="left"/>
              <w:rPr>
                <w:sz w:val="20"/>
              </w:rPr>
            </w:pPr>
            <w:r>
              <w:rPr>
                <w:sz w:val="20"/>
              </w:rPr>
              <w:t>In the event a bankruptcy proceeding is commenced during the Performance Period with respect to any Peer Group Member, or if at any time during the Performance Period a Peer Group Member is liquidated, such company shall be treated as having a TSR of negative one hundred (-100%) for the Performance Period for purposes of TSR percentile ranking.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sz w:val="20"/>
              </w:rPr>
            </w:pPr>
            <w:r>
              <w:rPr>
                <w:b/>
                <w:sz w:val="20"/>
              </w:rPr>
              <w:t>ii.</w:t>
            </w:r>
          </w:p>
        </w:tc>
        <w:tc>
          <w:tcPr>
            <w:tcW w:w="9982" w:type="dxa"/>
            <w:tcBorders/>
            <w:vAlign w:val="center"/>
          </w:tcPr>
          <w:p>
            <w:pPr>
              <w:pStyle w:val="TableContents"/>
              <w:bidi w:val="0"/>
              <w:spacing w:before="0" w:after="283"/>
              <w:jc w:val="left"/>
              <w:rPr>
                <w:sz w:val="20"/>
              </w:rPr>
            </w:pPr>
            <w:r>
              <w:rPr>
                <w:sz w:val="20"/>
              </w:rPr>
              <w:t>In the event that a merger, acquisition or business combination of a Peer Group Member by or with another Peer Group Member is consummated during the Performance Period, then the entity that survives as a result of such merger, acquisition, or business combination will be considered a Peer Group Member for purposes of TSR percentile ranking for the Performance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0"/>
              </w:rPr>
            </w:pPr>
            <w:r>
              <w:rPr>
                <w:b/>
                <w:sz w:val="20"/>
              </w:rPr>
              <w:t>iii.</w:t>
            </w:r>
          </w:p>
        </w:tc>
        <w:tc>
          <w:tcPr>
            <w:tcW w:w="9922" w:type="dxa"/>
            <w:tcBorders/>
            <w:vAlign w:val="center"/>
          </w:tcPr>
          <w:p>
            <w:pPr>
              <w:pStyle w:val="TableContents"/>
              <w:bidi w:val="0"/>
              <w:spacing w:before="0" w:after="283"/>
              <w:jc w:val="left"/>
              <w:rPr>
                <w:sz w:val="20"/>
              </w:rPr>
            </w:pPr>
            <w:r>
              <w:rPr>
                <w:sz w:val="20"/>
              </w:rPr>
              <w:t>In the event that a merger, acquisition or business combination of a Peer Group Member by or with an entity that is not a Peer Group Member is consummated during the Performance Period, and such Peer Group Member is the entity that survives as a result of such merger, acquisition, or business combination, then such Peer Group Member will continue to be considered a Peer Group Member for purposes of TSR percentile ranking for the Performance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sz w:val="20"/>
              </w:rPr>
            </w:pPr>
            <w:r>
              <w:rPr>
                <w:b/>
                <w:sz w:val="20"/>
              </w:rPr>
              <w:t>iv.</w:t>
            </w:r>
          </w:p>
        </w:tc>
        <w:tc>
          <w:tcPr>
            <w:tcW w:w="9937" w:type="dxa"/>
            <w:tcBorders/>
            <w:vAlign w:val="center"/>
          </w:tcPr>
          <w:p>
            <w:pPr>
              <w:pStyle w:val="TableContents"/>
              <w:bidi w:val="0"/>
              <w:spacing w:before="0" w:after="283"/>
              <w:jc w:val="left"/>
              <w:rPr>
                <w:sz w:val="20"/>
              </w:rPr>
            </w:pPr>
            <w:r>
              <w:rPr>
                <w:sz w:val="20"/>
              </w:rPr>
              <w:t>In the event that (A) a Peer Group Member ceases to be a publicly-traded company, or (B) a merger, acquisition or business combination of a Peer Group Member by or with an entity that is not a Peer Group Member is consummated during the Performance Period, and such Peer Group Member is not the entity that survives as a result of such merger, acquisition, or business combination, then such Peer Group Member shall be removed and treated as if it had never been in the peer group for purposes of TSR percentile ranking for the Performance Period.</w:t>
            </w:r>
          </w:p>
        </w:tc>
      </w:tr>
    </w:tbl>
    <w:p>
      <w:pPr>
        <w:pStyle w:val="TextBody"/>
        <w:bidi w:val="0"/>
        <w:spacing w:before="0" w:after="0"/>
        <w:ind w:left="0" w:right="0" w:hanging="0"/>
        <w:jc w:val="left"/>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23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i/>
                <w:color w:val="010000"/>
                <w:sz w:val="20"/>
              </w:rPr>
            </w:pPr>
            <w:r>
              <w:rPr>
                <w:b/>
                <w:i/>
                <w:color w:val="010000"/>
                <w:sz w:val="20"/>
              </w:rPr>
              <w:t>(c)</w:t>
            </w:r>
          </w:p>
        </w:tc>
        <w:tc>
          <w:tcPr>
            <w:tcW w:w="1700" w:type="dxa"/>
            <w:tcBorders/>
            <w:vAlign w:val="center"/>
          </w:tcPr>
          <w:p>
            <w:pPr>
              <w:pStyle w:val="TableContents"/>
              <w:bidi w:val="0"/>
              <w:spacing w:before="0" w:after="283"/>
              <w:jc w:val="both"/>
              <w:rPr>
                <w:b/>
                <w:i/>
                <w:sz w:val="20"/>
              </w:rPr>
            </w:pPr>
            <w:r>
              <w:rPr>
                <w:b/>
                <w:i/>
                <w:sz w:val="20"/>
              </w:rPr>
              <w:t>Performance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Period, for purposes of this Agreement, shall be determined by the Committee and shall be the period set forth in the Grant Notice.</w:t>
      </w:r>
    </w:p>
    <w:p>
      <w:pPr>
        <w:pStyle w:val="TextBody"/>
        <w:bidi w:val="0"/>
        <w:spacing w:before="0" w:after="0"/>
        <w:ind w:left="0" w:right="0" w:hanging="0"/>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245"/>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color w:val="010000"/>
                <w:sz w:val="20"/>
              </w:rPr>
            </w:pPr>
            <w:r>
              <w:rPr>
                <w:b/>
                <w:i/>
                <w:color w:val="010000"/>
                <w:sz w:val="20"/>
              </w:rPr>
              <w:t>(d)</w:t>
            </w:r>
          </w:p>
        </w:tc>
        <w:tc>
          <w:tcPr>
            <w:tcW w:w="2315" w:type="dxa"/>
            <w:tcBorders/>
            <w:vAlign w:val="center"/>
          </w:tcPr>
          <w:p>
            <w:pPr>
              <w:pStyle w:val="TableContents"/>
              <w:bidi w:val="0"/>
              <w:spacing w:before="0" w:after="283"/>
              <w:jc w:val="both"/>
              <w:rPr>
                <w:b/>
                <w:i/>
                <w:sz w:val="20"/>
              </w:rPr>
            </w:pPr>
            <w:r>
              <w:rPr>
                <w:b/>
                <w:i/>
                <w:sz w:val="20"/>
              </w:rPr>
              <w:t>Performance Goal and TSR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TSR for the Company and each of the Peer Group Members shall be measured by dividing (i) the difference between (A) the sum of the average closing price of a share of such company’s common stock on the principal exchange on which such stock trades for the twenty (20) trading days occurring immediately prior to and including the first day of the Performance Period plus the value of dividends declared on the common stock of such company that are reinvested on an ex-dividend date (“</w:t>
      </w:r>
      <w:r>
        <w:rPr>
          <w:rFonts w:ascii="Times New Roman;Times;Serif" w:hAnsi="Times New Roman;Times;Serif"/>
          <w:b w:val="false"/>
          <w:i w:val="false"/>
          <w:caps w:val="false"/>
          <w:smallCaps w:val="false"/>
          <w:sz w:val="20"/>
          <w:u w:val="single"/>
        </w:rPr>
        <w:t>Reinvested Dividends</w:t>
      </w:r>
      <w:r>
        <w:rPr>
          <w:rFonts w:ascii="Times New Roman;Times;Serif" w:hAnsi="Times New Roman;Times;Serif"/>
          <w:b w:val="false"/>
          <w:i w:val="false"/>
          <w:caps w:val="false"/>
          <w:smallCaps w:val="false"/>
          <w:sz w:val="20"/>
        </w:rPr>
        <w:t>”) occurring during the period described above (the “</w:t>
      </w:r>
      <w:r>
        <w:rPr>
          <w:rFonts w:ascii="Times New Roman;Times;Serif" w:hAnsi="Times New Roman;Times;Serif"/>
          <w:b w:val="false"/>
          <w:i w:val="false"/>
          <w:caps w:val="false"/>
          <w:smallCaps w:val="false"/>
          <w:sz w:val="20"/>
          <w:u w:val="single"/>
        </w:rPr>
        <w:t>Beginning Average Value</w:t>
      </w:r>
      <w:r>
        <w:rPr>
          <w:rFonts w:ascii="Times New Roman;Times;Serif" w:hAnsi="Times New Roman;Times;Serif"/>
          <w:b w:val="false"/>
          <w:i w:val="false"/>
          <w:caps w:val="false"/>
          <w:smallCaps w:val="false"/>
          <w:sz w:val="20"/>
        </w:rPr>
        <w:t>”), and (B) the sum of the average closing price of a share of such stock on the principal exchange on which such stock trades for the twenty (20) trading days immediately prior to and including the last day of the Performance Period plus the value of any Reinvested Dividends during the period commencing after the end of the period described in Clause (A) above and ending and ending at the close of the Performance Period (the “</w:t>
      </w:r>
      <w:r>
        <w:rPr>
          <w:rFonts w:ascii="Times New Roman;Times;Serif" w:hAnsi="Times New Roman;Times;Serif"/>
          <w:b w:val="false"/>
          <w:i w:val="false"/>
          <w:caps w:val="false"/>
          <w:smallCaps w:val="false"/>
          <w:sz w:val="20"/>
          <w:u w:val="single"/>
        </w:rPr>
        <w:t>Ending Average Value</w:t>
      </w:r>
      <w:r>
        <w:rPr>
          <w:rFonts w:ascii="Times New Roman;Times;Serif" w:hAnsi="Times New Roman;Times;Serif"/>
          <w:b w:val="false"/>
          <w:i w:val="false"/>
          <w:caps w:val="false"/>
          <w:smallCaps w:val="false"/>
          <w:sz w:val="20"/>
        </w:rPr>
        <w:t>”) (appropriately adjusted for any stock dividend, stock split, spin-off, merger or other similar corporate events affecting such stock), by (ii) the Beginning Average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it is intended that the foregoing calculation of TSR shall take into account not only the reinvestment of dividends in a share of common stock of the Company or any Peer Group Member, as applicable, but also capital appreciation or depreciation in the shares deemed acquired by such reinvestment. All determinations under this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shall be made by the Committee.</w:t>
      </w:r>
    </w:p>
    <w:p>
      <w:pPr>
        <w:pStyle w:val="TextBody"/>
        <w:bidi w:val="0"/>
        <w:spacing w:before="0" w:after="0"/>
        <w:ind w:left="0" w:right="0" w:hanging="0"/>
        <w:jc w:val="left"/>
        <w:rPr>
          <w:caps w:val="false"/>
          <w:smallCaps w:val="false"/>
        </w:rPr>
      </w:pPr>
      <w:r>
        <w:rPr>
          <w:caps w:val="false"/>
          <w:smallCaps w:val="false"/>
        </w:rPr>
        <w:t> </w:t>
      </w:r>
    </w:p>
    <w:tbl>
      <w:tblPr>
        <w:tblW w:w="6465" w:type="dxa"/>
        <w:jc w:val="left"/>
        <w:tblInd w:w="-10" w:type="dxa"/>
        <w:tblLayout w:type="fixed"/>
        <w:tblCellMar>
          <w:top w:w="28" w:type="dxa"/>
          <w:left w:w="28" w:type="dxa"/>
          <w:bottom w:w="28" w:type="dxa"/>
          <w:right w:w="28" w:type="dxa"/>
        </w:tblCellMar>
      </w:tblPr>
      <w:tblGrid>
        <w:gridCol w:w="2090"/>
        <w:gridCol w:w="125"/>
        <w:gridCol w:w="4175"/>
        <w:gridCol w:w="75"/>
      </w:tblGrid>
      <w:tr>
        <w:trPr/>
        <w:tc>
          <w:tcPr>
            <w:tcW w:w="6390"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Illustration of formula described above   </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90"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Shareholder Return</w:t>
            </w:r>
          </w:p>
        </w:tc>
        <w:tc>
          <w:tcPr>
            <w:tcW w:w="12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4175" w:type="dxa"/>
            <w:tcBorders>
              <w:bottom w:val="single" w:sz="8" w:space="0" w:color="000000"/>
              <w:right w:val="single" w:sz="8" w:space="0" w:color="000000"/>
            </w:tcBorders>
            <w:tcMar>
              <w:top w:w="0" w:type="dxa"/>
              <w:left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Ending Average Value – Beginning Average Value</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Average Value</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color w:val="010000"/>
                <w:sz w:val="20"/>
              </w:rPr>
            </w:pPr>
            <w:r>
              <w:rPr>
                <w:b/>
                <w:color w:val="010000"/>
                <w:sz w:val="20"/>
              </w:rPr>
              <w:t>3.</w:t>
            </w:r>
          </w:p>
        </w:tc>
        <w:tc>
          <w:tcPr>
            <w:tcW w:w="2240" w:type="dxa"/>
            <w:tcBorders/>
            <w:vAlign w:val="center"/>
          </w:tcPr>
          <w:p>
            <w:pPr>
              <w:pStyle w:val="TableContents"/>
              <w:bidi w:val="0"/>
              <w:spacing w:before="0" w:after="283"/>
              <w:jc w:val="both"/>
              <w:rPr>
                <w:b/>
                <w:sz w:val="20"/>
              </w:rPr>
            </w:pPr>
            <w:r>
              <w:rPr>
                <w:b/>
                <w:sz w:val="20"/>
              </w:rPr>
              <w:t>Settlement of Final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soon as reasonably practicable following the Restricted Period and the completion of all determinations and certifications contemplated by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but in any event during the period commencing on April 15 and ending no later than June 30 of the year following the year in which the Performance Period ends, subject to satisfaction of applicable tax withholding obligations in accordance with </w:t>
      </w:r>
      <w:r>
        <w:rPr>
          <w:rFonts w:ascii="Times New Roman;Times;Serif" w:hAnsi="Times New Roman;Times;Serif"/>
          <w:b w:val="false"/>
          <w:i w:val="false"/>
          <w:caps w:val="false"/>
          <w:smallCaps w:val="false"/>
          <w:sz w:val="20"/>
          <w:u w:val="single"/>
        </w:rPr>
        <w:t>Section 12(g)</w:t>
      </w:r>
      <w:r>
        <w:rPr>
          <w:rFonts w:ascii="Times New Roman;Times;Serif" w:hAnsi="Times New Roman;Times;Serif"/>
          <w:b w:val="false"/>
          <w:i w:val="false"/>
          <w:caps w:val="false"/>
          <w:smallCaps w:val="false"/>
          <w:sz w:val="20"/>
        </w:rPr>
        <w:t xml:space="preserve">, the Company shall cause to be paid to the Participant the number of shares of the Company’s Class C Common Stock equal to the number of RPSUs representing the Final Award, as determined under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this Agreement. Notwithstanding the foregoing, if the Participant incurs a Termination of Service as described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under circumstances where the Final Award, if any, is determined and becomes payable prior to the close of the Restricted Period, then such payment shall be made within sixty (60) days after the date a Final Award, if any, is determined or becomes payable, as described in the applicable subsection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subject to the following paragraph and satisfaction of applicable tax withholding obligations in accordance with </w:t>
      </w:r>
      <w:r>
        <w:rPr>
          <w:rFonts w:ascii="Times New Roman;Times;Serif" w:hAnsi="Times New Roman;Times;Serif"/>
          <w:b w:val="false"/>
          <w:i w:val="false"/>
          <w:caps w:val="false"/>
          <w:smallCaps w:val="false"/>
          <w:sz w:val="20"/>
          <w:u w:val="single"/>
        </w:rPr>
        <w:t>Section 12(g)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provisions of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to the contrary, if at the time of the Participant’s separation from service within the meaning of Code Section 409A, the Participant is a “specified employee” within the meaning of Code Section 409A, then any payment hereunder that constitutes a “deferral of compensation” under Code Section 409A and that would otherwise become due on account of such separation from service shall be delayed, and payment shall be made in full upon the earlier of (a) a date during the thirty (30) day period commencing six (6) months and one (1) day following such separation from service and (b) the date of the Participant’s death.</w:t>
      </w:r>
    </w:p>
    <w:p>
      <w:pPr>
        <w:pStyle w:val="TextBody"/>
        <w:bidi w:val="0"/>
        <w:spacing w:before="0" w:after="0"/>
        <w:ind w:left="0" w:right="0" w:hanging="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17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color w:val="010000"/>
                <w:sz w:val="20"/>
              </w:rPr>
            </w:pPr>
            <w:r>
              <w:rPr>
                <w:b/>
                <w:color w:val="010000"/>
                <w:sz w:val="20"/>
              </w:rPr>
              <w:t>4.</w:t>
            </w:r>
          </w:p>
        </w:tc>
        <w:tc>
          <w:tcPr>
            <w:tcW w:w="2360" w:type="dxa"/>
            <w:tcBorders/>
            <w:vAlign w:val="center"/>
          </w:tcPr>
          <w:p>
            <w:pPr>
              <w:pStyle w:val="TableContents"/>
              <w:bidi w:val="0"/>
              <w:spacing w:before="0" w:after="283"/>
              <w:jc w:val="both"/>
              <w:rPr>
                <w:b/>
                <w:sz w:val="20"/>
              </w:rPr>
            </w:pPr>
            <w:r>
              <w:rPr>
                <w:b/>
                <w:sz w:val="20"/>
              </w:rPr>
              <w:t>Dividend Equivalent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shares of Class C Common Stock issuable hereunder shall be credited to a dividend book entry account on behalf of the Participant with respect to the RPSUs granted hereunder; provided that such cash dividends shall be deemed to be reinvested in shares of Class C Common Stock immediately following the time declared at the then Fair Market Value of the Class C Common Stock. Such reinvested cash dividends shall be recorded for book entry purposes as additional RPSUs that are subject to this Award, the number of which shall correlate to the number of deemed shares of Class C Common Stock described in the preceding sentence. Such additional RPSUs shall vest and be paid to the same extent and at the same times that the Class C Common Stock underlying the Final Award vest and are delivered to the Participant in accordance with the provisions hereof. Subject to Section 20 of the Plan, stock dividends on shares of Class C Common Stock issuable hereunder shall be credited to a dividend book entry account on behalf of the Participant with respect to the RPSUs granted hereunder. Subject to Section 20 of the Plan, such stock dividends shall be recorded for book entry purposes as additional RPSUs that are subject to this Award, the number of which shall be based on the number of additional shares of Class C Common Stock that relate to this Award as a result of the stock dividend described in the preceding sentence. Such additional RPSUs shall vest and be paid to the same extent and at the same times that the Class C Common Stock underlying the Final Award vest and are delivered to the Participant in accordance with the provisions hereof. Notwithstanding the foregoing, in the event that there are insufficient shares of Class C Common Stock available in the Plan to settle the accrued dividend book entry account in shares of Class C Common Stock, such accrued book entry account shall be settled in cash in an amount equal to the Fair Market Value of such shares of Class C Common Stock at the time of settlement. Except as otherwise provided herein, the Participant shall have no rights as a stockholder with respect to any shares of Class C Common Stock underlying the RPSUs granted hereunder unless and until the Participant has become the holder of record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17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color w:val="010000"/>
                <w:sz w:val="20"/>
              </w:rPr>
            </w:pPr>
            <w:r>
              <w:rPr>
                <w:b/>
                <w:color w:val="010000"/>
                <w:sz w:val="20"/>
              </w:rPr>
              <w:t>5.</w:t>
            </w:r>
          </w:p>
        </w:tc>
        <w:tc>
          <w:tcPr>
            <w:tcW w:w="1610" w:type="dxa"/>
            <w:tcBorders/>
            <w:vAlign w:val="center"/>
          </w:tcPr>
          <w:p>
            <w:pPr>
              <w:pStyle w:val="TableContents"/>
              <w:bidi w:val="0"/>
              <w:spacing w:before="0" w:after="283"/>
              <w:jc w:val="both"/>
              <w:rPr>
                <w:b/>
                <w:sz w:val="20"/>
              </w:rPr>
            </w:pPr>
            <w:r>
              <w:rPr>
                <w:b/>
                <w:sz w:val="20"/>
              </w:rPr>
              <w:t>Transfer of RPSUs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permitted by the Committee or Section 16 of the Plan, no award or right granted hereunder may be sold, transferred, pledged, assigned or otherwise alienated or hypothecated, other than pursuant to a will or the laws of descent and distribution. Any attempted disposition in violation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and Section 16 of the Plan shall be void.</w:t>
      </w:r>
    </w:p>
    <w:p>
      <w:pPr>
        <w:pStyle w:val="TextBody"/>
        <w:bidi w:val="0"/>
        <w:spacing w:before="0" w:after="0"/>
        <w:ind w:left="0" w:right="0" w:hanging="0"/>
        <w:jc w:val="left"/>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17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color w:val="010000"/>
                <w:sz w:val="20"/>
              </w:rPr>
            </w:pPr>
            <w:r>
              <w:rPr>
                <w:b/>
                <w:color w:val="010000"/>
                <w:sz w:val="20"/>
              </w:rPr>
              <w:t>6.</w:t>
            </w:r>
          </w:p>
        </w:tc>
        <w:tc>
          <w:tcPr>
            <w:tcW w:w="1760" w:type="dxa"/>
            <w:tcBorders/>
            <w:vAlign w:val="center"/>
          </w:tcPr>
          <w:p>
            <w:pPr>
              <w:pStyle w:val="TableContents"/>
              <w:bidi w:val="0"/>
              <w:spacing w:before="0" w:after="283"/>
              <w:jc w:val="both"/>
              <w:rPr>
                <w:b/>
                <w:sz w:val="20"/>
              </w:rPr>
            </w:pPr>
            <w:r>
              <w:rPr>
                <w:b/>
                <w:sz w:val="20"/>
              </w:rPr>
              <w:t>Status of Participant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shall not be, and, except as otherwise provided herein, shall not have rights as, a stockholder of the Company with respect to any of the shares of Class C Common Stock subject to, or underlying, the Target Award or Final Award, unless such shares have been issued and delivered to the Participant pursuant to the terms of this Agreement. The Company shall not be required to issue or transfer any certificates for shares of Class C Common Stock, unless such shares are duly listed on a securities exchange on which the Class C Common Stock may then be listed and until all applicable requirements of law have been complied with.</w:t>
      </w:r>
    </w:p>
    <w:p>
      <w:pPr>
        <w:pStyle w:val="TextBody"/>
        <w:bidi w:val="0"/>
        <w:spacing w:before="0" w:after="0"/>
        <w:ind w:left="0" w:right="0" w:hanging="0"/>
        <w:jc w:val="left"/>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17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color w:val="010000"/>
                <w:sz w:val="20"/>
              </w:rPr>
            </w:pPr>
            <w:r>
              <w:rPr>
                <w:b/>
                <w:color w:val="010000"/>
                <w:sz w:val="20"/>
              </w:rPr>
              <w:t>7.</w:t>
            </w:r>
          </w:p>
        </w:tc>
        <w:tc>
          <w:tcPr>
            <w:tcW w:w="2585" w:type="dxa"/>
            <w:tcBorders/>
            <w:vAlign w:val="center"/>
          </w:tcPr>
          <w:p>
            <w:pPr>
              <w:pStyle w:val="TableContents"/>
              <w:bidi w:val="0"/>
              <w:spacing w:before="0" w:after="283"/>
              <w:jc w:val="both"/>
              <w:rPr>
                <w:b/>
                <w:sz w:val="20"/>
              </w:rPr>
            </w:pPr>
            <w:r>
              <w:rPr>
                <w:b/>
                <w:sz w:val="20"/>
              </w:rPr>
              <w:t>No Effect on Capital Structure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award or right granted hereunder shall affect the right of the Company or any Subsidiary to reclassify, recapitalize or otherwise change its capital or debt structure or to merge, consolidate, convey any or all of its assets, dissolve, liquidate, windup, or otherwise reorganize.</w:t>
      </w:r>
    </w:p>
    <w:p>
      <w:pPr>
        <w:pStyle w:val="TextBody"/>
        <w:bidi w:val="0"/>
        <w:spacing w:before="0" w:after="0"/>
        <w:ind w:left="0" w:right="0" w:hanging="0"/>
        <w:jc w:val="left"/>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17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color w:val="010000"/>
                <w:sz w:val="20"/>
              </w:rPr>
            </w:pPr>
            <w:r>
              <w:rPr>
                <w:b/>
                <w:color w:val="010000"/>
                <w:sz w:val="20"/>
              </w:rPr>
              <w:t>8.</w:t>
            </w:r>
          </w:p>
        </w:tc>
        <w:tc>
          <w:tcPr>
            <w:tcW w:w="3065" w:type="dxa"/>
            <w:tcBorders/>
            <w:vAlign w:val="center"/>
          </w:tcPr>
          <w:p>
            <w:pPr>
              <w:pStyle w:val="TableContents"/>
              <w:bidi w:val="0"/>
              <w:spacing w:before="0" w:after="283"/>
              <w:jc w:val="both"/>
              <w:rPr>
                <w:b/>
                <w:sz w:val="20"/>
              </w:rPr>
            </w:pPr>
            <w:r>
              <w:rPr>
                <w:b/>
                <w:sz w:val="20"/>
              </w:rPr>
              <w:t>Expiration and Forfeiture of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Final Award, if any, shall vest and be paid, as applicable, and/or expire in the circumstances described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As used herein, “</w:t>
      </w:r>
      <w:r>
        <w:rPr>
          <w:rFonts w:ascii="Times New Roman;Times;Serif" w:hAnsi="Times New Roman;Times;Serif"/>
          <w:b w:val="false"/>
          <w:i w:val="false"/>
          <w:caps w:val="false"/>
          <w:smallCaps w:val="false"/>
          <w:sz w:val="20"/>
          <w:u w:val="single"/>
        </w:rPr>
        <w:t>Termination of Service</w:t>
      </w:r>
      <w:r>
        <w:rPr>
          <w:rFonts w:ascii="Times New Roman;Times;Serif" w:hAnsi="Times New Roman;Times;Serif"/>
          <w:b w:val="false"/>
          <w:i w:val="false"/>
          <w:caps w:val="false"/>
          <w:smallCaps w:val="false"/>
          <w:sz w:val="20"/>
        </w:rPr>
        <w:t>” means termination of a Participant’s employment by, or service to, the Company, including any of its Affiliates.</w:t>
      </w:r>
    </w:p>
    <w:p>
      <w:pPr>
        <w:pStyle w:val="TextBody"/>
        <w:bidi w:val="0"/>
        <w:spacing w:before="0" w:after="0"/>
        <w:ind w:left="0" w:right="0" w:hanging="0"/>
        <w:jc w:val="left"/>
        <w:rPr>
          <w:caps w:val="false"/>
          <w:smallCaps w:val="false"/>
        </w:rPr>
      </w:pPr>
      <w:r>
        <w:rPr>
          <w:caps w:val="false"/>
          <w:smallCaps w:val="false"/>
        </w:rPr>
        <w:t> </w:t>
      </w:r>
    </w:p>
    <w:tbl>
      <w:tblPr>
        <w:tblW w:w="813" w:type="dxa"/>
        <w:jc w:val="left"/>
        <w:tblInd w:w="0" w:type="dxa"/>
        <w:tblLayout w:type="fixed"/>
        <w:tblCellMar>
          <w:top w:w="0" w:type="dxa"/>
          <w:left w:w="0" w:type="dxa"/>
          <w:bottom w:w="0" w:type="dxa"/>
          <w:right w:w="0" w:type="dxa"/>
        </w:tblCellMar>
      </w:tblPr>
      <w:tblGrid>
        <w:gridCol w:w="38"/>
        <w:gridCol w:w="245"/>
        <w:gridCol w:w="5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color w:val="010000"/>
                <w:sz w:val="20"/>
              </w:rPr>
            </w:pPr>
            <w:r>
              <w:rPr>
                <w:b/>
                <w:i/>
                <w:color w:val="010000"/>
                <w:sz w:val="20"/>
              </w:rPr>
              <w:t>(a)</w:t>
            </w:r>
          </w:p>
        </w:tc>
        <w:tc>
          <w:tcPr>
            <w:tcW w:w="530" w:type="dxa"/>
            <w:tcBorders/>
            <w:vAlign w:val="center"/>
          </w:tcPr>
          <w:p>
            <w:pPr>
              <w:pStyle w:val="TableContents"/>
              <w:bidi w:val="0"/>
              <w:spacing w:before="0" w:after="283"/>
              <w:jc w:val="both"/>
              <w:rPr>
                <w:b/>
                <w:i/>
                <w:sz w:val="20"/>
              </w:rPr>
            </w:pPr>
            <w:r>
              <w:rPr>
                <w:b/>
                <w:i/>
                <w:sz w:val="20"/>
              </w:rPr>
              <w:t>Death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 Termination of Service during the Restricted Period by reason of the Participant’s death, a Final Award equal to one hundred percent (100%) of the Target Award shall vest automatically and be paid to the Participant’s legal representatives, heirs, legatees, or distributees in accordance with the second sentence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233" w:type="dxa"/>
        <w:jc w:val="left"/>
        <w:tblInd w:w="0" w:type="dxa"/>
        <w:tblLayout w:type="fixed"/>
        <w:tblCellMar>
          <w:top w:w="0" w:type="dxa"/>
          <w:left w:w="0" w:type="dxa"/>
          <w:bottom w:w="0" w:type="dxa"/>
          <w:right w:w="0" w:type="dxa"/>
        </w:tblCellMar>
      </w:tblPr>
      <w:tblGrid>
        <w:gridCol w:w="38"/>
        <w:gridCol w:w="245"/>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color w:val="010000"/>
                <w:sz w:val="20"/>
              </w:rPr>
            </w:pPr>
            <w:r>
              <w:rPr>
                <w:b/>
                <w:i/>
                <w:color w:val="010000"/>
                <w:sz w:val="20"/>
              </w:rPr>
              <w:t>(b)</w:t>
            </w:r>
          </w:p>
        </w:tc>
        <w:tc>
          <w:tcPr>
            <w:tcW w:w="950" w:type="dxa"/>
            <w:tcBorders/>
            <w:vAlign w:val="center"/>
          </w:tcPr>
          <w:p>
            <w:pPr>
              <w:pStyle w:val="TableContents"/>
              <w:bidi w:val="0"/>
              <w:spacing w:before="0" w:after="283"/>
              <w:jc w:val="both"/>
              <w:rPr>
                <w:b/>
                <w:i/>
                <w:sz w:val="20"/>
              </w:rPr>
            </w:pPr>
            <w:r>
              <w:rPr>
                <w:b/>
                <w:i/>
                <w:sz w:val="20"/>
              </w:rPr>
              <w:t>Retirement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 Termination of Service during the Restricted Period as a result of the Participant terminating his or her employment due to Retirement, the Participant shall continue to be eligible to receive a Final Award, if any, as though the Participant was continuously employed by the Company throughout the Restricted Period; provided that such Retirement occurs (i) more than twelve (12) months following the Date of Grant and (ii) at a time when the Participant is not being evaluated by the Company or an Affiliate thereof in connection with any potential involuntary Termination of Service due to Cause, in which case the Final Award, if any, shall be determined in accordance with </w:t>
      </w:r>
      <w:r>
        <w:rPr>
          <w:rFonts w:ascii="Times New Roman;Times;Serif" w:hAnsi="Times New Roman;Times;Serif"/>
          <w:b w:val="false"/>
          <w:i w:val="false"/>
          <w:caps w:val="false"/>
          <w:smallCaps w:val="false"/>
          <w:sz w:val="20"/>
          <w:u w:val="single"/>
        </w:rPr>
        <w:t>Sections 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and paid, if at all, pursuant to the first sentence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provided that, in the event such Retirement occurs prior to the close of the Performance Period, the determination and payment of the number of shares of the Company’s Class C Common Stock equal to the number of RPSUs representing the Final Award shall be completed prior to March 15th of the year following the year in which the Performance Period 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13" w:type="dxa"/>
        <w:jc w:val="left"/>
        <w:tblInd w:w="0" w:type="dxa"/>
        <w:tblLayout w:type="fixed"/>
        <w:tblCellMar>
          <w:top w:w="0" w:type="dxa"/>
          <w:left w:w="0" w:type="dxa"/>
          <w:bottom w:w="0" w:type="dxa"/>
          <w:right w:w="0" w:type="dxa"/>
        </w:tblCellMar>
      </w:tblPr>
      <w:tblGrid>
        <w:gridCol w:w="38"/>
        <w:gridCol w:w="230"/>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i/>
                <w:color w:val="010000"/>
                <w:sz w:val="20"/>
              </w:rPr>
            </w:pPr>
            <w:r>
              <w:rPr>
                <w:b/>
                <w:i/>
                <w:color w:val="010000"/>
                <w:sz w:val="20"/>
              </w:rPr>
              <w:t>(c)</w:t>
            </w:r>
          </w:p>
        </w:tc>
        <w:tc>
          <w:tcPr>
            <w:tcW w:w="845" w:type="dxa"/>
            <w:tcBorders/>
            <w:vAlign w:val="center"/>
          </w:tcPr>
          <w:p>
            <w:pPr>
              <w:pStyle w:val="TableContents"/>
              <w:bidi w:val="0"/>
              <w:spacing w:before="0" w:after="283"/>
              <w:jc w:val="both"/>
              <w:rPr>
                <w:b/>
                <w:i/>
                <w:sz w:val="20"/>
              </w:rPr>
            </w:pPr>
            <w:r>
              <w:rPr>
                <w:b/>
                <w:i/>
                <w:sz w:val="20"/>
              </w:rPr>
              <w:t>Disability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of the Participant’s Disability during the Restricted Period, a Final Award equal to one hundred percent (100%) of the Target Award shall vest automatically and be paid to the Participant in accordance with the second sentence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For purposes of this Agreement, “Disability” means the Participant being unable to engage in any substantial gainful activity by reason of any medically determinable physical or mental impairment that can be expected to result in death or can be expected to last for a continuous period of not less than twelve (12) months.</w:t>
      </w:r>
    </w:p>
    <w:p>
      <w:pPr>
        <w:pStyle w:val="TextBody"/>
        <w:bidi w:val="0"/>
        <w:spacing w:before="0" w:after="0"/>
        <w:ind w:left="0" w:right="0" w:hanging="0"/>
        <w:jc w:val="left"/>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245"/>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color w:val="010000"/>
                <w:sz w:val="20"/>
              </w:rPr>
            </w:pPr>
            <w:r>
              <w:rPr>
                <w:b/>
                <w:i/>
                <w:color w:val="010000"/>
                <w:sz w:val="20"/>
              </w:rPr>
              <w:t>(d)</w:t>
            </w:r>
          </w:p>
        </w:tc>
        <w:tc>
          <w:tcPr>
            <w:tcW w:w="1580" w:type="dxa"/>
            <w:tcBorders/>
            <w:vAlign w:val="center"/>
          </w:tcPr>
          <w:p>
            <w:pPr>
              <w:pStyle w:val="TableContents"/>
              <w:bidi w:val="0"/>
              <w:spacing w:before="0" w:after="283"/>
              <w:jc w:val="both"/>
              <w:rPr>
                <w:b/>
                <w:i/>
                <w:sz w:val="20"/>
              </w:rPr>
            </w:pPr>
            <w:r>
              <w:rPr>
                <w:b/>
                <w:i/>
                <w:sz w:val="20"/>
              </w:rPr>
              <w:t>Change in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provision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to the contrary, (i) in connection with a Change in Control, the Payout Percentage shall be deemed met at no less than 100% (or, if greater, the Payout Percentage determined based on actual performance (and, if the Performance Period has not otherwise ended prior to the date of the Change in Control, the Performance Period will be deemed to have ended as of the last quarter ended prior to the date of the Change in Control) and (ii) upon a Termination of Service during the Restricted Period as a result of the Company terminating the Participant’s employment without Cause or the Participant’s resignation for Good Reason in connection with a Change in Control, the Final Award shall be deemed to have vested in full as of immediately prior to such termination or such resignation (as applicable). To the extent the Final Award is vested pursuant to the preceding sentence, the Final Award shall be paid to the Participant in accordance with the second sentence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Company’s termination of the Participant’s employment or the Participant’s resignation for Good Reason shall be treated as being in connection with a Change in Control only if such termination or such resignation occurs during the period beginning six (6) months prior to the Change in Control and ending twenty-four (24) months following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Good Reason” has the meaning ascribed to such term in the Amended and Restated Employment Agreement by and among the Participant, the Company and certain other parties thereto, dated as of April 30, 2024 (as amended from time to time).</w:t>
      </w:r>
    </w:p>
    <w:p>
      <w:pPr>
        <w:pStyle w:val="TextBody"/>
        <w:bidi w:val="0"/>
        <w:spacing w:before="0" w:after="0"/>
        <w:ind w:left="0" w:right="0" w:hanging="0"/>
        <w:jc w:val="left"/>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23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i/>
                <w:color w:val="010000"/>
                <w:sz w:val="20"/>
              </w:rPr>
            </w:pPr>
            <w:r>
              <w:rPr>
                <w:b/>
                <w:i/>
                <w:color w:val="010000"/>
                <w:sz w:val="20"/>
              </w:rPr>
              <w:t>(e)</w:t>
            </w:r>
          </w:p>
        </w:tc>
        <w:tc>
          <w:tcPr>
            <w:tcW w:w="7280" w:type="dxa"/>
            <w:tcBorders/>
            <w:vAlign w:val="center"/>
          </w:tcPr>
          <w:p>
            <w:pPr>
              <w:pStyle w:val="TableContents"/>
              <w:bidi w:val="0"/>
              <w:spacing w:before="0" w:after="283"/>
              <w:jc w:val="both"/>
              <w:rPr>
                <w:b/>
                <w:i/>
                <w:sz w:val="20"/>
              </w:rPr>
            </w:pPr>
            <w:r>
              <w:rPr>
                <w:b/>
                <w:i/>
                <w:sz w:val="20"/>
              </w:rPr>
              <w:t>Termination of Service other than as a result of Death, Retirement or Change in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Termination of Service during the Restricted Period by any reason other than death, Retirement or in connection with a Change in Control, including, without limitation, as a result of retirement that does not meet the requirements set forth in the definition of Retirement under the Plan, voluntary resignation (other than pursuant to a Retirement as defined in the Plan or for Good Reason in connection with a Change in Control, as described above) or termination for Cause, any award or right granted hereunder shall expire and be forfeited, and no Final Award shall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0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i/>
                <w:color w:val="010000"/>
                <w:sz w:val="20"/>
              </w:rPr>
            </w:pPr>
            <w:r>
              <w:rPr>
                <w:b/>
                <w:i/>
                <w:color w:val="010000"/>
                <w:sz w:val="20"/>
              </w:rPr>
              <w:t>(f)</w:t>
            </w:r>
          </w:p>
        </w:tc>
        <w:tc>
          <w:tcPr>
            <w:tcW w:w="3335" w:type="dxa"/>
            <w:tcBorders/>
            <w:vAlign w:val="center"/>
          </w:tcPr>
          <w:p>
            <w:pPr>
              <w:pStyle w:val="TableContents"/>
              <w:bidi w:val="0"/>
              <w:spacing w:before="0" w:after="283"/>
              <w:jc w:val="both"/>
              <w:rPr>
                <w:b/>
                <w:i/>
                <w:sz w:val="20"/>
              </w:rPr>
            </w:pPr>
            <w:r>
              <w:rPr>
                <w:b/>
                <w:i/>
                <w:sz w:val="20"/>
              </w:rPr>
              <w:t>Clawback as a result of misconduct, etc.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determined by the Committee, (i) if the Company is required to prepare a material restatement of its financial statements, and the Committee (A) determines that the Participant knowingly engaged in the misconduct, was grossly negligent with respect to such misconduct, or acted knowingly or with gross negligence in failing to prevent the misconduct, or (B) concludes that the Participant engaged in willful fraud, embezzlement or other similar activity (including acts of omission) materially detrimental to the Company, or (ii) if the Company is required to prepare a restatement of its financial statements due to the Company’s noncompliance with any financial reporting requirement under the securities laws, including the Dodd-Frank Wall Street Reform and Consumer Protection Act and implementing rules and regulations thereunder, then, in each case, the Participant (or the Participant’s beneficiary) shall, as required by the Company or pursuant to its applicable policies or as required under applicable law, reimburse the Company for all or any portion of the Final Award, and/or forfeit the proceeds of any sale (including any sales to the Company) of any Company securities acquired by or on behalf of the Participant (or the Participant’s beneficiary) pursuant to the Final Award paid under this Agreement.</w:t>
      </w:r>
    </w:p>
    <w:p>
      <w:pPr>
        <w:pStyle w:val="TextBody"/>
        <w:bidi w:val="0"/>
        <w:spacing w:before="0" w:after="0"/>
        <w:ind w:left="0" w:right="0" w:hanging="0"/>
        <w:jc w:val="left"/>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17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color w:val="010000"/>
                <w:sz w:val="20"/>
              </w:rPr>
            </w:pPr>
            <w:r>
              <w:rPr>
                <w:b/>
                <w:color w:val="010000"/>
                <w:sz w:val="20"/>
              </w:rPr>
              <w:t>9.</w:t>
            </w:r>
          </w:p>
        </w:tc>
        <w:tc>
          <w:tcPr>
            <w:tcW w:w="1835" w:type="dxa"/>
            <w:tcBorders/>
            <w:vAlign w:val="center"/>
          </w:tcPr>
          <w:p>
            <w:pPr>
              <w:pStyle w:val="TableContents"/>
              <w:bidi w:val="0"/>
              <w:spacing w:before="0" w:after="283"/>
              <w:jc w:val="both"/>
              <w:rPr>
                <w:b/>
                <w:sz w:val="20"/>
              </w:rPr>
            </w:pPr>
            <w:r>
              <w:rPr>
                <w:b/>
                <w:sz w:val="20"/>
              </w:rPr>
              <w:t>Committee Authority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question concerning the interpretation of this Agreement, any adjustments required to be made under the Plan, and any controversy that may arise under the Plan or this Agreement shall be determined by the Committee in its sole discretion. Any decisions by the Committee regarding the Plan or this Agreement shall be final and binding.</w:t>
      </w:r>
    </w:p>
    <w:p>
      <w:pPr>
        <w:pStyle w:val="TextBody"/>
        <w:bidi w:val="0"/>
        <w:spacing w:before="0" w:after="0"/>
        <w:ind w:left="0" w:right="0" w:hanging="0"/>
        <w:jc w:val="left"/>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275"/>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color w:val="010000"/>
                <w:sz w:val="20"/>
              </w:rPr>
            </w:pPr>
            <w:r>
              <w:rPr>
                <w:b/>
                <w:color w:val="010000"/>
                <w:sz w:val="20"/>
              </w:rPr>
              <w:t>10.</w:t>
            </w:r>
          </w:p>
        </w:tc>
        <w:tc>
          <w:tcPr>
            <w:tcW w:w="1205" w:type="dxa"/>
            <w:tcBorders/>
            <w:vAlign w:val="center"/>
          </w:tcPr>
          <w:p>
            <w:pPr>
              <w:pStyle w:val="TableContents"/>
              <w:bidi w:val="0"/>
              <w:spacing w:before="0" w:after="283"/>
              <w:jc w:val="both"/>
              <w:rPr>
                <w:b/>
                <w:sz w:val="20"/>
              </w:rPr>
            </w:pPr>
            <w:r>
              <w:rPr>
                <w:b/>
                <w:sz w:val="20"/>
              </w:rPr>
              <w:t>Plan Controls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this Agreement are governed by the terms of the Plan, as it exists on the Date of Grant and as the Plan may be amended from time to time thereafter. In the event of any conflict between the provisions of this Agreement and the provisions of the Plan, the terms of the Plan shall control.</w:t>
      </w:r>
    </w:p>
    <w:p>
      <w:pPr>
        <w:pStyle w:val="TextBody"/>
        <w:bidi w:val="0"/>
        <w:spacing w:before="0" w:after="0"/>
        <w:ind w:left="0" w:right="0" w:hanging="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75"/>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color w:val="010000"/>
                <w:sz w:val="20"/>
              </w:rPr>
            </w:pPr>
            <w:r>
              <w:rPr>
                <w:b/>
                <w:color w:val="010000"/>
                <w:sz w:val="20"/>
              </w:rPr>
              <w:t>11.</w:t>
            </w:r>
          </w:p>
        </w:tc>
        <w:tc>
          <w:tcPr>
            <w:tcW w:w="4100" w:type="dxa"/>
            <w:tcBorders/>
            <w:vAlign w:val="center"/>
          </w:tcPr>
          <w:p>
            <w:pPr>
              <w:pStyle w:val="TableContents"/>
              <w:bidi w:val="0"/>
              <w:spacing w:before="0" w:after="283"/>
              <w:jc w:val="both"/>
              <w:rPr>
                <w:b/>
                <w:sz w:val="20"/>
              </w:rPr>
            </w:pPr>
            <w:r>
              <w:rPr>
                <w:b/>
                <w:sz w:val="20"/>
              </w:rPr>
              <w:t>Limitation on Rights; No Right to Future Grants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entering into this Agreement, the Participant acknowledges that: (a) the Plan is discretionary and may be modified, suspended or terminated by the Company at any time, as provided in the Plan;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as provided in Section 22 of the Plan, no amendment to this Agreement shall adversely affect in a material manner the Participant’s rights hereunder without his or her written consent; (b) the grant of the Award hereunder is a one-time benefit and does not create any contractual or other right to receive future grants of Awards or benefits in lieu of Awards; (c) all determinations with respect to any such future grants, including, but not limited to, the times when Awards will be granted, the number of shares subject to each Award, the Award price, if any, and the time or times when each Award will be settled, will be at the sole discretion of the Company; (d) participation in the Plan is voluntary; (e) the value of an Award is an extraordinary item that is outside the scope of the Participant’s employment contract, if any, unless expressly provided for in any such employment contract; (f) an Award is not part of normal or expected compensation for any purpose, including, without limitation, for calculating any benefits, severance, resignation, termination, redundancy, end of service payments, bonuses, long-service awards, pension or retirement benefits or similar payments, and the Participant will have no entitlement to compensation or damages as a consequence of any forfeiture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(g) the future value of the Class C Common Stock subject to the Award is unknown and cannot be predicted with certainty; (h) neither the Plan, the Award nor the issuance of the shares underlying the Award confers upon the Participant any right to continue in the employ or service of (or any other relationship with) the Company or any Affiliate, nor do they limit in any respect the right of the Company or any Affiliate to terminate the Participant’s employment or other relationship with the Company or any Affiliate, as the case may be, at any time with or without Cause; and (i) the grant of the Award will not be interpreted to form an employment relationship with the Company or any Affiliate; and furthermore, the grant of the Award will not be interpreted to form an employment contract with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275"/>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color w:val="010000"/>
                <w:sz w:val="20"/>
              </w:rPr>
            </w:pPr>
            <w:r>
              <w:rPr>
                <w:b/>
                <w:color w:val="010000"/>
                <w:sz w:val="20"/>
              </w:rPr>
              <w:t>12.</w:t>
            </w:r>
          </w:p>
        </w:tc>
        <w:tc>
          <w:tcPr>
            <w:tcW w:w="1670" w:type="dxa"/>
            <w:tcBorders/>
            <w:vAlign w:val="center"/>
          </w:tcPr>
          <w:p>
            <w:pPr>
              <w:pStyle w:val="TableContents"/>
              <w:bidi w:val="0"/>
              <w:spacing w:before="0" w:after="283"/>
              <w:jc w:val="both"/>
              <w:rPr>
                <w:b/>
                <w:sz w:val="20"/>
              </w:rPr>
            </w:pPr>
            <w:r>
              <w:rPr>
                <w:b/>
                <w:sz w:val="20"/>
              </w:rPr>
              <w:t>General Provisions</w:t>
            </w:r>
          </w:p>
        </w:tc>
      </w:tr>
    </w:tbl>
    <w:p>
      <w:pPr>
        <w:pStyle w:val="TextBody"/>
        <w:bidi w:val="0"/>
        <w:spacing w:before="0" w:after="0"/>
        <w:ind w:left="0" w:right="0" w:hanging="0"/>
        <w:jc w:val="left"/>
        <w:rPr>
          <w:caps w:val="false"/>
          <w:smallCaps w:val="false"/>
        </w:rPr>
      </w:pPr>
      <w:r>
        <w:rPr>
          <w:caps w:val="false"/>
          <w:smallCaps w:val="false"/>
        </w:rPr>
        <w:t> </w:t>
      </w:r>
    </w:p>
    <w:tbl>
      <w:tblPr>
        <w:tblW w:w="858" w:type="dxa"/>
        <w:jc w:val="left"/>
        <w:tblInd w:w="0" w:type="dxa"/>
        <w:tblLayout w:type="fixed"/>
        <w:tblCellMar>
          <w:top w:w="0" w:type="dxa"/>
          <w:left w:w="0" w:type="dxa"/>
          <w:bottom w:w="0" w:type="dxa"/>
          <w:right w:w="0" w:type="dxa"/>
        </w:tblCellMar>
      </w:tblPr>
      <w:tblGrid>
        <w:gridCol w:w="38"/>
        <w:gridCol w:w="245"/>
        <w:gridCol w:w="5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color w:val="010000"/>
                <w:sz w:val="20"/>
              </w:rPr>
            </w:pPr>
            <w:r>
              <w:rPr>
                <w:b/>
                <w:i/>
                <w:color w:val="010000"/>
                <w:sz w:val="20"/>
              </w:rPr>
              <w:t>(a)</w:t>
            </w:r>
          </w:p>
        </w:tc>
        <w:tc>
          <w:tcPr>
            <w:tcW w:w="575" w:type="dxa"/>
            <w:tcBorders/>
            <w:vAlign w:val="center"/>
          </w:tcPr>
          <w:p>
            <w:pPr>
              <w:pStyle w:val="TableContents"/>
              <w:bidi w:val="0"/>
              <w:spacing w:before="0" w:after="283"/>
              <w:jc w:val="both"/>
              <w:rPr>
                <w:b/>
                <w:i/>
                <w:sz w:val="20"/>
              </w:rPr>
            </w:pPr>
            <w:r>
              <w:rPr>
                <w:b/>
                <w:i/>
                <w:sz w:val="20"/>
              </w:rPr>
              <w:t>Notice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notice is required or permitted hereunder, such notice must be in writing and delivered in person or by mail (to the address set forth below if notice is being delivered to the Company) or electronically. Any notice delivered in person or by mail shall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set forth in this Agreement. Any notices delivered electronically shall be deemed to be delivered when transmitted and receipt is confirmed. Notices delivered to the Participant in person or by mail shall be addressed to the address for the Participant in the records of the Company. Notices delivered to the Company in person or by mail shall be addressed as follows:</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75"/>
        <w:gridCol w:w="875"/>
        <w:gridCol w:w="60"/>
        <w:gridCol w:w="4145"/>
      </w:tblGrid>
      <w:tr>
        <w:trPr/>
        <w:tc>
          <w:tcPr>
            <w:tcW w:w="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Clearway Energy, Inc.</w:t>
              <w:br/>
              <w:t>Attn: EVP, General Counsel &amp; Corporate Secretary</w:t>
              <w:br/>
              <w:t>300 Carnegie Center, Suite 300</w:t>
            </w:r>
            <w:r>
              <w:rPr>
                <w:rFonts w:ascii="Times New Roman;Times;Serif" w:hAnsi="Times New Roman;Times;Serif"/>
                <w:sz w:val="20"/>
                <w:shd w:fill="FFFF00" w:val="clear"/>
              </w:rPr>
              <w:br/>
            </w:r>
            <w:r>
              <w:rPr>
                <w:rFonts w:ascii="Times New Roman;Times;Serif" w:hAnsi="Times New Roman;Times;Serif"/>
                <w:sz w:val="20"/>
              </w:rPr>
              <w:t>Princeton, NJ  08450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Participant may change, by written notice to the other, the address previously specified for receiving notices.</w:t>
      </w:r>
    </w:p>
    <w:p>
      <w:pPr>
        <w:pStyle w:val="TextBody"/>
        <w:bidi w:val="0"/>
        <w:spacing w:before="0" w:after="0"/>
        <w:ind w:left="0" w:right="0" w:hanging="0"/>
        <w:jc w:val="left"/>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245"/>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color w:val="010000"/>
                <w:sz w:val="20"/>
              </w:rPr>
            </w:pPr>
            <w:r>
              <w:rPr>
                <w:b/>
                <w:i/>
                <w:color w:val="010000"/>
                <w:sz w:val="20"/>
              </w:rPr>
              <w:t>(b)</w:t>
            </w:r>
          </w:p>
        </w:tc>
        <w:tc>
          <w:tcPr>
            <w:tcW w:w="920" w:type="dxa"/>
            <w:tcBorders/>
            <w:vAlign w:val="center"/>
          </w:tcPr>
          <w:p>
            <w:pPr>
              <w:pStyle w:val="TableContents"/>
              <w:bidi w:val="0"/>
              <w:spacing w:before="0" w:after="283"/>
              <w:jc w:val="both"/>
              <w:rPr>
                <w:b/>
                <w:i/>
                <w:sz w:val="20"/>
              </w:rPr>
            </w:pPr>
            <w:r>
              <w:rPr>
                <w:b/>
                <w:i/>
                <w:sz w:val="20"/>
              </w:rPr>
              <w:t>No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waiver of any provision of this Agreement will be valid unless in writing and signed by the person against whom such waiver is sought to be enforced, nor will failure to enforce any right under this Agreement constitute a continuing waiver of the same or a waiver of any other right hereunder.</w:t>
      </w:r>
    </w:p>
    <w:p>
      <w:pPr>
        <w:pStyle w:val="TextBody"/>
        <w:bidi w:val="0"/>
        <w:spacing w:before="0" w:after="0"/>
        <w:ind w:left="0" w:right="0" w:hanging="0"/>
        <w:jc w:val="left"/>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23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i/>
                <w:color w:val="010000"/>
                <w:sz w:val="20"/>
              </w:rPr>
            </w:pPr>
            <w:r>
              <w:rPr>
                <w:b/>
                <w:i/>
                <w:color w:val="010000"/>
                <w:sz w:val="20"/>
              </w:rPr>
              <w:t>(c)</w:t>
            </w:r>
          </w:p>
        </w:tc>
        <w:tc>
          <w:tcPr>
            <w:tcW w:w="1085" w:type="dxa"/>
            <w:tcBorders/>
            <w:vAlign w:val="center"/>
          </w:tcPr>
          <w:p>
            <w:pPr>
              <w:pStyle w:val="TableContents"/>
              <w:bidi w:val="0"/>
              <w:spacing w:before="0" w:after="283"/>
              <w:jc w:val="both"/>
              <w:rPr>
                <w:b/>
                <w:i/>
                <w:sz w:val="20"/>
              </w:rPr>
            </w:pPr>
            <w:r>
              <w:rPr>
                <w:b/>
                <w:i/>
                <w:sz w:val="20"/>
              </w:rPr>
              <w:t>Undertaking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hereby agrees to take whatever additional action, and execute whatever additional documents, the Company may deem necessary or advisable in order to carry out or effect one or more of the obligations or restrictions imposed on either the Participant or the Award pursuant to the express provisions of this Agreement.</w:t>
      </w:r>
    </w:p>
    <w:p>
      <w:pPr>
        <w:pStyle w:val="TextBody"/>
        <w:bidi w:val="0"/>
        <w:spacing w:before="0" w:after="0"/>
        <w:ind w:left="0" w:right="0" w:hanging="0"/>
        <w:jc w:val="left"/>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45"/>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color w:val="010000"/>
                <w:sz w:val="20"/>
              </w:rPr>
            </w:pPr>
            <w:r>
              <w:rPr>
                <w:b/>
                <w:i/>
                <w:color w:val="010000"/>
                <w:sz w:val="20"/>
              </w:rPr>
              <w:t>(d)</w:t>
            </w:r>
          </w:p>
        </w:tc>
        <w:tc>
          <w:tcPr>
            <w:tcW w:w="1340" w:type="dxa"/>
            <w:tcBorders/>
            <w:vAlign w:val="center"/>
          </w:tcPr>
          <w:p>
            <w:pPr>
              <w:pStyle w:val="TableContents"/>
              <w:bidi w:val="0"/>
              <w:spacing w:before="0" w:after="283"/>
              <w:jc w:val="both"/>
              <w:rPr>
                <w:b/>
                <w:i/>
                <w:sz w:val="20"/>
              </w:rPr>
            </w:pPr>
            <w:r>
              <w:rPr>
                <w:b/>
                <w:i/>
                <w:sz w:val="20"/>
              </w:rPr>
              <w:t>Entire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23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i/>
                <w:color w:val="010000"/>
                <w:sz w:val="20"/>
              </w:rPr>
            </w:pPr>
            <w:r>
              <w:rPr>
                <w:b/>
                <w:i/>
                <w:color w:val="010000"/>
                <w:sz w:val="20"/>
              </w:rPr>
              <w:t>(e)</w:t>
            </w:r>
          </w:p>
        </w:tc>
        <w:tc>
          <w:tcPr>
            <w:tcW w:w="1955" w:type="dxa"/>
            <w:tcBorders/>
            <w:vAlign w:val="center"/>
          </w:tcPr>
          <w:p>
            <w:pPr>
              <w:pStyle w:val="TableContents"/>
              <w:bidi w:val="0"/>
              <w:spacing w:before="0" w:after="283"/>
              <w:jc w:val="both"/>
              <w:rPr>
                <w:b/>
                <w:i/>
                <w:sz w:val="20"/>
              </w:rPr>
            </w:pPr>
            <w:r>
              <w:rPr>
                <w:b/>
                <w:i/>
                <w:sz w:val="20"/>
              </w:rPr>
              <w:t>Successors and Assigns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Agreement shall inure to the benefit of, and be binding on, the Company and its successors and assigns and the Participant and the Participant's legal representatives, heirs, legatees, distributees, assigns and transferees by operation of law.</w:t>
      </w:r>
    </w:p>
    <w:p>
      <w:pPr>
        <w:pStyle w:val="TextBody"/>
        <w:bidi w:val="0"/>
        <w:spacing w:before="0" w:after="0"/>
        <w:ind w:left="0" w:right="0" w:hanging="0"/>
        <w:jc w:val="left"/>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20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i/>
                <w:color w:val="010000"/>
                <w:sz w:val="20"/>
              </w:rPr>
            </w:pPr>
            <w:r>
              <w:rPr>
                <w:b/>
                <w:i/>
                <w:color w:val="010000"/>
                <w:sz w:val="20"/>
              </w:rPr>
              <w:t>(f)</w:t>
            </w:r>
          </w:p>
        </w:tc>
        <w:tc>
          <w:tcPr>
            <w:tcW w:w="2300" w:type="dxa"/>
            <w:tcBorders/>
            <w:vAlign w:val="center"/>
          </w:tcPr>
          <w:p>
            <w:pPr>
              <w:pStyle w:val="TableContents"/>
              <w:bidi w:val="0"/>
              <w:spacing w:before="0" w:after="283"/>
              <w:jc w:val="both"/>
              <w:rPr>
                <w:b/>
                <w:i/>
                <w:sz w:val="20"/>
              </w:rPr>
            </w:pPr>
            <w:r>
              <w:rPr>
                <w:b/>
                <w:i/>
                <w:sz w:val="20"/>
              </w:rPr>
              <w:t>Securities Law Compliance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has an effective registration statement on file with the Securities and Exchange Commission with respect to the shares of Class C Common Stock underlying the RPSUs awarded under this Agreement. The Company intends to maintain this registration statement but has no obligation to the Participant to do so. If the registration statement ceases to be effective, the Participant may not be able to transfer or sell any shares of Class C Common Stock that are issued pursuant to the Award, unless exemptions from registration under applicable securities laws are available. Such exemptions from registration are very limited and might be unavailable. The Participant agrees that any resale of the shares of Class C Common Stock issued pursuant to the Award shall comply in all respects with the requirements of all applicable securities laws, rules and regulations (including, without limitation, the provisions of the Securities Act of 1933, the Securities Exchange Act of 1934 and the respective rules and regulations promulgated thereunder) and any other law, rule or regulation applicable thereto, as such laws, rules and regulations may be amended from time to time. The Company shall not be obligated to either issue shares of Class C Common Stock or permit the resale of any such shares if such issuance or resale would violate any such requirements.</w:t>
      </w:r>
    </w:p>
    <w:p>
      <w:pPr>
        <w:pStyle w:val="TextBody"/>
        <w:bidi w:val="0"/>
        <w:spacing w:before="0" w:after="0"/>
        <w:ind w:left="0" w:right="0" w:hanging="0"/>
        <w:jc w:val="left"/>
        <w:rPr>
          <w:caps w:val="false"/>
          <w:smallCaps w:val="false"/>
        </w:rPr>
      </w:pPr>
      <w:r>
        <w:rPr>
          <w:caps w:val="false"/>
          <w:smallCaps w:val="false"/>
        </w:rPr>
        <w:t> </w:t>
      </w:r>
    </w:p>
    <w:tbl>
      <w:tblPr>
        <w:tblW w:w="813" w:type="dxa"/>
        <w:jc w:val="left"/>
        <w:tblInd w:w="0" w:type="dxa"/>
        <w:tblLayout w:type="fixed"/>
        <w:tblCellMar>
          <w:top w:w="0" w:type="dxa"/>
          <w:left w:w="0" w:type="dxa"/>
          <w:bottom w:w="0" w:type="dxa"/>
          <w:right w:w="0" w:type="dxa"/>
        </w:tblCellMar>
      </w:tblPr>
      <w:tblGrid>
        <w:gridCol w:w="38"/>
        <w:gridCol w:w="245"/>
        <w:gridCol w:w="5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color w:val="010000"/>
                <w:sz w:val="20"/>
              </w:rPr>
            </w:pPr>
            <w:r>
              <w:rPr>
                <w:b/>
                <w:i/>
                <w:color w:val="010000"/>
                <w:sz w:val="20"/>
              </w:rPr>
              <w:t>(g)</w:t>
            </w:r>
          </w:p>
        </w:tc>
        <w:tc>
          <w:tcPr>
            <w:tcW w:w="530" w:type="dxa"/>
            <w:tcBorders/>
            <w:vAlign w:val="center"/>
          </w:tcPr>
          <w:p>
            <w:pPr>
              <w:pStyle w:val="TableContents"/>
              <w:bidi w:val="0"/>
              <w:spacing w:before="0" w:after="283"/>
              <w:jc w:val="both"/>
              <w:rPr>
                <w:b/>
                <w:i/>
                <w:sz w:val="20"/>
              </w:rPr>
            </w:pPr>
            <w:r>
              <w:rPr>
                <w:b/>
                <w:i/>
                <w:sz w:val="20"/>
              </w:rPr>
              <w:t>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acknowledges that the removal of restrictions with respect to an Award will give rise to a withholding tax liability, and that no shares of Class C Common Stock are issuable hereunder until such withholding obligation is satisfied in full. The Participant agrees to remit to the Company the amount of any taxes required to be withheld. The Committee, in its sole discretion, may permit the Participant to satisfy all or part of such tax obligation by (i) withholding the number of shares of Class C Common Stock otherwise issuable to the Participant hereunder and/or (ii) the Participant transferring to the Company unrestricted shares of Class C Common Stock previously owned by the Participant for at least six (6) months prior to the vesting of the Award hereunder that have a Fair Market Value equal to the amount of the withholding to be credited. Such value shall be based on the Fair Market Value of the Class C Common Stock as of the date the amount of tax to be withheld is determined.</w:t>
      </w:r>
    </w:p>
    <w:p>
      <w:pPr>
        <w:pStyle w:val="TextBody"/>
        <w:bidi w:val="0"/>
        <w:spacing w:before="0" w:after="0"/>
        <w:ind w:left="0" w:right="0" w:hanging="0"/>
        <w:jc w:val="left"/>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245"/>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i/>
                <w:color w:val="010000"/>
                <w:sz w:val="20"/>
              </w:rPr>
            </w:pPr>
            <w:r>
              <w:rPr>
                <w:b/>
                <w:i/>
                <w:color w:val="010000"/>
                <w:sz w:val="20"/>
              </w:rPr>
              <w:t>(h)</w:t>
            </w:r>
          </w:p>
        </w:tc>
        <w:tc>
          <w:tcPr>
            <w:tcW w:w="1295" w:type="dxa"/>
            <w:tcBorders/>
            <w:vAlign w:val="center"/>
          </w:tcPr>
          <w:p>
            <w:pPr>
              <w:pStyle w:val="TableContents"/>
              <w:bidi w:val="0"/>
              <w:spacing w:before="0" w:after="283"/>
              <w:jc w:val="both"/>
              <w:rPr>
                <w:b/>
                <w:i/>
                <w:sz w:val="20"/>
              </w:rPr>
            </w:pPr>
            <w:r>
              <w:rPr>
                <w:b/>
                <w:i/>
                <w:sz w:val="20"/>
              </w:rPr>
              <w:t>Confidentiality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partial consideration for the granting of this Award, the Participant agrees that he or she will keep confidential all information and knowledge that the Participant has relating to the manner and amount of his or her participation in the Plan; provided, however, that such information may be disclosed as required by law and may be given in confidence to the Participant’s spouse, tax and financial advisors, or to a financial institution to the extent that such information is necessary to obtain a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38"/>
        <w:gridCol w:w="20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i/>
                <w:color w:val="010000"/>
                <w:sz w:val="20"/>
              </w:rPr>
            </w:pPr>
            <w:r>
              <w:rPr>
                <w:b/>
                <w:i/>
                <w:color w:val="010000"/>
                <w:sz w:val="20"/>
              </w:rPr>
              <w:t>(i)</w:t>
            </w:r>
          </w:p>
        </w:tc>
        <w:tc>
          <w:tcPr>
            <w:tcW w:w="1310" w:type="dxa"/>
            <w:tcBorders/>
            <w:vAlign w:val="center"/>
          </w:tcPr>
          <w:p>
            <w:pPr>
              <w:pStyle w:val="TableContents"/>
              <w:bidi w:val="0"/>
              <w:spacing w:before="0" w:after="283"/>
              <w:jc w:val="both"/>
              <w:rPr>
                <w:b/>
                <w:i/>
                <w:sz w:val="20"/>
              </w:rPr>
            </w:pPr>
            <w:r>
              <w:rPr>
                <w:b/>
                <w:i/>
                <w:sz w:val="20"/>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otherwise be provided in the Plan, the provisions of this Agreement shall be governed by the laws of the State of Delaware without giving effect to principles of conflicts of law.</w:t>
      </w:r>
    </w:p>
    <w:p>
      <w:pPr>
        <w:pStyle w:val="TextBody"/>
        <w:bidi w:val="0"/>
        <w:spacing w:before="0" w:after="0"/>
        <w:ind w:left="0" w:right="0" w:hanging="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20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i/>
                <w:color w:val="010000"/>
                <w:sz w:val="20"/>
              </w:rPr>
            </w:pPr>
            <w:r>
              <w:rPr>
                <w:b/>
                <w:i/>
                <w:color w:val="010000"/>
                <w:sz w:val="20"/>
              </w:rPr>
              <w:t>(j)</w:t>
            </w:r>
          </w:p>
        </w:tc>
        <w:tc>
          <w:tcPr>
            <w:tcW w:w="2675" w:type="dxa"/>
            <w:tcBorders/>
            <w:vAlign w:val="center"/>
          </w:tcPr>
          <w:p>
            <w:pPr>
              <w:pStyle w:val="TableContents"/>
              <w:bidi w:val="0"/>
              <w:spacing w:before="0" w:after="283"/>
              <w:jc w:val="both"/>
              <w:rPr>
                <w:b/>
                <w:i/>
                <w:sz w:val="20"/>
              </w:rPr>
            </w:pPr>
            <w:r>
              <w:rPr>
                <w:b/>
                <w:i/>
                <w:sz w:val="20"/>
              </w:rPr>
              <w:t>Code Section 409A Compliance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hereunder is intended to be exempt from, or compliant with, Code Section 409A and, in construing any ambiguity regarding a matter hereunder that bears upon its exemption from, or compliance with, Code Section 409A, this Agreement and the Plan shall, to the extent possible, be construed in accordance with such intent. To the extent that the Committee determines that the Award hereunder is subject to Code Section 409A and fails to comply with the requirements of such Section, notwithstanding anything to the contrary contained in the Plan or in this Agreement, the Committee reserves the right to amend, restructure, terminate or replace this Award in order to cause the Award to either be exempt from Code Section 409A or compliant with the applicable provisions of such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has been executed as of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545"/>
        <w:gridCol w:w="368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Malcarney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EVP, General Counsel &amp;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RELATIVE TOTAL SHAREHOLDER RETURN PEER GROUP</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10" w:type="dxa"/>
        <w:tblLayout w:type="fixed"/>
        <w:tblCellMar>
          <w:top w:w="28" w:type="dxa"/>
          <w:left w:w="60" w:type="dxa"/>
          <w:bottom w:w="28" w:type="dxa"/>
          <w:right w:w="60" w:type="dxa"/>
        </w:tblCellMar>
      </w:tblPr>
      <w:tblGrid>
        <w:gridCol w:w="4730"/>
        <w:gridCol w:w="800"/>
      </w:tblGrid>
      <w:tr>
        <w:trPr/>
        <w:tc>
          <w:tcPr>
            <w:tcW w:w="47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TICKER</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Algonquin Power &amp; Utilities Corp.</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AQN</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ALLETE, Inc.</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Atlantica Sustainable Infrastructure plc</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AY</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Avista Corporation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AVA</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Black Hills Corporation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BKH</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Brookfield Renewable Partners L.P.</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BEP</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California Water Service Group</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Chesapeake Utilities Corporation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CPK</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Essential Utilities, Inc.</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WTRG</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Hannon Armstrong Sustainable Infrastructure Capital, Inc.</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HASI</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Hawaiian Electric Industries, Inc.</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IDACORP, Inc.</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IDA</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MDU Resources Group, Inc.</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MDU</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MGE Energy, Inc.</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MGEE</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National Fuel Gas Company</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NFG</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Jersey Resources Corporation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NJR</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NextEra Energy Partners, LP</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NEP</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Northwest Natural Holding Company</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NWN</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NorthWestern Corporation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NWE</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OGE Energy Corp.</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OGE</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ONE Gas, Inc.</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OGS</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Ormat Technologies, Inc.</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ORA</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Otter Tail Corporation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OTTR</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Portland General Electric Company</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Southwest Gas Holdings, Inc.</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SWX</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Spire Inc.</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SR</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Suburban Propane Partners, L.P.</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SPH</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TransAlta Corporation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TAC</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UGI Corporation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UGI</w:t>
            </w:r>
          </w:p>
        </w:tc>
      </w:tr>
      <w:tr>
        <w:trPr/>
        <w:tc>
          <w:tcPr>
            <w:tcW w:w="47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Unitil Corporation</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UTL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r>
        <w:rPr/>
        <w:t> </w:t>
      </w:r>
    </w:p>
    <w:p>
      <w:pPr>
        <w:pStyle w:val="TextBody"/>
        <w:bidi w:val="0"/>
        <w:jc w:val="left"/>
        <w:rPr/>
      </w:pPr>
      <w:bookmarkStart w:id="30" w:name="tm2413039d1_ex99-1.htm"/>
      <w:bookmarkStart w:id="31" w:name="kstm2413039d1_ex991"/>
      <w:bookmarkEnd w:id="30"/>
      <w:bookmarkEnd w:id="31"/>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71462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714625" cy="371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Inc. Announces CEO Transition and Reiterates 2024 Financial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PRINCETON, NJ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April 30, 2024</w:t>
      </w:r>
      <w:r>
        <w:rPr>
          <w:rFonts w:ascii="Times New Roman;Times;Serif" w:hAnsi="Times New Roman;Times;Serif"/>
          <w:b w:val="false"/>
          <w:i w:val="false"/>
          <w:caps w:val="false"/>
          <w:smallCaps w:val="false"/>
          <w:sz w:val="20"/>
        </w:rPr>
        <w:t>— Clearway Energy, Inc. (NYSE: CWEN, CWEN.A) (“Company”, “Clearway”) today announced that effective June 30, 2024, Chris Sotos will move on from his position as Clearway Energy, Inc.’s President and Chief Executive Officer (“CEO”) and resign from his role as a member of CWEN’s Board of Directors to pursue other opportunities. Craig Cornelius, who is currently the CEO of the Company’s sponsor, Clearway Energy Group (“Clearway Group”), will succeed Mr. Sotos as CWEN’s CEO and will join CWEN’s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Chris’s leadership has been critical to the financial success that CWEN and its predecessor have achieved since its 2013 IPO. On behalf of the CWEN Board, I want to thank him for his many contributions that have put CWEN in an excellent position for future growth,” said Jonathan Bram, Founding Partner of GIP and Chairman of the Board of Clearway Energy, Inc. “Craig’s leadership and vision has been instrumental in growing the renewable development pipeline at Clearway Group by six times since GIP’s investment while also effectively managing the teams that operate CWEN’s assets. In his expanded role within the Clearway enterprise as the incoming CEO of Clearway Energy, Inc., I’m confident CWEN will continue to meet its growth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have been with CWEN and its predecessor entity since its inception in December 2012 and have been honored to serve as its CEO since 2016. While I’ll miss my colleagues, I’m comforted to know that I’m leaving behind a best-in-class team that can continue to build upon Clearway’s strong track record of value creation for its investors,” said Christopher Sotos, Clearway Energy, Inc.’s outgoing President and Chief Executive Officer. “I’ve worked with Craig for many years and know that CWEN will be in an excellent position under his leadership to continue to grow CWEN’s platform in a manner that is accretive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becoming Clearway Group’s CEO at its formation through a spin-out of NRG Energy Inc.’s (“NRG”) clean energy businesses in 2018, Mr. Cornelius was President of NRG’s renewables division. In this capacity, he oversaw origination, development, engineering &amp; construction, operations, and asset management across the company’s businesses in wind and solar power. He joined NRG in 2013 and initially led new business development for renewables, including the establishment of new market segments, acquisition of projects, and direction of process improvement initiatives. Before joining NRG, Mr. Cornelius served for five years as a Principal and then a Managing Director in the solar investing practice at Hudson Clean Energy Partners. Previously, he was the Program Manager of the U.S. Department of Energy’s Solar Energy Technologies Program, where he led the creation of the $1.5 billion Solar America Initiative.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Chris was an instrumental creator of the business that became Clearway and has been a great colleague over his incredible arc of service. It’s been a true privilege getting to co-lead the enterprise alongside him. He’s built a solid foundation for CWEN that will allow for a seamless transition as we go forward. The Clearway enterprise has a talented employee base across our organization that supports both Clearway Energy, Inc. and Clearway Group. We remain well positioned to sustainably grow CAFD per share and our clean energy fleet for years to come and look forward to doing that,” said Craig Cornelius, Clearway Energy, Inc.’s incoming President and Chief Executive Officer. “We continue to expect CWEN to achieve the upper range of its 5% to 8% annual dividend growth objective without needing external capital through at least 2026. Furthermore, and consistent with prior disclosures, we see potential for CWEN's CAFD per share growth in 2027 to be in that same range if the balance of our gas fleet contracts its capacity to deliver resource adequacy at the same or better pricing as previously disclosed contract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reaffirming its 2024 full year CAFD guidance of $395 million. The Company's 2024 financial guidance factors in the contribution of committed growth investments based on current expected closing timelines and estimates for merchant energy gross margin at the conventional fleet. 2024 CAFD guidance does not factor in the timing of when CAFD is realized from new growth investments pursuant to 5-year averages beyond 2024. Financial guidance is based on median renewable energy production estimates for the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Earnings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plans to report first quarter 2024 financial results on Thursday, May 9. Management will present the results during a conference call and webcast at 8:00 a.m. Eastern. A live webcast of the conference call, including presentation materials, can be accessed through the Company’s website at http://www.clearwayenergy.com and clicking on “Presentations &amp; Webcasts” under the Investor Relations section. The webcast will be archived on the site for those unable to listen in real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Clearway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Clearway Energy, Inc. is one of the largest renewable energy owners in the US with approximately 6,000 net MW of installed wind, solar and energy storage projects. The Company's approximately 8,500 net MW of assets also include approximately 2,500 net MW of environmentally-sound, highly efficient natural gas generation facilities. Through this environmentally-sound diversified and primarily contracted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investor.clearwayenergy.com.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described above, including those regarding annual dividend growth, the Company’s financial performance and/or business results and other future events, and views of economic and market conditions. Although Clearway Energy, Inc. believes that these estimates and the other expectations stated herein are reasonable, it can give no assurance that these estimates or other expectations will prove to be correct, and actual results may vary materially. Factors that could cause actual results to differ materially from those contemplated above include, among others, economic, competitive, governmental regulatory and market factors affecting our business, operations, dividends and access to capital. We identify the principal risks and uncertainties that affect our Company in our Form10-K and other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3290"/>
        <w:gridCol w:w="2990"/>
      </w:tblGrid>
      <w:tr>
        <w:trPr/>
        <w:tc>
          <w:tcPr>
            <w:tcW w:w="3290" w:type="dxa"/>
            <w:tcBorders/>
            <w:vAlign w:val="center"/>
          </w:tcPr>
          <w:p>
            <w:pPr>
              <w:pStyle w:val="TableContents"/>
              <w:bidi w:val="0"/>
              <w:spacing w:before="0" w:after="283"/>
              <w:jc w:val="left"/>
              <w:rPr>
                <w:b/>
                <w:sz w:val="20"/>
              </w:rPr>
            </w:pPr>
            <w:r>
              <w:rPr>
                <w:b/>
                <w:sz w:val="20"/>
              </w:rPr>
              <w:t>Investors:</w:t>
            </w:r>
          </w:p>
        </w:tc>
        <w:tc>
          <w:tcPr>
            <w:tcW w:w="29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tc>
      </w:tr>
      <w:tr>
        <w:trPr/>
        <w:tc>
          <w:tcPr>
            <w:tcW w:w="3290" w:type="dxa"/>
            <w:tcBorders/>
            <w:vAlign w:val="center"/>
          </w:tcPr>
          <w:p>
            <w:pPr>
              <w:pStyle w:val="TableContents"/>
              <w:bidi w:val="0"/>
              <w:spacing w:before="0" w:after="283"/>
              <w:jc w:val="left"/>
              <w:rPr>
                <w:sz w:val="20"/>
              </w:rPr>
            </w:pPr>
            <w:r>
              <w:rPr>
                <w:sz w:val="20"/>
              </w:rPr>
              <w:t>Akil Marsh</w:t>
            </w:r>
          </w:p>
        </w:tc>
        <w:tc>
          <w:tcPr>
            <w:tcW w:w="2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Zadie Oleksiw</w:t>
            </w:r>
          </w:p>
        </w:tc>
      </w:tr>
      <w:tr>
        <w:trPr/>
        <w:tc>
          <w:tcPr>
            <w:tcW w:w="3290" w:type="dxa"/>
            <w:tcBorders/>
            <w:vAlign w:val="center"/>
          </w:tcPr>
          <w:p>
            <w:pPr>
              <w:pStyle w:val="TableContents"/>
              <w:bidi w:val="0"/>
              <w:spacing w:before="0" w:after="283"/>
              <w:jc w:val="left"/>
              <w:rPr>
                <w:sz w:val="20"/>
              </w:rPr>
            </w:pPr>
            <w:r>
              <w:rPr>
                <w:sz w:val="20"/>
              </w:rPr>
              <w:t>investor.relations@clearwayenergy.com</w:t>
            </w:r>
          </w:p>
        </w:tc>
        <w:tc>
          <w:tcPr>
            <w:tcW w:w="2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zadie.oleksiw@clearwayenergy.com</w:t>
            </w:r>
          </w:p>
        </w:tc>
      </w:tr>
      <w:tr>
        <w:trPr/>
        <w:tc>
          <w:tcPr>
            <w:tcW w:w="3290" w:type="dxa"/>
            <w:tcBorders/>
            <w:vAlign w:val="center"/>
          </w:tcPr>
          <w:p>
            <w:pPr>
              <w:pStyle w:val="TableContents"/>
              <w:bidi w:val="0"/>
              <w:spacing w:before="0" w:after="283"/>
              <w:jc w:val="left"/>
              <w:rPr>
                <w:sz w:val="20"/>
              </w:rPr>
            </w:pPr>
            <w:r>
              <w:rPr>
                <w:sz w:val="20"/>
              </w:rPr>
              <w:t>609-608-1500</w:t>
            </w:r>
          </w:p>
        </w:tc>
        <w:tc>
          <w:tcPr>
            <w:tcW w:w="2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202-836-5754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67683/000156768324000007/cwen-2023123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33648</Words>
  <Characters>177772</Characters>
  <CharactersWithSpaces>213393</CharactersWithSpaces>
  <Paragraphs>1802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