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30,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57"/>
        </w:trPr>
        <w:tc>
          <w:tcPr>
            <w:tcW w:w="3840" w:type="dxa"/>
            <w:vAlign w:val="bottom"/>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3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81"/>
        </w:trPr>
        <w:tc>
          <w:tcPr>
            <w:tcW w:w="384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4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None</w:t>
            </w:r>
          </w:p>
        </w:tc>
        <w:tc>
          <w:tcPr>
            <w:tcW w:w="39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360" w:right="1040" w:hanging="1295"/>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Departure of Chief Executive Officer</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April 30, 2024, Christopher S. Sotos informed Clearway Energy, Inc. (“Clearway, Inc.”), the parent company of Clearway Energy LLC (the “Company”) that, effective as of June 30, 2024 (the “Effective Date), he will move on from his position as President and Chief Executive Officer of Clearway, Inc. and the Company to pursue other opportunities.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Mr. Sotos’ departure, Mr. Sotos and Clearway, Inc. entered into a Separation Agreement and General Release on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“Separation Agreement”), which governs the terms of his separation from Clearway, Inc. and the Company. Under the Separation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Inc. will continue to provide Mr. Sotos with certain compensation and benefits described in his amended and restated 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September 23, 2021 (the “Sotos Employment Agreement”), until the Effective Date, including (i) Mr. Sotos’ current annual base salary, (ii)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incentive compensation, deferred compensation and other compensation earned or accrued by Mr. Sotos as of the Effective Date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Clearway, Inc.’s compensation and benefit plans, programs and arrangements, (iii) any accrued but unused vacation pay, expense reimbursements and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entitlements accrued by Mr. Sotos, in accordance with Clearway, Inc. policy, as of the Effective Date and (iv) all benefits accrued by Mr. Sotos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Inc.’s benefit plans and qualified and nonqualified retirement, pension, 401(k) and similar plans and arrangements.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under the Separation Agreement, Mr. Sotos will receive the following additional separation benefits (the “Separation Benefits”):</w:t>
      </w:r>
    </w:p>
    <w:p>
      <w:pPr>
        <w:spacing w:after="0" w:line="27" w:lineRule="exact"/>
        <w:rPr>
          <w:sz w:val="20"/>
          <w:szCs w:val="20"/>
          <w:color w:val="auto"/>
        </w:rPr>
      </w:pPr>
    </w:p>
    <w:p>
      <w:pPr>
        <w:ind w:right="20" w:firstLine="8"/>
        <w:spacing w:after="0" w:line="253"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by Clearway, Inc. of the non-compete covenant contained in the Sotos Employment Agreement, (ii) his annual performance bonus in respect of the 2024 calendar year, adjusted on a pro rata basis based on the number of days Mr. Sotos is actually employed by Clearway, Inc. during 2024, which if earned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contingent on the satisfaction of applicable performance goals), will be paid to Mr. Sotos in a lump sum cash payment on or about the date on which annual bonuses are paid to Clearway, Inc.’s other executive officers (but in any event prior to March 15, 2025), and (iii) reimbursement of certain expenses incurred by Mr. Sotos in connection with the negotiation of the Separation Agreement, up to a maximum of $20,000.</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Separation Benefits are conditioned on Mr. Sotos complying with the Separation Agreement and executing (and not revoking with seven days after his execution) a general release of claims, pursuant to which Mr. Sotos would agree to release Clearway, Inc., its affiliates and their officers, directors, agents, employees, representatives, successors and assigns from any and all claims and causes of action arising out of or relating to his employment with the Company, subject to certain excluded claims.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contains a non-disparagement provision and provides that the restrictive covenants set forth in the Sotos Employment Agreement, other than the non-compete covenant, will remain in effect with respect to Mr. Sotos.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full text of the Separation Agreement, a copy of which is attached as Exhibit 10.1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i w:val="1"/>
          <w:iCs w:val="1"/>
          <w:color w:val="auto"/>
        </w:rPr>
        <w:t>Appointment of Chief Executive Officer</w:t>
      </w:r>
    </w:p>
    <w:p>
      <w:pPr>
        <w:spacing w:after="0" w:line="227"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Mr. Sotos’ departure, on April 30, 2024, Craig Cornelius was appointed to serve as the Chief Executive Officer of Clearway, Inc. and the Company, effective as of the Effective Date.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Mr. Cornelius, age 44, currently serves as the Chief Executive Officer of the Company’s sponsor, Clearway Energy Group LLC (“CEG”). Prior to becoming the Chief Executive Officer of CEG at its formation through a spin-out of NRG Energy Inc.’s (“NRG”) clean energy businesses in 2018,</w:t>
      </w:r>
    </w:p>
    <w:p>
      <w:pPr>
        <w:ind w:right="20"/>
        <w:spacing w:after="0" w:line="252" w:lineRule="auto"/>
        <w:rPr>
          <w:sz w:val="20"/>
          <w:szCs w:val="20"/>
          <w:color w:val="auto"/>
        </w:rPr>
      </w:pPr>
      <w:r>
        <w:rPr>
          <w:rFonts w:ascii="Times New Roman" w:cs="Times New Roman" w:eastAsia="Times New Roman" w:hAnsi="Times New Roman"/>
          <w:sz w:val="18"/>
          <w:szCs w:val="18"/>
          <w:color w:val="auto"/>
        </w:rPr>
        <w:t>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He has also served terms at the U.S. National Aeronautics and Space Administration, the Thai Geoinformatics and Space Technology Development Agency and the U.S. National Academies of Science.</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April 30, 2024, Clearway, Inc., CEG and Mr. Cornelius entered into an amended and restated employment agreement (the “Cornelius Employment Agreement”), pursuant to which Mr. Cornelius will continue to serve as the Chief Executive Officer of CEG and, beginning on the Effective Date, will also serve as the Chief Executive Officer of the Company.</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Cornelius Employment Agreement entitles Mr. Cornelius to an annual base salary, payable solely by CEG, of $500,000, which will be increased to $750,000 as of the Effective Date.</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Cornelius Employment Agreement provides that, beginning with the 2024 fiscal year, Mr. Cornelius will be eligible to receive an annual incentive bonus (the “Annual Bonus”) at a target amount equal to 175% of his then-current base salary (the “Target Annual Bonus”), with the actual Annual Bonus with respect to a fiscal year payable solely by CEG based on the level of achievement of annual performance objectives established for such fiscal year with respect to Clearway, Inc.; provided that such actual Annual Bonus may not exceed 300% of Mr. Cornelius’ base salary as in effect at the end of such fiscal year.</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Cornelius Employment Agreement provides that Mr. Cornelius is eligible to participate in the Clearway Energy, Inc. Amended and Restated 2013 Equity Incentive Plan (the “LTIP”), on such terms as are set forth in the LTIP. Mr. Cornelius’ annual long term incentive grant under the LTIP (the “Target LTIP Award”) will be 350% of his then-current annual base salary. The Target LTIP Award, one-third of which will be in the form of service-based restricted stock units and the remainder of which will be in the form of performance-based restricted stock units, will be issued to Mr. Cornelius on or as soon as practicable (and no later than thirty days) after the Effective Date.</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compensation and benefits described above, the Cornelius Employment Agreement provides that Mr. Cornelius will receive the following:</w:t>
      </w:r>
    </w:p>
    <w:p>
      <w:pPr>
        <w:spacing w:after="0" w:line="162" w:lineRule="exact"/>
        <w:rPr>
          <w:sz w:val="20"/>
          <w:szCs w:val="20"/>
          <w:color w:val="auto"/>
        </w:rPr>
      </w:pPr>
    </w:p>
    <w:p>
      <w:pPr>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by CEG for reasonable business expenses incurred by Mr. Cornelius in carrying out his duties and responsibilities as the Chief Executive Officer of the Company;</w:t>
      </w:r>
    </w:p>
    <w:p>
      <w:pPr>
        <w:ind w:left="980" w:right="20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by CEG for personal financial advisory and tax preparation services, or related legal advisory services, up to a maximum of $12,000 per year; and</w:t>
      </w:r>
    </w:p>
    <w:p>
      <w:pPr>
        <w:ind w:left="980" w:right="6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CEG of an amount equal to $40,000 in connection with the attorneys’ fees anticipated to be incurred by Mr. Cornelius in connection with the establishment of the terms of Mr. Cornelius’ transition to Chief Executive Officer of the Company, the negotiating of the Cornelius Employment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If Mr. Cornelius’ employment is terminated as a result of his death or disability, Mr. Cornelius will be entitled to:</w:t>
      </w:r>
    </w:p>
    <w:p>
      <w:pPr>
        <w:spacing w:after="0" w:line="225" w:lineRule="exact"/>
        <w:rPr>
          <w:sz w:val="20"/>
          <w:szCs w:val="20"/>
          <w:color w:val="auto"/>
        </w:rPr>
      </w:pPr>
    </w:p>
    <w:p>
      <w:pPr>
        <w:jc w:val="both"/>
        <w:ind w:left="1300" w:right="200" w:hanging="320"/>
        <w:spacing w:after="0" w:line="257"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accrued but unpaid base salary through the date of termination, (ii) any unpaid or unreimbursed expenses incurred in accordance with the Cornelius Employment Agreement and (iii) any benefits provided under CEG’s employee benefit plans upon a termination of employment (collectively, the “Accrued Obligations”);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Annual Bonus for the prior fiscal year; and</w:t>
      </w:r>
    </w:p>
    <w:p>
      <w:pPr>
        <w:spacing w:after="0" w:line="9" w:lineRule="exact"/>
        <w:rPr>
          <w:rFonts w:ascii="Times New Roman" w:cs="Times New Roman" w:eastAsia="Times New Roman" w:hAnsi="Times New Roman"/>
          <w:sz w:val="18"/>
          <w:szCs w:val="18"/>
          <w:color w:val="auto"/>
        </w:rPr>
      </w:pPr>
    </w:p>
    <w:p>
      <w:pPr>
        <w:ind w:left="1300" w:right="320" w:hanging="320"/>
        <w:spacing w:after="0" w:line="26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Target Annual Bonus for the year of termination, which amount will be prorated based on the number of days during the year that Mr. Cornelius was employed by CEG or the Company.</w:t>
      </w:r>
    </w:p>
    <w:p>
      <w:pPr>
        <w:spacing w:after="0" w:line="181"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Mr. Cornelius will receive the following severance benefits if his employment is terminated by CEG without cause or if he terminates his employment for good reason, subject to Mr. Cornelius executing a release of claims:</w:t>
      </w:r>
    </w:p>
    <w:p>
      <w:pPr>
        <w:spacing w:after="0" w:line="162"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Annual Bonus for the prior fiscal year;</w:t>
      </w:r>
    </w:p>
    <w:p>
      <w:pPr>
        <w:spacing w:after="0" w:line="9" w:lineRule="exact"/>
        <w:rPr>
          <w:rFonts w:ascii="Times New Roman" w:cs="Times New Roman" w:eastAsia="Times New Roman" w:hAnsi="Times New Roman"/>
          <w:sz w:val="18"/>
          <w:szCs w:val="18"/>
          <w:color w:val="auto"/>
        </w:rPr>
      </w:pPr>
    </w:p>
    <w:p>
      <w:pPr>
        <w:ind w:left="1300" w:right="36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his then-current base salary plus the Target Annual Bonus for the year of termination, which amount will be paid during the 12-month period after the date of termination in accordance with CEG’s regular payroll practices; and</w:t>
      </w:r>
    </w:p>
    <w:p>
      <w:pPr>
        <w:ind w:left="1300" w:right="480" w:hanging="320"/>
        <w:spacing w:after="0" w:line="26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COBRA premiums for 12 months after the date of termination, except that such coverage will be discontinued if Mr. Cornelius becomes eligible to receive any health benefits as a result of subsequent employment or service.</w:t>
      </w:r>
    </w:p>
    <w:p>
      <w:pPr>
        <w:spacing w:after="0" w:line="18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Mr. Cornelius’ employment is terminated for cause or if he terminates his employment without good reason, he will be entitled only to the Accrued Obligations.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an excise tax under section 4999 of the Internal Revenue Code would be triggered by any payments under the Cornelius Employment Agreement or otherwise, CEG will reduce such payments so that no amounts are subject to section 4999 of the Internal Revenue Code, provided that such payments will only be reduced to the extent that the after-tax value of amounts received by Mr. Cornelius after application of such reduction would exceed the after-tax value of the amounts received without application of such reduction.</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Cornelius Employment Agreement includes non-competition, non-disparagement and non-solicitation of employees and customers restrictions on Mr. Cornelius. The Cornelius Employment Agreement also includes a non-disclosure of confidential information provision and intellectual property restrictions.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Cornelius Employment Agreement is not complete and is qualified in its entirety by reference to the full text of the Cornelius Employment Agreement, a copy of which is attached as Exhibit 10.2 to this Current Report on Form 8-K and incorporated herein by reference.</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Mr. Cornelius’ appointment, on April 30, 2024, Mr. Cornelius received from CEG a grant of 375,000 restricted shares of the Class C common stock of Clearway, Inc., which will vest in three equal amounts, with one-third vesting on September 15, 2024 and one-third vesting on each of the next two anniversaries of such initial vesting date.</w:t>
      </w:r>
    </w:p>
    <w:p>
      <w:pPr>
        <w:spacing w:after="0" w:line="176"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As of March 31, 2024, CEG owned a 42.10% economic interest in the Company. Additionally, as of March 31, 2024, CEG owned approximately 54.91% of the combined voting power of Clearway, Inc.’s common stock, and Clearway, Inc. owned a 57.90% economic interest in the Company.</w:t>
      </w:r>
    </w:p>
    <w:p>
      <w:pPr>
        <w:spacing w:after="0" w:line="140"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Information about the Company’s material related party transactions with CEG required to be disclosed pursuant to Item 404(a) of Regulation S-K </w:t>
      </w:r>
      <w:hyperlink r:id="rId15">
        <w:r>
          <w:rPr>
            <w:rFonts w:ascii="Times New Roman" w:cs="Times New Roman" w:eastAsia="Times New Roman" w:hAnsi="Times New Roman"/>
            <w:sz w:val="18"/>
            <w:szCs w:val="18"/>
            <w:color w:val="auto"/>
          </w:rPr>
          <w:t xml:space="preserve">can be found in, and is incorporated into this Item 5.02 by reference to, Note 13 to the consolidated financial statements included in the Company’s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Report on Form 10-K filed with the Securities and Exchange Commission on February 22, 2024</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212529"/>
        </w:rPr>
        <w:t>Item 7.01</w:t>
      </w:r>
      <w:r>
        <w:rPr>
          <w:sz w:val="20"/>
          <w:szCs w:val="20"/>
          <w:color w:val="auto"/>
        </w:rPr>
        <w:tab/>
      </w:r>
      <w:r>
        <w:rPr>
          <w:rFonts w:ascii="Times New Roman" w:cs="Times New Roman" w:eastAsia="Times New Roman" w:hAnsi="Times New Roman"/>
          <w:sz w:val="18"/>
          <w:szCs w:val="18"/>
          <w:b w:val="1"/>
          <w:bCs w:val="1"/>
          <w:color w:val="212529"/>
        </w:rPr>
        <w:t>Regulation FD Disclosure.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212529"/>
        </w:rPr>
        <w:t>On April 30, 2024, Clearway, Inc. issued a press release announcing the departure of Mr. Sotos and the appointment of Mr. Cornelius. A copy of the press release is attached as Exhibit 99.1 to this Current Report on Form 8-K and incorporated herein by reference.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Item 7.01, including Exhibit 99.1, are deemed to be “furnished” and shall not be deemed to be “filed” for the purposes of Section 18 of the Securities Exchange Act of 1934 (the “Exchange Act”), as amended, and will not be incorporated by reference into any filing under the Securities Act of 1933, as amended, or the Exchange Act, unless specifically identified therein as being incorporated therein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20"/>
        <w:spacing w:after="0"/>
        <w:tabs>
          <w:tab w:leader="none" w:pos="564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Separation Agreement and General Release, dated as of April 30, 2024, by and between Clearway Energy, Inc. and Christopher Sotos</w:t>
      </w:r>
    </w:p>
    <w:p>
      <w:pPr>
        <w:spacing w:after="0" w:line="27" w:lineRule="exact"/>
        <w:rPr>
          <w:sz w:val="20"/>
          <w:szCs w:val="20"/>
          <w:color w:val="auto"/>
        </w:rPr>
      </w:pPr>
    </w:p>
    <w:p>
      <w:pPr>
        <w:ind w:left="920" w:right="660" w:hanging="723"/>
        <w:spacing w:after="0" w:line="250"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Amended and Restated Employment Agreement, dated as of April 30, 2024, by and between Clearway Energy Group LLC, Clearway Energy, Inc., GIP III Zephyr Management Partners, L.P., GIP III Zephyr Midco Holdings, L.P. and Craig Cornelius</w:t>
      </w:r>
    </w:p>
    <w:p>
      <w:pPr>
        <w:spacing w:after="0" w:line="1"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30, 2024</w:t>
      </w:r>
    </w:p>
    <w:p>
      <w:pPr>
        <w:spacing w:after="0" w:line="9" w:lineRule="exact"/>
        <w:rPr>
          <w:sz w:val="20"/>
          <w:szCs w:val="20"/>
          <w:color w:val="auto"/>
        </w:rPr>
      </w:pPr>
    </w:p>
    <w:p>
      <w:pPr>
        <w:ind w:left="2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AGREEMENT AND GENERAL RELEASE</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SEPARATION AGREEMENT AND GENERAL RELEASE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Christopher Sotos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previously entered into that certain amended and restated employment agreement dated September 23, 2021, under which the Company has employed Executive as its President and Chief Executive Officer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Executive and the Company desire to enter into an agreement regarding Executive’s voluntary resignation from employment with the Company and a release of claims.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agreements contained herein and for other good and valuable consideration, the sufficiency and receipt of which are hereby acknowledged, the Company and Executive agree as follows: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Capitalized terms used herein without definition shall, unless the context otherwise requires, have the respective meanings assigned to them in the Employment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Transition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Position</w:t>
      </w:r>
      <w:r>
        <w:rPr>
          <w:rFonts w:ascii="Times New Roman" w:cs="Times New Roman" w:eastAsia="Times New Roman" w:hAnsi="Times New Roman"/>
          <w:sz w:val="18"/>
          <w:szCs w:val="18"/>
          <w:color w:val="auto"/>
        </w:rPr>
        <w:t>. From and after the Effective Date, Executive shall continue in employment in his current position as President and Chief Executive Officer of the Company until June 30, 2024 (such final day of Executive’s employment with the Company,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Effective upon the Termination Date, Executive shall resign as a director of the Company and its affiliates, as the case may be. Executive’s termination of employment with the Company on the Termination Date will constitute a “separation from service” for purposes of Section 409A (as defined below).</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Duties</w:t>
      </w:r>
      <w:r>
        <w:rPr>
          <w:rFonts w:ascii="Times New Roman" w:cs="Times New Roman" w:eastAsia="Times New Roman" w:hAnsi="Times New Roman"/>
          <w:sz w:val="18"/>
          <w:szCs w:val="18"/>
          <w:color w:val="auto"/>
        </w:rPr>
        <w:t>. From and after the Effective Date until the Termination Date (such period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Executive shall</w:t>
      </w:r>
    </w:p>
    <w:p>
      <w:pPr>
        <w:spacing w:after="0" w:line="27" w:lineRule="exact"/>
        <w:rPr>
          <w:sz w:val="20"/>
          <w:szCs w:val="20"/>
          <w:color w:val="auto"/>
        </w:rPr>
      </w:pPr>
    </w:p>
    <w:p>
      <w:pPr>
        <w:jc w:val="both"/>
        <w:ind w:left="660" w:hanging="4"/>
        <w:spacing w:after="0" w:line="252" w:lineRule="auto"/>
        <w:tabs>
          <w:tab w:leader="none" w:pos="8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his best efforts and his full business time and attention (except for permitted vacation periods and reasonable periods of illness or other incapacity) to the business and affairs of the Company, (ii) perform his duties, responsibilities and functions to the Company to the best of his abilities in a diligent, trustworthy, professional and efficient manner, and (iii) comply with the Company’s policies and procedures in all material respects. In addition, Executive shall perform such other duties, responsibilities and functions to the Company, as may be reasonably assigned to Executive by the Board, in accordance with the standards set forth in the immediately preceding sentence, which shall include (without limitation) assisting with the following: transferring historical information, files, financial records and contact information; assisting with knowledge transfer; and providing documentation and insights related to consolidation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Compensation and Benefits</w:t>
      </w:r>
      <w:r>
        <w:rPr>
          <w:rFonts w:ascii="Times New Roman" w:cs="Times New Roman" w:eastAsia="Times New Roman" w:hAnsi="Times New Roman"/>
          <w:sz w:val="18"/>
          <w:szCs w:val="18"/>
          <w:color w:val="auto"/>
        </w:rPr>
        <w:t xml:space="preserve">. The Company shall continue to provide Executive with the compensation and benefits (minus applicable tax withholding) described in Section 3 of the Employment Agreement (as such compensation and benefits have been modified from time to time, as applicable) during the Transition Period. Upon the close of the Transition Period, the Company shall provide Executive with the payments and benefits (minus applicable tax withholding) described in Section 6(e) of the Employment Agreement, including for the avoidance of doubt, any accrued but unused vacation pay. Except as otherwise provided in the preceding sentence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all of Executive’s rights to salary, bonuses, employee benefits and other compensation hereunder which would have accrued or become payable after the Transition Period shall cease upon his termination of employment with the Company on the Termination Date, other than those expressly required under applicable law.</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Further Obligations</w:t>
      </w:r>
      <w:r>
        <w:rPr>
          <w:rFonts w:ascii="Times New Roman" w:cs="Times New Roman" w:eastAsia="Times New Roman" w:hAnsi="Times New Roman"/>
          <w:sz w:val="18"/>
          <w:szCs w:val="18"/>
          <w:color w:val="auto"/>
        </w:rPr>
        <w:t xml:space="preserve">. Executive and the Company agree that, by executing this Agreement and providing, subject to the terms and conditions of this Agreement, the compensation and benefits described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above and the Separation Benefits (as defined below) contemplated herein, the Company shall be deemed to have satisfied any and all obligations under the Employment Agreement. Executive agrees that none of the terms and conditions set forth in this Agreement, nor any other circumstances relating to Executive’s employment with the Company, constitute a Good Reason event for purposes of the Employment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Separation Benefits</w:t>
      </w:r>
      <w:r>
        <w:rPr>
          <w:rFonts w:ascii="Times New Roman" w:cs="Times New Roman" w:eastAsia="Times New Roman" w:hAnsi="Times New Roman"/>
          <w:sz w:val="18"/>
          <w:szCs w:val="18"/>
          <w:color w:val="auto"/>
        </w:rPr>
        <w:t xml:space="preserve">. Subject to the terms of this Agreement and provided that Executive (w) signs and returns this Agreement to the Company within five (5) business days after Executive’s receipt hereof, (x) signs and returns to the Company the General Release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twenty-one (21) days after the Termination Date (provided, however, that Executive may not sign the Release prior to the Termination Date), (y) does not revoke the Release in accordance with Section 9 thereof, and (z) complies with this Agreement, Executive shall be entitled to the following additional benefits (the “</w:t>
      </w: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Annual Bonus Rights</w:t>
      </w:r>
      <w:r>
        <w:rPr>
          <w:rFonts w:ascii="Times New Roman" w:cs="Times New Roman" w:eastAsia="Times New Roman" w:hAnsi="Times New Roman"/>
          <w:sz w:val="18"/>
          <w:szCs w:val="18"/>
          <w:color w:val="auto"/>
        </w:rPr>
        <w:t>. Executive shall remain eligible to receive the Annual Bonus in respect of the 2024 calendar year, which if earned (i.e., contingent on satisfaction of the performance goals that are applicable to such Annual Bonus), shall be paid to Executive in a lump-sum cash payment (minus applicable tax withholding) on or about the date on which 2024 annual bonus payments will be made to the Company’s executive officers, but in any event prior to March 15, 2025, and in an amount at least equal to the Annual Bonus payment Executive would have earned, if any, as set forth in Section 3(b)(i) of the Employment Agreement if his termination of employment had not occurred, adjusted on a pro rata basis based on the number of days Executive was actually employed by the Company during the 2024 calendar year.</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Reimbursement Rights</w:t>
      </w:r>
      <w:r>
        <w:rPr>
          <w:rFonts w:ascii="Times New Roman" w:cs="Times New Roman" w:eastAsia="Times New Roman" w:hAnsi="Times New Roman"/>
          <w:sz w:val="18"/>
          <w:szCs w:val="18"/>
          <w:color w:val="auto"/>
        </w:rPr>
        <w:t xml:space="preserve">. Within thirty (30) days after the occurrence of the Termination Date, the Company shall reimburse Executive for any reasonable expenses (up to a maximum of Twenty Thousand Dollars ($20,000)) incurred by Executive in connection with the negotiation of this Agreement including, without limitation, reasonable attorneys’ fees incurred by Executive. Executive shall submit all requests to the Company for expense reimbursements under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within twenty-one (21) days after the Termination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Non-Compete</w:t>
      </w:r>
      <w:r>
        <w:rPr>
          <w:rFonts w:ascii="Times New Roman" w:cs="Times New Roman" w:eastAsia="Times New Roman" w:hAnsi="Times New Roman"/>
          <w:sz w:val="18"/>
          <w:szCs w:val="18"/>
          <w:color w:val="auto"/>
        </w:rPr>
        <w:t>. Effective as of the Termination Date, the Company shall waive the non-compete covenant in Section 11(a) of the Employment Agreement, and Executive shall not be precluded from participating in or otherwise being employed by or providing services to any person or entity, it being understood that the other restrictive covenants set forth in the Employment Agreement (including without limitation, restrictive covenants relating to confidential information and non-solicitation) shall remain in effect with respect to Executive.</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Executive acknowledges and agrees that the foregoing Separation Benefits each provide Executive with valuable consideration to which Executive would not otherwise be entitled if Executive had not signed this Agreement and the Release. If Executive does not sign and return the Release or revokes the Release during the revocation period set forth in Section 9 of the Release, any Separation Benefits that have not already been provided or paid to Executive shall not, or shall cease to, be paid or provided to Executive, and Executive shall not be entitled to any such payments or benefits. For the avoidance of doubt, the non-compete covenant described above shall not be waived if Executive does not sign and return the Release or revokes the Release during the revocation period. Notwithstanding anything herein to the contrary, in the event (i) of the breach or a threatened breach by Executive of any of the provisions of this Agreement, or (ii) the Company terminates Executive for Cause during the Transition Period (or circumstances constituting Cause are found to have existed at the time of such termination), then Executive shall forfeit all rights to the Separation Benefits.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Employee Benefits</w:t>
      </w:r>
      <w:r>
        <w:rPr>
          <w:rFonts w:ascii="Times New Roman" w:cs="Times New Roman" w:eastAsia="Times New Roman" w:hAnsi="Times New Roman"/>
          <w:sz w:val="18"/>
          <w:szCs w:val="18"/>
          <w:color w:val="auto"/>
        </w:rPr>
        <w:t>. Except as set forth in this Agreement or as otherwise required by applicable law (including without limitation COBRA or any similar applicable state law), Executive’s participation in and rights under any Company employee benefit plans and programs will be governed by the terms and conditions of those plans and programs, which plans, programs, terms and conditions may be amended, modified, suspended or terminated by the Company at any time for any or no reason to the extent permitted therein and/or by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Other Release Matters</w:t>
      </w:r>
      <w:r>
        <w:rPr>
          <w:rFonts w:ascii="Times New Roman" w:cs="Times New Roman" w:eastAsia="Times New Roman" w:hAnsi="Times New Roman"/>
          <w:sz w:val="18"/>
          <w:szCs w:val="18"/>
          <w:color w:val="auto"/>
        </w:rPr>
        <w:t>. Executive understands and agrees that Executive’s execution of the Release within twenty-one (21) days after (but not before) the Termination Date, without revocation thereof as provided therein, is among the conditions precedent to the Company’s obligation to provide the Separation Benefits under this Agreement, and any failure to execute and return the Release or revocation of the Release shall result in Executive no longer being entitled to receive any Separation Benefits under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 Other Payments or Benefits</w:t>
      </w:r>
      <w:r>
        <w:rPr>
          <w:rFonts w:ascii="Times New Roman" w:cs="Times New Roman" w:eastAsia="Times New Roman" w:hAnsi="Times New Roman"/>
          <w:sz w:val="18"/>
          <w:szCs w:val="18"/>
          <w:color w:val="auto"/>
        </w:rPr>
        <w:t>. Except as expressly provided in this Agreement, Executive acknowledges and agrees that he is not entitled to and will not receive any other compensation, payments, benefits, or recovery of any kind from the Company and its affiliates, including without limitation any severance, equity or other payments. In the event of any complaint, charge, proceeding or other claim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filed with any court, other tribunal, or governmental or regulatory entity that involves or is based upon any claim waived and released by Executive in the Release, Executive hereby waives and agrees not to accept any money or other personal relief on account of any such Claims for any actual or alleged personal injury or damages to Executive, including without limitation any costs, expenses and attorneys’ fees incurred by or on behalf of Executive.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The Company agrees that (i) if Executive is made a party, or is threatened to be made a party, to any threatened or actual action, suit or proceeding, whether civil, criminal, administrative, investigative, appellate or other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is or was a director, officer, employee, agent, manager, consultant or representative of the Company or is or was serving at the request of the Company as a director, officer, member, employee, agent, manager, consultant or representative of another entity or (ii) if any claim, demand, request, investigation, dispute, controversy, threat, discovery request or request for testimony or information (each, a “</w:t>
      </w:r>
      <w:r>
        <w:rPr>
          <w:rFonts w:ascii="Times New Roman" w:cs="Times New Roman" w:eastAsia="Times New Roman" w:hAnsi="Times New Roman"/>
          <w:sz w:val="18"/>
          <w:szCs w:val="18"/>
          <w:u w:val="single" w:color="auto"/>
          <w:color w:val="auto"/>
        </w:rPr>
        <w:t>Covered Claim</w:t>
      </w:r>
      <w:r>
        <w:rPr>
          <w:rFonts w:ascii="Times New Roman" w:cs="Times New Roman" w:eastAsia="Times New Roman" w:hAnsi="Times New Roman"/>
          <w:sz w:val="18"/>
          <w:szCs w:val="18"/>
          <w:color w:val="auto"/>
        </w:rPr>
        <w:t>”) is made, or threatened to be made, that arises out of or relates to Executive’s service in any of the foregoing capacities, then Executive shall promptly be indemnified and held harmless by the Company to the fullest extent legally permitted or authorized by the Company’s certificate of incorporation, bylaws or Board resolutions or, if greater,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Executive in connection therewith, and such indemnification shall continue as to Executive even if he has ceased to be a director, member, employee, agent, manager, consultant or representative of the Company or other entity and shall inure to the benefit of Executive’s heirs, executors and administrators. The Company shall advance to Executive all attorneys’ fees, costs and expenses incurred by him in connection with any such Proceeding or Covered Claim within fifteen (15) calendar days after receiving written notice requesting such an advance. Such notice shall include, to the extent required by applicable law, an undertaking by Executive to repay the amount advanced if he is ultimately determined not to be entitled to indemnification against such costs and expenses. Executive shall have the right to select counsel of his choosing.</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Neither the failure of the Company (including the Board, independent legal counsel or stockholders) to have made a determination in connection with any request for indemnification or advancement under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that Executive has satisfied any applicable standard of conduct nor a determination by the Company (including the Board, independent legal counsel or stockholders) that Executive has not met any applicable standard of conduct, shall create a presumption that Executive has or has not met an applicable standard of conduct.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communication or request provided for in this Agreement shall be in writing and shall be either personally delivered (with a written acknowledgement of receipt), sent by nationally recognized overnight courier service (with a written acknowledgement of receipt by the overnight courier) or mailed by certified or registered mail, return receipt requested, to the recipient at the address below indicated: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Executive: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Sotos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 on file with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Notices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Brian R. Ford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EVP General Counsel and Corporate Secretary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the recipient party shall have specified by ten (10) calendar days prior written notice to the sending party. Any notice under this Agreement shall be deemed to have been given when (i) when personally delivered, (ii) two (2) business days after being sent by overnight courier or (iii) three (3) business days after mailing by certified or registered mail.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No Right to Employment or Services Relationship</w:t>
      </w:r>
      <w:r>
        <w:rPr>
          <w:rFonts w:ascii="Times New Roman" w:cs="Times New Roman" w:eastAsia="Times New Roman" w:hAnsi="Times New Roman"/>
          <w:sz w:val="18"/>
          <w:szCs w:val="18"/>
          <w:color w:val="auto"/>
        </w:rPr>
        <w:t>. Executive acknowledges and agrees that Executive has no present or future right to employment with the Company or any of the Released Parties (as defined in the Release) and will not apply or seek consideration for any employment, engagement, or contract with any of them.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Non-disparagement</w:t>
      </w:r>
      <w:r>
        <w:rPr>
          <w:rFonts w:ascii="Times New Roman" w:cs="Times New Roman" w:eastAsia="Times New Roman" w:hAnsi="Times New Roman"/>
          <w:sz w:val="18"/>
          <w:szCs w:val="18"/>
          <w:color w:val="auto"/>
        </w:rPr>
        <w:t xml:space="preserve">. Except as requested by any of the Released Parties, as permitted by applicable law that may supersede the terms of this Agreement, or as compelled by valid legal process, Executive shall not make to any other party any statement about the Company or any of the Released Parties (whether oral, written, electronic, anonymous, on the Internet, or otherwise) that is false, or maliciously untrue such that they are made with knowledge of their falsity or with reckless disregard for their truth or falsity, in any manner likely to be harmful to them or their business, business reputation or personal reputation. Similarly, following the Effective Date, the Company will instruct the directors, officers and managers of the Company and its subsidiaries not to defame or disparage Executive in any medium to any person. Notwithstanding anything herein to the contrary, nothing in this Agreement shall prevent Executive from making statements and disclosures as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In executing this Agreement, Executive acknowledges and agrees that he has knowingly, voluntarily, and intelligently waived any (a) free speech, free association, free press, or First Amendment to the United States Constitution (including, without limitation, any counterpart or similar provision or right under any State Constitution) rights to disclose, communicate, or publish any statements prohibited by this subparagraph and (b) right to file a motion to dismiss or pursue any other relief under the any Citizens Participation Act or similar state law in connection with any Claim filed against him by the Company or any of the other Released Parties, including without limitation any Claim arising from any alleged breach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Protected Communication</w:t>
      </w:r>
      <w:r>
        <w:rPr>
          <w:rFonts w:ascii="Times New Roman" w:cs="Times New Roman" w:eastAsia="Times New Roman" w:hAnsi="Times New Roman"/>
          <w:sz w:val="17"/>
          <w:szCs w:val="17"/>
          <w:color w:val="auto"/>
        </w:rPr>
        <w:t>. Notwithstanding any other provision of this Agreement or the Release, nothing in this Agreement or the Release is intended to, or does, preclude Executive from (a) disclosing the fact or terms of this Agreement and the Release as part of a government investigation;</w:t>
      </w:r>
    </w:p>
    <w:p>
      <w:pPr>
        <w:spacing w:after="0" w:line="1" w:lineRule="exact"/>
        <w:rPr>
          <w:sz w:val="20"/>
          <w:szCs w:val="20"/>
          <w:color w:val="auto"/>
        </w:rPr>
      </w:pPr>
    </w:p>
    <w:p>
      <w:pPr>
        <w:jc w:val="both"/>
        <w:ind w:firstLine="8"/>
        <w:spacing w:after="0" w:line="250" w:lineRule="auto"/>
        <w:tabs>
          <w:tab w:leader="none" w:pos="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reporting to, responding to an inquiry from, filing a charge or complaint with, communicating with, or otherwise participating in an investigation conducted by, any federal, state, or local governmental agency, commission, or regulatory body; (c) reporting possible violations of federal and/or state law or regulation to any federal, state, or local governmental agency or entity, including with respect to alleged criminal conduct or unlawful employment practices, or from making other disclosures that are protected under the whistleblower provisions of federal and/or state law or regulation,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truthful statements or disclosures regarding alleged unlawful employment practices, (e) giving truthful testimony or making statements under oath in response to a subpoena or other valid legal process or in any legal proceeding; (f) otherwise making truthful statements as required by law or valid legal process; (g) engaging in protected concerted activity under the National Labor Relations Act for the purpose of collective bargaining or other mutual aid or protection, including (i) making disclosures concerning this Agreement and the Release in aid of such concerted activities; (ii) filing unfair labor practice charges with the National Labor Relations Board; (iii) assisting others who are filing such charges; or (iv) cooperating with the investigative process of the National Labor Relations Board and other government agencies; or (h) disclosing a trade secret in confidence to a governmental official, directly or indirectly, or to an attorney, if the disclosure is made solely for the purpose of reporting or investigating a suspected violation of law. Accordingly, Executive understands that he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Executive likewise understands that, if he files a lawsuit for retaliation by the Company for reporting a suspected violation of law, he may disclose the Company’s trade secret(s) to his attorney and use the trade secret information in the court proceeding, if he</w:t>
      </w:r>
    </w:p>
    <w:p>
      <w:pPr>
        <w:spacing w:after="0" w:line="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any document containing the trade secret under seal; and (y) does not disclose the trade secret, except pursuant to court order.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 Strict Construction</w:t>
      </w:r>
      <w:r>
        <w:rPr>
          <w:rFonts w:ascii="Times New Roman" w:cs="Times New Roman" w:eastAsia="Times New Roman" w:hAnsi="Times New Roman"/>
          <w:sz w:val="18"/>
          <w:szCs w:val="18"/>
          <w:color w:val="auto"/>
        </w:rPr>
        <w:t>. The language used in this Agreement shall be deemed to be the language chosen by the Parties to express their mutual intent, and no rule of strict construction shall be applied against any Party.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xml:space="preserve">. This Agreement shall be binding upon and inure to the benefit of the beneficiaries, heirs and representatives of Executive and the successors and assigns of the Company. The Company shall require any successor (whether direct or indirect, by purchase, merger, reorganization, consolidation, acquisition of property or stock, liquidation, or otherwise) to all or a majority of its assets, by agreement in form and substance satisfactory to Executive, expressly to assume and agree to perform this Agreement in the same manner and to the same extent that the Company would be required to perform this Agreement if no such succession had taken place. Regardless whether such agreement is executed, this Agreement shall be binding upon any successor of the Company in accordance with the operation of law and such successor shall be deemed the “Company” for purposes of this Agreement. Executive may not assign his rights (except by will or the laws of descent and distribution) or delegate his duties or obligations hereunder. Except as provided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this Agreement is not assignable by any Party and no payment to be made hereunder shall be subject to anticipation, alienation, sale, transfer, assignment, pledge, encumbrance or other charge.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Choice of Law</w:t>
      </w:r>
      <w:r>
        <w:rPr>
          <w:rFonts w:ascii="Times New Roman" w:cs="Times New Roman" w:eastAsia="Times New Roman" w:hAnsi="Times New Roman"/>
          <w:sz w:val="18"/>
          <w:szCs w:val="18"/>
          <w:color w:val="auto"/>
        </w:rPr>
        <w:t>. All issues and questions concerning the construction, validity, enforcement and interpretation of this Agreement and the exhibits and schedules hereto shall be governed by, and construed in accordance with, the laws of the State of New Jersey, without giving effect to any choice of law or conflict of law rules or provisions (whether of the State of New Jersey or any other jurisdiction) that would cause the application of the laws of any jurisdiction other than the State of New Jersey.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Complete Agreement</w:t>
      </w:r>
      <w:r>
        <w:rPr>
          <w:rFonts w:ascii="Times New Roman" w:cs="Times New Roman" w:eastAsia="Times New Roman" w:hAnsi="Times New Roman"/>
          <w:sz w:val="18"/>
          <w:szCs w:val="18"/>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The provisions of this Agreement may be amended, modified or waived only with the prior written consent of the Company and Executive, and no course of conduct or course of dealing or failure or delay by any Party in enforcing or exercising any of the provisions of this Agreement (including, without limitation, the Company’s right to terminate Executive for Cause) shall affect the validity, binding effect or enforceability of this Agreement or be deemed to be an implied waiver of any provision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Other Covenants</w:t>
      </w:r>
      <w:r>
        <w:rPr>
          <w:rFonts w:ascii="Times New Roman" w:cs="Times New Roman" w:eastAsia="Times New Roman" w:hAnsi="Times New Roman"/>
          <w:sz w:val="18"/>
          <w:szCs w:val="18"/>
          <w:color w:val="auto"/>
        </w:rPr>
        <w:t>. Executive acknowledges and agrees that, except as expressly provided in this Agreement, the covenants in Sections 8 through 12, 19 and 23 of the Employment Agreement shall remain in effect and continue to apply to Executive pursuant to their terms.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Complete Agreement</w:t>
      </w:r>
      <w:r>
        <w:rPr>
          <w:rFonts w:ascii="Times New Roman" w:cs="Times New Roman" w:eastAsia="Times New Roman" w:hAnsi="Times New Roman"/>
          <w:sz w:val="18"/>
          <w:szCs w:val="18"/>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Withholding; Indemnification and Reimbursement of Payments on Behalf of Executive</w:t>
      </w:r>
      <w:r>
        <w:rPr>
          <w:rFonts w:ascii="Times New Roman" w:cs="Times New Roman" w:eastAsia="Times New Roman" w:hAnsi="Times New Roman"/>
          <w:sz w:val="18"/>
          <w:szCs w:val="18"/>
          <w:color w:val="auto"/>
        </w:rPr>
        <w:t>. The Company and its affiliates shall be entitled to deduct or withhold from any amounts owing from the Company or any of its affiliates to Executive any federal, state, local or foreign withholding taxes, excise tax, or employment taxes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imposed with respect to Executive’s compensation or other payments from the Company or any of its affiliates or Executive’s ownership interest in the Company (including, without limitation, wages, bonuses, dividends, the receipt or exercise of equity options and/or the receipt or vesting of restricted equity or restricted equity based compensation). In the event the Company or any of its affiliates does not make such deductions or withholdings at the written request of Executive, Executive shall indemnify the Company and its affiliates for any amounts paid with respect to any such Taxes, together with any interest, penalties and related expenses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Consent to Jurisdiction</w:t>
      </w:r>
      <w:r>
        <w:rPr>
          <w:rFonts w:ascii="Times New Roman" w:cs="Times New Roman" w:eastAsia="Times New Roman" w:hAnsi="Times New Roman"/>
          <w:sz w:val="18"/>
          <w:szCs w:val="18"/>
          <w:color w:val="auto"/>
        </w:rPr>
        <w:t xml:space="preserve">. EACH OF THE PARTIES IRREVOCABLY SUBMITS TO THE EXCLUSIVE JURISDICTION OF THE STATE COURTS OF NEW JERSEY OR THE UNITED STATES DISTRICT COURT FOR THE DISTRICT OF NEW JERSEY, FOR THE PURPOSES OF ANY SUIT, ACTION OR OTHER PROCEEDING ARISING OUT OF THIS AGREEMENT, ANY RELATED AGREEMENT OR ANY TRANSACTION CONTEMPLATED HEREBY OR THEREBY. EACH OF THE PARTIES HERETO FURTHER AGREES THAT SERVICE OF ANY PROCESS, SUMMONS, NOTICE OR DOCUMENT IN COMPLIANCE WITH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(NOTICES) SHALL BE EFFECTIVE SERVICE OF PROCESS FOR ANY ACTION, SUIT OR PROCEEDING WITH RESPECT TO ANY MATTERS TO WHICH IT HAS SUBMITTED TO JURISDICTION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OF THE PARTIES HERETO IRREVOCABLY AND UNCONDITIONALLY WAIVES ANY OBJECTION TO THE LAYING OF VENUE OF ANY ACTION, SUIT OR PROCEEDING ARISING OUT OF THIS AGREEMENT, ANY RELATED DOCUMENT OR THE TRANSACTIONS CONTEMPLATED HEREBY AND THEREBY IN THE STATE COURTS OF NEW JERSEY OR THE UNITED STATES DISTRICT COURT FOR THE DISTRICT OF NEW JERSEY, AND HEREBY AND THEREBY FURTHER IRREVOCABLY AND UNCONDITIONALLY WAIVES AND AGREES NOT TO PLEAD OR CLAIM IN ANY SUCH COURT THAT ANY SUCH ACTION, SUIT OR PROCEEDING BROUGHT IN ANY SUCH COURT HAS BEEN BROUGHT IN AN INCONVENIENT FORUM.</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Corporate Opportunity</w:t>
      </w:r>
      <w:r>
        <w:rPr>
          <w:rFonts w:ascii="Times New Roman" w:cs="Times New Roman" w:eastAsia="Times New Roman" w:hAnsi="Times New Roman"/>
          <w:sz w:val="18"/>
          <w:szCs w:val="18"/>
          <w:color w:val="auto"/>
        </w:rPr>
        <w:t xml:space="preserve">. During the Transition Period, Executive shall submit to the Board all Corporate Opportunities, if Executive wishes to accept or pursue, directly or indirectly, such Corporate Opportunities on Executive’s own behalf.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apply to purchases of publicly traded stock by Executive.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No Admission</w:t>
      </w:r>
      <w:r>
        <w:rPr>
          <w:rFonts w:ascii="Times New Roman" w:cs="Times New Roman" w:eastAsia="Times New Roman" w:hAnsi="Times New Roman"/>
          <w:sz w:val="18"/>
          <w:szCs w:val="18"/>
          <w:color w:val="auto"/>
        </w:rPr>
        <w:t>. Nothing in this Agreement is intended to or shall be construed as an admission by the Company or any of the other Released Parties that any of them violated any law, interfered with any right, breached any obligation or otherwise engaged in any improper or illegal conduct with respect to Executive or otherwise. The Company and the other Released Parties expressly deny any such illegal or wrongful conduct.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Legal Costs</w:t>
      </w:r>
      <w:r>
        <w:rPr>
          <w:rFonts w:ascii="Times New Roman" w:cs="Times New Roman" w:eastAsia="Times New Roman" w:hAnsi="Times New Roman"/>
          <w:sz w:val="18"/>
          <w:szCs w:val="18"/>
          <w:color w:val="auto"/>
        </w:rPr>
        <w:t>. Except as otherwise agreed to by the Parties, the Company shall pay Executive for costs of litigation or other disputes, in each case that relate to matters that primarily involve this Agreement, during the twelve (12) month period following the Effective Date, including, without limitation, reasonable attorneys’ fees incurred by Executive in asserting any claims or defenses under this Agreement, except that Executive shall bear his own costs of such litigation or disputes (including, without limitation attorneys’ fees) only to the extent the court finds in favor of the Company with respect to any such claims or defenses asserted by Executive.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Executive’s Cooperation</w:t>
      </w:r>
      <w:r>
        <w:rPr>
          <w:rFonts w:ascii="Times New Roman" w:cs="Times New Roman" w:eastAsia="Times New Roman" w:hAnsi="Times New Roman"/>
          <w:sz w:val="18"/>
          <w:szCs w:val="18"/>
          <w:color w:val="auto"/>
        </w:rPr>
        <w:t xml:space="preserve">. During the Transition Period and thereafter,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during the Transition Period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come into Executive’s possession during the Transition Period); provided, however, that any such request by the Company shall not be unduly burdensome or interfere with Executive’s personal schedule or ability to engage in gainful employment. In the event the Company requires Executive’s cooperation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shall reimburse Executive for reasonable out-of-pocket expenses (including travel, lodging, meals, attorneys’ fees) incurred by Executive during Executive’s lifetime in connection with such cooperation, subject to reasonable documentation. In addition, the Company shall compensate Executive at a rate of $500 per hour for the time, that Executive reasonably spends complying with his obligations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after the termination of the Transition Period. Such reimbursement and compensation shall be paid within fifteen (15) calendar days after submission of same to the Company. Nothing in this Agreement shall prohibit any person from giving truthful information, testimony or evidence to a governmental entity or in any investigatory proceeding, or if properly subpoenaed or otherwise required to do so under applicable law.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To the extent applicable, it is intended that this Agreement comply with the provisions of Section 409A of the Code and the regulations and other guidance promulgated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so as to prevent inclusion in gross income of any amounts payable or benefits provided hereunder in a taxable year that is prior to the taxable year or years in which such amounts or benefits would otherwise actually be distributed, provided or otherwise made available to Executive. This Agreement shall be construed, administered, and governed in a manner consistent with this intent and the following provisions of this paragraph shall control over any contrary provisions of this agreement. In furtherance thereof, to the extent that any provision hereof would otherwise result in Executive being subject to the payment of tax, interest, and tax penalty under Section 409A, Executive and the Company agree to amend this agreement in a manner that brings this Agreement in compliance with Section 409A. Notwithstanding the foregoing, in no event shall the Company be responsible for reimbursing or indemnifying Executive for any violation of Section 409A. Payments and benefits that are paid or provided under this Agreement upon Executive’s termination or severance of employment that constitute deferred compensation under Section 409A shall be paid or provided only at the time of a termination or severance of Executive’s employment that constitutes a “separation from service” within the meaning of Section 409A. For purposes of Section 409A, each payment under this Agreement shall be treated as a right to a separate payment and not part of a series of payments.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separate counterparts, each of which is deemed to be an original and all of which taken together constitute one and the same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PARTIES STATE THAT THEY HAVE READ AND UNDERSTAND THE FOREGOING AND KNOWINGLY AND VOLUNTARILY INTEND TO BE BOUND THERETO: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Christopher Sotos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Clearway Energy, Inc.</w:t>
            </w:r>
          </w:p>
        </w:tc>
      </w:tr>
      <w:tr>
        <w:trPr>
          <w:trHeight w:val="4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Sotos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Kevin P. Malcarney</w:t>
            </w:r>
          </w:p>
        </w:tc>
      </w:tr>
      <w:tr>
        <w:trPr>
          <w:trHeight w:val="20"/>
        </w:trPr>
        <w:tc>
          <w:tcPr>
            <w:tcW w:w="5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44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Executive Vice President, General Counsel and Corporate Secretary</w:t>
            </w:r>
          </w:p>
        </w:tc>
      </w:tr>
      <w:tr>
        <w:trPr>
          <w:trHeight w:val="459"/>
        </w:trPr>
        <w:tc>
          <w:tcPr>
            <w:tcW w:w="55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 April 30, 2024</w:t>
            </w:r>
          </w:p>
        </w:tc>
      </w:tr>
      <w:tr>
        <w:trPr>
          <w:trHeight w:val="662"/>
        </w:trPr>
        <w:tc>
          <w:tcPr>
            <w:tcW w:w="5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RELEASE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consideration of the payments and benefits (the “</w:t>
      </w: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 paid or to be paid to me pursuant to and in accordance with the terms of my Separation Agreement and General Release, dated April 30,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on behalf of myself, my heirs, executors, administrators, successors, and assigns, I hereby fully and forever RELEASE and DISCHARGE CLEARWAY ENERGY, INC., its affiliates and their officers, directors, agents, employees, representatives, successors and assigns (hereinafter, collectively called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claims and causes of action arising out of or relating in any way to my employment with the Released Parties, including, but not limited to, the offer of employment and termination of my employment, and I agree that I will not in any manner institute, prosecute or pursue any complaints, claims, charges, liabilities, claims for relief, demands, suits, actions or causes of action against the Released Parties that are covered by this RELEASE.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expressly excluded from this RELEASE are any claims or causes of action which I may have (i) seeking enforcement of my rights under the Agreement, including, without limitation, Sections 3, 7 and 26 thereof, or any other plan, policy or arrangement of the Released Parties, (ii) seeking to obtain contribution as permitted by applicable law in the event of the entry of judgment against me as a result of any act or failure to act for which both I and any of the Released Parties are held to be jointly liable, (iii) arising out of or relating in any way to acts or omissions after the date of this RELEASE or otherwise not covered by this RELEASE, and (iv) which cannot be waived by law. I shall also retain the right to seek indemnification from the Company, to the extent permitted under applicable law and Section 7 of the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             I understand and agree that, except as specifically provided above, this RELEASE is a full and complete waiver of all claims relating to my employment with the Company, including, but not limited to, claims of wrongful discharge, breach of contract, breach of the covenant of good faith and fair dealing, violation of public policy, defamation, personal injury and emotional distress, claims under Title VII of the Civil Rights Act of 1964, as amended, the Civil Rights Act of 1991, the Age Discrimination in Employment Act of 1967, as amended by the Older Workers Benefit Protection Act of 1990, the Americans With Disabilities Act, the Rehabilitation Act of 1973, as amended, the Equal Pay Act of 1963, Section 1981 of the Civil Rights Act of 1866, any of the Delaware State employment, discrimination or wage payment laws, the Fair Labor Standards Act of 1938, as amended, the Family and Medical Leave Act of 1993, and the Employee Retirement Income Security Act of 1974, as amended, claims arising from any legal restrictions on the Company’s right to terminate employees (including, without limitation, claims arising under various contract, tort, public policy or wrongful discharge theories under any federal, state or local law, or under the federal Worker Adjustment and Retraining Notification Act of 1988, as amended, or any similar state or local law), and any claims for attorney’s fees or costs.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I understand that I have received or will receive, regardless of the execution of this RELEASE, all amounts due to me pursuant to Sections 2(c) and 7 of the Agreement. I further understand and agree that the Company will not provide me with any additional payments or benefits under the Agreement (including, without limitation, Separation Benefits) unless I execute this RELEASE. In consideration of the execution of this RELEASE, I will receive the Separation Benefits specified in Section 3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             In addition, and in further consideration of the foregoing, I acknowledge and agree that if I hereafter discover facts different from or in addition to those which I now know or believe to be true that this RELEASE shall be and remain effective in all respects notwithstanding such different or additional facts or the discovery thereof. I understand that this RELEASE does not waive or release any rights or claims that I may have under the Age Discrimination in Employment Act of 1967, as amended, which arise after the date I sign this RELEASE.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As part of my existing and continuing obligation to the Company, I have returned or, within seven (7) days of my termination will return to the Company all Confidential Information and Third Party Information (as such terms are defined in the Agreement (by reference to Section 9 of the Employment Agreement)) in accordance with the terms of the Agreement. I affirm my obligation to keep all Confidential Information confidential and not to disclose it to any third party as required by Section 18 of the Agreement (by reference to Section 9 of the Employment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             Subject to Section 12 of the Agreement, I agree not to disclose, either directly or indirectly, any information whatsoever regarding (i) any of the terms or the existence of this RELEASE and my benefits under the Agreement or (ii) any other claim I may have against the Released Parties, to any person or organization, including but not limited to members of the press and media, present and former employees of the Company or its affiliates, companies who do business with the Company or its affiliates; or other members of the public, it being understood that, I may reveal such terms of this RELEASE and the Separation Benefits to my spouse, accountants and attorneys or as are necessary to comply with a request made by the Internal Revenue Service.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This RELEASE shall be governed by the laws of the State of Delaware.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This RELEASE contains the entire agreement between the Company and me with respect to any matters referred to in the RELEASE and shall supersede any all other agreements, whether written or oral, with respect to such matters. I understand and agree that this RELEASE shall not be deemed or construed at any time as an admission of liability or wrongdoing by either myself or any of the Released Parties. Notwithstanding the foregoing, it is understood and agreed that my termination will be treated for all purposes as my voluntary resignation without Good Reason and that I shall be entitled to all payments and benefits under the Agreement consistent with such a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             If any one or more of the provisions contained in this RELEASE is, for any reason, held to be unenforceable, that holding will not affect any other provision of this RELEASE, but, with respect only to the jurisdiction holding the provision to be unenforceable, this RELEASE shall then be construed as if such unenforceable provision or provisions had never been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             Before executing this RELEASE, I obtained sufficient information to intelligently exercise my own judgment about the terms of the RELEASE. The Company has informed me in writing to consult an attorney before signing this RELEASE, if I wish.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also understand for a period of seven (7) days after I sign this RELEASE, I may revoke this RELEASE and that the RELEASE will not become effective until seven (7) days after I sign it, and only then if I do not revoke it. In order to revoke this RELEASE, I must deliver, or cause to be delivered, to Jonathan Bram; Chairman of the Board by First Class mail, facsimile [Fax Number] or email [Email Address], by no later than seven (7) days after I execute this RELEASE, a letter stating that I am revoking it.</w:t>
      </w:r>
    </w:p>
    <w:p>
      <w:pPr>
        <w:spacing w:after="0" w:line="18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10.           My Separation Benefits under the Agreement will be paid or provided in accordance with the terms of the Agreement. If I choose to revoke this RELEASE within seven (7) days after I sign it, such benefits will not be due and payable or otherwise provided, and the RELEASE will have no effect.</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           If I fail to comply with my agreement not to institute, prosecute or pursue any complaints, claims, charges, liabilities, claims for relief, demands suits or causes of actions against any of the Released Parties (except as set forth in the second unnumbered paragraph at the beginning of this Release above, including, without limitation, any claims or causes of actions I may have as a result of any acts or omissions that occur after the date of this Release), or if I materially and willfully fail to comply with the terms of Section 4 or 5 of this RELEASE, I will forfeit the additional payments and benefits due under the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EMPLOYEE’S ACCEPTANCE OF RELEASE: BEFORE SIGNING MY NAME TO THIS RELEASE, I STATE THAT: I HAVE READ IT; UNDERSTAND IT AND KNOW THAT I AM GIVING UP IMPORTANT RIGHTS; I AM AWARE OF MY RIGHT TO CONSULT WITH AN ATTORNEY BEFORE SIGNING IT; AND I HAVE SIGNED IT KNOWINGLY AND VOLUNTARILY. EXCEPT FOR THE MATTERS EXPRESSLY STATED IN THIS RELEASE, THE COMPANY HAS NEITHER MADE ANY REPRESENTATION NOR OFFERED ME ANY INDUCEMENT TO SIGN THIS RELEASE.</w:t>
      </w:r>
    </w:p>
    <w:p>
      <w:pPr>
        <w:spacing w:after="0" w:line="1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Sotos</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Jonathan Bram</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33" w:lineRule="exact"/>
        <w:rPr>
          <w:sz w:val="20"/>
          <w:szCs w:val="20"/>
          <w:color w:val="auto"/>
        </w:rPr>
      </w:pPr>
    </w:p>
    <w:p>
      <w:pPr>
        <w:ind w:right="60" w:firstLine="1296"/>
        <w:spacing w:after="0" w:line="231" w:lineRule="auto"/>
        <w:rPr>
          <w:sz w:val="20"/>
          <w:szCs w:val="20"/>
          <w:color w:val="auto"/>
        </w:rPr>
      </w:pPr>
      <w:r>
        <w:rPr>
          <w:rFonts w:ascii="Times New Roman" w:cs="Times New Roman" w:eastAsia="Times New Roman" w:hAnsi="Times New Roman"/>
          <w:sz w:val="18"/>
          <w:szCs w:val="18"/>
          <w:color w:val="auto"/>
        </w:rPr>
        <w:t>This AMENDED AND RESTATED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this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2024, by and between Clearway Energy Group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Clearway Energy, Inc., a Delaware corporation (“</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 GIP III Zephyr Management Partners, L.P., a Delaware limited partners, GIP III Zephyr Midco Holdings, L.P. and Craig Cornelius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(together with CWEN,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previously entered into that certain employment agreement dated August 31, 2018, under which the Company has employed Executive as its Chief Executive Officer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WHEREAS, the Parties desire to amend and restate the Prior Agreement to reflect, among other things, Executive’s additional roles and responsibilities with respect to CWEN, the Parties obligations and the other terms and conditions related thereto, and Executive is willing to accept his continued employment under the terms and conditions set forth below.</w:t>
      </w:r>
    </w:p>
    <w:p>
      <w:pPr>
        <w:spacing w:after="0" w:line="176" w:lineRule="exact"/>
        <w:rPr>
          <w:sz w:val="20"/>
          <w:szCs w:val="20"/>
          <w:color w:val="auto"/>
        </w:rPr>
      </w:pPr>
    </w:p>
    <w:p>
      <w:pPr>
        <w:ind w:right="8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mutual covenants contained herein and for other good and valuable consideration, the receipt and sufficiency of which are mutually acknowledged, the Parties hereby agree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         Definitions</w:t>
      </w:r>
      <w:r>
        <w:rPr>
          <w:rFonts w:ascii="Times New Roman" w:cs="Times New Roman" w:eastAsia="Times New Roman" w:hAnsi="Times New Roman"/>
          <w:sz w:val="18"/>
          <w:szCs w:val="18"/>
          <w:color w:val="auto"/>
        </w:rPr>
        <w:t>. Capitalized terms not otherwise defined in this Agreement shall have the meaning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         Acceptance and Term of Employment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The Company agrees to continue to employ Executive, and Executive agrees to continue to serve the Company, on the terms and conditions set forth herein and for the period beginning April 30, 2024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ending as provided in Section 7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Employment</w:t>
      </w:r>
      <w:r>
        <w:rPr>
          <w:rFonts w:ascii="Times New Roman" w:cs="Times New Roman" w:eastAsia="Times New Roman" w:hAnsi="Times New Roman"/>
          <w:sz w:val="18"/>
          <w:szCs w:val="18"/>
          <w:color w:val="auto"/>
        </w:rPr>
        <w:t>”). Notwithstanding the foregoing, with respect to the period beginning July 1, 2024 (the “</w:t>
      </w:r>
      <w:r>
        <w:rPr>
          <w:rFonts w:ascii="Times New Roman" w:cs="Times New Roman" w:eastAsia="Times New Roman" w:hAnsi="Times New Roman"/>
          <w:sz w:val="18"/>
          <w:szCs w:val="18"/>
          <w:u w:val="single" w:color="auto"/>
          <w:color w:val="auto"/>
        </w:rPr>
        <w:t>Transition Date</w:t>
      </w:r>
      <w:r>
        <w:rPr>
          <w:rFonts w:ascii="Times New Roman" w:cs="Times New Roman" w:eastAsia="Times New Roman" w:hAnsi="Times New Roman"/>
          <w:sz w:val="18"/>
          <w:szCs w:val="18"/>
          <w:color w:val="auto"/>
        </w:rPr>
        <w:t>”), it is acknowledged that Executive shall also serve as Chief Executive Officer of CWEN (the “</w:t>
      </w:r>
      <w:r>
        <w:rPr>
          <w:rFonts w:ascii="Times New Roman" w:cs="Times New Roman" w:eastAsia="Times New Roman" w:hAnsi="Times New Roman"/>
          <w:sz w:val="18"/>
          <w:szCs w:val="18"/>
          <w:u w:val="single" w:color="auto"/>
          <w:color w:val="auto"/>
        </w:rPr>
        <w:t>CWEN CEO</w:t>
      </w:r>
      <w:r>
        <w:rPr>
          <w:rFonts w:ascii="Times New Roman" w:cs="Times New Roman" w:eastAsia="Times New Roman" w:hAnsi="Times New Roman"/>
          <w:sz w:val="18"/>
          <w:szCs w:val="18"/>
          <w:color w:val="auto"/>
        </w:rPr>
        <w:t>”), and (i) for so long as Executive remains the CWEN CEO, the Board of Directors of CWEN (the “</w:t>
      </w:r>
      <w:r>
        <w:rPr>
          <w:rFonts w:ascii="Times New Roman" w:cs="Times New Roman" w:eastAsia="Times New Roman" w:hAnsi="Times New Roman"/>
          <w:sz w:val="18"/>
          <w:szCs w:val="18"/>
          <w:u w:val="single" w:color="auto"/>
          <w:color w:val="auto"/>
        </w:rPr>
        <w:t>CWEN Board</w:t>
      </w:r>
      <w:r>
        <w:rPr>
          <w:rFonts w:ascii="Times New Roman" w:cs="Times New Roman" w:eastAsia="Times New Roman" w:hAnsi="Times New Roman"/>
          <w:sz w:val="18"/>
          <w:szCs w:val="18"/>
          <w:color w:val="auto"/>
        </w:rPr>
        <w:t>”) shall have the authority and responsibility to direct and control the day-to-day activities of Executive in his capacity as the CWEN CEO, subject to the terms of Section 3 of this Agreement. For purposes of this Agreement, all references to employment, service, engagement and terms of similar import, shall refer to Executive’s services to the Company Group.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3.         Position, Duties, and Responsibilities; Place of Performance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Position, Duties, and Responsibilities</w:t>
      </w:r>
      <w:r>
        <w:rPr>
          <w:rFonts w:ascii="Times New Roman" w:cs="Times New Roman" w:eastAsia="Times New Roman" w:hAnsi="Times New Roman"/>
          <w:sz w:val="18"/>
          <w:szCs w:val="18"/>
          <w:color w:val="auto"/>
        </w:rPr>
        <w:t>. During the Term of Employment, Executive shall be employed and serve as the Chief Executive Officer of the Company, and from and after the Transition Date, Executive shall also serve as the CWEN CEO and, in each case, shall have such duties and responsibilities commensurate with such title. Executive shall report directly to the Board in his capacity as Chief Executive Officer of the Company at all times during the Term of Employment, and shall report to the CWEN Board from and after the Transition Date in his capacity as the CWEN CEO. Executive also agrees to serve as an officer and/or director of any other member of the Company Group, including CWEN for periods on and after the Transition Date, in each case without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ind w:right="120" w:firstLine="1296"/>
        <w:spacing w:after="0" w:line="27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Performance</w:t>
      </w:r>
      <w:r>
        <w:rPr>
          <w:rFonts w:ascii="Times New Roman" w:cs="Times New Roman" w:eastAsia="Times New Roman" w:hAnsi="Times New Roman"/>
          <w:sz w:val="17"/>
          <w:szCs w:val="17"/>
          <w:color w:val="auto"/>
        </w:rPr>
        <w:t>. Executive shall devote his full business time, attention, skill, and best efforts to the performance of his duties under this Agreement and shall not engage in any other business or occupation during the Term of Employment, including, without limitation, any activity that</w:t>
      </w:r>
    </w:p>
    <w:p>
      <w:pPr>
        <w:spacing w:after="0" w:line="1" w:lineRule="exact"/>
        <w:rPr>
          <w:sz w:val="20"/>
          <w:szCs w:val="20"/>
          <w:color w:val="auto"/>
        </w:rPr>
      </w:pPr>
    </w:p>
    <w:p>
      <w:pPr>
        <w:ind w:firstLine="8"/>
        <w:spacing w:after="0" w:line="265" w:lineRule="auto"/>
        <w:tabs>
          <w:tab w:leader="none" w:pos="2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with the interests of the Company or any other member of the Company Group, (ii) interferes with the proper and efficient performance of Executive’s duties hereunder, or (iii) interferes with Executive’s exercise of judgment in the Company’s or, with respect to periods following the Transition Date, CWEN’s, best interests, as the case may be. Notwithstanding the foregoing, nothing herein shall preclude Executive from (A) serving, with the prior written consent of the Board, and with respect to periods following the Transition Date, the CWEN Board, as a member of the board of directors or advisory board (or the equivalent in the case of a non-corporate entity) of a non-competing for-profit business and one or more charitable organizations,</w:t>
      </w:r>
    </w:p>
    <w:p>
      <w:pPr>
        <w:jc w:val="both"/>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engaging in charitable activities and community affairs, and (C) managing his personal investments and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activities set out in clauses (A), (B), and (C) shall be limited by Executive so as not to materially interfere, individually or in the aggregate, with the performance of his duties and responsibilities hereunder.</w:t>
      </w:r>
    </w:p>
    <w:p>
      <w:pPr>
        <w:spacing w:after="0" w:line="186"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Principal Place of Employment</w:t>
      </w:r>
      <w:r>
        <w:rPr>
          <w:rFonts w:ascii="Times New Roman" w:cs="Times New Roman" w:eastAsia="Times New Roman" w:hAnsi="Times New Roman"/>
          <w:sz w:val="18"/>
          <w:szCs w:val="18"/>
          <w:color w:val="auto"/>
        </w:rPr>
        <w:t>. Executive’s principal place of employment shall be in San Francisco, California, although Executive understands and agrees that he may be required to travel from time to time for business reasons.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4.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During the Term of Employment, Executive shall be entitled to the following compensation:</w:t>
      </w:r>
    </w:p>
    <w:p>
      <w:pPr>
        <w:spacing w:after="0" w:line="225"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Base Salary</w:t>
      </w:r>
      <w:r>
        <w:rPr>
          <w:rFonts w:ascii="Times New Roman" w:cs="Times New Roman" w:eastAsia="Times New Roman" w:hAnsi="Times New Roman"/>
          <w:sz w:val="18"/>
          <w:szCs w:val="18"/>
          <w:color w:val="auto"/>
        </w:rPr>
        <w:t>. Executive shall be paid an annualized Base Salary, payable solely by the Company in accordance with the regular payroll practices of the Company, of $500,000 which shall be increased to $750,000 as of the Transition Date, in each case, with adjustments, if any, as may be approved in writing by the CEG Compensation Committee. Notwithstanding the foregoing, the CWEN Compensation Committee shall be permitted to make non-binding recommendations to the CEG Compensation Committee regarding any Base Salary adjustments, and the CEG Compensation Committee shall have final decisional authority with respect to the same.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Annual Bonus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1296"/>
        <w:spacing w:after="0" w:line="255" w:lineRule="auto"/>
        <w:rPr>
          <w:sz w:val="20"/>
          <w:szCs w:val="20"/>
          <w:color w:val="auto"/>
        </w:rPr>
      </w:pPr>
      <w:r>
        <w:rPr>
          <w:rFonts w:ascii="Times New Roman" w:cs="Times New Roman" w:eastAsia="Times New Roman" w:hAnsi="Times New Roman"/>
          <w:sz w:val="18"/>
          <w:szCs w:val="18"/>
          <w:color w:val="auto"/>
        </w:rPr>
        <w:t>(i)           Executive shall be eligible for an annual incentive bonus award in respect of each fiscal year during the Term of Employment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target Annual Bonus for the 2024 fiscal year and each fiscal year thereafter shall be 175% of Base Salary as in effect at the end of the applicable fiscal year (the “</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xml:space="preserve">”). The actual Annual Bonus with respect to a fiscal year shall be payable solely by the Company based upon the level of achievement of annual performance objectives established for such fiscal year;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no event shall the amount paid in respect of such actual Annual Bonus exceed 300% of Base Salary as in effect at the end of such fiscal year. The Annual Bonus shall be paid to Executive at the same time as annual bonuses are generally payable to other senior executives of the Company subject to Executive’s continuous employment through the applicable payment date (subject to Section 7 below).</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 w:name="page22"/>
    <w:bookmarkEnd w:id="21"/>
    <w:p>
      <w:pPr>
        <w:ind w:left="660" w:firstLine="1296"/>
        <w:spacing w:after="0" w:line="254" w:lineRule="auto"/>
        <w:rPr>
          <w:sz w:val="20"/>
          <w:szCs w:val="20"/>
          <w:color w:val="auto"/>
        </w:rPr>
      </w:pPr>
      <w:r>
        <w:rPr>
          <w:rFonts w:ascii="Times New Roman" w:cs="Times New Roman" w:eastAsia="Times New Roman" w:hAnsi="Times New Roman"/>
          <w:sz w:val="18"/>
          <w:szCs w:val="18"/>
          <w:color w:val="auto"/>
        </w:rPr>
        <w:t>(ii)       For fiscal years in which Executive shall not serve as the CWEN CEO, the annual performance objectives with respect to Executive’s Annual Bonus shall be determined by the CEG Compensation Committee and communicated to Executive in accordance with the Company’s standard practices. For fiscal years beginning with fiscal year 2024 and any periods thereafter in which Executive shall serve as the CWEN CEO, the performance objectives with respect to Executive’s Annual Bonus shall be (A) established, evaluated and approved (including for such purposes that relate to the extent to which such performance objectives are attained) by the CWEN Compensation Committee (subject to any follow-on approval by the CWEN Board), and (B) communicated to Executive in accordance with CWEN’s standard practices. Notwithstanding the foregoing sentence, the CEG Compensation Committee shall be permitted to make non-binding recommendations to the CWEN Compensation Committee regarding the performance objective matters described in the foregoing sentence, and the CWEN Compensation Committee shall have final decisional authority with respect to the same (subject to any follow-on approval by the CWEN Board).</w:t>
      </w:r>
    </w:p>
    <w:p>
      <w:pPr>
        <w:spacing w:after="0" w:line="188"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Equity Participation</w:t>
      </w:r>
      <w:r>
        <w:rPr>
          <w:rFonts w:ascii="Times New Roman" w:cs="Times New Roman" w:eastAsia="Times New Roman" w:hAnsi="Times New Roman"/>
          <w:sz w:val="18"/>
          <w:szCs w:val="18"/>
          <w:color w:val="auto"/>
        </w:rPr>
        <w:t>. For periods on and after the Commencement Date, Executive shall be eligible to participate in and receive a grant under, the Clearway Energy, Inc. Amended and Restated 2013 Equity Incentive Plan, as such plan may be amended and/or restated from time to time or any successor plan thereto (the “</w:t>
      </w:r>
      <w:r>
        <w:rPr>
          <w:rFonts w:ascii="Times New Roman" w:cs="Times New Roman" w:eastAsia="Times New Roman" w:hAnsi="Times New Roman"/>
          <w:sz w:val="18"/>
          <w:szCs w:val="18"/>
          <w:u w:val="single" w:color="auto"/>
          <w:color w:val="auto"/>
        </w:rPr>
        <w:t>CWEN LTIP</w:t>
      </w:r>
      <w:r>
        <w:rPr>
          <w:rFonts w:ascii="Times New Roman" w:cs="Times New Roman" w:eastAsia="Times New Roman" w:hAnsi="Times New Roman"/>
          <w:sz w:val="18"/>
          <w:szCs w:val="18"/>
          <w:color w:val="auto"/>
        </w:rPr>
        <w:t>”), on such terms and conditions as are stated therein. It is acknowledged by the Parties that (i) Executive’s annual long term incentive target shall equal three hundred and fifty percent (350%) of Executive’s then Base Salary (the “</w:t>
      </w:r>
      <w:r>
        <w:rPr>
          <w:rFonts w:ascii="Times New Roman" w:cs="Times New Roman" w:eastAsia="Times New Roman" w:hAnsi="Times New Roman"/>
          <w:sz w:val="18"/>
          <w:szCs w:val="18"/>
          <w:u w:val="single" w:color="auto"/>
          <w:color w:val="auto"/>
        </w:rPr>
        <w:t>Target LTIP Award</w:t>
      </w:r>
      <w:r>
        <w:rPr>
          <w:rFonts w:ascii="Times New Roman" w:cs="Times New Roman" w:eastAsia="Times New Roman" w:hAnsi="Times New Roman"/>
          <w:sz w:val="18"/>
          <w:szCs w:val="18"/>
          <w:color w:val="auto"/>
        </w:rPr>
        <w:t xml:space="preserve">”), (ii) one-third (⅓) of the Target LTIP Award shall be issued to Executive in the form of service-based restricted stock unit awards and the remainder of the Target LTIP Award shall be issued to Executive in the form of performance-based restricted stock unit awards, and (iii) the initial Target LTIP Award shall be issued to Executive on or as soon as practicable (and no later than thirty (30) days) after the Transition Date. For purposes of determining the number of service-based and performance-based restricted stock units subject to the Target LTIP Award, CWEN shall apply its standard methodology for grants to its executive officers;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for Executive’s initial Target LTIP Award, the grant shall be made based on the 10-day average closing stock price ending on the Commencement Date. The initial service-based and performance-based awards described in this Section 4(c) shall be evidenced by award agreements in the forms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b w:val="1"/>
          <w:bCs w:val="1"/>
          <w:color w:val="auto"/>
        </w:rPr>
        <w:t>Section 5.         Employee Benefits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During the Term of Employment, Executive shall be entitled to participate in health, insurance, retirement, and other benefits (including perquisites) provided generally to the senior executives of the Company. Executive shall also be entitled to the same number of holidays, vacation or paid-time-off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xml:space="preserve">”) days, and sick days, in each case as are generally allowed to senior executives of the Company in accordance with the Company policy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PTO days available for accrual in any calendar year be less than the highest number of days available for accrual by any other senior executive. Nothing contained herein shall be construed to limit the Company’s ability to amend, suspend, or terminate any employee benefit plan or policy at any time, and the right to do so is expressly reserved;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at all times that Executive is employed by the Company hereunder, Executive and his eligible dependents will have access to Company-provided health, dental, life and disability policies on terms and costs that are no less favorable than those generally provided to other senior executives (excluding differences in costs resulting for individual status (e.g., age, medical history)).</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         Reimbursements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296"/>
        <w:spacing w:after="0" w:line="289" w:lineRule="auto"/>
        <w:rPr>
          <w:sz w:val="20"/>
          <w:szCs w:val="20"/>
          <w:color w:val="auto"/>
        </w:rPr>
      </w:pPr>
      <w:r>
        <w:rPr>
          <w:rFonts w:ascii="Times New Roman" w:cs="Times New Roman" w:eastAsia="Times New Roman" w:hAnsi="Times New Roman"/>
          <w:sz w:val="17"/>
          <w:szCs w:val="17"/>
          <w:color w:val="auto"/>
        </w:rPr>
        <w:t>(a)           Executive is authorized to incur reasonable business expenses in carrying out his duties and responsibilities under this Agreement, including his duties and responsibilities as the CWEN CEO, and the Company shall be solely responsible pursuant to this Agreement to promptly reimburse him for all such reasonable business expenses, subject to documentation in accordance with the Company’s policy, as in effect from time to time.</w:t>
      </w:r>
    </w:p>
    <w:p>
      <w:pPr>
        <w:spacing w:after="0" w:line="158"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Without limiting the foregoing, the Company will reimburse Executive for personal financial advisory and tax preparation services, or related legal advisory services, for each calendar year (or partial calendar year) during the Term of Employment in an amount not to exceed $12,000 per calendar year (or partial calendar year).</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(c)           The Company will pay Executive an amount equal to $40,000 in connection with the attorneys’ fees anticipated to be incurred by Executive in connection with the establishment of the terms of Executive’s transition, the negotiation and finalization of this Agreement and related matters. Such payment will be made promptly, but in no event later than thirty (30) days following the Commencement Date.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7.         Termination of Employment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Term of Employment, and Executive’s employment hereunder, shall terminate upon the earliest to occur of</w:t>
      </w:r>
    </w:p>
    <w:p>
      <w:pPr>
        <w:spacing w:after="0" w:line="27" w:lineRule="exact"/>
        <w:rPr>
          <w:sz w:val="20"/>
          <w:szCs w:val="20"/>
          <w:color w:val="auto"/>
        </w:rPr>
      </w:pPr>
    </w:p>
    <w:p>
      <w:pPr>
        <w:ind w:firstLine="8"/>
        <w:spacing w:after="0" w:line="253"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death, (ii) a termination by reason of a Disability, (iii) a termination by the Company with or without Cause, and (iv) a termination by Executive with or without Good Reason. Except as otherwise expressly required by law (e.g., COBRA) or as specifically provided herein, all of Executive’s rights to Base Salary, Annual Bonus, employee benefits and other compensatory amounts hereunder (if any) shall cease upon the termination of Executive’s employment hereunder.</w:t>
      </w:r>
    </w:p>
    <w:p>
      <w:pPr>
        <w:spacing w:after="0" w:line="189"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Deemed Resignation</w:t>
      </w:r>
      <w:r>
        <w:rPr>
          <w:rFonts w:ascii="Times New Roman" w:cs="Times New Roman" w:eastAsia="Times New Roman" w:hAnsi="Times New Roman"/>
          <w:sz w:val="18"/>
          <w:szCs w:val="18"/>
          <w:color w:val="auto"/>
        </w:rPr>
        <w:t>. Upon any termination of Executive’s employment for any reason, except as may otherwise be requested by the Company in writing and agreed upon in writing by Executive, Executive shall be deemed to have resigned, or shall take such steps as shall be necessary to affirmatively resign, from any and all directorships, committee memberships, and any other positions Executive holds with the Company or any other member of the Company Group, including CWEN and its subsidiaries, it being understood that such deemed resignations shall not otherwise recharacterize the event under which Executive’s employment shall terminate hereunder pursuant to Section 7(a)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Due to Death or Disability</w:t>
      </w:r>
      <w:r>
        <w:rPr>
          <w:rFonts w:ascii="Times New Roman" w:cs="Times New Roman" w:eastAsia="Times New Roman" w:hAnsi="Times New Roman"/>
          <w:sz w:val="18"/>
          <w:szCs w:val="18"/>
          <w:color w:val="auto"/>
        </w:rPr>
        <w:t>. Executive’s employment shall terminate automatically upon his death. The Company may terminate Executive’s employment immediately upon the occurrence of a Disability, such termination to be effective upon Executive’s receipt of written notice of such termination. Upon Executive’s death or in the event that Executive’s employment is terminated due to his Disability, Executive or his estate or his beneficiaries, as the case may be, shall be entitled to:</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Accrued Obligations;</w:t>
      </w:r>
    </w:p>
    <w:p>
      <w:pPr>
        <w:spacing w:after="0" w:line="225" w:lineRule="exact"/>
        <w:rPr>
          <w:sz w:val="20"/>
          <w:szCs w:val="20"/>
          <w:color w:val="auto"/>
        </w:rPr>
      </w:pPr>
    </w:p>
    <w:p>
      <w:pPr>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(ii)       Any unpaid Annual Bonus in respect of any completed fiscal year that has ended prior to the date of such termination, which amount shall be paid at such time annual bonuses are paid to other senior executives of the Company, but in no event later than the date that is two and one-half (2½) months following the last day of the fiscal year in which such termination occurred; and</w:t>
      </w:r>
    </w:p>
    <w:p>
      <w:pPr>
        <w:spacing w:after="0" w:line="176" w:lineRule="exact"/>
        <w:rPr>
          <w:sz w:val="20"/>
          <w:szCs w:val="20"/>
          <w:color w:val="auto"/>
        </w:rPr>
      </w:pPr>
    </w:p>
    <w:p>
      <w:pPr>
        <w:ind w:left="660" w:right="60" w:firstLine="1296"/>
        <w:spacing w:after="0" w:line="266" w:lineRule="auto"/>
        <w:rPr>
          <w:sz w:val="20"/>
          <w:szCs w:val="20"/>
          <w:color w:val="auto"/>
        </w:rPr>
      </w:pPr>
      <w:r>
        <w:rPr>
          <w:rFonts w:ascii="Times New Roman" w:cs="Times New Roman" w:eastAsia="Times New Roman" w:hAnsi="Times New Roman"/>
          <w:sz w:val="18"/>
          <w:szCs w:val="18"/>
          <w:color w:val="auto"/>
        </w:rPr>
        <w:t>(iii)     An amount equal to (A) the Target Annual Bonus multiplied by (B) a fraction, (x) the numerator of which is the number of days elapsed from the commencement of the fiscal year in which such termination occurs through the date of such termination and (y) the denominator of which is 365 (or 366, as applicable), which amount shall be paid within thirty (30) days of Executive’s termination date.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Following Executive’s death or a termination of Executive’s employment by reason of a Disability, except as set forth in this Section 7(c), Executive shall have no further rights to any compensation or any other benefits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by the Company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The Company may terminate Executive’s employment at any time for Cause, effective upon delivery to Executive of written notice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Cause termination relying on clause (ii), (vi) or (vii) of the definition of Cause, to the extent that such act or acts or failure or failures to act are curable (as determined by the Board in good faith), Executive shall be given not less than thirty (30) days’ written notice by the Board of the Company’s intention to terminate him for Cause, such notice to state in detail the particular act or acts or failure or failures to act that constitute the grounds on which the proposed termination for Cause is based, and such termination shall be effective at the expiration of such thirty (30)-day notice period unless Executive has fully cured such act or acts or failure or failures to act that give rise to Cause during such period. For the avoidance of doubt, to the extent the cure period described above is applicable, if Executive fully cures the applicable conduct that the Company identifies as the basis of Cause within the aforementioned cure period, the Company shall not be permitted to terminate Executive for Cause on the basis of such conduct.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left="660" w:firstLine="1296"/>
        <w:spacing w:after="0" w:line="266" w:lineRule="auto"/>
        <w:rPr>
          <w:sz w:val="20"/>
          <w:szCs w:val="20"/>
          <w:color w:val="auto"/>
        </w:rPr>
      </w:pPr>
      <w:r>
        <w:rPr>
          <w:rFonts w:ascii="Times New Roman" w:cs="Times New Roman" w:eastAsia="Times New Roman" w:hAnsi="Times New Roman"/>
          <w:sz w:val="18"/>
          <w:szCs w:val="18"/>
          <w:color w:val="auto"/>
        </w:rPr>
        <w:t>(ii)       In the event that the Company terminates Executive’s employment for Cause, Executive shall be entitled only to the Accrued Obligations. Following such termination of Executive’s employment for Cause, except as set forth in this Section 7(d)(ii), Executive shall have no further rights to any compensation or any other benefits under this Agreement.</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 by the Company without Cause</w:t>
      </w:r>
      <w:r>
        <w:rPr>
          <w:rFonts w:ascii="Times New Roman" w:cs="Times New Roman" w:eastAsia="Times New Roman" w:hAnsi="Times New Roman"/>
          <w:sz w:val="18"/>
          <w:szCs w:val="18"/>
          <w:color w:val="auto"/>
        </w:rPr>
        <w:t>. The Company may terminate Executive’s employment at any time without Cause, effective upon delivery to Executive of written notice of such termination. In the event that Executive’s employment is terminated by the Company without Cause (other than due to Disability), Executive shall be entitled to:</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Accrued Obligations;</w:t>
      </w:r>
    </w:p>
    <w:p>
      <w:pPr>
        <w:spacing w:after="0" w:line="225" w:lineRule="exact"/>
        <w:rPr>
          <w:sz w:val="20"/>
          <w:szCs w:val="20"/>
          <w:color w:val="auto"/>
        </w:rPr>
      </w:pPr>
    </w:p>
    <w:p>
      <w:pPr>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(ii)       Any unpaid Annual Bonus in respect of any completed fiscal year that has ended prior to the date of such termination, which amount shall be paid at such time annual bonuses are paid to other senior executives of the Company, but in no event later than the date that is two and one-half (2½) months following the last day of the fiscal year in which such termination occurred;</w:t>
      </w:r>
    </w:p>
    <w:p>
      <w:pPr>
        <w:spacing w:after="0" w:line="176" w:lineRule="exact"/>
        <w:rPr>
          <w:sz w:val="20"/>
          <w:szCs w:val="20"/>
          <w:color w:val="auto"/>
        </w:rPr>
      </w:pPr>
    </w:p>
    <w:p>
      <w:pPr>
        <w:ind w:left="660" w:right="40" w:firstLine="1296"/>
        <w:spacing w:after="0" w:line="282" w:lineRule="auto"/>
        <w:rPr>
          <w:sz w:val="20"/>
          <w:szCs w:val="20"/>
          <w:color w:val="auto"/>
        </w:rPr>
      </w:pPr>
      <w:r>
        <w:rPr>
          <w:rFonts w:ascii="Times New Roman" w:cs="Times New Roman" w:eastAsia="Times New Roman" w:hAnsi="Times New Roman"/>
          <w:sz w:val="18"/>
          <w:szCs w:val="18"/>
          <w:color w:val="auto"/>
        </w:rPr>
        <w:t>(iii)      An amount equal to the sum of (A) Base Salary, plus (B) the Target Annual Bonus, such amount to be paid in substantially equal payments during the Severance Term, and payable in accordance with the Company’s regular payroll practices; and</w:t>
      </w:r>
    </w:p>
    <w:p>
      <w:pPr>
        <w:spacing w:after="0" w:line="162" w:lineRule="exact"/>
        <w:rPr>
          <w:sz w:val="20"/>
          <w:szCs w:val="20"/>
          <w:color w:val="auto"/>
        </w:rPr>
      </w:pPr>
    </w:p>
    <w:p>
      <w:pPr>
        <w:ind w:left="660"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(iv)     Subject to Executive’s election of COBRA continuation coverage under the Company’s group health plan, payment, on the first regularly scheduled payroll date of each month during the Severance Term, of an amount equal to the difference between the monthly COBRA premium cost and the monthly contribution paid by active employees for the same coverage;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payments described in this clause shall cease earlier than the expiration of the Severance Term in the event that Executive becomes eligible to receive any health benefits as a result of subsequent employment or service during the Severance Term.</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payments and benefits described in clauses (ii), (iii), and (iv) of this Section 7(e) shall immediately terminate and be forfeited by Executive, and the Company shall have no further obligations to Executive with respect thereto, in the event that Executive materially breaches any provision set forth in Section 9 hereof. Following such termination of Executive’s employment by the Company without Cause, except as set forth in this Section 7(e),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Termination by Executive with Good Reason</w:t>
      </w:r>
      <w:r>
        <w:rPr>
          <w:rFonts w:ascii="Times New Roman" w:cs="Times New Roman" w:eastAsia="Times New Roman" w:hAnsi="Times New Roman"/>
          <w:sz w:val="18"/>
          <w:szCs w:val="18"/>
          <w:color w:val="auto"/>
        </w:rPr>
        <w:t>. Executive may terminate his employment with Good Reason by providing the Company ten (10) days’ written notice setting forth in reasonable specificity the event that constitutes Good Reason, which written notice, to be effective, must be provided to the Company within sixty (60) days following the occurrence of such event. During the ten (10) day period following the Company’s receipt of such notice from Executive, the Company shall have a cure right (if curable), and if not cured within such period, Executive’s termination will be effective upon the expiration of such cure period, and Executive shall be entitled to the same payments and benefits as provided in Section 7(e) hereof for a termination by the Company without Cause, subject to the same conditions on payment and benefits as described in Section 7(e) hereof. Following such termination of Executive’s employment by Executive with Good Reason, except as set forth in this Section 7(f), Executive shall have no further rights to any compensation or any other benefits under this Agreement. For the avoidance of doubt, Executive’s sole and exclusive remedy upon a termination of employment with Good Reason shall be receipt of the Severance Benefits. For the avoidance of doubt, to the extent the cure period described above is applicable, if the Company fully cures the applicable conduct that Executive identifies as the basis of Good Reason within the aforementioned cure period, Executive shall not be permitted to terminate Executive’s employment with Good Reason on the basis of such conduct.</w:t>
      </w:r>
    </w:p>
    <w:p>
      <w:pPr>
        <w:spacing w:after="0" w:line="19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Termination by Executive without Good Reason</w:t>
      </w:r>
      <w:r>
        <w:rPr>
          <w:rFonts w:ascii="Times New Roman" w:cs="Times New Roman" w:eastAsia="Times New Roman" w:hAnsi="Times New Roman"/>
          <w:sz w:val="18"/>
          <w:szCs w:val="18"/>
          <w:color w:val="auto"/>
        </w:rPr>
        <w:t>. Executive may terminate his employment without Good Reason by providing the Company sixty (60) days’ advance written notice of such termination. In the event of a termination of employment by Executive under this Section 7(g), Executive shall be entitled only to the Accrued Obligations. In the event of termination of Executive’s employment under this Section 7(g),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7(g), Executive shall have no further rights to any compensation or any other benefits under this Agreement.</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Notwithstanding any provision herein to the contrary, the payment of any amount or provision of any benefit pursuant to subsection (c), (e) or (f) of this Section 7 (collectively,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(other than the Accrued Obligations) shall be conditioned upon Executive’s (or, in the case of Executive’s death or Disability, his estate or, as applicable, authorized representative’s) execution, delivery to the Company, and non-revocation of the Release of Claims (and the expiration of any revocation period contained in such Release of Claims) within sixty (60) days following the date of Executive’s termination of employment hereunder. If Executive (or, in the case of Executive’s death or Disability, his estate or, as applicable, authorized representative) fails to execute the Release of Claims in such a timely manner so as to permit any revocation period to expire prior to the end of such sixty (60) day period, or timely revokes his acceptance of such release following its execution, Executive shall not be entitled to any of the Severance Benefits. Further, to the extent that any of the Severance Benefits constitutes “nonqualified deferred compensation” for purposes of</w:t>
      </w:r>
    </w:p>
    <w:p>
      <w:pPr>
        <w:spacing w:after="0" w:line="1"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7"/>
          <w:szCs w:val="17"/>
          <w:color w:val="auto"/>
        </w:rPr>
        <w:t>Section 409A of the Code, any payment of any amount or provision of any benefit otherwise scheduled to occur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date of Executive’s termination of employment hereunder, but for the condition on timely executing the Release of Claims as set forth herein, shall not</w:t>
      </w:r>
    </w:p>
    <w:p>
      <w:pPr>
        <w:ind w:right="60"/>
        <w:spacing w:after="0" w:line="209" w:lineRule="auto"/>
        <w:rPr>
          <w:sz w:val="20"/>
          <w:szCs w:val="20"/>
          <w:color w:val="auto"/>
        </w:rPr>
      </w:pPr>
      <w:r>
        <w:rPr>
          <w:rFonts w:ascii="Times New Roman" w:cs="Times New Roman" w:eastAsia="Times New Roman" w:hAnsi="Times New Roman"/>
          <w:sz w:val="18"/>
          <w:szCs w:val="18"/>
          <w:color w:val="auto"/>
        </w:rPr>
        <w:t>be made until the first regularly scheduled payroll date following such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which any remaining Severance Benefits shall thereafter be provided to Executive according to the applicable schedule set forth herein.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b w:val="1"/>
          <w:bCs w:val="1"/>
          <w:color w:val="auto"/>
        </w:rPr>
        <w:t>Section 8.         Certain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If any payment(s), benefit(s) or distribution(s) of any type to or for the benefit of Executive, whether paid or payable, provided or to be provided, or distributed or distributable pursuant to the terms of this Agreement or otherwise by the Company or any of its affiliates (collectively, the “</w:t>
      </w:r>
      <w:r>
        <w:rPr>
          <w:rFonts w:ascii="Times New Roman" w:cs="Times New Roman" w:eastAsia="Times New Roman" w:hAnsi="Times New Roman"/>
          <w:sz w:val="18"/>
          <w:szCs w:val="18"/>
          <w:u w:val="single" w:color="auto"/>
          <w:color w:val="auto"/>
        </w:rPr>
        <w:t>Parachute Payments</w:t>
      </w:r>
      <w:r>
        <w:rPr>
          <w:rFonts w:ascii="Times New Roman" w:cs="Times New Roman" w:eastAsia="Times New Roman" w:hAnsi="Times New Roman"/>
          <w:sz w:val="18"/>
          <w:szCs w:val="18"/>
          <w:color w:val="auto"/>
        </w:rPr>
        <w:t>”) would subject Executive to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xml:space="preserve">”), the Parachute Payments shall be reduced so that the maximum amount of the Parachute Payments (after reduction) shall be one dollar ($1.00) less than the amount which would subject Executive to the Excise Tax;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Parachute Payments shall only be reduced to the extent the after-tax value of amounts received by Executive after application of the above reduction would exceed the after-tax value of the amounts received without application of such reduction. For this purpose, the after-tax value of an amount shall be determined taking into account all federal, state, and local income, employment and excise taxes applicable to such amount. To the extent such aggregate parachute payment amounts are required to be so reduced, the Parachute Payment amounts due to Executive (but no non-Parachute Payment amounts) shall be reduced in the following order: (i) the Parachute Payments that are payable in cash shall be reduced (if necessary, to zero) with amounts that are payable last reduced first; (ii) the Parachute Payments due in respect of any equity, valued at full value (rather than accelerated value), with the highest values reduced first (as such values are determined under Treasury Regulation Section 1.280G-1, Q&amp;A 24); and (iii) all other non-cash Parachute Payments, not otherwise described in clause (ii) of this Section 8, reduced last.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9.         Restrictive Covenants</w:t>
      </w:r>
    </w:p>
    <w:p>
      <w:pPr>
        <w:spacing w:after="0" w:line="229"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Executive acknowledges and recognizes the highly competitive nature of the business of the Company Group, that access to Confidential Information renders Executive special and unique within the industry of the Company Group, and that Executive will have the opportunity to develop substantial relationships with existing and prospective clients, accounts, customers, consultants, contractors, investors, and strategic partners of the Company Group during the course of and as a result of his employment with the Company. In light of the foregoing, as a condition of Executive’s employment by the Company, and in consideration of Executive’s employment hereunder and the compensation and benefits provided herein, Executive acknowledges and agrees to the covenants contained in this Section 9. Executive further recognizes and acknowledges that the restrictions and limitations set forth in this Section 9 are reasonable and valid in geographical and temporal scope and in all other respects and are essential to protect the value of the business and assets of the Company Group.</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0" w:firstLine="1296"/>
        <w:spacing w:after="0" w:line="258" w:lineRule="auto"/>
        <w:rPr>
          <w:sz w:val="20"/>
          <w:szCs w:val="20"/>
          <w:color w:val="auto"/>
        </w:rPr>
      </w:pPr>
      <w:r>
        <w:rPr>
          <w:rFonts w:ascii="Times New Roman" w:cs="Times New Roman" w:eastAsia="Times New Roman" w:hAnsi="Times New Roman"/>
          <w:sz w:val="18"/>
          <w:szCs w:val="18"/>
          <w:color w:val="auto"/>
        </w:rPr>
        <w:t>(i)        Executive acknowledges that, during the Term of Employment, Executive will have access to information about the Company Group and that his employment with the Company shall bring him into close contact with confidential and proprietary information of the Company Group. In recognition of the foregoing, Executive agrees, at all times during the Term of Employment and thereafter, to hold in confidence, and not to use, except for the benefit of the Company Group, or to disclose to any Person without written authorization of the Company, any Confidential Information.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7" w:name="page28"/>
    <w:bookmarkEnd w:id="27"/>
    <w:p>
      <w:pPr>
        <w:ind w:left="4" w:firstLine="1296"/>
        <w:spacing w:after="0" w:line="252" w:lineRule="auto"/>
        <w:rPr>
          <w:sz w:val="20"/>
          <w:szCs w:val="20"/>
          <w:color w:val="auto"/>
        </w:rPr>
      </w:pPr>
      <w:r>
        <w:rPr>
          <w:rFonts w:ascii="Times New Roman" w:cs="Times New Roman" w:eastAsia="Times New Roman" w:hAnsi="Times New Roman"/>
          <w:sz w:val="18"/>
          <w:szCs w:val="18"/>
          <w:color w:val="auto"/>
        </w:rPr>
        <w:t>(ii)       Nothing in this Agreement shall prohibit or impede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will Executive be authorized to disclose any information covered by attorney-client privilege or attorney work product of any member of the Company Group without prior written consent of the Company’s General Counsel or other officer designated by the Company. Executive does not need the prior authorization of (or to give notice to) any member of the Company Group regarding any communication, disclosure, or activity permitted by this paragraph.</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Assignment of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296"/>
        <w:spacing w:after="0" w:line="268" w:lineRule="auto"/>
        <w:rPr>
          <w:sz w:val="20"/>
          <w:szCs w:val="20"/>
          <w:color w:val="auto"/>
        </w:rPr>
      </w:pPr>
      <w:r>
        <w:rPr>
          <w:rFonts w:ascii="Times New Roman" w:cs="Times New Roman" w:eastAsia="Times New Roman" w:hAnsi="Times New Roman"/>
          <w:sz w:val="17"/>
          <w:szCs w:val="17"/>
          <w:color w:val="auto"/>
        </w:rPr>
        <w:t>(i)        Executive agrees that he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Executive may (or have previously) solely or jointly conceive or develop or reduce to practice, or cause to be conceived or developed or reduced to practice, during the Term of Employment, whether or not during regular working hours, provided they either (A) relate at the time of conception or reduction to practice of the invention to the business of any member of the Company Group, or actual or demonstrably anticipated research or development of any member of the Company Group; (B) result from or relate to any work performed for any member of the Company Group; or</w:t>
      </w:r>
    </w:p>
    <w:p>
      <w:pPr>
        <w:spacing w:after="0" w:line="2" w:lineRule="exact"/>
        <w:rPr>
          <w:sz w:val="20"/>
          <w:szCs w:val="20"/>
          <w:color w:val="auto"/>
        </w:rPr>
      </w:pPr>
    </w:p>
    <w:p>
      <w:pPr>
        <w:ind w:left="4" w:right="40" w:hanging="4"/>
        <w:spacing w:after="0" w:line="252" w:lineRule="auto"/>
        <w:tabs>
          <w:tab w:leader="none" w:pos="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developed through the use of equipment, supplies, or facilities of any member of the Company Group, or any Confidential Information, or in consultation with personnel of any member of the Company Group (collectively referred to as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Executive further acknowledges that all Developments made by him (solely or jointly with others) within the scope of and during the Term of Employment are “works made for hire” (to the greatest extent permitted by applicable law) for which Executive is, in part, compensated by his Base Salary, unless regulated otherwise by law, but that, in the event any such Development is deemed not to be a work made for hire, Executive hereby assigns to the Company, or its designee, all Executive’s right, title, and interest throughout the world in and to any such Development.</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(ii)       Executive agrees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Executive further agrees that his obligation to execute or cause to be executed, when it is in Executive’s power to do so, any such instrument or papers shall continue after the termination of the Term of Employment until the expiration of the last such intellectual property right to expire in any country of the world;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Company shall reimburse Executive for his reasonable expenses incurred in connection with carrying out the foregoing obligation. If the Company is unable because of Executive’s mental or physical incapacity or unavailability for any other reason to secure Executive’s signature to apply for or to pursue any application for any United States or foreign patents or copyright registrations covering Developments or original works of authorship assigned to the Company as above, then Executive hereby irrevocably designates and appoints the Company and its duly authorized officers and agents as Executive’s agent and attorney in fact to act for and in Executive’s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Executive hereby waives and irrevocably quitclaims to the Company any and all claims, of any nature whatsoever, that Executive now or hereafter have for past, present, or future infringement of any and all proprietary rights assigned to the Company.</w:t>
      </w:r>
    </w:p>
    <w:p>
      <w:pPr>
        <w:spacing w:after="0" w:line="19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Notwithstanding the foregoing, this Section 9(c) is subject to the provisions of California Labor Code Sections 2870, 2871 and 2872. In accordance with Section 2870 of the California Labor Code, Executive’s obligation to assign Executive’s right, title and interest throughout the world in and to all Developments does not apply to any Developments that Executive developed entirely on his own time without using the Company’s equipment, supplies, facilities, or Confidential Information except for those Developments that relate to either (A) the business of the Company at the time of conception or reduction to practice of the Development, or actual or demonstrably anticipated research or development of the Company or (B) result from any work performed by Executive for the Company. A copy of California Labor Code Sections 2870, 2871 and 2872 is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Executive shall disclose all Developments to the Company, even if Executive does not believe that Executive is required under this Agreement, or pursuant to California Labor Code Section 2870, to assign his interest in such Developments to the Company.</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9" w:name="page30"/>
    <w:bookmarkEnd w:id="29"/>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Non-Competition</w:t>
      </w:r>
      <w:r>
        <w:rPr>
          <w:rFonts w:ascii="Times New Roman" w:cs="Times New Roman" w:eastAsia="Times New Roman" w:hAnsi="Times New Roman"/>
          <w:sz w:val="18"/>
          <w:szCs w:val="18"/>
          <w:color w:val="auto"/>
        </w:rPr>
        <w:t>. During the Term of Employment, Executive shall not, directly or indirectly engage in, have any equity interest in, manage, provide services to or operate any person, firm, corporation, partnership or business (whether as director, officer, employee, agent, representative, partner, member, security holder, consultant or otherwise) that engages in the Business within the United States of America or any other jurisdiction in which any member of the Company Group engages in business derives a material portion of its revenues or has demonstrable plans to commence business activities in.</w:t>
      </w:r>
    </w:p>
    <w:p>
      <w:pPr>
        <w:spacing w:after="0" w:line="18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Non-Interference</w:t>
      </w:r>
      <w:r>
        <w:rPr>
          <w:rFonts w:ascii="Times New Roman" w:cs="Times New Roman" w:eastAsia="Times New Roman" w:hAnsi="Times New Roman"/>
          <w:sz w:val="18"/>
          <w:szCs w:val="18"/>
          <w:color w:val="auto"/>
        </w:rPr>
        <w:t>. During the Term of Employment, Executive shall not, directly or indirectly for his own account or for the account of any other Person, engage in Interfering Activities, it being understood that Executive shall remain bound by the requirements of non-interference and interfering activities provisions as set forth in the Other Covenants. The Parties also hereby acknowledge and agree that the solicitation of any Business Relation or Person for a new business relationship is and has been permitted hereunder as well as pursuant to the Other Covenants as long as Executive does not encourage, solicit, or induce any Business Relation or Person to cease doing business with or reduce the amount of business with the Company Group. For the avoidance of doubt, and notwithstanding any provision in the Other Covenants to the contrary, the Parties acknowledge and agree that (i) none of the restrictive covenants specified in this Section 9 or any Other Covenant shall, in and of itself (subject to other restrictions on non-interference set herein, and confidentiality set forth herein and therein) restrict Executive from holding investments in, being employed by, or having affiliations with any investment partnership or any manager or general partner thereof that may pursue or hold investments in any enterprise engaged directly in the business of development or operation of electrolyzer, battery, wind, solar or gas-fired electricity generation assets within the United States of America, and (ii) Executive may confidentially interview for potential employment outside the Company Group prior to the end of Term of Employment, and each member of the Company Group waives, and shall cause any affiliate thereof to waive, any rights it might otherwise have pursuant to this Agreement, any Other Covenant or otherwise with respect to any such interview.</w:t>
      </w:r>
    </w:p>
    <w:p>
      <w:pPr>
        <w:spacing w:after="0" w:line="187"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Company Personnel</w:t>
      </w:r>
      <w:r>
        <w:rPr>
          <w:rFonts w:ascii="Times New Roman" w:cs="Times New Roman" w:eastAsia="Times New Roman" w:hAnsi="Times New Roman"/>
          <w:sz w:val="18"/>
          <w:szCs w:val="18"/>
          <w:color w:val="auto"/>
        </w:rPr>
        <w:t>. To the extent permitted by law, during the Term of Employment and throughout the Post-Termination Restricted Period, Executive shall not, directly or indirectly for his own account or for the account of any other Person: (i) solicit, induce, recruit or encourage any of the employees, contractors, or consultants of any member of the Company Group who are or were employed or retained by any member of the Company Group within the twelve (12) month period immediately preceding the termination of Executive’s employment (“</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 to terminate their relationship with the applicable member of the Company Group; (ii) solicit or attempt to solicit for employment, induce, recruit, bring about, influence, promote, facilitate, encourage, or assist the solicitation of any Company Personnel to enter into any business relationship with Executive that directly interferes with or conflicts with the Business; and/or (iii) interfere with the relationship between any member of the Company Group and Company Personnel, or with the performance by current or former Company Personnel of their obligations or responsibilities to any member of the Company Group. Nothing herein shall apply as to Company Personnel who are not otherwise senior executives of the Company who reply to general solicitations not directed at such Company Personnel.</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ind w:firstLine="1296"/>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Non-Disparagement</w:t>
      </w:r>
      <w:r>
        <w:rPr>
          <w:rFonts w:ascii="Times New Roman" w:cs="Times New Roman" w:eastAsia="Times New Roman" w:hAnsi="Times New Roman"/>
          <w:sz w:val="18"/>
          <w:szCs w:val="18"/>
          <w:color w:val="auto"/>
        </w:rPr>
        <w:t>. Following the termination of Executive’s employment hereunder for any reason, Executive hereby agrees not to defame or disparage any member of the Company Group or any executive, manager, director, or officer of any member of the Company Group in any medium to any person. Similarly, following the termination of Executive’s employment for any reason, the Company will instruct the directors, officers and managers of any member of the Company Group not to defame or disparage Executive in any medium to any person. Notwithstanding the preceding provisions of this Section 9(g), the Company and Executive may confer in confidence with their respective legal representatives and make truthful statements as required by law or legal process, or to enforce this Agreement. For the avoidance of doubt, nothing in this Agreement prevents Executive from discussing or disclosing information about unlawful acts in the workplace, such as harassment or discrimination or any other conduct that Executive may have reason to believe is unlawful.</w:t>
      </w:r>
    </w:p>
    <w:p>
      <w:pPr>
        <w:spacing w:after="0" w:line="192"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Return of Documents</w:t>
      </w:r>
      <w:r>
        <w:rPr>
          <w:rFonts w:ascii="Times New Roman" w:cs="Times New Roman" w:eastAsia="Times New Roman" w:hAnsi="Times New Roman"/>
          <w:sz w:val="18"/>
          <w:szCs w:val="18"/>
          <w:color w:val="auto"/>
        </w:rPr>
        <w:t xml:space="preserve">. In the event of Executive’s termination of employment hereunder for any reason, or any earlier time if requested by the Company or other member of the Company Group, Executive shall deliver to the Company (and will not keep in his possession, recreate, or deliver to anyone else) any and all Confidential Information and all other documents, materials, information, and property developed by Executive pursuant to his employment hereunder or otherwise belonging to the Company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Executive may retain any documents regarding his compensation or equitable holdings.</w:t>
      </w:r>
    </w:p>
    <w:p>
      <w:pPr>
        <w:spacing w:after="0" w:line="183" w:lineRule="exact"/>
        <w:rPr>
          <w:sz w:val="20"/>
          <w:szCs w:val="20"/>
          <w:color w:val="auto"/>
        </w:rPr>
      </w:pPr>
    </w:p>
    <w:p>
      <w:pPr>
        <w:ind w:right="220"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Independence; Severability; Blue Pencil</w:t>
      </w:r>
      <w:r>
        <w:rPr>
          <w:rFonts w:ascii="Times New Roman" w:cs="Times New Roman" w:eastAsia="Times New Roman" w:hAnsi="Times New Roman"/>
          <w:sz w:val="18"/>
          <w:szCs w:val="18"/>
          <w:color w:val="auto"/>
        </w:rPr>
        <w:t>. Each of the rights enumerated in this Section 9 shall be independent of the others and shall be in addition to and not in lieu of any other rights and remedies available to the Company Group at law or in equity. If any of the provisions of this Section 9 or any part of any of them is hereafter construed or adjudicated to be invalid or unenforceable, the same shall not affect the remainder of this Section 9, which shall be given full effect without regard to the invalid portions. If any of the covenants contained herein are held to be invalid or unenforceable because of the duration of such provisions or the area or scope covered thereby, each of the Company and Executive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89" w:lineRule="exact"/>
        <w:rPr>
          <w:sz w:val="20"/>
          <w:szCs w:val="20"/>
          <w:color w:val="auto"/>
        </w:rPr>
      </w:pPr>
    </w:p>
    <w:p>
      <w:pPr>
        <w:ind w:right="80" w:firstLine="1296"/>
        <w:spacing w:after="0" w:line="272"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  Other Covenants</w:t>
      </w:r>
      <w:r>
        <w:rPr>
          <w:rFonts w:ascii="Times New Roman" w:cs="Times New Roman" w:eastAsia="Times New Roman" w:hAnsi="Times New Roman"/>
          <w:sz w:val="17"/>
          <w:szCs w:val="17"/>
          <w:color w:val="auto"/>
        </w:rPr>
        <w:t>. Notwithstanding anything contained in this Agreement to the contrary, it is acknowledged and agreed all parties hereto that (i) Executive is subject to similar restrictive covenants as a result of (A) his participation in the Zephyr Management Carry Program (the “</w:t>
      </w:r>
      <w:r>
        <w:rPr>
          <w:rFonts w:ascii="Times New Roman" w:cs="Times New Roman" w:eastAsia="Times New Roman" w:hAnsi="Times New Roman"/>
          <w:sz w:val="17"/>
          <w:szCs w:val="17"/>
          <w:u w:val="single" w:color="auto"/>
          <w:color w:val="auto"/>
        </w:rPr>
        <w:t>Carry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Program</w:t>
      </w:r>
      <w:r>
        <w:rPr>
          <w:rFonts w:ascii="Times New Roman" w:cs="Times New Roman" w:eastAsia="Times New Roman" w:hAnsi="Times New Roman"/>
          <w:sz w:val="17"/>
          <w:szCs w:val="17"/>
          <w:color w:val="auto"/>
        </w:rPr>
        <w:t>”) or otherwise as a result of his equity ownership in any member of the Company Group, including any equity ownership in CWEN arising as a result of any award issued to Executive under any long-term incentive plan of the Company or, subject to clause (ii) below, the CWEN LTIP, (B) the Restrictive Covenant Agreement by and between the Company and Executive dated September 11, 2018, or (C) any other plan, contract or arrangement, including the definition of “Post-Termination Detrimental Activity” in the Carry Program (collectively, the “</w:t>
      </w:r>
      <w:r>
        <w:rPr>
          <w:rFonts w:ascii="Times New Roman" w:cs="Times New Roman" w:eastAsia="Times New Roman" w:hAnsi="Times New Roman"/>
          <w:sz w:val="17"/>
          <w:szCs w:val="17"/>
          <w:u w:val="single" w:color="auto"/>
          <w:color w:val="auto"/>
        </w:rPr>
        <w:t>Other Covenants</w:t>
      </w:r>
      <w:r>
        <w:rPr>
          <w:rFonts w:ascii="Times New Roman" w:cs="Times New Roman" w:eastAsia="Times New Roman" w:hAnsi="Times New Roman"/>
          <w:sz w:val="17"/>
          <w:szCs w:val="17"/>
          <w:color w:val="auto"/>
        </w:rPr>
        <w:t>”), (ii) except as set forth in Section 9(e) above, such Other Covenants are entirely replaced and superseded by the covenants contained in this Agreement, and (iii) enforcement by the Company of the covenants contained in this Agreement by any applicable member of the Company Group shall be subject to Section 9(k) below.</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Cure Right</w:t>
      </w:r>
      <w:r>
        <w:rPr>
          <w:rFonts w:ascii="Times New Roman" w:cs="Times New Roman" w:eastAsia="Times New Roman" w:hAnsi="Times New Roman"/>
          <w:sz w:val="18"/>
          <w:szCs w:val="18"/>
          <w:color w:val="auto"/>
        </w:rPr>
        <w:t>. In the event of any alleged breach by Executive of any restrictive covenant described herein or similar provision that, notwithstanding Section 9(j), remains in effect under any other contract (including any forfeiture for competition provision), the Company will provide Executive with written notice specifying the circumstances of the alleged breach in reasonable detail and provide Executive with at least twenty (20) days to cure such alleged breach. If reasonably cured by Executive during the foregoing cure period, the alleged breach will be disregarded and will have no effect for any purpose.</w:t>
      </w:r>
    </w:p>
    <w:p>
      <w:pPr>
        <w:spacing w:after="0" w:line="17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Section 10.         Injunctive Relief</w:t>
      </w:r>
      <w:r>
        <w:rPr>
          <w:rFonts w:ascii="Times New Roman" w:cs="Times New Roman" w:eastAsia="Times New Roman" w:hAnsi="Times New Roman"/>
          <w:sz w:val="18"/>
          <w:szCs w:val="18"/>
          <w:color w:val="auto"/>
        </w:rPr>
        <w:t>. Executive expressly acknowledges that any breach or threatened breach of any of the terms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Section 9 hereof may result in substantial, continuing, and irreparable injury to the members of the Company Group. Therefore, Executive hereby agrees that, in addition to any other remedy that may be available to the Company, any member of the Company Group shall be entitled to seek injunctive relief, specific performance, or other equitable relief by a court of appropriate jurisdiction in the event of any breach or threatened breach of the terms of Section 9 hereof. Notwithstanding any other provision to the contrary, Executive acknowledges and agrees that the Post-Termination Restricted Period shall be tolled during any period of violation of any of the covenants in Section 9 hereof and during any other period required for litigation during which the Company or any other member of the Company Group seeks to enforce such covenants against Executive if it is ultimately determined that Executive was in breach of such covenants.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11.       Use of Track Record</w:t>
      </w:r>
    </w:p>
    <w:p>
      <w:pPr>
        <w:spacing w:after="0" w:line="229"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following the date of Executive’s termination of employment either by the Company without Cause or by Executive with or without Good Reason (excluding any resignation without Good Reason when grounds to terminate Executive for Cause exists), Executive shall be permitted to retain a track record of Executive’s project investment history for which Executive had supervisory responsibility from the point of Executive’s initial employment within the NRG renewables business in 2013 through the date of the “Closing” as set forth in, and subject to, the Prior Agreement (the “</w:t>
      </w:r>
      <w:r>
        <w:rPr>
          <w:rFonts w:ascii="Times New Roman" w:cs="Times New Roman" w:eastAsia="Times New Roman" w:hAnsi="Times New Roman"/>
          <w:sz w:val="17"/>
          <w:szCs w:val="17"/>
          <w:u w:val="single" w:color="auto"/>
          <w:color w:val="auto"/>
        </w:rPr>
        <w:t>Track Record</w:t>
      </w:r>
      <w:r>
        <w:rPr>
          <w:rFonts w:ascii="Times New Roman" w:cs="Times New Roman" w:eastAsia="Times New Roman" w:hAnsi="Times New Roman"/>
          <w:sz w:val="17"/>
          <w:szCs w:val="17"/>
          <w:color w:val="auto"/>
        </w:rPr>
        <w:t>”). Executive shall have access to the following details for purposes of validating the Track Record: (i) date of initial investment; (ii) name of investment (i.e., Project Name); (iii) investment characteristics (i.e., location, technology, size);</w:t>
      </w:r>
    </w:p>
    <w:p>
      <w:pPr>
        <w:spacing w:after="0" w:line="5" w:lineRule="exact"/>
        <w:rPr>
          <w:sz w:val="20"/>
          <w:szCs w:val="20"/>
          <w:color w:val="auto"/>
        </w:rPr>
      </w:pPr>
    </w:p>
    <w:p>
      <w:pPr>
        <w:ind w:firstLine="8"/>
        <w:spacing w:after="0" w:line="251"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invested in dollars; and (v) multiple-of-invested capital and internal rate of return. Notwithstanding the foregoing, the Company’s obligations with respect to the Track Record described herein shall be limited to any such information the Company has in its possession and is itself permitted to share with Executive without violation of any confidentiality obligations the Company (or other member of the Company Group, if applicable) may be subject to. In addition, subject to Executive’s continuous employment hereunder through the date of a Sale of the Company (as defined in the Carry Program), Executive shall be provided a record of the aggregate investment return of Global Infrastructure Partners and its affiliates, as reported to its limited partners, in respect of its investment in the Company from and after the “Closing Date” as set forth in, and subject to, the Prior Agreement through the date of a Sale of the Company (the “</w:t>
      </w:r>
      <w:r>
        <w:rPr>
          <w:rFonts w:ascii="Times New Roman" w:cs="Times New Roman" w:eastAsia="Times New Roman" w:hAnsi="Times New Roman"/>
          <w:sz w:val="18"/>
          <w:szCs w:val="18"/>
          <w:u w:val="single" w:color="auto"/>
          <w:color w:val="auto"/>
        </w:rPr>
        <w:t>GIP Performance Record</w:t>
      </w:r>
      <w:r>
        <w:rPr>
          <w:rFonts w:ascii="Times New Roman" w:cs="Times New Roman" w:eastAsia="Times New Roman" w:hAnsi="Times New Roman"/>
          <w:sz w:val="18"/>
          <w:szCs w:val="18"/>
          <w:color w:val="auto"/>
        </w:rPr>
        <w:t xml:space="preserve">”). The Company hereby acknowledges and agrees that Executive may furnish the Track Record at any time following such qualifying termination of employment hereunder, and the GIP Performance Record following a Sale of the Company, in either case, for any use, including, but not limited to, for purposes of fundraising;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Track Record and GIP Performance Record may only be provided to third-parties under a non-disclosure agreement in a form provided by Executive and approved by the Company (which approval shall not be unreasonably withheld).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b w:val="1"/>
          <w:bCs w:val="1"/>
          <w:color w:val="auto"/>
        </w:rPr>
        <w:t>Section 12.       Representations and Warranties of Executive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Executive represents and warrants to the Company that-</w:t>
      </w:r>
    </w:p>
    <w:p>
      <w:pPr>
        <w:spacing w:after="0" w:line="225"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(a)           Executive is entering into this Agreement voluntarily and that his employment hereunder and compliance with the terms and conditions hereof will not conflict with or result in the breach by him of any agreement to which he is a party or by which he may be bound;</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(b)           Executive has not violated, and in connection with his employment with the Company Group will not violate, any non-solicitation, non-competition, or other similar covenant or agreement with any Person by which he is or may be bound; and</w:t>
      </w:r>
    </w:p>
    <w:p>
      <w:pPr>
        <w:spacing w:after="0" w:line="162"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(c)           In connection with his employment with the Company, Executive will not use any confidential or proprietary information he may have obtained in connection with employment or service with any prior service recipient.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13.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The Company may withhold from any payments made by the Company under this Agreement all applicable taxes, including but not limited to income, employment, and social insurance taxes, as shall be required by law. Executive acknowledges and represents that none of the Company nor any member of the Company has provided any tax advice to him in connection with this Agreement and that he has been advised by the Company to seek tax advice from his own tax advisors regarding this Agreement and payments that may be made to him pursuant to this Agreement, including specifically, the application of the provisions of Section 409A of the Code to such payments.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14.       Set Off; Mitigation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Company’s obligation to pay Executive the amounts provided and to make the arrangements provided hereunder shall be subject to set-off, counterclaim, or recoupment of amounts owed by Executive to the Company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provided pursuant to this Agreement by seeking other employment or otherwise, and except as provided in Sections 7(e)(iv) and 7(f) hereof, the amount of any payment provided for pursuant to this Agreement shall not be reduced by any compensation earned as a result of Executive’s other employment or otherwise.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b w:val="1"/>
          <w:bCs w:val="1"/>
          <w:color w:val="auto"/>
        </w:rPr>
        <w:t>Section 15.       Additional Section 409A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any provision in this Agreement to the contrary:</w:t>
      </w:r>
    </w:p>
    <w:p>
      <w:pPr>
        <w:spacing w:after="0" w:line="22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(a)           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payment in a series of payments hereunder shall be deemed to be a separate payment for purposes of Section 409A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(c)           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Section 7 as if Executive had undergone such termination of employment (under the same circumstances) on the date of his ultimate “separation from service.”</w:t>
      </w:r>
    </w:p>
    <w:p>
      <w:pPr>
        <w:spacing w:after="0" w:line="187"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7"/>
          <w:szCs w:val="17"/>
          <w:color w:val="auto"/>
        </w:rPr>
        <w:t xml:space="preserve">(d)           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foregoing clause shall not be violated with regard to expenses reimbursed under any arrangement covered by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105(b) of the Code solely because such expenses are subject to a limit related to the period the arrangement is in effect.</w:t>
      </w:r>
    </w:p>
    <w:p>
      <w:pPr>
        <w:spacing w:after="0" w:line="20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(e)           While the payments and benefits provided hereunder are intended to be structured in a manner to avoid the implication of any penalty taxes under Section 409A of the Code, in no event whatsoever shall any member of the Company Group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b w:val="1"/>
          <w:bCs w:val="1"/>
          <w:color w:val="auto"/>
        </w:rPr>
        <w:t>Section 16.       Successors and Assigns; No Third-Party Beneficiaries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Company</w:t>
      </w:r>
      <w:r>
        <w:rPr>
          <w:rFonts w:ascii="Times New Roman" w:cs="Times New Roman" w:eastAsia="Times New Roman" w:hAnsi="Times New Roman"/>
          <w:sz w:val="18"/>
          <w:szCs w:val="18"/>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division or subsidiary, as applicable, without Executive’s consent.</w:t>
      </w:r>
    </w:p>
    <w:p>
      <w:pPr>
        <w:spacing w:after="0" w:line="18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Executive</w:t>
      </w:r>
      <w:r>
        <w:rPr>
          <w:rFonts w:ascii="Times New Roman" w:cs="Times New Roman" w:eastAsia="Times New Roman" w:hAnsi="Times New Roman"/>
          <w:sz w:val="18"/>
          <w:szCs w:val="18"/>
          <w:color w:val="auto"/>
        </w:rPr>
        <w:t xml:space="preserve">. Executive’s rights and obligations under this Agreement shall not be transferable by Executive by assignment or otherwise, without the prior written consent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180"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Except as otherwise set forth in Section 7(c) or Section 16(b)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17.       Waiver and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60" w:firstLine="1296"/>
        <w:spacing w:after="0" w:line="277" w:lineRule="auto"/>
        <w:rPr>
          <w:sz w:val="20"/>
          <w:szCs w:val="20"/>
          <w:color w:val="auto"/>
        </w:rPr>
      </w:pPr>
      <w:r>
        <w:rPr>
          <w:rFonts w:ascii="Times New Roman" w:cs="Times New Roman" w:eastAsia="Times New Roman" w:hAnsi="Times New Roman"/>
          <w:sz w:val="17"/>
          <w:szCs w:val="17"/>
          <w:color w:val="auto"/>
        </w:rPr>
        <w:t xml:space="preserve">Any waiver, alteration, amendment, or modification of any of the terms of this Agreement shall be valid only if made in writing and signed by each of the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such waiver, alteration, amendment, or modification must be consented to on the Company’s behalf by the Board. No waiver by either of the Parties of their rights hereunder shall be deemed to constitute a waiver with respect to any subsequent occurrences or transactions hereunder unless such waiver specifically states that it is to be construed as a continuing waiver. This Agreement will be binding upon and inure solely to the benefit of the Parties and each of their respective legal representatives, successors, heirs and assigns.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18.       Severability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b w:val="1"/>
          <w:bCs w:val="1"/>
          <w:color w:val="auto"/>
        </w:rPr>
        <w:t>Section 19.       Governing Law; Waiver of Jury Trial; Arbitration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THIS AGREEMENT IS GOVERNED BY AND IS TO BE CONSTRUED UNDER THE LAWS OF THE STATE OF CALIFORNIA, WITHOUT REGARD TO ANY CONFLICT OF LAWS RULE OR PRINCIPLE THAT WOULD RESULT IN THE APPLICATION OF THE LAWS OF ANY OTHER JURISDICTION. EACH PARTY TO THIS AGREEMENT ALSO HEREBY WAIVES ANY RIGHT TO TRIAL BY JURY IN CONNECTION WITH ANY SUIT, ACTION, OR PROCEEDING UNDER OR IN CONNECTION WITH THIS AGREEMENT. Except as permitted under Section 10 hereof, any controversy or claim arising out of or relating to this Agreement (or the breach thereof) shall be settled by final, binding and non-appealable arbitration in New York, New York by three arbitrators. The arbitration shall be conducted by JAMS pursuant to its Employment Arbitration Rules and Procedures and subject to JAMS Policy on Employment Arbitration in accordance with its Employment Arbitration Rules and Procedures then in effect. Judgment on the award rendered by the arbitrators may be entered in any court having jurisdiction thereof. The arbitrators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or permanent injunctive relief. Except as necessary in court proceedings to enforce this arbitration provision or an award rendered hereunder, to obtain interim relief or as otherwise required by law, neither a party nor an arbitrator may disclose the content or results of any arbitration hereunder without the prior written consent of the Company and Executive, other than general statements. The Company shall pay all filing fees in excess of those which would be required if the dispute were decided in a court of law, and shall pay the arbitrator’s fees and any other fees or costs unique to arbitration.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20.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296"/>
        <w:spacing w:after="0" w:line="27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Place of Delivery</w:t>
      </w:r>
      <w:r>
        <w:rPr>
          <w:rFonts w:ascii="Times New Roman" w:cs="Times New Roman" w:eastAsia="Times New Roman" w:hAnsi="Times New Roman"/>
          <w:sz w:val="17"/>
          <w:szCs w:val="17"/>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6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Date of Delivery</w:t>
      </w:r>
      <w:r>
        <w:rPr>
          <w:rFonts w:ascii="Times New Roman" w:cs="Times New Roman" w:eastAsia="Times New Roman" w:hAnsi="Times New Roman"/>
          <w:sz w:val="18"/>
          <w:szCs w:val="18"/>
          <w:color w:val="auto"/>
        </w:rPr>
        <w:t>. Any notice so addressed shall be deemed to be given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21.       Section Headings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b w:val="1"/>
          <w:bCs w:val="1"/>
          <w:color w:val="auto"/>
        </w:rPr>
        <w:t>Section 22.       Entire Agreement; 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Executive and any member of the Company Group relating to the subject matter of this Agreement. Except as modified by this Agreement (including, without limitation, Section 9(j) hereof), the Restrictive Covenant Agreement, the Incentive Profits Interest Unit Award Agreement by and between GIP III Zephyr Management Partners, L.P. and Executive dated August 31, 2018 and Executive’s participation in the Carry Program (such agreements and program collectively referred to herein as the “</w:t>
      </w:r>
      <w:r>
        <w:rPr>
          <w:rFonts w:ascii="Times New Roman" w:cs="Times New Roman" w:eastAsia="Times New Roman" w:hAnsi="Times New Roman"/>
          <w:sz w:val="18"/>
          <w:szCs w:val="18"/>
          <w:u w:val="single" w:color="auto"/>
          <w:color w:val="auto"/>
        </w:rPr>
        <w:t>Other Programs</w:t>
      </w:r>
      <w:r>
        <w:rPr>
          <w:rFonts w:ascii="Times New Roman" w:cs="Times New Roman" w:eastAsia="Times New Roman" w:hAnsi="Times New Roman"/>
          <w:sz w:val="18"/>
          <w:szCs w:val="18"/>
          <w:color w:val="auto"/>
        </w:rPr>
        <w:t>”), remain in effect in accordance with their terms. In the event of any conflict between the terms of this Agreement and the terms of the Other Programs or any other contract, the terms of this Agreement will control. Every part of this Agreement will be construed simply according to its fair meaning and not strictly for or against any Party.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23.         Indemnification and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In General</w:t>
      </w:r>
      <w:r>
        <w:rPr>
          <w:rFonts w:ascii="Times New Roman" w:cs="Times New Roman" w:eastAsia="Times New Roman" w:hAnsi="Times New Roman"/>
          <w:sz w:val="17"/>
          <w:szCs w:val="17"/>
          <w:color w:val="auto"/>
        </w:rPr>
        <w:t>. The Parties agree that (i) if Executive is made a party, or is threatened to be made a party, to any threatened or actual action, suit or proceeding, whether civil, criminal, administrative, investigative, appellate or other (each,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by reason of the fact that he is or was a director, officer, employee, agent, manager, consultant or representative of the Company or CWEN or is or was serving at the, request of the Company or CWEN as a director, officer, member, employee, agent, manager, consultant or representative of another entity or (ii) if any claim, demand, request, investigation, dispute, controversy, threat, discovery request or request for testimony or information (each,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is made, or threatened to be made, that arises out of or relates to Executive’s service in any of the foregoing capacities, then Executive shall promptly be indemnified and held harmless by the Company and CWEN to the fullest extent legally permitted or authorized by the Company’s and CWEN’s certificate of incorporation, bylaws or board resolutions (in each case, as applicable to the Company and CWEN) or, if greater,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Executive in connection therewith, and such indemnification shall continue as to Executive even if he has ceased to be a director, member, employee, agent, manager, consultant or representative of the Company or other entity and shall inure to the benefit of Executive’s heirs, executors and administrators. The Company shall advance to Executive all attorneys’ fees, costs and expenses incurred by him in connection with any such Proceeding or Claim within fifteen (15) calendar days after receiving written notice requesting such an advance. Such notice shall include, to the extent required by applicable law, an undertaking by Executive to repay the amount advanced if he is ultimately determined not to be entitled to indemnification against such costs and expenses. Executive shall have the right to select counsel of his choosing.</w:t>
      </w:r>
    </w:p>
    <w:p>
      <w:pPr>
        <w:spacing w:after="0" w:line="18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Neither the failure of the Company or CWEN (including its board, independent legal counsel or stockholders) to have made a determination in connection with any request for indemnification or advancement under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that Executive has satisfied any applicable standard of conduct nor a determination by the Company or CWEN (including its board, independent legal counsel or stockholders) that Executive has not met any applicable standard of conduct, shall create a presumption that Executive has or has not met an applicable standard of conduct.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7" w:name="page38"/>
    <w:bookmarkEnd w:id="37"/>
    <w:p>
      <w:pPr>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D&amp;O Insurance</w:t>
      </w:r>
      <w:r>
        <w:rPr>
          <w:rFonts w:ascii="Times New Roman" w:cs="Times New Roman" w:eastAsia="Times New Roman" w:hAnsi="Times New Roman"/>
          <w:sz w:val="18"/>
          <w:szCs w:val="18"/>
          <w:color w:val="auto"/>
        </w:rPr>
        <w:t>. For a period of seven (7) years after the conclusion of the Term of Employment, the Company and CWEN will maintain reasonable and customary directors’ and officers’ liability insurance for the benefit of Executive that provides coverage that is no less favorable to Executive than what is provided to active directors, managers and officers of the Company, CWEN and their respective affiliates (and without adverse effect to Executive based on the fact that he is no longer actively providing services to the Company Group).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24.       Survival of Operative Sections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Upon any termination of Executive’s employment, the provisions of Section 7 through Section 26 of this Agreement (together with any related definitions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shall survive to the extent necessary to give effect to the provisions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25.       Source of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Except as otherwise provided in Sections 4(c) and 23 of this Agreement, all compensation, benefits, reimbursements that are paid or provided to Executive hereunder shall be paid or provided at the Company’s sole expense without, direct or indirect, reimbursement, offset or other payment from CWEN.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26.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to be an original but all of which together shall constitute one and the same instrument. The execution of this Agreement may be by actual or facsimile signature.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to appear on the following page.]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date first above written.</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Jonathan Bram</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E. Stanley O’Neal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GIP III ZEPHYR MANAGEMENT PARTNERS,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(solely with respect to Sections 9(j) and 22)</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GIP III Zephyr GP,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Jonathan Bram</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GIP III ZEPHYR MIDCO HOLDINGS,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(solely with respect to Sections 9(j) and 22)</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Global Infrastructure Investors III, LLC, its general partner</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Jonathan Bram</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Craig Cornelius</w:t>
      </w: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Employment Agreement—Craig Cornelius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80"/>
          </w:cols>
          <w:pgMar w:left="1440" w:top="904" w:right="1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shall mean (i) all accrued but unpaid Base Salary through the date of termination of Executive’s employment, (ii) any unpaid or unreimbursed expenses incurred in accordance with Section 6 hereof, and (iii) any benefits provided under the Company’s employee benefit plans upon a termination of employment, including rights with respect to Company equity (or equity derivatives), in accordance with the terms contained therein.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shall have the meaning set forth in Section 4(b)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mean the salary provided for in Section 4(a).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governing body of the ultimate parent entity of the Company.</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shall mean any business activities related to the development or ownership of renewable power generation assets, or any other business activity that is materially competitive with the then current or demonstrably planned business activities of the Company Group.</w:t>
      </w:r>
    </w:p>
    <w:p>
      <w:pPr>
        <w:spacing w:after="0" w:line="162" w:lineRule="exact"/>
        <w:rPr>
          <w:sz w:val="20"/>
          <w:szCs w:val="20"/>
          <w:color w:val="auto"/>
        </w:rPr>
      </w:pPr>
    </w:p>
    <w:p>
      <w:pPr>
        <w:jc w:val="both"/>
        <w:ind w:right="380"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Business Relation</w:t>
      </w:r>
      <w:r>
        <w:rPr>
          <w:rFonts w:ascii="Times New Roman" w:cs="Times New Roman" w:eastAsia="Times New Roman" w:hAnsi="Times New Roman"/>
          <w:sz w:val="18"/>
          <w:szCs w:val="18"/>
          <w:color w:val="auto"/>
        </w:rPr>
        <w:t>” shall mean any current or prospective client, customer, licensee, supplier, or other business relation of the Company Group, or any such relation that was a client, customer, licensee or other business relation within the prior twelve (12) month period, in each case, with whom Executive transacted business or whose identity became known to Executive in connection with his employment hereunder.</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Executive’s act(s) of gross negligence or willful misconduct in the course of Executive’s employment hereunder, (ii) willful failure or refusal by Executive to perform in any material respect his duties or responsibilities (other than by reason of disability or illness), (iii) misappropriation (or attempted misappropriation) by Executive of any assets or business opportunities of the Company or any other member of the Company Group, (iv) embezzlement or fraud committed (or attempted) by Executive, or at his direction, (v) Executive’s conviction of, indictment for, or pleading “guilty” or “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and those otherwise set forth in the manuals or statements of policy of the Company, or (vii) Executive’s material breach of this Agreement.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Carry Program</w:t>
      </w:r>
      <w:r>
        <w:rPr>
          <w:rFonts w:ascii="Times New Roman" w:cs="Times New Roman" w:eastAsia="Times New Roman" w:hAnsi="Times New Roman"/>
          <w:sz w:val="18"/>
          <w:szCs w:val="18"/>
          <w:color w:val="auto"/>
        </w:rPr>
        <w:t>” shall have the meaning set forth in Section 9(j)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CEG Compensation Committee</w:t>
      </w:r>
      <w:r>
        <w:rPr>
          <w:rFonts w:ascii="Times New Roman" w:cs="Times New Roman" w:eastAsia="Times New Roman" w:hAnsi="Times New Roman"/>
          <w:sz w:val="18"/>
          <w:szCs w:val="18"/>
          <w:color w:val="auto"/>
        </w:rPr>
        <w:t>” shall mean the committee of the Board designated to make compensation decisions relating to senior executive officers of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shall have the meaning set forth in Section 23(a)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mean the Company together with any of its direct or indirect parents and subsidiaries, including CWEN and its direct and indirect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 shall have the meaning set forth in Section 9(f) hereof.</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information about the Company Group, the business of each member of the Company Group and the customers and clients of each such member and information that the Company Group has or will develop, acquire, create, compile, discover, or own, that has value in or to the business of the Company Group, or any member thereof, that is not generally known to the public, including, but not limited to, any and all non-public information that relates to the actual or anticipated business and/or products, research, or development of the Company Group, or any member thereof, and the Company Group’s, or any member’s thereof, technical data, trade secrets, and know-how, including, but not limited to, research, product plans, or other information regarding the Company Group’s products or services and markets, customer lists, and customers, software, developments, inventions, processes, formulas, technology, designs, drawings, engineering, hardware configuration information, marketing, finances, and other business information. Confidential Information shall not include an information generally known to and available to the public other than as a result of Executive’s breach of this Agreement. Additionally, for the avoidance of doubt, nothing in this Agreement shall prevent Executive from: (i) discussing or disclosing information about unlawful acts in the workplace, such as harassment or discrimination or any other conduct that Executive has reason to believe is unlawful, (ii) discussing or disclosing information with others regarding the terms and conditions of Executive’s employment (including, but not limited to, compensation), or (iii) reporting possible violations of law or regulation with any federal government agency or similar state or local agency, including but not limited to “whistleblower” statutes or other similar provisions that protect such disclosure.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CWEN Board</w:t>
      </w:r>
      <w:r>
        <w:rPr>
          <w:rFonts w:ascii="Times New Roman" w:cs="Times New Roman" w:eastAsia="Times New Roman" w:hAnsi="Times New Roman"/>
          <w:sz w:val="18"/>
          <w:szCs w:val="18"/>
          <w:color w:val="auto"/>
        </w:rPr>
        <w:t>” shall have the meaning set forth in Section 2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CWEN CEO</w:t>
      </w:r>
      <w:r>
        <w:rPr>
          <w:rFonts w:ascii="Times New Roman" w:cs="Times New Roman" w:eastAsia="Times New Roman" w:hAnsi="Times New Roman"/>
          <w:sz w:val="18"/>
          <w:szCs w:val="18"/>
          <w:color w:val="auto"/>
        </w:rPr>
        <w:t>” shall have the meaning set forth in Section 2 hereof.</w:t>
      </w:r>
    </w:p>
    <w:p>
      <w:pPr>
        <w:spacing w:after="0" w:line="225"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CWEN Compensation Committee</w:t>
      </w:r>
      <w:r>
        <w:rPr>
          <w:rFonts w:ascii="Times New Roman" w:cs="Times New Roman" w:eastAsia="Times New Roman" w:hAnsi="Times New Roman"/>
          <w:sz w:val="18"/>
          <w:szCs w:val="18"/>
          <w:color w:val="auto"/>
        </w:rPr>
        <w:t>” shall mean the committee of the CWEN Board designated to make compensation decisions relating to senior executive officers of CWEN.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CWEN LTIP</w:t>
      </w:r>
      <w:r>
        <w:rPr>
          <w:rFonts w:ascii="Times New Roman" w:cs="Times New Roman" w:eastAsia="Times New Roman" w:hAnsi="Times New Roman"/>
          <w:sz w:val="18"/>
          <w:szCs w:val="18"/>
          <w:color w:val="auto"/>
        </w:rPr>
        <w:t>” shall have the meaning set forth in Section 4(c)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shall have the meaning set forth in Section 15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shall have the meaning set forth in Section 9(c) hereof.</w:t>
      </w:r>
    </w:p>
    <w:p>
      <w:pPr>
        <w:spacing w:after="0" w:line="225"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any physical or mental disability or infirmity of Executive that prevents the performance of Executive’s duties, with or without reasonable accommodation, for a period of (i) ninety (90) consecutive days or (ii) one hundred twenty (120) non-consecutive days during any twelve (12) month period. Any question as to the existence, extent, or potentiality of Executive’s Disability upon which Executive and the Company cannot agree shall be determined by a qualified, independent physician selected by the Company and approved by Executive (which approval shall not be unreasonably withheld, delayed or conditioned). The determination of any such physician shall be final and conclusive for all purposes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shall have the meaning set forth in Section 8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GIP Performance Record</w:t>
      </w:r>
      <w:r>
        <w:rPr>
          <w:rFonts w:ascii="Times New Roman" w:cs="Times New Roman" w:eastAsia="Times New Roman" w:hAnsi="Times New Roman"/>
          <w:sz w:val="18"/>
          <w:szCs w:val="18"/>
          <w:color w:val="auto"/>
        </w:rPr>
        <w:t>” shall have the meaning set forth in Section 11 hereof.</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(bb)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without Executive’s consent, (i) a material demotion in Executive’s title, duties, or responsibilities as set forth in Section 3 hereof, including a change in reporting relationship to the Board, (ii) a material reduction in Base Salary set forth in</w:t>
      </w:r>
    </w:p>
    <w:p>
      <w:pPr>
        <w:ind w:right="120"/>
        <w:spacing w:after="0" w:line="265" w:lineRule="auto"/>
        <w:rPr>
          <w:sz w:val="20"/>
          <w:szCs w:val="20"/>
          <w:color w:val="auto"/>
        </w:rPr>
      </w:pPr>
      <w:r>
        <w:rPr>
          <w:rFonts w:ascii="Times New Roman" w:cs="Times New Roman" w:eastAsia="Times New Roman" w:hAnsi="Times New Roman"/>
          <w:sz w:val="17"/>
          <w:szCs w:val="17"/>
          <w:color w:val="auto"/>
        </w:rPr>
        <w:t>Section 4(a) hereof or Target Annual Bonus opportunity set forth in Section 4(b) hereof (other than pursuant to an across-the-board reduction applicable to all similarly situated executives), (iii) the relocation of Executive’s principal place of employment (as provided in Section 3(c) hereof) more than twenty</w:t>
      </w:r>
    </w:p>
    <w:p>
      <w:pPr>
        <w:ind w:right="60" w:firstLine="8"/>
        <w:spacing w:after="0" w:line="252" w:lineRule="auto"/>
        <w:tabs>
          <w:tab w:leader="none" w:pos="3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miles from its current location, or (iv) any other material breach of a provision of this Agreement by the Company (other than a provision that is covered by clause (i), (ii), or (iii) above). Executive acknowledges and agrees that his exclusive remedy in the event of any breach of this Agreement shall be to assert Good Reason pursuant to the terms and conditions of Section 7(f) hereof. Notwithstanding the foregoing, during the Term of Employment, in the event that the Board reasonably believes that Executive may have engaged in conduct that could constitute Cause hereunder, the Board may, in its sole and absolute discretion, suspend Executive from performing his duties hereunder, and in no event shall any such suspension constitute an event pursuant to which Executive may terminate employment with Good Reason or otherwise constitute a breach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suspension shall alter the Company’s obligations under this Agreement during such period of suspension.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have the meaning set forth in Section 9(b) hereof.</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Interfering Activities</w:t>
      </w:r>
      <w:r>
        <w:rPr>
          <w:rFonts w:ascii="Times New Roman" w:cs="Times New Roman" w:eastAsia="Times New Roman" w:hAnsi="Times New Roman"/>
          <w:sz w:val="18"/>
          <w:szCs w:val="18"/>
          <w:color w:val="auto"/>
        </w:rPr>
        <w:t>” shall mean 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means NRG Energy Inc. and its subsidiaries and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shall have the meaning set forth in Section 9(j)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Other Programs</w:t>
      </w:r>
      <w:r>
        <w:rPr>
          <w:rFonts w:ascii="Times New Roman" w:cs="Times New Roman" w:eastAsia="Times New Roman" w:hAnsi="Times New Roman"/>
          <w:sz w:val="18"/>
          <w:szCs w:val="18"/>
          <w:color w:val="auto"/>
        </w:rPr>
        <w:t>” shall have the meaning set forth in Section 22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Parachute Payments</w:t>
      </w:r>
      <w:r>
        <w:rPr>
          <w:rFonts w:ascii="Times New Roman" w:cs="Times New Roman" w:eastAsia="Times New Roman" w:hAnsi="Times New Roman"/>
          <w:sz w:val="18"/>
          <w:szCs w:val="18"/>
          <w:color w:val="auto"/>
        </w:rPr>
        <w:t>” shall have the meaning set forth in Section 8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limited liability company, joint venture, association, joint-stock company, trust (charitable or non- charitable), unincorporated organization, or other form of business entity.</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Post-Termination Restricted Period</w:t>
      </w:r>
      <w:r>
        <w:rPr>
          <w:rFonts w:ascii="Times New Roman" w:cs="Times New Roman" w:eastAsia="Times New Roman" w:hAnsi="Times New Roman"/>
          <w:sz w:val="18"/>
          <w:szCs w:val="18"/>
          <w:color w:val="auto"/>
        </w:rPr>
        <w:t>” shall mean the period commencing on Executive’s termination of employment for any reason and ending on the twelve (12)-month anniversary of such date of termination.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have the meaning set forth in Section 23(a)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shall have the meaning set forth in Section 5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 shall have the meaning set forth in the Release of Claims.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shall mean the Release of Claims in substantially the same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the same may be revised from time to time by the Company upon the advice of counsel to comply with applicable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shall have the meaning set forth in Section 7(h) hereof.</w:t>
      </w:r>
    </w:p>
    <w:p>
      <w:pPr>
        <w:spacing w:after="0" w:line="225"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Severance Term</w:t>
      </w:r>
      <w:r>
        <w:rPr>
          <w:rFonts w:ascii="Times New Roman" w:cs="Times New Roman" w:eastAsia="Times New Roman" w:hAnsi="Times New Roman"/>
          <w:sz w:val="18"/>
          <w:szCs w:val="18"/>
          <w:color w:val="auto"/>
        </w:rPr>
        <w:t>” shall mean the twelve (12) month period following Executive’s termination by the Company without Cause (other than by reason of Disability) or by Executive with Good Reason.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shall have the meaning set forth in Section 4(b)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Target LTIP Award</w:t>
      </w:r>
      <w:r>
        <w:rPr>
          <w:rFonts w:ascii="Times New Roman" w:cs="Times New Roman" w:eastAsia="Times New Roman" w:hAnsi="Times New Roman"/>
          <w:sz w:val="18"/>
          <w:szCs w:val="18"/>
          <w:color w:val="auto"/>
        </w:rPr>
        <w:t>” shall have the meaning set forth in Section 4(c)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shall mean the period specified in Section 2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Track Record</w:t>
      </w:r>
      <w:r>
        <w:rPr>
          <w:rFonts w:ascii="Times New Roman" w:cs="Times New Roman" w:eastAsia="Times New Roman" w:hAnsi="Times New Roman"/>
          <w:sz w:val="18"/>
          <w:szCs w:val="18"/>
          <w:color w:val="auto"/>
        </w:rPr>
        <w:t>” shall have the meaning set forth in Section 11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Transition Date</w:t>
      </w:r>
      <w:r>
        <w:rPr>
          <w:rFonts w:ascii="Times New Roman" w:cs="Times New Roman" w:eastAsia="Times New Roman" w:hAnsi="Times New Roman"/>
          <w:sz w:val="18"/>
          <w:szCs w:val="18"/>
          <w:color w:val="auto"/>
        </w:rPr>
        <w:t>” shall mean the period specified in Section 2 hereof.</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Release of Claims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and in consideration of the Severance Benefits (as defined in my Amended and Restated Employment Agreement,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2024, with Clearway Energy Group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other good and valuable consideration, I, Craig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Cornelius for and on behalf of myself and my heirs, administrators, executors, and assigns, effective the date on which this Release of Claims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becomes effective pursuant to its terms, do fully and forever release, remise, and discharge each of the Company and each of its direct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subsidiaries, direct and indirect parent entities, and affiliates, together with their respective officers, directors, partners, members,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assigns, and agents (collectively,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from any and all claims whatsoever, both known or unknown, up to the date hereof that I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have had, or now have against the Group, for or by reason of any matter, cause, or thing whatsoever, including, without limitation, any claim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or attributable to my employment or the termination of my employment with the Company or services for the other members of the Group,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tort, breach of express or implied employment contract, intentional infliction of emotional distress, wrongful termination, unjust dismissal, defamation,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libel, or slander, or under any federal, state, or local law dealing with discrimination or harassment based on age, race, sex, national origin, handicap,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religion, disability, or sexual orientation. This release of claims includes, but is not limited to, all claims arising under, each as amended, the 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Title VII of the Civil Rights Act, the Americans with Disabilities Act, the Civil Rights Act of 1991,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Family Medical Leave Act, and the Equal Pay Act, the California Labor Code, the California Fair Employment and Housing Act, the California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General Act, the California Business and Professions Code, the California Civil Code, the California Family Rights Act, the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Code, the Orders of the California Industrial Welfare Commission, and all other federal, state, and local laws, the common law,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purported restriction on an employer’s right to terminate the employment of employees. The release contained herein is intended to be a general release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 all claims to the fullest extent permissible by law. As used in this Release, the term “claims” will include all claims, covenants,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promises, undertakings, actions, suits, causes of action, obligations, debts, accounts, attorneys’ fees, judgments, losses, and liabilities, of whatsoever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nature, in law, in equity, or otherwise. The claims referenced above are hereafter referred to as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foregoing general release, I understand that nothing in this Release is intended to unlawfully release or waive any of my rights under any laws or to prevent, impede, or interfere with my ability or right to testify in court under subpoena or court order regarding sexual harassment or criminal conduct by the Company or any of its direct and indirect subsidiaries and affiliates or their agents or employees, or before a state legislature in those regards if my testimony is requested by the legislature.</w:t>
      </w:r>
    </w:p>
    <w:p>
      <w:pPr>
        <w:spacing w:after="0" w:line="180"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Nothing in this Release prevents me from discussing or disclosing information about unlawful acts in the workplace, such as harassment or discrimination or any other conduct that I have reason to believe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4" w:name="page45"/>
    <w:bookmarkEnd w:id="44"/>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Moreover, nothing in this Release prevents the disclosure of factual information relating to claims of sexual assault, sexual harassment, harassment or discrimination, failure to prevent harassment or discrimination, or retaliation against a person for reporting an act of harassment or discrimination, as those claims are defined under the California Fair Employment and Housing Act, to the extent the claims are filed in a civil or administrative action and to the extent such disclosures are protected by law.</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acknowledge that this Release is a “negotiated” severance agreement as defined under Government Code 12964.5(d)(2).</w:t>
      </w:r>
    </w:p>
    <w:p>
      <w:pPr>
        <w:spacing w:after="0" w:line="225"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I acknowledge and agree that as of the date I execute this Release, I have no knowledge of any facts or circumstances that give rise or could give rise to any Claims, including any Claims under any of the laws listed in the preceding paragraph.</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By executing this Release, I specifically release all Claims relating to my employment and its termination under ADEA, a United States federal statute that, among other things, prohibits discrimination on the basis of age in employment and employee benefit plans.</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 provision of this Release to the contrary, by executing this Release, I am not releasing (i) any claims relating to my rights under Section 7 or Section 11 of the Employment Agreement, (ii) any claims that cannot be waived by law, or (iii) my right of indemnification as provided by, and in accordance with the terms of, the Company’s by-laws or a Company insurance policy providing such coverage, as any of such may be amended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expressly acknowledge and agree that I –</w:t>
      </w:r>
    </w:p>
    <w:p>
      <w:pPr>
        <w:spacing w:after="0" w:line="225" w:lineRule="exact"/>
        <w:rPr>
          <w:sz w:val="20"/>
          <w:szCs w:val="20"/>
          <w:color w:val="auto"/>
        </w:rPr>
      </w:pPr>
    </w:p>
    <w:p>
      <w:pPr>
        <w:ind w:left="13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am able to read the language, and understand the meaning and effect, of this Release;</w:t>
      </w:r>
    </w:p>
    <w:p>
      <w:pPr>
        <w:spacing w:after="0" w:line="225" w:lineRule="exact"/>
        <w:rPr>
          <w:sz w:val="20"/>
          <w:szCs w:val="20"/>
          <w:color w:val="auto"/>
        </w:rPr>
      </w:pPr>
    </w:p>
    <w:p>
      <w:pPr>
        <w:jc w:val="both"/>
        <w:ind w:left="660" w:right="140" w:firstLine="648"/>
        <w:spacing w:after="0" w:line="312" w:lineRule="auto"/>
        <w:rPr>
          <w:sz w:val="20"/>
          <w:szCs w:val="20"/>
          <w:color w:val="auto"/>
        </w:rPr>
      </w:pP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have no physical or mental impairment of any kind that has interfered with my ability to read and understand the meaning of this</w:t>
      </w:r>
      <w:r>
        <w:rPr>
          <w:rFonts w:ascii="Wingdings" w:cs="Wingdings" w:eastAsia="Wingdings" w:hAnsi="Wingdings"/>
          <w:sz w:val="17"/>
          <w:szCs w:val="17"/>
          <w:b w:val="1"/>
          <w:bCs w:val="1"/>
          <w:color w:val="auto"/>
        </w:rPr>
        <w:t xml:space="preserve"> </w:t>
      </w:r>
      <w:r>
        <w:rPr>
          <w:rFonts w:ascii="Times New Roman" w:cs="Times New Roman" w:eastAsia="Times New Roman" w:hAnsi="Times New Roman"/>
          <w:sz w:val="17"/>
          <w:szCs w:val="17"/>
          <w:color w:val="auto"/>
        </w:rPr>
        <w:t>Release or its terms, and that I am not acting under the influence of any medication, drug, or chemical of any type in entering into this Release;</w:t>
      </w:r>
    </w:p>
    <w:p>
      <w:pPr>
        <w:spacing w:after="0" w:line="140" w:lineRule="exact"/>
        <w:rPr>
          <w:sz w:val="20"/>
          <w:szCs w:val="20"/>
          <w:color w:val="auto"/>
        </w:rPr>
      </w:pPr>
    </w:p>
    <w:p>
      <w:pPr>
        <w:ind w:left="660" w:right="240" w:firstLine="648"/>
        <w:spacing w:after="0" w:line="266" w:lineRule="auto"/>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am specifically agreeing to the terms of the release contained in this Release because the Company has agreed to pay me the</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Severance Benefits in consideration for my agreement to accept it in full settlement of all Claims I might have or ever had, and because of my execution of this Release;</w:t>
      </w:r>
    </w:p>
    <w:p>
      <w:pPr>
        <w:spacing w:after="0" w:line="176" w:lineRule="exact"/>
        <w:rPr>
          <w:sz w:val="20"/>
          <w:szCs w:val="20"/>
          <w:color w:val="auto"/>
        </w:rPr>
      </w:pPr>
    </w:p>
    <w:p>
      <w:pPr>
        <w:ind w:left="13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acknowledge that, but for my execution of this Release, I would not be entitled to the Severance Benefits;</w:t>
      </w:r>
    </w:p>
    <w:p>
      <w:pPr>
        <w:spacing w:after="0" w:line="225" w:lineRule="exact"/>
        <w:rPr>
          <w:sz w:val="20"/>
          <w:szCs w:val="20"/>
          <w:color w:val="auto"/>
        </w:rPr>
      </w:pPr>
    </w:p>
    <w:p>
      <w:pPr>
        <w:ind w:left="660" w:right="120" w:firstLine="648"/>
        <w:spacing w:after="0" w:line="282" w:lineRule="auto"/>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understand that, by entering into this Release, I do not waive rights or Claims under ADEA that may arise after the date I execute</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this Release;</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5" w:name="page46"/>
    <w:bookmarkEnd w:id="45"/>
    <w:p>
      <w:pPr>
        <w:jc w:val="both"/>
        <w:ind w:left="660" w:right="240" w:firstLine="648"/>
        <w:spacing w:after="0" w:line="225" w:lineRule="auto"/>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had or could have [twenty-one (21)][forty-five (45)]</w:t>
      </w:r>
      <w:r>
        <w:rPr>
          <w:rFonts w:ascii="Times New Roman" w:cs="Times New Roman" w:eastAsia="Times New Roman" w:hAnsi="Times New Roman"/>
          <w:sz w:val="29"/>
          <w:szCs w:val="29"/>
          <w:color w:val="auto"/>
          <w:vertAlign w:val="superscript"/>
        </w:rPr>
        <w:t>1</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days in which to review and consider this Release (the end of such review</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period, the “</w:t>
      </w:r>
      <w:r>
        <w:rPr>
          <w:rFonts w:ascii="Times New Roman" w:cs="Times New Roman" w:eastAsia="Times New Roman" w:hAnsi="Times New Roman"/>
          <w:sz w:val="18"/>
          <w:szCs w:val="18"/>
          <w:u w:val="single" w:color="auto"/>
          <w:color w:val="auto"/>
        </w:rPr>
        <w:t>Release Expiration Date</w:t>
      </w:r>
      <w:r>
        <w:rPr>
          <w:rFonts w:ascii="Times New Roman" w:cs="Times New Roman" w:eastAsia="Times New Roman" w:hAnsi="Times New Roman"/>
          <w:sz w:val="18"/>
          <w:szCs w:val="18"/>
          <w:color w:val="auto"/>
        </w:rPr>
        <w:t>”), and that if I execute this Release prior to the Release Expiration Date, I have voluntarily and knowingly waived the remainder of such review period;</w:t>
      </w:r>
    </w:p>
    <w:p>
      <w:pPr>
        <w:spacing w:after="0" w:line="200" w:lineRule="exact"/>
        <w:rPr>
          <w:sz w:val="20"/>
          <w:szCs w:val="20"/>
          <w:color w:val="auto"/>
        </w:rPr>
      </w:pPr>
    </w:p>
    <w:p>
      <w:pPr>
        <w:ind w:left="660" w:right="540" w:firstLine="648"/>
        <w:spacing w:after="0" w:line="282" w:lineRule="auto"/>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have not relied upon any representation or statement not set forth in this Release or my Employment Agreement made by the</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Company or any of its representatives;</w:t>
      </w:r>
    </w:p>
    <w:p>
      <w:pPr>
        <w:spacing w:after="0" w:line="162" w:lineRule="exact"/>
        <w:rPr>
          <w:sz w:val="20"/>
          <w:szCs w:val="20"/>
          <w:color w:val="auto"/>
        </w:rPr>
      </w:pPr>
    </w:p>
    <w:p>
      <w:pPr>
        <w:ind w:left="13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was advised to consult with an attorney regarding the terms and effect of this Release; and</w:t>
      </w:r>
    </w:p>
    <w:p>
      <w:pPr>
        <w:spacing w:after="0" w:line="225" w:lineRule="exact"/>
        <w:rPr>
          <w:sz w:val="20"/>
          <w:szCs w:val="20"/>
          <w:color w:val="auto"/>
        </w:rPr>
      </w:pPr>
    </w:p>
    <w:p>
      <w:pPr>
        <w:ind w:left="13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have signed this Release knowingly and voluntarily.</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I specifically waive all rights under California Civil Code Section 1542, which states,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I acknowledge that I may later discover claims or facts in addition to or different from those which I now know or believe to exist with regards to the subject matter of this Release, and which, if known or suspected at the time of executing this Release, may have materially affected its terms. Nevertheless, I waive any and all Claims that might arise as a result of such different or additional claims or facts.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represent and warrant that I have not previously filed, and to the maximum extent permitted by law agree that I will not file,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complaint, charge, or lawsuit against any member of the Group regarding any of the Claims released herein. If, notwithstanding this representation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warranty, I have filed or file such a complaint, charge, or lawsuit, I agree that I shall cause such complaint, charge, or lawsuit to be dismissed with prejudice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pay any and all costs required in obtaining dismissal of such complaint, charge, or lawsuit, including without limitation the attorneys’ fees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Group against whom I have filed such a complaint, charge, or lawsuit. This paragraph shall not apply, however, to a Claim of 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discrimination under ADEA or to any non-waivable right to file a charge with the United States Equal Employment Opportunity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EEOC were to pursue any claims relating to my employment with Company, I agree that I shall not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 any monetary damages or any other remedies or benefits as a result and that this Release and the Severance Benefits will control as the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 and full settlement of all such Claims by me.</w:t>
      </w:r>
    </w:p>
    <w:p>
      <w:pPr>
        <w:spacing w:after="0" w:line="20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Nothing in this Release shall prohibit or impede me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communications and disclosures are consistent with applicable law. I understand and acknowledge that an individual shall not be held criminally or civilly liable under any federal or state trade secret law for the disclosure of a trade secret that is made (1) in confidence to a federal, state, or local government official or to an attorney solely for the purpose of reporting or investigating a suspected violation of law, or (2) in a complaint or other document filed in a lawsuit or other proceeding, if such filing is made under seal. I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am I authorized to disclose any information covered by the Company’s attorney-client privilege or attorney work product, or the Company’s trade secrets, without the prior written consent of the Company’s General Counsel or other officer designated by the Company. I do not need the prior authorization of (or to give notice to) any member of the Company Group regarding any communication, disclosure, or activity permitted by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3" w:lineRule="exact"/>
        <w:rPr>
          <w:sz w:val="20"/>
          <w:szCs w:val="20"/>
          <w:color w:val="auto"/>
        </w:rPr>
      </w:pPr>
    </w:p>
    <w:p>
      <w:pPr>
        <w:ind w:right="300" w:firstLine="8"/>
        <w:spacing w:after="0" w:line="195" w:lineRule="auto"/>
        <w:tabs>
          <w:tab w:leader="none" w:pos="1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selected based on whether applicable termination was “in connection with an exit incentive or other employment termination program” (as such phrase is defined in the Age Discrimination in Employment Act of 1967).</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right="20" w:firstLine="1296"/>
        <w:spacing w:after="0" w:line="272" w:lineRule="auto"/>
        <w:rPr>
          <w:sz w:val="20"/>
          <w:szCs w:val="20"/>
          <w:color w:val="auto"/>
        </w:rPr>
      </w:pPr>
      <w:r>
        <w:rPr>
          <w:rFonts w:ascii="Times New Roman" w:cs="Times New Roman" w:eastAsia="Times New Roman" w:hAnsi="Times New Roman"/>
          <w:sz w:val="17"/>
          <w:szCs w:val="17"/>
          <w:color w:val="auto"/>
        </w:rPr>
        <w:t>Notwithstanding anything contained herein to the contrary, this Release will not become effective or enforceable prior to the expiration of the period of seven (7) calendar days following the date of its execution by me (the “</w:t>
      </w:r>
      <w:r>
        <w:rPr>
          <w:rFonts w:ascii="Times New Roman" w:cs="Times New Roman" w:eastAsia="Times New Roman" w:hAnsi="Times New Roman"/>
          <w:sz w:val="17"/>
          <w:szCs w:val="17"/>
          <w:u w:val="single" w:color="auto"/>
          <w:color w:val="auto"/>
        </w:rPr>
        <w:t>Revocation Period</w:t>
      </w:r>
      <w:r>
        <w:rPr>
          <w:rFonts w:ascii="Times New Roman" w:cs="Times New Roman" w:eastAsia="Times New Roman" w:hAnsi="Times New Roman"/>
          <w:sz w:val="17"/>
          <w:szCs w:val="17"/>
          <w:color w:val="auto"/>
        </w:rPr>
        <w:t>”), during which time I may revoke my acceptance of this Release by notifying the Company and the Board, in writing, delivered to the Company at its principal executive office, marked for the attention of</w:t>
      </w:r>
    </w:p>
    <w:p>
      <w:pPr>
        <w:spacing w:after="0" w:line="2"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its General Counsel and Lead Director. To be effective, such revocation must be received by the Company no later than 11:59 p.m. on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calendar day following the execution of this Release. Provided that the Release is executed and I do not revoke it during the Revocation Period, the eighth</w:t>
      </w:r>
    </w:p>
    <w:p>
      <w:pPr>
        <w:spacing w:after="0" w:line="221" w:lineRule="auto"/>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date on which this Release is executed shall be its effective date (the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 I acknowledge and agree that if I revoke this Release during the Revocation Period, this Release will be null and void and of no effect, and neither the Company nor any other member of the Company Group will have any obligations to pay me the Severance Benefits.</w:t>
      </w:r>
    </w:p>
    <w:p>
      <w:pPr>
        <w:spacing w:after="0" w:line="198"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180"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EXCEPT WHERE PREEMPTED BY FEDERAL LAW, THIS RELEASE SHALL BE GOVERNED BY AND CONSTRUED IN ACCORDANCE WITH FEDERAL LAW AND THE LAWS OF THE STATE OF CALIFORNIA, APPLICABLE TO AGREEMENTS MADE AND TO BE PERFORMED IN THAT STATE WITHOUT GIVING EFFECT TO THE PRINCIPLES OF CONFLICTS OF LAWS. I HEREBY WAIVE ANY RIGHT TO TRIAL BY JURY IN CONNECTION WITH ANY SUIT, ACTION, OR PROCEEDING UNDER OR IN CONNECTION WITH THIS RELEASE.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8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such terms in the Employment Agreement.</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California Labor Code Sections 2870, 2871 and 2872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2870</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            Relate at the time of conception or reduction to practice of the invention to the employer’s business, or actual or demonstrably anticipated research or development of the employer; 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Result from any work performed by the employee for the employer.</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2871</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2872</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Forms of Award Agreement for initial RSU and RPSU Awards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0" w:name="page51"/>
    <w:bookmarkEnd w:id="5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RESTRICTED STOCK UNIT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CRAIG CORNELIUS</w:t>
      </w:r>
    </w:p>
    <w:p>
      <w:pPr>
        <w:spacing w:after="0" w:line="23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Congratulations on your selection as a Participant under the Clearway Energy, Inc. Amended and Restated 2013 Equity Incentive Plan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You have been chosen to receive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Plan. This Notice of Restricted Stock Unit Grant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the attached Restricted Stock Unit Agreement (collectively referred to as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 an agreement between you and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Section 8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in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are hereby granted as follows to Craig Cornelius: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July 1, 2024</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3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Date of Grant</w:t>
            </w:r>
          </w:p>
        </w:tc>
      </w:tr>
      <w:tr>
        <w:trPr>
          <w:trHeight w:val="39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w:t>
            </w:r>
          </w:p>
        </w:tc>
        <w:tc>
          <w:tcPr>
            <w:tcW w:w="3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8"/>
              </w:rPr>
              <w:t>Please refer to Section 2 of this Agreement</w:t>
            </w:r>
          </w:p>
        </w:tc>
      </w:tr>
      <w:tr>
        <w:trPr>
          <w:trHeight w:val="45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RSUs:</w:t>
            </w:r>
          </w:p>
        </w:tc>
        <w:tc>
          <w:tcPr>
            <w:tcW w:w="16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if your employment by, or service to, the Company or an Affiliate thereof is terminated at any time during the Vesting Period, any unvested portion of this Award shall expire and be forfeited, and you will not be entitled to any Class C Common Stock underlying the RSUs or any dividend equivalents that may have accrued with respect thereto.</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you disagree with any of the terms of this Award or choose not to accept this Award, please contact Shannon Reznick at 281-906-0827 within 45 days of the Date of Grant. Otherwise, you will be deemed to have accepted this Award under the terms and conditions set forth in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5"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amended and restated on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Restricted Stock Unit Agreement, dated as of the Date of Grant set forth in the Notice of Restricted Stock Unit Grant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together with this Restricted Stock Unit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which this Agreement is attached, is made between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Participant, as set forth in the Grant Notice. The Grant Notice is included in, and made part of, this Agreement.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Grant of RSUs</w:t>
      </w:r>
    </w:p>
    <w:p>
      <w:pPr>
        <w:spacing w:after="0" w:line="229"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this Agreement and the provisions of the Clearway Energy, Inc. Amended and Restated 2013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 hereby grants to the Participant the number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in the Grant Notice, each of which will have a value equivalent to one (1) share of the Company’s Class C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Vesting Schedule</w:t>
      </w:r>
    </w:p>
    <w:p>
      <w:pPr>
        <w:spacing w:after="0" w:line="229"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Provided that you have been continuously employed by the Company or its Affiliate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Conversion of RSUs and Issuance of Shares</w:t>
      </w:r>
    </w:p>
    <w:p>
      <w:pPr>
        <w:spacing w:after="0" w:line="22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 xml:space="preserve">As soon as reasonably practicable following vesting of the RSUs contemplated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but in no event later than sixty (60) days thereafter, subject to satisfaction of applicable tax withholding obligations in accordance with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 xml:space="preserve">, the Company shall cause to be paid to the Participant one (1) share of the Company’s Class C Common Stock for each RSU that vests on such vesting date. Notwithstanding the foregoing, if the Participant incurs a Termination of Service as described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under circumstances where accelerated vesting (in whole or in part) of the Award applies, then such payment shall be made within sixty (60) days after the vesting date described in the applicable subsection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subject to the following paragraph and satisfaction of applicable tax withholding obligations in accordance with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40" w:right="60"/>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the foregoing provisions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to the contrary, if at the time of the Participant’s “separation from service” within the meaning of Code Section 409A, the Participant is a “specified employee” within the meaning of Code Section 409A, then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w:t>
      </w:r>
    </w:p>
    <w:p>
      <w:pPr>
        <w:spacing w:after="0" w:line="3" w:lineRule="exact"/>
        <w:rPr>
          <w:sz w:val="20"/>
          <w:szCs w:val="20"/>
          <w:color w:val="auto"/>
        </w:rPr>
      </w:pPr>
    </w:p>
    <w:p>
      <w:pPr>
        <w:ind w:left="5580" w:right="4460" w:hanging="5248"/>
        <w:spacing w:after="0" w:line="761" w:lineRule="auto"/>
        <w:tabs>
          <w:tab w:leader="none" w:pos="5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such separation from service and (b) the date of the Participant’s death.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4. Dividend Equivalent Rights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Cash dividends on shares of Class C Common Stock issuable hereunder shall be credited to a dividend book entry account on behalf of the Participant with respect to the RSUs granted hereunder; provided that such cash dividends shall be deemed to be reinvested in shares of Class C Common Stock immediately following the time declared at the then Fair Market Value of the Class C Common Stock. Such reinvested cash dividends shall be recorded for book entry purposes as additional RSUs that are subject to this Award, the number of which shall correlate to the number of deemed shares of Class C Common Stock described in the preceding sentence. Such additional RSUs shall vest and be paid to the same extent and at the same times that the Class C Common Stock underlying the RSUs vest and are delivered to the Participant in accordance with the provisions hereof. Subject to Section 20 of the Plan, stock dividends on shares of Class C Common Stock issuable hereunder shall be credited to a dividend book entry account as additional RSUs on behalf of the Participant with respect to the RSUs granted hereunder; provided that such additional RSUs shall vest and be paid to the same extent and at the same times that the shares of Class C Common Stock underlying the RSUs vest and are delivered to the Participant in accordance with the provisions hereof. Notwithstanding the foregoing, in the event that there are insufficient shares of Class C Common Stock available in the Plan to settle the accrued dividend book entry account in shares of Class C Common Stock, such accrued book entry account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the RSUs granted hereunder unless and until the Participant has become the holder of record of such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Transfer of RSUs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permitted by the Committee or Section 16 of the Plan, no award or right granted hereunder may be sold, transferred, pledged, assigned or otherwise alienated or hypothecated, other than pursuant to a will or the laws of descent and distribution. Any attempted disposition in violation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Section 16 of the Plan shall be void.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Status of Participant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Participant shall not be, and, except as otherwise provided herein, shall not have rights as, a stockholder of the Company with respect to any of the shares of Class C Common Stock subject to, or underlying, this Award, unless such shares have been issued and delivered to the Participant pursuant to the terms of this Agreement. The Company shall not be required to issue or transfer any certificates for shares of Class C Common Stock, unless such shares are duly listed on a securities exchange on which the Class C Common Stock may then be listed and until all applicable requirements of law have been complied with.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 Effect on Capital Structure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18"/>
          <w:szCs w:val="18"/>
          <w:b w:val="1"/>
          <w:bCs w:val="1"/>
          <w:color w:val="auto"/>
        </w:rPr>
        <w:t>8. Expiration and Forfeiture of Award</w:t>
      </w:r>
    </w:p>
    <w:p>
      <w:pPr>
        <w:spacing w:after="0" w:line="229" w:lineRule="exact"/>
        <w:rPr>
          <w:sz w:val="20"/>
          <w:szCs w:val="20"/>
          <w:color w:val="auto"/>
        </w:rPr>
      </w:pPr>
    </w:p>
    <w:p>
      <w:pPr>
        <w:ind w:left="8" w:right="580"/>
        <w:spacing w:after="0" w:line="282" w:lineRule="auto"/>
        <w:rPr>
          <w:sz w:val="20"/>
          <w:szCs w:val="20"/>
          <w:color w:val="auto"/>
        </w:rPr>
      </w:pPr>
      <w:r>
        <w:rPr>
          <w:rFonts w:ascii="Times New Roman" w:cs="Times New Roman" w:eastAsia="Times New Roman" w:hAnsi="Times New Roman"/>
          <w:sz w:val="18"/>
          <w:szCs w:val="18"/>
          <w:color w:val="auto"/>
        </w:rPr>
        <w:t xml:space="preserve">This Award shall vest and be paid, as applicable and/or expire in the circumstances described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means termination of a Participant’s employment by, or service to, the Company, including any of its Affiliates.</w:t>
      </w:r>
    </w:p>
    <w:p>
      <w:pPr>
        <w:spacing w:after="0" w:line="158" w:lineRule="exact"/>
        <w:rPr>
          <w:sz w:val="20"/>
          <w:szCs w:val="20"/>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Death</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1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Upon a Termination of Service by reason of the Participant’s death, the unvested portion of the Award shall vest in full automatically and be paid to the Participant's legal representatives, heirs, legatees, or distributees in accordance with the second sentence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Retirement</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4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Upon a Termination of Service as a result of the Participant terminating his or her employment due to Retirement, the unvested portion of the Award shall be deemed to continue to vest according to the vesting schedule described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shall be paid to the Participant in accordance with the first sentence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provided that such Retirement occurs (i) more than twelve (12) months following the Date of Grant and (ii) at a time when the Participant is not being evaluated by the Company or an Affiliate thereof in connection with any potential involuntary Termination of Service due to Cause.</w:t>
      </w:r>
    </w:p>
    <w:p>
      <w:pPr>
        <w:spacing w:after="0" w:line="179"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Disability</w:t>
      </w:r>
    </w:p>
    <w:p>
      <w:pPr>
        <w:spacing w:after="0" w:line="229" w:lineRule="exact"/>
        <w:rPr>
          <w:rFonts w:ascii="Times New Roman" w:cs="Times New Roman" w:eastAsia="Times New Roman" w:hAnsi="Times New Roman"/>
          <w:sz w:val="18"/>
          <w:szCs w:val="18"/>
          <w:b w:val="1"/>
          <w:bCs w:val="1"/>
          <w:i w:val="1"/>
          <w:iCs w:val="1"/>
          <w:color w:val="auto"/>
        </w:rPr>
      </w:pPr>
    </w:p>
    <w:p>
      <w:pPr>
        <w:ind w:left="328"/>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Upon the occurrence of the Participant’s Disability, the unvested portion of the Award shall vest in full automatically and be paid to the Participant in accordance with the second sentence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the Participant being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75"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 in Control</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60"/>
        <w:spacing w:after="0" w:line="26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to the contrary, upon a Termination of Service as a result of the Company terminating the Participant’s employment without Cause or Participant’s resignation for Good Reason in connection with a Change in Control, the unvested portion of the Award shall vest in full automatically upon the later of such Change in Control or such termination of employment and be paid to the Participant in accordance with the second sentence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The Company’s termination of the Participant’s employment or Participant’s resignation for Good Reason shall be treated as being in connection with a Change in Control only if such termination occurs during the period beginning six</w:t>
      </w:r>
    </w:p>
    <w:p>
      <w:pPr>
        <w:spacing w:after="0" w:line="2" w:lineRule="exact"/>
        <w:rPr>
          <w:rFonts w:ascii="Times New Roman" w:cs="Times New Roman" w:eastAsia="Times New Roman" w:hAnsi="Times New Roman"/>
          <w:sz w:val="18"/>
          <w:szCs w:val="18"/>
          <w:b w:val="1"/>
          <w:bCs w:val="1"/>
          <w:i w:val="1"/>
          <w:iCs w:val="1"/>
          <w:color w:val="auto"/>
        </w:rPr>
      </w:pPr>
    </w:p>
    <w:p>
      <w:pPr>
        <w:ind w:left="328"/>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(6) months prior to the Change in Control and ending twenty-four (24) months following the Change in Control.</w:t>
      </w:r>
    </w:p>
    <w:p>
      <w:pPr>
        <w:spacing w:after="0" w:line="200" w:lineRule="exact"/>
        <w:rPr>
          <w:sz w:val="20"/>
          <w:szCs w:val="20"/>
          <w:color w:val="auto"/>
        </w:rPr>
      </w:pPr>
    </w:p>
    <w:p>
      <w:pPr>
        <w:spacing w:after="0" w:line="22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54" w:name="page55"/>
    <w:bookmarkEnd w:id="54"/>
    <w:p>
      <w:pPr>
        <w:ind w:left="328" w:right="200"/>
        <w:spacing w:after="0" w:line="282" w:lineRule="auto"/>
        <w:rPr>
          <w:sz w:val="20"/>
          <w:szCs w:val="20"/>
          <w:color w:val="auto"/>
        </w:rPr>
      </w:pPr>
      <w:r>
        <w:rPr>
          <w:rFonts w:ascii="Times New Roman" w:cs="Times New Roman" w:eastAsia="Times New Roman" w:hAnsi="Times New Roman"/>
          <w:sz w:val="18"/>
          <w:szCs w:val="18"/>
          <w:color w:val="auto"/>
        </w:rPr>
        <w:t>“Good Reason” has the meaning ascribed to such term in the Amended and Restated Employment Agreement by and among the Participant, the Company and certain other parties thereto, dated as of April 30, 2024 (as amended from time to time).</w:t>
      </w:r>
    </w:p>
    <w:p>
      <w:pPr>
        <w:spacing w:after="0" w:line="158" w:lineRule="exact"/>
        <w:rPr>
          <w:sz w:val="20"/>
          <w:szCs w:val="20"/>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Termination of Service other than as a result of Death, Retirement, or Change in Control</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40"/>
        <w:spacing w:after="0" w:line="28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Upon a Termination of Service by any reason other than death, Retirement, or Change in Control, including, without limitation, as a result of retirement that does not meet the requirements set forth in the definition of Retirement under the Plan, voluntary resignation (other than pursuant to a Retirement as defined in the Plan other than for Good Reason in connection with a Change in Control) or termination for Cause, any unvested portion of this Award (and any award or right related thereto) shall expire and be forfeited and no additional portion of the Award shall be paid.</w:t>
      </w:r>
    </w:p>
    <w:p>
      <w:pPr>
        <w:spacing w:after="0" w:line="160"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Clawback as a result of misconduct, etc.</w:t>
      </w:r>
    </w:p>
    <w:p>
      <w:pPr>
        <w:spacing w:after="0" w:line="229" w:lineRule="exact"/>
        <w:rPr>
          <w:rFonts w:ascii="Times New Roman" w:cs="Times New Roman" w:eastAsia="Times New Roman" w:hAnsi="Times New Roman"/>
          <w:sz w:val="18"/>
          <w:szCs w:val="18"/>
          <w:b w:val="1"/>
          <w:bCs w:val="1"/>
          <w:i w:val="1"/>
          <w:iCs w:val="1"/>
          <w:color w:val="auto"/>
        </w:rPr>
      </w:pPr>
    </w:p>
    <w:p>
      <w:pPr>
        <w:ind w:left="328"/>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Unless otherwise determined by the Committee, (i) if the Company is required to prepare a material restatement of its financial statements, and the Committee (A) determines that the Participant knowingly engaged in the misconduct, was grossly negligent with respect to such misconduct, or acted knowingly or with gross negligence in failing to prevent the misconduct, or (B) concludes that the Participant engaged in willful fraud, embezzlement or other similar activity (including acts of omission) materially detrimental to the Company, or (ii) if the Company is required to prepare a restatement of its financial statements due to the Company’s noncompliance with any financial reporting requirement under the securities laws, including the Dodd-Frank Wall Street Reform and Consumer Protection Act and implementing rules and regulations thereunder, then, in each case, the Participant (or the Participant’s beneficiary) shall, as required by the Company or pursuant to its applicable policies or as required under applicable law, reimburse the Company for all or any portion of this Award, and/or forfeit the proceeds of any sale (including any sales to the Company) of any Company securities acquired by or on behalf of the Participant (or the Participant’s beneficiary) pursuant to the Award paid under this Agreement.</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9. Committee Authority</w:t>
      </w:r>
    </w:p>
    <w:p>
      <w:pPr>
        <w:spacing w:after="0" w:line="229" w:lineRule="exact"/>
        <w:rPr>
          <w:sz w:val="20"/>
          <w:szCs w:val="20"/>
          <w:color w:val="auto"/>
        </w:rPr>
      </w:pPr>
    </w:p>
    <w:p>
      <w:pPr>
        <w:ind w:left="8" w:right="40"/>
        <w:spacing w:after="0" w:line="266" w:lineRule="auto"/>
        <w:rPr>
          <w:sz w:val="20"/>
          <w:szCs w:val="20"/>
          <w:color w:val="auto"/>
        </w:rPr>
      </w:pPr>
      <w:r>
        <w:rPr>
          <w:rFonts w:ascii="Times New Roman" w:cs="Times New Roman" w:eastAsia="Times New Roman" w:hAnsi="Times New Roman"/>
          <w:sz w:val="18"/>
          <w:szCs w:val="18"/>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10.Plan Controls</w:t>
      </w:r>
    </w:p>
    <w:p>
      <w:pPr>
        <w:spacing w:after="0" w:line="229" w:lineRule="exact"/>
        <w:rPr>
          <w:sz w:val="20"/>
          <w:szCs w:val="20"/>
          <w:color w:val="auto"/>
        </w:rPr>
      </w:pPr>
    </w:p>
    <w:p>
      <w:pPr>
        <w:ind w:left="8" w:right="20"/>
        <w:spacing w:after="0" w:line="312" w:lineRule="auto"/>
        <w:rPr>
          <w:sz w:val="20"/>
          <w:szCs w:val="20"/>
          <w:color w:val="auto"/>
        </w:rPr>
      </w:pPr>
      <w:r>
        <w:rPr>
          <w:rFonts w:ascii="Times New Roman" w:cs="Times New Roman" w:eastAsia="Times New Roman" w:hAnsi="Times New Roman"/>
          <w:sz w:val="17"/>
          <w:szCs w:val="17"/>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spacing w:after="0" w:line="35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8"/>
          <w:szCs w:val="18"/>
          <w:b w:val="1"/>
          <w:bCs w:val="1"/>
          <w:color w:val="auto"/>
        </w:rPr>
        <w:t>11. Limitation on Rights; No Right to Future Grants</w:t>
      </w:r>
    </w:p>
    <w:p>
      <w:pPr>
        <w:spacing w:after="0" w:line="229" w:lineRule="exact"/>
        <w:rPr>
          <w:sz w:val="20"/>
          <w:szCs w:val="20"/>
          <w:color w:val="auto"/>
        </w:rPr>
      </w:pPr>
    </w:p>
    <w:p>
      <w:pPr>
        <w:ind w:left="8" w:right="80"/>
        <w:spacing w:after="0" w:line="253" w:lineRule="auto"/>
        <w:rPr>
          <w:sz w:val="20"/>
          <w:szCs w:val="20"/>
          <w:color w:val="auto"/>
        </w:rPr>
      </w:pPr>
      <w:r>
        <w:rPr>
          <w:rFonts w:ascii="Times New Roman" w:cs="Times New Roman" w:eastAsia="Times New Roman" w:hAnsi="Times New Roman"/>
          <w:sz w:val="18"/>
          <w:szCs w:val="18"/>
          <w:color w:val="auto"/>
        </w:rPr>
        <w:t>By entering into this Agreement, the Participant acknowledges that: (a) the Plan is discretionary and may be modified, suspended or terminated by the Company at any time, as provided in the Plan; provided that, except as provided in Section 22 of the Plan, no amendment to this Agreement shall adversely affect in a material manner the Participant’s rights hereunder without his or her written consent; (b) the grant of the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w:t>
      </w:r>
    </w:p>
    <w:p>
      <w:pPr>
        <w:spacing w:after="0" w:line="5" w:lineRule="exact"/>
        <w:rPr>
          <w:sz w:val="20"/>
          <w:szCs w:val="20"/>
          <w:color w:val="auto"/>
        </w:rPr>
      </w:pPr>
    </w:p>
    <w:p>
      <w:pPr>
        <w:ind w:left="8" w:hanging="8"/>
        <w:spacing w:after="0" w:line="251" w:lineRule="auto"/>
        <w:tabs>
          <w:tab w:leader="none" w:pos="2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(g) the future value of the Class C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Affiliate, nor do they limit in any respect the right of the Company or any Affiliate to terminate the Participant’s employment or other relationship with the Company or any Affiliate, as the case may be, at any time with or without Cause; and (i) the grant of the Award will not be interpreted to form an employment relationship with the Company or any Affiliate; and furthermore, the grant of the Award will not be interpreted to form an employment contract with the Company or any Affiliate.</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12.General Provisions</w:t>
      </w:r>
    </w:p>
    <w:p>
      <w:pPr>
        <w:spacing w:after="0" w:line="225" w:lineRule="exact"/>
        <w:rPr>
          <w:sz w:val="20"/>
          <w:szCs w:val="20"/>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2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pacing w:after="0" w:line="189" w:lineRule="exact"/>
        <w:rPr>
          <w:sz w:val="20"/>
          <w:szCs w:val="20"/>
          <w:color w:val="auto"/>
        </w:rPr>
      </w:pPr>
    </w:p>
    <w:p>
      <w:pPr>
        <w:ind w:left="968"/>
        <w:spacing w:after="0"/>
        <w:tabs>
          <w:tab w:leader="none" w:pos="1948" w:val="left"/>
        </w:tabs>
        <w:rPr>
          <w:sz w:val="20"/>
          <w:szCs w:val="20"/>
          <w:color w:val="auto"/>
        </w:rPr>
      </w:pPr>
      <w:r>
        <w:rPr>
          <w:rFonts w:ascii="Times New Roman" w:cs="Times New Roman" w:eastAsia="Times New Roman" w:hAnsi="Times New Roman"/>
          <w:sz w:val="18"/>
          <w:szCs w:val="18"/>
          <w:color w:val="auto"/>
        </w:rPr>
        <w:t>Company: </w:t>
      </w:r>
      <w:r>
        <w:rPr>
          <w:sz w:val="20"/>
          <w:szCs w:val="20"/>
          <w:color w:val="auto"/>
        </w:rPr>
        <w:tab/>
      </w:r>
      <w:r>
        <w:rPr>
          <w:rFonts w:ascii="Times New Roman" w:cs="Times New Roman" w:eastAsia="Times New Roman" w:hAnsi="Times New Roman"/>
          <w:sz w:val="17"/>
          <w:szCs w:val="17"/>
          <w:color w:val="auto"/>
        </w:rPr>
        <w:t>Clearway Energy, Inc.</w:t>
      </w:r>
    </w:p>
    <w:p>
      <w:pPr>
        <w:spacing w:after="0" w:line="27" w:lineRule="exact"/>
        <w:rPr>
          <w:sz w:val="20"/>
          <w:szCs w:val="20"/>
          <w:color w:val="auto"/>
        </w:rPr>
      </w:pPr>
    </w:p>
    <w:p>
      <w:pPr>
        <w:ind w:left="1968"/>
        <w:spacing w:after="0"/>
        <w:rPr>
          <w:sz w:val="20"/>
          <w:szCs w:val="20"/>
          <w:color w:val="auto"/>
        </w:rPr>
      </w:pPr>
      <w:r>
        <w:rPr>
          <w:rFonts w:ascii="Times New Roman" w:cs="Times New Roman" w:eastAsia="Times New Roman" w:hAnsi="Times New Roman"/>
          <w:sz w:val="18"/>
          <w:szCs w:val="18"/>
          <w:color w:val="auto"/>
        </w:rPr>
        <w:t>Attn: EVP, General Counsel &amp; Corporate Secretary</w:t>
      </w:r>
    </w:p>
    <w:p>
      <w:pPr>
        <w:spacing w:after="0" w:line="9" w:lineRule="exact"/>
        <w:rPr>
          <w:sz w:val="20"/>
          <w:szCs w:val="20"/>
          <w:color w:val="auto"/>
        </w:rPr>
      </w:pPr>
    </w:p>
    <w:p>
      <w:pPr>
        <w:ind w:left="1968"/>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968"/>
        <w:spacing w:after="0"/>
        <w:rPr>
          <w:sz w:val="20"/>
          <w:szCs w:val="20"/>
          <w:color w:val="auto"/>
        </w:rPr>
      </w:pPr>
      <w:r>
        <w:rPr>
          <w:rFonts w:ascii="Times New Roman" w:cs="Times New Roman" w:eastAsia="Times New Roman" w:hAnsi="Times New Roman"/>
          <w:sz w:val="18"/>
          <w:szCs w:val="18"/>
          <w:color w:val="auto"/>
        </w:rPr>
        <w:t>Princeton, NJ 08450</w:t>
      </w:r>
    </w:p>
    <w:p>
      <w:pPr>
        <w:spacing w:after="0" w:line="200" w:lineRule="exact"/>
        <w:rPr>
          <w:sz w:val="20"/>
          <w:szCs w:val="20"/>
          <w:color w:val="auto"/>
        </w:rPr>
      </w:pPr>
    </w:p>
    <w:p>
      <w:pPr>
        <w:spacing w:after="0" w:line="22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56" w:name="page57"/>
    <w:bookmarkEnd w:id="56"/>
    <w:p>
      <w:pPr>
        <w:ind w:left="328"/>
        <w:spacing w:after="0"/>
        <w:rPr>
          <w:sz w:val="20"/>
          <w:szCs w:val="20"/>
          <w:color w:val="auto"/>
        </w:rPr>
      </w:pPr>
      <w:r>
        <w:rPr>
          <w:rFonts w:ascii="Times New Roman" w:cs="Times New Roman" w:eastAsia="Times New Roman" w:hAnsi="Times New Roman"/>
          <w:sz w:val="18"/>
          <w:szCs w:val="18"/>
          <w:color w:val="auto"/>
        </w:rPr>
        <w:t>The Company or the Participant may change, by written notice to the other, the address previously specified for receiving notices.</w:t>
      </w:r>
    </w:p>
    <w:p>
      <w:pPr>
        <w:spacing w:after="0" w:line="221" w:lineRule="exact"/>
        <w:rPr>
          <w:sz w:val="20"/>
          <w:szCs w:val="20"/>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Waiver</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1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71"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Undertaking</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28"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71"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Entire Contract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28" w:right="140"/>
        <w:spacing w:after="0" w:line="31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35"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Successors and Assigns</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1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provisions of this Agreement shall inure to the benefit of, and be binding on, the Company and its successors and assigns and the Participant and the Participant's legal representatives, heirs, legatees, distributees, assigns and transferees by operation of law.</w:t>
      </w:r>
    </w:p>
    <w:p>
      <w:pPr>
        <w:spacing w:after="0" w:line="157"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Securities Law Compliance</w:t>
      </w:r>
    </w:p>
    <w:p>
      <w:pPr>
        <w:spacing w:after="0" w:line="229" w:lineRule="exact"/>
        <w:rPr>
          <w:rFonts w:ascii="Times New Roman" w:cs="Times New Roman" w:eastAsia="Times New Roman" w:hAnsi="Times New Roman"/>
          <w:sz w:val="18"/>
          <w:szCs w:val="18"/>
          <w:b w:val="1"/>
          <w:bCs w:val="1"/>
          <w:i w:val="1"/>
          <w:iCs w:val="1"/>
          <w:color w:val="auto"/>
        </w:rPr>
      </w:pPr>
    </w:p>
    <w:p>
      <w:pPr>
        <w:ind w:left="328"/>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currently has an effective registration statement on file with the Securities and Exchange Commission with respect to the shares of Class C Common Stock underlying the RSUs awarded under this Agreement. The Company intends to maintain this registration statement but has no obligation to the Participant to do so. If the registration statement ceases to be effective, the Participant may not be able to transfer or sell any shares of Class C Common Stock that are issued pursuant to the Award, unless exemptions from registration under applicable securities laws are available. Such exemptions from registration are very limited and might be unavailable. The Participant agrees that any resale of the shares of Class C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200" w:lineRule="exact"/>
        <w:rPr>
          <w:sz w:val="20"/>
          <w:szCs w:val="20"/>
          <w:color w:val="auto"/>
        </w:rPr>
      </w:pPr>
    </w:p>
    <w:p>
      <w:pPr>
        <w:spacing w:after="0" w:line="210"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4" w:right="379" w:bottom="1440" w:gutter="0" w:footer="0" w:header="0"/>
        </w:sectPr>
      </w:pPr>
    </w:p>
    <w:bookmarkStart w:id="57" w:name="page58"/>
    <w:bookmarkEnd w:id="57"/>
    <w:p>
      <w:pPr>
        <w:ind w:left="328" w:hanging="328"/>
        <w:spacing w:after="0"/>
        <w:tabs>
          <w:tab w:leader="none" w:pos="328"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Taxes</w:t>
      </w:r>
    </w:p>
    <w:p>
      <w:pPr>
        <w:spacing w:after="0" w:line="229" w:lineRule="exact"/>
        <w:rPr>
          <w:rFonts w:ascii="Times New Roman" w:cs="Times New Roman" w:eastAsia="Times New Roman" w:hAnsi="Times New Roman"/>
          <w:sz w:val="18"/>
          <w:szCs w:val="18"/>
          <w:b w:val="1"/>
          <w:bCs w:val="1"/>
          <w:i w:val="1"/>
          <w:iCs w:val="1"/>
          <w:color w:val="auto"/>
        </w:rPr>
      </w:pPr>
    </w:p>
    <w:p>
      <w:pPr>
        <w:ind w:left="328"/>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Participant acknowledges that the removal of restrictions with respect to an Award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w:t>
      </w:r>
    </w:p>
    <w:p>
      <w:pPr>
        <w:spacing w:after="0" w:line="3" w:lineRule="exact"/>
        <w:rPr>
          <w:rFonts w:ascii="Times New Roman" w:cs="Times New Roman" w:eastAsia="Times New Roman" w:hAnsi="Times New Roman"/>
          <w:sz w:val="18"/>
          <w:szCs w:val="18"/>
          <w:b w:val="1"/>
          <w:bCs w:val="1"/>
          <w:i w:val="1"/>
          <w:iCs w:val="1"/>
          <w:color w:val="auto"/>
        </w:rPr>
      </w:pPr>
    </w:p>
    <w:p>
      <w:pPr>
        <w:ind w:left="328" w:right="14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77"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Confidentiality</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28"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obtain a loan.</w:t>
      </w:r>
    </w:p>
    <w:p>
      <w:pPr>
        <w:spacing w:after="0" w:line="175"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Except as may otherwise be provided in the Plan, the provisions of this Agreement shall be governed by the laws of the State of Delaware without giving effect to principles of conflicts of law.</w:t>
      </w:r>
    </w:p>
    <w:p>
      <w:pPr>
        <w:spacing w:after="0" w:line="157"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Code Section 409A Compliance</w:t>
      </w:r>
    </w:p>
    <w:p>
      <w:pPr>
        <w:spacing w:after="0" w:line="229" w:lineRule="exact"/>
        <w:rPr>
          <w:rFonts w:ascii="Times New Roman" w:cs="Times New Roman" w:eastAsia="Times New Roman" w:hAnsi="Times New Roman"/>
          <w:sz w:val="18"/>
          <w:szCs w:val="18"/>
          <w:b w:val="1"/>
          <w:bCs w:val="1"/>
          <w:i w:val="1"/>
          <w:iCs w:val="1"/>
          <w:color w:val="auto"/>
        </w:rPr>
      </w:pPr>
    </w:p>
    <w:p>
      <w:pPr>
        <w:ind w:left="328" w:right="12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Award hereunder is intended to be exempt from, or compliant with, Code Section 409A and, in construing any ambiguity regarding a matter hereunder that bears upon its exemption from, or compliance with, Code Section 409A, this Agreement and the Plan shall, to the extent possible, be construed in accordance with such intent. To the extent that the Committee determines that the Award hereunder is subject to Code Section 409A and fails to comply with the requirements of such Section, notwithstanding anything to the contrary contained in the Plan or in this Agreement, the Committee reserves the right to amend, restructure, terminate or replace this Award in order to cause the Award to either be exempt from Code Section 409A or compliant with the applicable provisions of such Section.</w:t>
      </w:r>
    </w:p>
    <w:p>
      <w:pPr>
        <w:spacing w:after="0" w:line="18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as of the Date of Grant.</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294005</wp:posOffset>
            </wp:positionV>
            <wp:extent cx="3206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Title:  EVP,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RELATIVE PERFORMANCE STOCK UNIT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CRAIG CORNELIUS</w:t>
      </w:r>
    </w:p>
    <w:p>
      <w:pPr>
        <w:spacing w:after="0" w:line="23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Congratulations on your selection as a Participant under the Clearway Energy, Inc. Amended and Restated 2013 Equity Incentive Plan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You have been chosen to receive Relative Performance Stock Units (“</w:t>
      </w:r>
      <w:r>
        <w:rPr>
          <w:rFonts w:ascii="Times New Roman" w:cs="Times New Roman" w:eastAsia="Times New Roman" w:hAnsi="Times New Roman"/>
          <w:sz w:val="18"/>
          <w:szCs w:val="18"/>
          <w:u w:val="single" w:color="auto"/>
          <w:color w:val="auto"/>
        </w:rPr>
        <w:t>RPSUs</w:t>
      </w:r>
      <w:r>
        <w:rPr>
          <w:rFonts w:ascii="Times New Roman" w:cs="Times New Roman" w:eastAsia="Times New Roman" w:hAnsi="Times New Roman"/>
          <w:sz w:val="18"/>
          <w:szCs w:val="18"/>
          <w:color w:val="auto"/>
        </w:rPr>
        <w:t>”) under the Plan. This Notice of Relative Performance Stock Unit Grant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the attached Relative Performance Stock Unit Agreement (collectively referred to as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 an agreement between you and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Section 9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in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RPSUs are hereby granted as follows to Craig Cornelius:</w:t>
      </w:r>
    </w:p>
    <w:p>
      <w:pPr>
        <w:sectPr>
          <w:pgSz w:w="11900" w:h="16838" w:orient="portrait"/>
          <w:cols w:equalWidth="0" w:num="1">
            <w:col w:w="11160"/>
          </w:cols>
          <w:pgMar w:left="320" w:top="1116" w:right="419" w:bottom="1440" w:gutter="0" w:footer="0" w:header="0"/>
        </w:sectPr>
      </w:pP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July 1, 2024</w:t>
      </w:r>
    </w:p>
    <w:p>
      <w:pPr>
        <w:spacing w:after="0" w:line="200" w:lineRule="exact"/>
        <w:rPr>
          <w:sz w:val="20"/>
          <w:szCs w:val="20"/>
          <w:color w:val="auto"/>
        </w:rPr>
      </w:pPr>
    </w:p>
    <w:p>
      <w:pPr>
        <w:sectPr>
          <w:pgSz w:w="11900" w:h="16838" w:orient="portrait"/>
          <w:cols w:equalWidth="0" w:num="2">
            <w:col w:w="2100" w:space="720"/>
            <w:col w:w="8340"/>
          </w:cols>
          <w:pgMar w:left="320" w:top="1116" w:right="419" w:bottom="1440" w:gutter="0" w:footer="0" w:header="0"/>
          <w:type w:val="continuous"/>
        </w:sectPr>
      </w:pP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Performance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30, 2024 through December 31, 2026</w:t>
      </w:r>
    </w:p>
    <w:p>
      <w:pPr>
        <w:spacing w:after="0" w:line="200" w:lineRule="exact"/>
        <w:rPr>
          <w:sz w:val="20"/>
          <w:szCs w:val="20"/>
          <w:color w:val="auto"/>
        </w:rPr>
      </w:pPr>
    </w:p>
    <w:p>
      <w:pPr>
        <w:sectPr>
          <w:pgSz w:w="11900" w:h="16838" w:orient="portrait"/>
          <w:cols w:equalWidth="0" w:num="2">
            <w:col w:w="2100" w:space="720"/>
            <w:col w:w="8340"/>
          </w:cols>
          <w:pgMar w:left="320" w:top="1116" w:right="41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Restricted Period: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 2024 through April 14, 2027</w:t>
      </w:r>
    </w:p>
    <w:p>
      <w:pPr>
        <w:spacing w:after="0" w:line="200" w:lineRule="exact"/>
        <w:rPr>
          <w:sz w:val="20"/>
          <w:szCs w:val="20"/>
          <w:color w:val="auto"/>
        </w:rPr>
      </w:pPr>
    </w:p>
    <w:p>
      <w:pPr>
        <w:sectPr>
          <w:pgSz w:w="11900" w:h="16838" w:orient="portrait"/>
          <w:cols w:equalWidth="0" w:num="2">
            <w:col w:w="2100" w:space="720"/>
            <w:col w:w="8340"/>
          </w:cols>
          <w:pgMar w:left="320" w:top="1116" w:right="41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Target Award: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4" w:lineRule="exact"/>
        <w:rPr>
          <w:sz w:val="20"/>
          <w:szCs w:val="20"/>
          <w:color w:val="auto"/>
        </w:rPr>
      </w:pPr>
    </w:p>
    <w:p>
      <w:pPr>
        <w:sectPr>
          <w:pgSz w:w="11900" w:h="16838" w:orient="portrait"/>
          <w:cols w:equalWidth="0" w:num="2">
            <w:col w:w="2100" w:space="720"/>
            <w:col w:w="8340"/>
          </w:cols>
          <w:pgMar w:left="320" w:top="1116" w:right="41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Final Award: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Target Award multiplied by “Payout Percentage” based on the Company’s total shareholder return relative to total shareholder return of peer group members, as set forth in this Agreement.</w:t>
      </w:r>
    </w:p>
    <w:p>
      <w:pPr>
        <w:spacing w:after="0" w:line="162" w:lineRule="exact"/>
        <w:rPr>
          <w:sz w:val="20"/>
          <w:szCs w:val="20"/>
          <w:color w:val="auto"/>
        </w:rPr>
      </w:pPr>
    </w:p>
    <w:p>
      <w:pPr>
        <w:sectPr>
          <w:pgSz w:w="11900" w:h="16838" w:orient="portrait"/>
          <w:cols w:equalWidth="0" w:num="2">
            <w:col w:w="2100" w:space="720"/>
            <w:col w:w="8340"/>
          </w:cols>
          <w:pgMar w:left="320" w:top="1116" w:right="419" w:bottom="1440" w:gutter="0" w:footer="0" w:header="0"/>
          <w:type w:val="continuous"/>
        </w:sect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 of the Final Award shall be made in Clearway Energy, Inc. Class C Common Stock and shall be made no earlier than April 15, 2027 and no later than June 30, 2027, subject to the terms and conditions of this Agreement.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if your employment by, or service to, the Company or an Affiliate thereof is terminated at any time during the Restricted Period, any award or right granted hereunder shall expire and be forfeited, and no Final Award or dividend equivalent related thereto shall be paid.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you disagree with any of the terms of this Award or choose not to accept this Award, please contact Shannon Reznick at 281-906-0827 within 45 days of the Date of Grant. Otherwise, you will be deemed to have accepted this Award under the terms and conditions set forth in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5"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amended and restated on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type w:val="continuous"/>
        </w:sectPr>
      </w:pPr>
    </w:p>
    <w:bookmarkStart w:id="60" w:name="page61"/>
    <w:bookmarkEnd w:id="6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RELATIVE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Relative Performance Stock Unit Agreement, dated as of the Date of Grant set forth in the Notice of Relative Performance Stock Unit Grant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together with this Relative Performance Stock Unit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which this Agreement is attached, is made between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Participant, as set forth in the Grant Notice. The Grant Notice is included in, and made part of, this Agreement.</w:t>
      </w:r>
    </w:p>
    <w:p>
      <w:pPr>
        <w:spacing w:after="0" w:line="176"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Performance Criteria and Award Determination</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General - Award Determination</w:t>
      </w:r>
    </w:p>
    <w:p>
      <w:pPr>
        <w:spacing w:after="0" w:line="229" w:lineRule="exact"/>
        <w:rPr>
          <w:rFonts w:ascii="Times New Roman" w:cs="Times New Roman" w:eastAsia="Times New Roman" w:hAnsi="Times New Roman"/>
          <w:sz w:val="18"/>
          <w:szCs w:val="18"/>
          <w:b w:val="1"/>
          <w:bCs w:val="1"/>
          <w:i w:val="1"/>
          <w:iCs w:val="1"/>
          <w:color w:val="010000"/>
        </w:rPr>
      </w:pPr>
    </w:p>
    <w:p>
      <w:pPr>
        <w:ind w:left="660" w:right="12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Subject to the provisions of this Agreement and the provisions of the Clearway Energy, Inc. Amended and Restated 2013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 hereby grants to the Participant the number of Relative Performance Stock Units (“</w:t>
      </w:r>
      <w:r>
        <w:rPr>
          <w:rFonts w:ascii="Times New Roman" w:cs="Times New Roman" w:eastAsia="Times New Roman" w:hAnsi="Times New Roman"/>
          <w:sz w:val="18"/>
          <w:szCs w:val="18"/>
          <w:u w:val="single" w:color="auto"/>
          <w:color w:val="auto"/>
        </w:rPr>
        <w:t>RPSUs</w:t>
      </w:r>
      <w:r>
        <w:rPr>
          <w:rFonts w:ascii="Times New Roman" w:cs="Times New Roman" w:eastAsia="Times New Roman" w:hAnsi="Times New Roman"/>
          <w:sz w:val="18"/>
          <w:szCs w:val="18"/>
          <w:color w:val="auto"/>
        </w:rPr>
        <w:t>”), set forth in the Grant Notice (“</w:t>
      </w: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each of which will have a value equivalent to one (1) share of the Company’s Class C Common Stock.</w:t>
      </w:r>
    </w:p>
    <w:p>
      <w:pPr>
        <w:spacing w:after="0" w:line="175" w:lineRule="exact"/>
        <w:rPr>
          <w:rFonts w:ascii="Times New Roman" w:cs="Times New Roman" w:eastAsia="Times New Roman" w:hAnsi="Times New Roman"/>
          <w:sz w:val="18"/>
          <w:szCs w:val="18"/>
          <w:b w:val="1"/>
          <w:bCs w:val="1"/>
          <w:i w:val="1"/>
          <w:iCs w:val="1"/>
          <w:color w:val="010000"/>
        </w:rPr>
      </w:pPr>
    </w:p>
    <w:p>
      <w:pPr>
        <w:jc w:val="both"/>
        <w:ind w:left="660" w:right="8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At the end of the Restricted Period, the Participant shall be entitled to receive a payment, payable in shares of the Company’s Class C Common Stock, equal to the Target Award times a “Payout Percentage” (the “</w:t>
      </w:r>
      <w:r>
        <w:rPr>
          <w:rFonts w:ascii="Times New Roman" w:cs="Times New Roman" w:eastAsia="Times New Roman" w:hAnsi="Times New Roman"/>
          <w:sz w:val="18"/>
          <w:szCs w:val="18"/>
          <w:u w:val="single" w:color="auto"/>
          <w:color w:val="auto"/>
        </w:rPr>
        <w:t>Final Award</w:t>
      </w:r>
      <w:r>
        <w:rPr>
          <w:rFonts w:ascii="Times New Roman" w:cs="Times New Roman" w:eastAsia="Times New Roman" w:hAnsi="Times New Roman"/>
          <w:sz w:val="18"/>
          <w:szCs w:val="18"/>
          <w:color w:val="auto"/>
        </w:rPr>
        <w:t xml:space="preserve">”). The “Payout Percentage” is based on the achievement of the performance criteria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as determined and certified in writing by the Committee.</w:t>
      </w:r>
    </w:p>
    <w:p>
      <w:pPr>
        <w:spacing w:after="0" w:line="171" w:lineRule="exact"/>
        <w:rPr>
          <w:rFonts w:ascii="Times New Roman" w:cs="Times New Roman" w:eastAsia="Times New Roman" w:hAnsi="Times New Roman"/>
          <w:sz w:val="18"/>
          <w:szCs w:val="18"/>
          <w:b w:val="1"/>
          <w:bCs w:val="1"/>
          <w:i w:val="1"/>
          <w:iCs w:val="1"/>
          <w:color w:val="010000"/>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Performance Criteria and Relative TSR Comparison</w:t>
      </w:r>
    </w:p>
    <w:p>
      <w:pPr>
        <w:spacing w:after="0" w:line="229" w:lineRule="exact"/>
        <w:rPr>
          <w:rFonts w:ascii="Times New Roman" w:cs="Times New Roman" w:eastAsia="Times New Roman" w:hAnsi="Times New Roman"/>
          <w:sz w:val="18"/>
          <w:szCs w:val="18"/>
          <w:b w:val="1"/>
          <w:bCs w:val="1"/>
          <w:i w:val="1"/>
          <w:iCs w:val="1"/>
          <w:color w:val="010000"/>
        </w:rPr>
      </w:pPr>
    </w:p>
    <w:p>
      <w:pPr>
        <w:ind w:left="660"/>
        <w:spacing w:after="0" w:line="258"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a “Payout Percentage” is used to determine the Final Award under this Agreement. Subject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this Agreement, the “Payout Percentage” shall be based upon the Company’s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xml:space="preserve">”) percentile ranking, as determined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and the Company’s TSR percentile ranking relative to “Chart A” below, where interpolation shall be used to determine the Company’s percentile ranking, in each case during the Performance Period, as described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Chart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TSR Performance Relative to Companies in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27305</wp:posOffset>
            </wp:positionV>
            <wp:extent cx="570039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75th Percentile or Above</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50th Percentile – TARGET</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25th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Below the 25th Percentile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Payout Percentage</w:t>
      </w:r>
    </w:p>
    <w:p>
      <w:pPr>
        <w:spacing w:after="0" w:line="3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 of Target)</w:t>
      </w:r>
    </w:p>
    <w:p>
      <w:pPr>
        <w:spacing w:after="0" w:line="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150%</w:t>
      </w:r>
    </w:p>
    <w:p>
      <w:pPr>
        <w:spacing w:after="0" w:line="36"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100%</w:t>
      </w:r>
    </w:p>
    <w:p>
      <w:pPr>
        <w:spacing w:after="0" w:line="2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25%</w:t>
      </w:r>
    </w:p>
    <w:p>
      <w:pPr>
        <w:spacing w:after="0" w:line="2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0" w:lineRule="exact"/>
        <w:rPr>
          <w:sz w:val="20"/>
          <w:szCs w:val="20"/>
          <w:color w:val="auto"/>
        </w:rPr>
      </w:pPr>
    </w:p>
    <w:p>
      <w:pPr>
        <w:sectPr>
          <w:pgSz w:w="11900" w:h="16838" w:orient="portrait"/>
          <w:cols w:equalWidth="0" w:num="2">
            <w:col w:w="7760" w:space="720"/>
            <w:col w:w="2620"/>
          </w:cols>
          <w:pgMar w:left="320" w:top="900" w:right="479" w:bottom="1440" w:gutter="0" w:footer="0" w:header="0"/>
          <w:type w:val="continuous"/>
        </w:sectPr>
      </w:pPr>
    </w:p>
    <w:p>
      <w:pPr>
        <w:spacing w:after="0" w:line="1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Relative TSR Comparison if absolute TSR of Company is less than negative 20%</w:t>
      </w:r>
    </w:p>
    <w:p>
      <w:pPr>
        <w:spacing w:after="0" w:line="229" w:lineRule="exact"/>
        <w:rPr>
          <w:rFonts w:ascii="Times New Roman" w:cs="Times New Roman" w:eastAsia="Times New Roman" w:hAnsi="Times New Roman"/>
          <w:sz w:val="18"/>
          <w:szCs w:val="18"/>
          <w:b w:val="1"/>
          <w:bCs w:val="1"/>
          <w:i w:val="1"/>
          <w:iCs w:val="1"/>
          <w:color w:val="010000"/>
        </w:rPr>
      </w:pPr>
    </w:p>
    <w:p>
      <w:pPr>
        <w:ind w:left="660" w:right="20"/>
        <w:spacing w:after="0" w:line="282"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Notwithstanding the foregoing, if the Company’s absolute TSR for the Performance Period is less than negative twenty percent (-20%), the Final Award will be based on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type w:val="continuous"/>
        </w:sectPr>
      </w:pPr>
    </w:p>
    <w:bookmarkStart w:id="61" w:name="page62"/>
    <w:bookmarkEnd w:id="61"/>
    <w:p>
      <w:pPr>
        <w:jc w:val="center"/>
        <w:ind w:right="312"/>
        <w:spacing w:after="0"/>
        <w:rPr>
          <w:sz w:val="20"/>
          <w:szCs w:val="20"/>
          <w:color w:val="auto"/>
        </w:rPr>
      </w:pPr>
      <w:r>
        <w:rPr>
          <w:rFonts w:ascii="Times New Roman" w:cs="Times New Roman" w:eastAsia="Times New Roman" w:hAnsi="Times New Roman"/>
          <w:sz w:val="17"/>
          <w:szCs w:val="17"/>
          <w:b w:val="1"/>
          <w:bCs w:val="1"/>
          <w:color w:val="auto"/>
        </w:rPr>
        <w:t>Chart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27305</wp:posOffset>
            </wp:positionV>
            <wp:extent cx="5700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7"/>
          <w:szCs w:val="17"/>
          <w:b w:val="1"/>
          <w:bCs w:val="1"/>
          <w:color w:val="auto"/>
        </w:rPr>
        <w:t>TSR Performance Relative to Companies in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27305</wp:posOffset>
            </wp:positionV>
            <wp:extent cx="570039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8"/>
          <w:szCs w:val="18"/>
          <w:b w:val="1"/>
          <w:bCs w:val="1"/>
          <w:color w:val="auto"/>
        </w:rPr>
        <w:t>75th Percentile or Above</w:t>
      </w:r>
    </w:p>
    <w:p>
      <w:pPr>
        <w:spacing w:after="0" w:line="23"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8"/>
          <w:szCs w:val="18"/>
          <w:b w:val="1"/>
          <w:bCs w:val="1"/>
          <w:color w:val="auto"/>
        </w:rPr>
        <w:t>60th Percentile – TARGET</w:t>
      </w:r>
    </w:p>
    <w:p>
      <w:pPr>
        <w:spacing w:after="0" w:line="23"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8"/>
          <w:szCs w:val="18"/>
          <w:b w:val="1"/>
          <w:bCs w:val="1"/>
          <w:color w:val="auto"/>
        </w:rPr>
        <w:t>25th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-121920</wp:posOffset>
            </wp:positionV>
            <wp:extent cx="570039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808"/>
        <w:spacing w:after="0"/>
        <w:rPr>
          <w:sz w:val="20"/>
          <w:szCs w:val="20"/>
          <w:color w:val="auto"/>
        </w:rPr>
      </w:pPr>
      <w:r>
        <w:rPr>
          <w:rFonts w:ascii="Times New Roman" w:cs="Times New Roman" w:eastAsia="Times New Roman" w:hAnsi="Times New Roman"/>
          <w:sz w:val="18"/>
          <w:szCs w:val="18"/>
          <w:b w:val="1"/>
          <w:bCs w:val="1"/>
          <w:color w:val="auto"/>
        </w:rPr>
        <w:t>Below the 25th Percentile</w:t>
      </w:r>
    </w:p>
    <w:p>
      <w:pPr>
        <w:spacing w:after="0" w:line="243" w:lineRule="exact"/>
        <w:rPr>
          <w:sz w:val="20"/>
          <w:szCs w:val="20"/>
          <w:color w:val="auto"/>
        </w:rPr>
      </w:pPr>
    </w:p>
    <w:p>
      <w:pPr>
        <w:ind w:left="248" w:hanging="248"/>
        <w:spacing w:after="0"/>
        <w:tabs>
          <w:tab w:leader="none" w:pos="248" w:val="left"/>
        </w:tabs>
        <w:numPr>
          <w:ilvl w:val="0"/>
          <w:numId w:val="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Measuring Performance and relative TSR Ranking</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of Target)</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22860</wp:posOffset>
            </wp:positionV>
            <wp:extent cx="9004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6"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100%</w:t>
      </w:r>
    </w:p>
    <w:p>
      <w:pPr>
        <w:spacing w:after="0" w:line="23"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14605</wp:posOffset>
            </wp:positionV>
            <wp:extent cx="900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14605</wp:posOffset>
            </wp:positionV>
            <wp:extent cx="9004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7588" w:space="720"/>
            <w:col w:w="2600"/>
          </w:cols>
          <w:pgMar w:left="652" w:top="900" w:right="339" w:bottom="1440" w:gutter="0" w:footer="0" w:header="0"/>
          <w:type w:val="continuous"/>
        </w:sectPr>
      </w:pPr>
    </w:p>
    <w:p>
      <w:pPr>
        <w:spacing w:after="0" w:line="25" w:lineRule="exact"/>
        <w:rPr>
          <w:sz w:val="20"/>
          <w:szCs w:val="20"/>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Performance Measure and RPSUs</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80"/>
        <w:spacing w:after="0" w:line="258"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 xml:space="preserve">For purposes of determining the Final Award, as soon as practicable after the completion of the Performance Period, (i) the TSRs of the Company and each of the companies and/or indices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comprise the peer group for purposes of this Agreement (each company or index is referred to as a “</w:t>
      </w:r>
      <w:r>
        <w:rPr>
          <w:rFonts w:ascii="Times New Roman" w:cs="Times New Roman" w:eastAsia="Times New Roman" w:hAnsi="Times New Roman"/>
          <w:sz w:val="18"/>
          <w:szCs w:val="18"/>
          <w:u w:val="single" w:color="auto"/>
          <w:color w:val="auto"/>
        </w:rPr>
        <w:t>Peer Group Member</w:t>
      </w:r>
      <w:r>
        <w:rPr>
          <w:rFonts w:ascii="Times New Roman" w:cs="Times New Roman" w:eastAsia="Times New Roman" w:hAnsi="Times New Roman"/>
          <w:sz w:val="18"/>
          <w:szCs w:val="18"/>
          <w:color w:val="auto"/>
        </w:rPr>
        <w:t xml:space="preserve">”), shall be calculated pursuant to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and (ii) the relative ranking of the Company’s TSR for the Performance Period, as compared to the TSR for each Peer Group Member for the Performance Period, shall be determined and expressed as a percentile ranking as described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3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TSR Percentile Ranking</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34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Company’s TSR percentile ranking is based on the TSR achieved with respect to the Company, inclusive of dividends paid, relative to the TSR during the Performance Period, inclusive of dividends paid, achieved by each of the Peer Group Members, in each case during the Performance Period.</w:t>
      </w:r>
    </w:p>
    <w:p>
      <w:pPr>
        <w:spacing w:after="0" w:line="175" w:lineRule="exact"/>
        <w:rPr>
          <w:rFonts w:ascii="Times New Roman" w:cs="Times New Roman" w:eastAsia="Times New Roman" w:hAnsi="Times New Roman"/>
          <w:sz w:val="18"/>
          <w:szCs w:val="18"/>
          <w:b w:val="1"/>
          <w:bCs w:val="1"/>
          <w:i w:val="1"/>
          <w:iCs w:val="1"/>
          <w:color w:val="010000"/>
        </w:rPr>
      </w:pPr>
    </w:p>
    <w:p>
      <w:pPr>
        <w:ind w:left="328" w:right="140"/>
        <w:spacing w:after="0" w:line="25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Company’s TSR percentile ranking shall be determined as follows: the TSR percentile ranking shall be determined by ranking each Peer Group Member (excluding the Company) from the highest TSR to the lowest TSR. The Peer Group Member ranked highest will be assigned the one hundred percentile (100%) rank and the Peer Group Member ranked lowest will be assigned the zero percentile (0%) rank. Each Peer Group Member ranked in between will be assigned a percentile equal to one hundred divided by n minus one (100/(n-1)), plus the percentile assigned to the Peer Group Member ranked directly below it, where “n” is the total number of companies in the Peer Group. The Company’s TSR percentile ranking is then interpolated based on the Company’s TSR.</w:t>
      </w:r>
    </w:p>
    <w:p>
      <w:pPr>
        <w:spacing w:after="0" w:line="187" w:lineRule="exact"/>
        <w:rPr>
          <w:rFonts w:ascii="Times New Roman" w:cs="Times New Roman" w:eastAsia="Times New Roman" w:hAnsi="Times New Roman"/>
          <w:sz w:val="18"/>
          <w:szCs w:val="18"/>
          <w:b w:val="1"/>
          <w:bCs w:val="1"/>
          <w:i w:val="1"/>
          <w:iCs w:val="1"/>
          <w:color w:val="010000"/>
        </w:rPr>
      </w:pPr>
    </w:p>
    <w:p>
      <w:pPr>
        <w:jc w:val="both"/>
        <w:ind w:left="968" w:right="120" w:hanging="320"/>
        <w:spacing w:after="0" w:line="266" w:lineRule="auto"/>
        <w:tabs>
          <w:tab w:leader="none" w:pos="968"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a bankruptcy proceeding is commenced during the Performance Period with respect to any Peer Group Member, or if at any time during the Performance Period a Peer Group Member is liquidated, such company shall be treated as having a TSR of negative one hundred (-100%) for the Performance Period for purposes of TSR percentile ranking.</w:t>
      </w:r>
    </w:p>
    <w:p>
      <w:pPr>
        <w:spacing w:after="0" w:line="175" w:lineRule="exact"/>
        <w:rPr>
          <w:rFonts w:ascii="Times New Roman" w:cs="Times New Roman" w:eastAsia="Times New Roman" w:hAnsi="Times New Roman"/>
          <w:sz w:val="18"/>
          <w:szCs w:val="18"/>
          <w:b w:val="1"/>
          <w:bCs w:val="1"/>
          <w:color w:val="auto"/>
        </w:rPr>
      </w:pPr>
    </w:p>
    <w:p>
      <w:pPr>
        <w:ind w:left="968" w:hanging="320"/>
        <w:spacing w:after="0" w:line="266" w:lineRule="auto"/>
        <w:tabs>
          <w:tab w:leader="none" w:pos="968"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414655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type w:val="continuous"/>
        </w:sectPr>
      </w:pPr>
    </w:p>
    <w:bookmarkStart w:id="62" w:name="page63"/>
    <w:bookmarkEnd w:id="62"/>
    <w:p>
      <w:pPr>
        <w:ind w:left="1300" w:right="300" w:hanging="320"/>
        <w:spacing w:after="0" w:line="261" w:lineRule="auto"/>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 merger, acquisition or business combination of a Peer Group Member by or with an entity that is not a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395" w:lineRule="exact"/>
        <w:rPr>
          <w:rFonts w:ascii="Times New Roman" w:cs="Times New Roman" w:eastAsia="Times New Roman" w:hAnsi="Times New Roman"/>
          <w:sz w:val="18"/>
          <w:szCs w:val="18"/>
          <w:b w:val="1"/>
          <w:bCs w:val="1"/>
          <w:color w:val="auto"/>
        </w:rPr>
      </w:pPr>
    </w:p>
    <w:p>
      <w:pPr>
        <w:ind w:left="1300" w:right="80" w:hanging="320"/>
        <w:spacing w:after="0" w:line="258" w:lineRule="auto"/>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 a Peer Group Member ceases to be a publicly-traded company, or (B) a merger, acquisition or business combination of a Peer Group Member by or with an entity that is not a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Performance Period</w:t>
      </w:r>
    </w:p>
    <w:p>
      <w:pPr>
        <w:spacing w:after="0" w:line="229" w:lineRule="exact"/>
        <w:rPr>
          <w:rFonts w:ascii="Times New Roman" w:cs="Times New Roman" w:eastAsia="Times New Roman" w:hAnsi="Times New Roman"/>
          <w:sz w:val="18"/>
          <w:szCs w:val="18"/>
          <w:b w:val="1"/>
          <w:bCs w:val="1"/>
          <w:i w:val="1"/>
          <w:iCs w:val="1"/>
          <w:color w:val="010000"/>
        </w:rPr>
      </w:pPr>
    </w:p>
    <w:p>
      <w:pPr>
        <w:ind w:left="660"/>
        <w:spacing w:after="0" w:line="282"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Performance Period, for purposes of this Agreement, shall be determined by the Committee and shall be the period set forth in the Grant Notice.</w:t>
      </w:r>
    </w:p>
    <w:p>
      <w:pPr>
        <w:spacing w:after="0" w:line="157" w:lineRule="exact"/>
        <w:rPr>
          <w:rFonts w:ascii="Times New Roman" w:cs="Times New Roman" w:eastAsia="Times New Roman" w:hAnsi="Times New Roman"/>
          <w:sz w:val="18"/>
          <w:szCs w:val="18"/>
          <w:b w:val="1"/>
          <w:bCs w:val="1"/>
          <w:i w:val="1"/>
          <w:iCs w:val="1"/>
          <w:color w:val="010000"/>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Performance Goal and TSR</w:t>
      </w:r>
    </w:p>
    <w:p>
      <w:pPr>
        <w:spacing w:after="0" w:line="229" w:lineRule="exact"/>
        <w:rPr>
          <w:rFonts w:ascii="Times New Roman" w:cs="Times New Roman" w:eastAsia="Times New Roman" w:hAnsi="Times New Roman"/>
          <w:sz w:val="18"/>
          <w:szCs w:val="18"/>
          <w:b w:val="1"/>
          <w:bCs w:val="1"/>
          <w:i w:val="1"/>
          <w:iCs w:val="1"/>
          <w:color w:val="010000"/>
        </w:rPr>
      </w:pPr>
    </w:p>
    <w:p>
      <w:pPr>
        <w:ind w:left="660" w:right="20"/>
        <w:spacing w:after="0" w:line="254"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For purposes of this Agreement, TSR for the Company and each of the Peer Group Members shall be measured by dividing (i) the difference between (A) the sum of the average closing price of a share of such company’s common stock on the principal exchange on which such stock trades for the twenty (20) trading days occurring immediately prior to and including the first day of the Performance Period plus the value of dividends declared on the common stock of such company that are reinvested on an ex-dividend date (“</w:t>
      </w:r>
      <w:r>
        <w:rPr>
          <w:rFonts w:ascii="Times New Roman" w:cs="Times New Roman" w:eastAsia="Times New Roman" w:hAnsi="Times New Roman"/>
          <w:sz w:val="18"/>
          <w:szCs w:val="18"/>
          <w:u w:val="single" w:color="auto"/>
          <w:color w:val="auto"/>
        </w:rPr>
        <w:t>Reinvested Dividends</w:t>
      </w:r>
      <w:r>
        <w:rPr>
          <w:rFonts w:ascii="Times New Roman" w:cs="Times New Roman" w:eastAsia="Times New Roman" w:hAnsi="Times New Roman"/>
          <w:sz w:val="18"/>
          <w:szCs w:val="18"/>
          <w:color w:val="auto"/>
        </w:rPr>
        <w:t>”) occurring during the period described above (the “</w:t>
      </w:r>
      <w:r>
        <w:rPr>
          <w:rFonts w:ascii="Times New Roman" w:cs="Times New Roman" w:eastAsia="Times New Roman" w:hAnsi="Times New Roman"/>
          <w:sz w:val="18"/>
          <w:szCs w:val="18"/>
          <w:u w:val="single" w:color="auto"/>
          <w:color w:val="auto"/>
        </w:rPr>
        <w:t>Beginning Average Value</w:t>
      </w:r>
      <w:r>
        <w:rPr>
          <w:rFonts w:ascii="Times New Roman" w:cs="Times New Roman" w:eastAsia="Times New Roman" w:hAnsi="Times New Roman"/>
          <w:sz w:val="18"/>
          <w:szCs w:val="18"/>
          <w:color w:val="auto"/>
        </w:rPr>
        <w:t>”), and (B) the sum of the average closing price of a share of such stock on the principal exchange on which such stock trades for the twenty (20) trading days immediately prior to and including the last day of the Performance Period plus the value of any Reinvested Dividends during the period commencing after the end of the period described in Clause (A) above and ending and ending at the close of the Performance Period (the “</w:t>
      </w:r>
      <w:r>
        <w:rPr>
          <w:rFonts w:ascii="Times New Roman" w:cs="Times New Roman" w:eastAsia="Times New Roman" w:hAnsi="Times New Roman"/>
          <w:sz w:val="18"/>
          <w:szCs w:val="18"/>
          <w:u w:val="single" w:color="auto"/>
          <w:color w:val="auto"/>
        </w:rPr>
        <w:t>Ending Average Value</w:t>
      </w:r>
      <w:r>
        <w:rPr>
          <w:rFonts w:ascii="Times New Roman" w:cs="Times New Roman" w:eastAsia="Times New Roman" w:hAnsi="Times New Roman"/>
          <w:sz w:val="18"/>
          <w:szCs w:val="18"/>
          <w:color w:val="auto"/>
        </w:rPr>
        <w:t>”) (appropriately adjusted for any stock dividend, stock split, spin-off, merger or other similar corporate events affecting such stock), by (ii) the Beginning Average Value.</w:t>
      </w:r>
    </w:p>
    <w:p>
      <w:pPr>
        <w:spacing w:after="0" w:line="188" w:lineRule="exact"/>
        <w:rPr>
          <w:rFonts w:ascii="Times New Roman" w:cs="Times New Roman" w:eastAsia="Times New Roman" w:hAnsi="Times New Roman"/>
          <w:sz w:val="18"/>
          <w:szCs w:val="18"/>
          <w:b w:val="1"/>
          <w:bCs w:val="1"/>
          <w:i w:val="1"/>
          <w:iCs w:val="1"/>
          <w:color w:val="010000"/>
        </w:rPr>
      </w:pPr>
    </w:p>
    <w:p>
      <w:pPr>
        <w:ind w:left="660" w:right="12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 xml:space="preserve">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 All determinations under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made by the Committee.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Illustration of formula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4183380" cy="436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183380" cy="436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 Return</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500" w:type="dxa"/>
            <w:vAlign w:val="bottom"/>
            <w:gridSpan w:val="2"/>
          </w:tcPr>
          <w:p>
            <w:pPr>
              <w:jc w:val="center"/>
              <w:ind w:right="4860"/>
              <w:spacing w:after="0"/>
              <w:rPr>
                <w:sz w:val="20"/>
                <w:szCs w:val="20"/>
                <w:color w:val="auto"/>
              </w:rPr>
            </w:pPr>
            <w:r>
              <w:rPr>
                <w:rFonts w:ascii="Times New Roman" w:cs="Times New Roman" w:eastAsia="Times New Roman" w:hAnsi="Times New Roman"/>
                <w:sz w:val="18"/>
                <w:szCs w:val="18"/>
                <w:color w:val="auto"/>
                <w:w w:val="98"/>
              </w:rPr>
              <w:t>Ending Average Value – Beginning Average Value</w:t>
            </w:r>
          </w:p>
        </w:tc>
      </w:tr>
      <w:tr>
        <w:trPr>
          <w:trHeight w:val="237"/>
        </w:trPr>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Beginning Average Value</w:t>
            </w:r>
          </w:p>
        </w:tc>
        <w:tc>
          <w:tcPr>
            <w:tcW w:w="4860" w:type="dxa"/>
            <w:vAlign w:val="bottom"/>
          </w:tcPr>
          <w:p>
            <w:pPr>
              <w:spacing w:after="0"/>
              <w:rPr>
                <w:sz w:val="20"/>
                <w:szCs w:val="20"/>
                <w:color w:val="auto"/>
              </w:rPr>
            </w:pPr>
          </w:p>
        </w:tc>
      </w:tr>
      <w:tr>
        <w:trPr>
          <w:trHeight w:val="688"/>
        </w:trPr>
        <w:tc>
          <w:tcPr>
            <w:tcW w:w="2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ind w:left="248" w:hanging="248"/>
        <w:spacing w:after="0"/>
        <w:tabs>
          <w:tab w:leader="none" w:pos="248" w:val="left"/>
        </w:tabs>
        <w:numPr>
          <w:ilvl w:val="0"/>
          <w:numId w:val="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Settlement of Final Award</w:t>
      </w:r>
    </w:p>
    <w:p>
      <w:pPr>
        <w:spacing w:after="0" w:line="229"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8"/>
          <w:szCs w:val="18"/>
          <w:color w:val="auto"/>
        </w:rPr>
        <w:t xml:space="preserve">As soon as reasonably practicable following the Restricted Period and the completion of all determinations and certifications contemplated by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but in any event during the period commencing on April 15 and ending no later than June 30 of the year following the year in which the Performance Period ends, subject to satisfaction of applicable tax withholding obligations in accordance with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 xml:space="preserve">, the Company shall cause to be paid to the Participant the number of shares of the Company’s Class C Common Stock equal to the number of RPSUs representing the Final Award, as determined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Notwithstanding the foregoing, if the Participant incurs a Termination of Service as described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under circumstances where the Final Award, if any, is determined and becomes payable prior to the close of the Restricted Period, then such payment shall be made within sixty (60) days after the date a Final Award, if any, is determined or becomes payable, as described in the applicable subsection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subject to the following paragraph and satisfaction of applicable tax withholding obligations in accordance with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the contrary, if at the time of the Participant’s separation from service within the meaning of Code Section 409A, the Participant is a “specified employee” within the meaning of Code Section 409A, then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79" w:lineRule="exact"/>
        <w:rPr>
          <w:sz w:val="20"/>
          <w:szCs w:val="20"/>
          <w:color w:val="auto"/>
        </w:rPr>
      </w:pPr>
    </w:p>
    <w:p>
      <w:pPr>
        <w:ind w:left="248" w:hanging="248"/>
        <w:spacing w:after="0"/>
        <w:tabs>
          <w:tab w:leader="none" w:pos="248" w:val="left"/>
        </w:tabs>
        <w:numPr>
          <w:ilvl w:val="0"/>
          <w:numId w:val="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Dividend Equivalent Rights</w:t>
      </w:r>
    </w:p>
    <w:p>
      <w:pPr>
        <w:spacing w:after="0" w:line="229" w:lineRule="exact"/>
        <w:rPr>
          <w:sz w:val="20"/>
          <w:szCs w:val="20"/>
          <w:color w:val="auto"/>
        </w:rPr>
      </w:pPr>
    </w:p>
    <w:p>
      <w:pPr>
        <w:ind w:left="8"/>
        <w:spacing w:after="0" w:line="252" w:lineRule="auto"/>
        <w:rPr>
          <w:sz w:val="20"/>
          <w:szCs w:val="20"/>
          <w:color w:val="auto"/>
        </w:rPr>
      </w:pPr>
      <w:r>
        <w:rPr>
          <w:rFonts w:ascii="Times New Roman" w:cs="Times New Roman" w:eastAsia="Times New Roman" w:hAnsi="Times New Roman"/>
          <w:sz w:val="18"/>
          <w:szCs w:val="18"/>
          <w:color w:val="auto"/>
        </w:rPr>
        <w:t>Cash dividends on shares of Class C Common Stock issuable hereunder shall be credited to a dividend book entry account on behalf of the Participant with respect to the RPSUs granted hereunder; provided that such cash dividends shall be deemed to be reinvested in shares of Class C Common Stock immediately following the time declared at the then Fair Market Value of the Class C Common Stock. Such reinvested cash dividends shall be recorded for book entry purposes as additional RPSUs that are subject to this Award, the number of which shall correlate to the number of deemed shares of Class C Common Stock described in the preceding sentence. Such additional RPSUs shall vest and be paid to the same extent and at the same times that the Class C Common Stock underlying the Final Award vest and are delivered to the Participant in accordance with the provisions hereof. Subject to Section 20 of the Plan, stock dividends on shares of Class C Common Stock issuable hereunder shall be credited to a dividend book entry account on behalf of the Participant with respect to the RPSUs granted hereunder. Subject to Section 20 of the Plan, such stock dividends shall be recorded for book entry purposes as additional RPSUs that are subject to this Award, the number of which shall be based on the number of additional shares of Class C Common Stock that relate to this Award as a result of the stock dividend described in the preceding sentence. Such additional RPSUs shall vest and be paid to the same extent and at the same times that the Class C Common Stock underlying the Final Award vest and are delivered to the Participant in accordance with the provisions hereof. Notwithstanding the foregoing, in the event that there are insufficient shares of Class C Common Stock available in the Plan to settle the accrued dividend book entry account in shares of Class C Common Stock, such accrued book entry account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the RPSUs granted hereunder unless and until the Participant has become the holder of record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426720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64" w:name="page65"/>
    <w:bookmarkEnd w:id="64"/>
    <w:p>
      <w:pPr>
        <w:ind w:left="248" w:hanging="248"/>
        <w:spacing w:after="0"/>
        <w:tabs>
          <w:tab w:leader="none" w:pos="248" w:val="left"/>
        </w:tabs>
        <w:numPr>
          <w:ilvl w:val="0"/>
          <w:numId w:val="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Transfer of RPSUs</w:t>
      </w:r>
    </w:p>
    <w:p>
      <w:pPr>
        <w:spacing w:after="0" w:line="229" w:lineRule="exact"/>
        <w:rPr>
          <w:sz w:val="20"/>
          <w:szCs w:val="20"/>
          <w:color w:val="auto"/>
        </w:rPr>
      </w:pPr>
    </w:p>
    <w:p>
      <w:pPr>
        <w:ind w:left="8" w:right="36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permitted by the Committee or Section 16 of the Plan, no award or right granted hereunder may be sold, transferred, pledged, assigned or otherwise alienated or hypothecated, other than pursuant to a will or the laws of descent and distribution. Any attempted disposition in violation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Section 16 of the Plan shall be void.</w:t>
      </w:r>
    </w:p>
    <w:p>
      <w:pPr>
        <w:spacing w:after="0" w:line="172" w:lineRule="exact"/>
        <w:rPr>
          <w:sz w:val="20"/>
          <w:szCs w:val="20"/>
          <w:color w:val="auto"/>
        </w:rPr>
      </w:pPr>
    </w:p>
    <w:p>
      <w:pPr>
        <w:ind w:left="248" w:hanging="248"/>
        <w:spacing w:after="0"/>
        <w:tabs>
          <w:tab w:leader="none" w:pos="248" w:val="left"/>
        </w:tabs>
        <w:numPr>
          <w:ilvl w:val="0"/>
          <w:numId w:val="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Status of Participant</w:t>
      </w:r>
    </w:p>
    <w:p>
      <w:pPr>
        <w:spacing w:after="0" w:line="229"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8"/>
          <w:szCs w:val="18"/>
          <w:color w:val="auto"/>
        </w:rPr>
        <w:t>The Participant shall not be, and, except as otherwise provided herein, shall not have rights as, a stockholder of the Company with respect to any of the shares of Class C Common Stock subject to, or underlying, the Target Award or Final Award, unless such shares have been issued and delivered to the Participant pursuant to the terms of this Agreement. The Company shall not be required to issue or transfer any certificates for shares of Class C Common Stock, unless such shares are duly listed on a securities exchange on which the Class C Common Stock may then be listed and until all applicable requirements of law have been complied with.</w:t>
      </w:r>
    </w:p>
    <w:p>
      <w:pPr>
        <w:spacing w:after="0" w:line="179" w:lineRule="exact"/>
        <w:rPr>
          <w:sz w:val="20"/>
          <w:szCs w:val="20"/>
          <w:color w:val="auto"/>
        </w:rPr>
      </w:pPr>
    </w:p>
    <w:p>
      <w:pPr>
        <w:ind w:left="248" w:hanging="248"/>
        <w:spacing w:after="0"/>
        <w:tabs>
          <w:tab w:leader="none" w:pos="248" w:val="left"/>
        </w:tabs>
        <w:numPr>
          <w:ilvl w:val="0"/>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No Effect on Capital Structure</w:t>
      </w:r>
    </w:p>
    <w:p>
      <w:pPr>
        <w:spacing w:after="0" w:line="229"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158" w:lineRule="exact"/>
        <w:rPr>
          <w:sz w:val="20"/>
          <w:szCs w:val="20"/>
          <w:color w:val="auto"/>
        </w:rPr>
      </w:pPr>
    </w:p>
    <w:p>
      <w:pPr>
        <w:ind w:left="248" w:hanging="248"/>
        <w:spacing w:after="0"/>
        <w:tabs>
          <w:tab w:leader="none" w:pos="248" w:val="left"/>
        </w:tabs>
        <w:numPr>
          <w:ilvl w:val="0"/>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Expiration and Forfeiture of Award</w:t>
      </w:r>
    </w:p>
    <w:p>
      <w:pPr>
        <w:spacing w:after="0" w:line="229" w:lineRule="exact"/>
        <w:rPr>
          <w:sz w:val="20"/>
          <w:szCs w:val="20"/>
          <w:color w:val="auto"/>
        </w:rPr>
      </w:pPr>
    </w:p>
    <w:p>
      <w:pPr>
        <w:ind w:left="8" w:right="820"/>
        <w:spacing w:after="0" w:line="312" w:lineRule="auto"/>
        <w:rPr>
          <w:sz w:val="20"/>
          <w:szCs w:val="20"/>
          <w:color w:val="auto"/>
        </w:rPr>
      </w:pPr>
      <w:r>
        <w:rPr>
          <w:rFonts w:ascii="Times New Roman" w:cs="Times New Roman" w:eastAsia="Times New Roman" w:hAnsi="Times New Roman"/>
          <w:sz w:val="17"/>
          <w:szCs w:val="17"/>
          <w:color w:val="auto"/>
        </w:rPr>
        <w:t xml:space="preserve">The Final Award, if any, shall vest and be paid, as applicable, and/or expire in the circumstances described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As used herein, “</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means termination of a Participant’s employment by, or service to, the Company, including any of its Affiliates.</w:t>
      </w:r>
    </w:p>
    <w:p>
      <w:pPr>
        <w:spacing w:after="0" w:line="136" w:lineRule="exact"/>
        <w:rPr>
          <w:sz w:val="20"/>
          <w:szCs w:val="20"/>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Death</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46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 xml:space="preserve">Upon a Termination of Service during the Restricted Period by reason of the Participant’s death, a Final Award equal to one hundred percent (100%) of the Target Award shall vest automatically and be paid to the Participant’s legal representatives, heirs, legatees, or distributees in accordance with the second sentence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39"/>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Retirement</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40"/>
        <w:spacing w:after="0" w:line="254"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 xml:space="preserve">Upon a Termination of Service during the Restricted Period as a result of the Participant terminating his or her employment due to Retirement, the Participant shall continue to be eligible to receive a Final Award, if any, as though the Participant was continuously employed by the Company throughout the Restricted Period; provided that such Retirement occurs (i) more than twelve (12) months following the Date of Grant and (ii) at a time when the Participant is not being evaluated by the Company or an Affiliate thereof in connection with any potential involuntary Termination of Service due to Cause, in which case the Final Award, if any, shall be determined in accordance with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paid, if at all, pursuant to the first sentence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provided that, in the event such Retirement occurs prior to the close of the Performance Period, the determination and payment of the number of shares of the Company’s Class C Common Stock equal to the number of RPSUs representing the Final Award shall be completed prior to March 15th of the year following the year in which the Performance Period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424815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65" w:name="page66"/>
    <w:bookmarkEnd w:id="65"/>
    <w:p>
      <w:pPr>
        <w:ind w:left="328" w:hanging="328"/>
        <w:spacing w:after="0"/>
        <w:tabs>
          <w:tab w:leader="none" w:pos="328" w:val="left"/>
        </w:tabs>
        <w:numPr>
          <w:ilvl w:val="0"/>
          <w:numId w:val="4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Disability</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81"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7"/>
          <w:szCs w:val="17"/>
          <w:color w:val="auto"/>
        </w:rPr>
        <w:t xml:space="preserve">Upon the occurrence of the Participant’s Disability during the Restricted Period, a Final Award equal to one hundred percent (100%) of the Target Award shall vest automatically and be paid to the Participant in accordance with the second sentence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For purposes of this Agreement, “Disability” means the Participant being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0"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Change in Control</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53"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 xml:space="preserve">Notwithstanding any provision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the contrary, (i) in connection with a Change in Control, the Payout Percentage shall be deemed met at no less than 100% (or, if greater, the Payout Percentage determined based on actual performance (and, if the Performance Period has not otherwise ended prior to the date of the Change in Control, the Performance Period will be deemed to have ended as of the last quarter ended prior to the date of the Change in Control) and (ii) upon a Termination of Service during the Restricted Period as a result of the Company terminating the Participant’s employment without Cause or the Participant’s resignation for Good Reason in connection with a Change in Control, the Final Award shall be deemed to have vested in full as of immediately prior to such termination or such resignation (as applicable). To the extent the Final Award is vested pursuant to the preceding sentence, the Final Award shall be paid to the Participant in accordance with the second sentence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Company’s termination of the Participant’s employment or the Participant’s resignation for Good Reason shall be treated as being in connection with a Change in Control only if such termination or such resignation occurs during the period beginning six (6) months prior to the Change in Control and ending twenty-four (24) months following the Change in Control.</w:t>
      </w:r>
    </w:p>
    <w:p>
      <w:pPr>
        <w:spacing w:after="0" w:line="194" w:lineRule="exact"/>
        <w:rPr>
          <w:rFonts w:ascii="Times New Roman" w:cs="Times New Roman" w:eastAsia="Times New Roman" w:hAnsi="Times New Roman"/>
          <w:sz w:val="18"/>
          <w:szCs w:val="18"/>
          <w:b w:val="1"/>
          <w:bCs w:val="1"/>
          <w:i w:val="1"/>
          <w:iCs w:val="1"/>
          <w:color w:val="010000"/>
        </w:rPr>
      </w:pPr>
    </w:p>
    <w:p>
      <w:pPr>
        <w:ind w:left="328" w:right="200"/>
        <w:spacing w:after="0" w:line="282"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“Good Reason” has the meaning ascribed to such term in the Amended and Restated Employment Agreement by and among the Participant, the Company and certain other parties thereto, dated as of April 30, 2024 (as amended from time to time).</w:t>
      </w:r>
    </w:p>
    <w:p>
      <w:pPr>
        <w:spacing w:after="0" w:line="157"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Termination of Service other than as a result of Death, Retirement or Change in Control</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81"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7"/>
          <w:szCs w:val="17"/>
          <w:color w:val="auto"/>
        </w:rPr>
        <w:t>Upon a Termination of Service during the Restricted Period by any reason other than death, Retirement or in connection with a Change in Control, including, without limitation, as a result of retirement that does not meet the requirements set forth in the definition of Retirement under the Plan, voluntary resignation (other than pursuant to a Retirement as defined in the Plan or for Good Reason in connection with a Change in Control, as described above) or termination for Cause, any award or right granted hereunder shall expire and be forfeited, and no Final Award shall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407670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66" w:name="page67"/>
    <w:bookmarkEnd w:id="66"/>
    <w:p>
      <w:pPr>
        <w:ind w:left="328" w:hanging="328"/>
        <w:spacing w:after="0"/>
        <w:tabs>
          <w:tab w:leader="none" w:pos="328" w:val="left"/>
        </w:tabs>
        <w:numPr>
          <w:ilvl w:val="0"/>
          <w:numId w:val="41"/>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Clawback as a result of misconduct, etc.</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53"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Unless otherwise determined by the Committee, (i) if the Company is required to prepare a material restatement of its financial statements, and the Committee (A) determines that the Participant knowingly engaged in the misconduct, was grossly negligent with respect to such misconduct, or acted knowingly or with gross negligence in failing to prevent the misconduct, or (B) concludes that the Participant engaged in willful fraud, embezzlement or other similar activity (including acts of omission) materially detrimental to the Company, or (ii) if the Company is required to prepare a restatement of its financial statements due to the Company’s noncompliance with any financial reporting requirement under the securities laws, including the Dodd-Frank Wall Street Reform and Consumer Protection Act and implementing rules and regulations thereunder, then, in each case, the Participant (or the Participant’s beneficiary) shall, as required by the Company or pursuant to its applicable policies or as required under applicable law, reimburse the Company for all or any portion of the Final Award, and/or forfeit the proceeds of any sale (including any sales to the Company) of any Company securities acquired by or on behalf of the Participant (or the Participant’s beneficiary) pursuant to the Final Award paid under this Agreement.</w:t>
      </w:r>
    </w:p>
    <w:p>
      <w:pPr>
        <w:spacing w:after="0" w:line="190" w:lineRule="exact"/>
        <w:rPr>
          <w:sz w:val="20"/>
          <w:szCs w:val="20"/>
          <w:color w:val="auto"/>
        </w:rPr>
      </w:pPr>
    </w:p>
    <w:p>
      <w:pPr>
        <w:ind w:left="248" w:hanging="248"/>
        <w:spacing w:after="0"/>
        <w:tabs>
          <w:tab w:leader="none" w:pos="248" w:val="left"/>
        </w:tabs>
        <w:numPr>
          <w:ilvl w:val="0"/>
          <w:numId w:val="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Committee Authority</w:t>
      </w:r>
    </w:p>
    <w:p>
      <w:pPr>
        <w:spacing w:after="0" w:line="229" w:lineRule="exact"/>
        <w:rPr>
          <w:sz w:val="20"/>
          <w:szCs w:val="20"/>
          <w:color w:val="auto"/>
        </w:rPr>
      </w:pPr>
    </w:p>
    <w:p>
      <w:pPr>
        <w:ind w:left="8" w:right="40"/>
        <w:spacing w:after="0" w:line="266" w:lineRule="auto"/>
        <w:rPr>
          <w:sz w:val="20"/>
          <w:szCs w:val="20"/>
          <w:color w:val="auto"/>
        </w:rPr>
      </w:pPr>
      <w:r>
        <w:rPr>
          <w:rFonts w:ascii="Times New Roman" w:cs="Times New Roman" w:eastAsia="Times New Roman" w:hAnsi="Times New Roman"/>
          <w:sz w:val="18"/>
          <w:szCs w:val="18"/>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72" w:lineRule="exact"/>
        <w:rPr>
          <w:sz w:val="20"/>
          <w:szCs w:val="20"/>
          <w:color w:val="auto"/>
        </w:rPr>
      </w:pPr>
    </w:p>
    <w:p>
      <w:pPr>
        <w:ind w:left="248" w:hanging="248"/>
        <w:spacing w:after="0"/>
        <w:tabs>
          <w:tab w:leader="none" w:pos="248" w:val="left"/>
        </w:tabs>
        <w:numPr>
          <w:ilvl w:val="0"/>
          <w:numId w:val="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Plan Controls</w:t>
      </w:r>
    </w:p>
    <w:p>
      <w:pPr>
        <w:spacing w:after="0" w:line="229" w:lineRule="exact"/>
        <w:rPr>
          <w:sz w:val="20"/>
          <w:szCs w:val="20"/>
          <w:color w:val="auto"/>
        </w:rPr>
      </w:pPr>
    </w:p>
    <w:p>
      <w:pPr>
        <w:ind w:left="8" w:right="20"/>
        <w:spacing w:after="0" w:line="312" w:lineRule="auto"/>
        <w:rPr>
          <w:sz w:val="20"/>
          <w:szCs w:val="20"/>
          <w:color w:val="auto"/>
        </w:rPr>
      </w:pPr>
      <w:r>
        <w:rPr>
          <w:rFonts w:ascii="Times New Roman" w:cs="Times New Roman" w:eastAsia="Times New Roman" w:hAnsi="Times New Roman"/>
          <w:sz w:val="17"/>
          <w:szCs w:val="17"/>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spacing w:after="0" w:line="136" w:lineRule="exact"/>
        <w:rPr>
          <w:sz w:val="20"/>
          <w:szCs w:val="20"/>
          <w:color w:val="auto"/>
        </w:rPr>
      </w:pPr>
    </w:p>
    <w:p>
      <w:pPr>
        <w:ind w:left="248" w:hanging="248"/>
        <w:spacing w:after="0"/>
        <w:tabs>
          <w:tab w:leader="none" w:pos="248" w:val="left"/>
        </w:tabs>
        <w:numPr>
          <w:ilvl w:val="0"/>
          <w:numId w:val="4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Limitation on Rights; No Right to Future Grants</w:t>
      </w:r>
    </w:p>
    <w:p>
      <w:pPr>
        <w:spacing w:after="0" w:line="229" w:lineRule="exact"/>
        <w:rPr>
          <w:sz w:val="20"/>
          <w:szCs w:val="20"/>
          <w:color w:val="auto"/>
        </w:rPr>
      </w:pPr>
    </w:p>
    <w:p>
      <w:pPr>
        <w:ind w:left="8" w:right="80"/>
        <w:spacing w:after="0" w:line="253" w:lineRule="auto"/>
        <w:rPr>
          <w:sz w:val="20"/>
          <w:szCs w:val="20"/>
          <w:color w:val="auto"/>
        </w:rPr>
      </w:pPr>
      <w:r>
        <w:rPr>
          <w:rFonts w:ascii="Times New Roman" w:cs="Times New Roman" w:eastAsia="Times New Roman" w:hAnsi="Times New Roman"/>
          <w:sz w:val="18"/>
          <w:szCs w:val="18"/>
          <w:color w:val="auto"/>
        </w:rPr>
        <w:t xml:space="preserve">By entering into this Agreement, the Participant acknowledges that: (a) the Plan is discretionary and may be modified, suspended or terminated by the Company at any time, as provided in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Section 22 of the Plan, no amendment to this Agreement shall adversely affect in a material manner the Participant’s rights hereunder without his or her written consent; (b) the grant of the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w:t>
      </w:r>
    </w:p>
    <w:p>
      <w:pPr>
        <w:spacing w:after="0" w:line="5" w:lineRule="exact"/>
        <w:rPr>
          <w:sz w:val="20"/>
          <w:szCs w:val="20"/>
          <w:color w:val="auto"/>
        </w:rPr>
      </w:pPr>
    </w:p>
    <w:p>
      <w:pPr>
        <w:ind w:left="8" w:hanging="8"/>
        <w:spacing w:after="0" w:line="251"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(g) the future value of the Class C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Affiliate, nor do they limit in any respect the right of the Company or any Affiliate to terminate the Participant’s employment or other relationship with the Company or any Affiliate, as the case may be, at any time with or without Cause; and (i) the grant of the Award will not be interpreted to form an employment relationship with the Company or any Affiliate; and furthermore, the grant of the Award will not be interpreted to form an employment contract with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425450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67" w:name="page68"/>
    <w:bookmarkEnd w:id="67"/>
    <w:p>
      <w:pPr>
        <w:ind w:left="248" w:hanging="248"/>
        <w:spacing w:after="0"/>
        <w:tabs>
          <w:tab w:leader="none" w:pos="248" w:val="left"/>
        </w:tabs>
        <w:numPr>
          <w:ilvl w:val="0"/>
          <w:numId w:val="4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left="328" w:hanging="328"/>
        <w:spacing w:after="0"/>
        <w:tabs>
          <w:tab w:leader="none" w:pos="328" w:val="left"/>
        </w:tabs>
        <w:numPr>
          <w:ilvl w:val="0"/>
          <w:numId w:val="47"/>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Notice</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55"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0868"/>
          </w:cols>
          <w:pgMar w:left="652" w:top="900" w:right="379" w:bottom="1440" w:gutter="0" w:footer="0" w:header="0"/>
        </w:sectPr>
      </w:pPr>
    </w:p>
    <w:p>
      <w:pPr>
        <w:spacing w:after="0" w:line="189"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EVP, General Counsel &amp; Corporate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08450</w:t>
      </w:r>
    </w:p>
    <w:p>
      <w:pPr>
        <w:spacing w:after="0" w:line="200" w:lineRule="exact"/>
        <w:rPr>
          <w:sz w:val="20"/>
          <w:szCs w:val="20"/>
          <w:color w:val="auto"/>
        </w:rPr>
      </w:pPr>
    </w:p>
    <w:p>
      <w:pPr>
        <w:sectPr>
          <w:pgSz w:w="11900" w:h="16838" w:orient="portrait"/>
          <w:cols w:equalWidth="0" w:num="2">
            <w:col w:w="1648" w:space="720"/>
            <w:col w:w="8500"/>
          </w:cols>
          <w:pgMar w:left="652" w:top="900" w:right="379" w:bottom="1440" w:gutter="0" w:footer="0" w:header="0"/>
          <w:type w:val="continuous"/>
        </w:sectPr>
      </w:pPr>
    </w:p>
    <w:p>
      <w:pPr>
        <w:spacing w:after="0" w:line="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Company or the Participant may change, by written notice to the other, the address previously specified for receiving notices.</w:t>
      </w:r>
    </w:p>
    <w:p>
      <w:pPr>
        <w:spacing w:after="0" w:line="221" w:lineRule="exact"/>
        <w:rPr>
          <w:sz w:val="20"/>
          <w:szCs w:val="20"/>
          <w:color w:val="auto"/>
        </w:rPr>
      </w:pPr>
    </w:p>
    <w:p>
      <w:pPr>
        <w:ind w:left="328" w:hanging="328"/>
        <w:spacing w:after="0"/>
        <w:tabs>
          <w:tab w:leader="none" w:pos="328" w:val="left"/>
        </w:tabs>
        <w:numPr>
          <w:ilvl w:val="0"/>
          <w:numId w:val="48"/>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No Waiver</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14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71"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8"/>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Undertaking</w:t>
      </w:r>
    </w:p>
    <w:p>
      <w:pPr>
        <w:spacing w:after="0" w:line="229" w:lineRule="exact"/>
        <w:rPr>
          <w:rFonts w:ascii="Times New Roman" w:cs="Times New Roman" w:eastAsia="Times New Roman" w:hAnsi="Times New Roman"/>
          <w:sz w:val="18"/>
          <w:szCs w:val="18"/>
          <w:b w:val="1"/>
          <w:bCs w:val="1"/>
          <w:i w:val="1"/>
          <w:iCs w:val="1"/>
          <w:color w:val="010000"/>
        </w:rPr>
      </w:pPr>
    </w:p>
    <w:p>
      <w:pPr>
        <w:jc w:val="both"/>
        <w:ind w:left="328" w:right="40"/>
        <w:spacing w:after="0" w:line="26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71"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8"/>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Entire Contract</w:t>
      </w:r>
    </w:p>
    <w:p>
      <w:pPr>
        <w:spacing w:after="0" w:line="229" w:lineRule="exact"/>
        <w:rPr>
          <w:rFonts w:ascii="Times New Roman" w:cs="Times New Roman" w:eastAsia="Times New Roman" w:hAnsi="Times New Roman"/>
          <w:sz w:val="18"/>
          <w:szCs w:val="18"/>
          <w:b w:val="1"/>
          <w:bCs w:val="1"/>
          <w:i w:val="1"/>
          <w:iCs w:val="1"/>
          <w:color w:val="010000"/>
        </w:rPr>
      </w:pPr>
    </w:p>
    <w:p>
      <w:pPr>
        <w:jc w:val="both"/>
        <w:ind w:left="328" w:right="140"/>
        <w:spacing w:after="0" w:line="312"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7"/>
          <w:szCs w:val="17"/>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391795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0" w:right="379" w:bottom="1440" w:gutter="0" w:footer="0" w:header="0"/>
          <w:type w:val="continuous"/>
        </w:sectPr>
      </w:pPr>
    </w:p>
    <w:bookmarkStart w:id="68" w:name="page69"/>
    <w:bookmarkEnd w:id="68"/>
    <w:p>
      <w:pPr>
        <w:ind w:left="328" w:hanging="328"/>
        <w:spacing w:after="0"/>
        <w:tabs>
          <w:tab w:leader="none" w:pos="328" w:val="left"/>
        </w:tabs>
        <w:numPr>
          <w:ilvl w:val="0"/>
          <w:numId w:val="49"/>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Successors and Assigns</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140"/>
        <w:spacing w:after="0" w:line="282"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provisions of this Agreement shall inure to the benefit of, and be binding on, the Company and its successors and assigns and the Participant and the Participant's legal representatives, heirs, legatees, distributees, assigns and transferees by operation of law.</w:t>
      </w:r>
    </w:p>
    <w:p>
      <w:pPr>
        <w:spacing w:after="0" w:line="157"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9"/>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Securities Law Compliance</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40"/>
        <w:spacing w:after="0" w:line="253"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Company currently has an effective registration statement on file with the Securities and Exchange Commission with respect to the shares of Class C Common Stock underlying the RPSUs awarded under this Agreement. The Company intends to maintain this registration statement but has no obligation to the Participant to do so. If the registration statement ceases to be effective, the Participant may not be able to transfer or sell any shares of Class C Common Stock that are issued pursuant to the Award, unless exemptions from registration under applicable securities laws are available. Such exemptions from registration are very limited and might be unavailable. The Participant agrees that any resale of the shares of Class C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90"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9"/>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Taxes</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54"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Participant acknowledges that the removal of restrictions with respect to an Award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w:t>
      </w:r>
    </w:p>
    <w:p>
      <w:pPr>
        <w:spacing w:after="0" w:line="3" w:lineRule="exact"/>
        <w:rPr>
          <w:rFonts w:ascii="Times New Roman" w:cs="Times New Roman" w:eastAsia="Times New Roman" w:hAnsi="Times New Roman"/>
          <w:sz w:val="18"/>
          <w:szCs w:val="18"/>
          <w:b w:val="1"/>
          <w:bCs w:val="1"/>
          <w:i w:val="1"/>
          <w:iCs w:val="1"/>
          <w:color w:val="010000"/>
        </w:rPr>
      </w:pPr>
    </w:p>
    <w:p>
      <w:pPr>
        <w:ind w:left="328" w:right="140"/>
        <w:spacing w:after="0" w:line="260"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77"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49"/>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Confidentiality</w:t>
      </w:r>
    </w:p>
    <w:p>
      <w:pPr>
        <w:spacing w:after="0" w:line="229" w:lineRule="exact"/>
        <w:rPr>
          <w:rFonts w:ascii="Times New Roman" w:cs="Times New Roman" w:eastAsia="Times New Roman" w:hAnsi="Times New Roman"/>
          <w:sz w:val="18"/>
          <w:szCs w:val="18"/>
          <w:b w:val="1"/>
          <w:bCs w:val="1"/>
          <w:i w:val="1"/>
          <w:iCs w:val="1"/>
          <w:color w:val="010000"/>
        </w:rPr>
      </w:pPr>
    </w:p>
    <w:p>
      <w:pPr>
        <w:jc w:val="both"/>
        <w:ind w:left="328" w:right="80"/>
        <w:spacing w:after="0" w:line="261"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obtain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417195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0" w:right="359" w:bottom="1440" w:gutter="0" w:footer="0" w:header="0"/>
        </w:sectPr>
      </w:pPr>
    </w:p>
    <w:bookmarkStart w:id="69" w:name="page70"/>
    <w:bookmarkEnd w:id="69"/>
    <w:p>
      <w:pPr>
        <w:ind w:left="328" w:hanging="328"/>
        <w:spacing w:after="0"/>
        <w:tabs>
          <w:tab w:leader="none" w:pos="328" w:val="left"/>
        </w:tabs>
        <w:numPr>
          <w:ilvl w:val="0"/>
          <w:numId w:val="5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Governing Law</w:t>
      </w:r>
    </w:p>
    <w:p>
      <w:pPr>
        <w:spacing w:after="0" w:line="229" w:lineRule="exact"/>
        <w:rPr>
          <w:rFonts w:ascii="Times New Roman" w:cs="Times New Roman" w:eastAsia="Times New Roman" w:hAnsi="Times New Roman"/>
          <w:sz w:val="18"/>
          <w:szCs w:val="18"/>
          <w:b w:val="1"/>
          <w:bCs w:val="1"/>
          <w:i w:val="1"/>
          <w:iCs w:val="1"/>
          <w:color w:val="010000"/>
        </w:rPr>
      </w:pPr>
    </w:p>
    <w:p>
      <w:pPr>
        <w:ind w:left="328"/>
        <w:spacing w:after="0" w:line="282"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Except as may otherwise be provided in the Plan, the provisions of this Agreement shall be governed by the laws of the State of Delaware without giving effect to principles of conflicts of law.</w:t>
      </w:r>
    </w:p>
    <w:p>
      <w:pPr>
        <w:spacing w:after="0" w:line="157" w:lineRule="exact"/>
        <w:rPr>
          <w:rFonts w:ascii="Times New Roman" w:cs="Times New Roman" w:eastAsia="Times New Roman" w:hAnsi="Times New Roman"/>
          <w:sz w:val="18"/>
          <w:szCs w:val="18"/>
          <w:b w:val="1"/>
          <w:bCs w:val="1"/>
          <w:i w:val="1"/>
          <w:iCs w:val="1"/>
          <w:color w:val="010000"/>
        </w:rPr>
      </w:pPr>
    </w:p>
    <w:p>
      <w:pPr>
        <w:ind w:left="328" w:hanging="328"/>
        <w:spacing w:after="0"/>
        <w:tabs>
          <w:tab w:leader="none" w:pos="328" w:val="left"/>
        </w:tabs>
        <w:numPr>
          <w:ilvl w:val="0"/>
          <w:numId w:val="50"/>
        </w:numPr>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b w:val="1"/>
          <w:bCs w:val="1"/>
          <w:i w:val="1"/>
          <w:iCs w:val="1"/>
          <w:color w:val="auto"/>
        </w:rPr>
        <w:t>Code Section 409A Compliance</w:t>
      </w:r>
    </w:p>
    <w:p>
      <w:pPr>
        <w:spacing w:after="0" w:line="229" w:lineRule="exact"/>
        <w:rPr>
          <w:rFonts w:ascii="Times New Roman" w:cs="Times New Roman" w:eastAsia="Times New Roman" w:hAnsi="Times New Roman"/>
          <w:sz w:val="18"/>
          <w:szCs w:val="18"/>
          <w:b w:val="1"/>
          <w:bCs w:val="1"/>
          <w:i w:val="1"/>
          <w:iCs w:val="1"/>
          <w:color w:val="010000"/>
        </w:rPr>
      </w:pPr>
    </w:p>
    <w:p>
      <w:pPr>
        <w:ind w:left="328" w:right="80"/>
        <w:spacing w:after="0" w:line="256" w:lineRule="auto"/>
        <w:rPr>
          <w:rFonts w:ascii="Times New Roman" w:cs="Times New Roman" w:eastAsia="Times New Roman" w:hAnsi="Times New Roman"/>
          <w:sz w:val="18"/>
          <w:szCs w:val="18"/>
          <w:b w:val="1"/>
          <w:bCs w:val="1"/>
          <w:i w:val="1"/>
          <w:iCs w:val="1"/>
          <w:color w:val="010000"/>
        </w:rPr>
      </w:pPr>
      <w:r>
        <w:rPr>
          <w:rFonts w:ascii="Times New Roman" w:cs="Times New Roman" w:eastAsia="Times New Roman" w:hAnsi="Times New Roman"/>
          <w:sz w:val="18"/>
          <w:szCs w:val="18"/>
          <w:color w:val="auto"/>
        </w:rPr>
        <w:t>The Award hereunder is intended to be exempt from, or compliant with, Code Section 409A and, in construing any ambiguity regarding a matter hereunder that bears upon its exemption from, or compliance with, Code Section 409A, this Agreement and the Plan shall, to the extent possible, be construed in accordance with such intent. To the extent that the Committee determines that the Award hereunder is subject to Code Section 409A and fails to comply with the requirements of such Section, notwithstanding anything to the contrary contained in the Plan or in this Agreement, the Committee reserves the right to amend, restructure, terminate or replace this Award in order to cause the Award to either be exempt from Code Section 409A or compliant with the applicable provisions of such Section.</w:t>
      </w:r>
    </w:p>
    <w:p>
      <w:pPr>
        <w:spacing w:after="0" w:line="185"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447040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8"/>
          </w:cols>
          <w:pgMar w:left="652" w:top="900"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as of the Date of Grant.</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294005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Title:  EVP,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6080" w:type="dxa"/>
            <w:vAlign w:val="bottom"/>
            <w:gridSpan w:val="4"/>
          </w:tcPr>
          <w:p>
            <w:pPr>
              <w:jc w:val="center"/>
              <w:ind w:right="516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 PEER GROUP</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TICKER</w:t>
            </w:r>
          </w:p>
        </w:tc>
        <w:tc>
          <w:tcPr>
            <w:tcW w:w="4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Algonquin Power &amp; Utilities Corp.</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AQN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ALLETE,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ALE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Atlantica Sustainable Infrastructure plc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AY</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Avista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AVA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 Hills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BKH</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Brookfield Renewable Partners L.P.</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BEP</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California Water Service Group</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CWT</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Chesapeake Utilities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CPK</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Essential Utilities,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WTRG</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Hannon Armstrong Sustainable Infrastructure Capital,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HASI</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Hawaiian Electric Industries,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IDACORP,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IDA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MDU Resources Group,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MDU</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MGE Energy,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MGEE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National Fuel Gas Company</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NFG</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Jersey Resources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NJR</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NextEra Energy Partners, LP</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NEP</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Northwest Natural Holding Company</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NWN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NorthWestern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NWE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OGE Energy Corp.</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OGE</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Gas,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OGS</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Ormat Technologies,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ORA</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Otter Tail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OTTR</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Portland General Electric Company</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POR</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SWX</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Spire Inc.</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SR</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Suburban Propane Partners, L.P.</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SPH</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TransAlta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TAC</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UGI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UGI</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Unitil Corporation</w:t>
            </w: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UTL</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5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442845" cy="334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4428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Announces CEO Transition and Reiterates 2024 Financial Guidance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30, 2024</w:t>
      </w:r>
      <w:r>
        <w:rPr>
          <w:rFonts w:ascii="Times New Roman" w:cs="Times New Roman" w:eastAsia="Times New Roman" w:hAnsi="Times New Roman"/>
          <w:sz w:val="18"/>
          <w:szCs w:val="18"/>
          <w:color w:val="auto"/>
        </w:rPr>
        <w:t>— Clearway Energy, Inc. (NYSE: CWEN, CWEN.A) (“Company”, “Clearway”) today announced that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2024, Chris Sotos will move on from his position as Clearway Energy, Inc.’s President and Chief Executive Officer (“CEO”) and resign from his role as a member of CWEN’s Board of Directors to pursue other opportunities. Craig Cornelius, who is currently the CEO of the Company’s sponsor, Clearway Energy Group (“Clearway Group”), will succeed Mr. Sotos as CWEN’s CEO and will join CWEN’s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“Chris’s leadership has been critical to the financial success that CWEN and its predecessor have achieved since its 2013 IPO. On behalf of the CWEN Board, I want to thank him for his many contributions that have put CWEN in an excellent position for future growth,” said Jonathan Bram, Founding Partner of GIP and Chairman of the Board of Clearway Energy, Inc. “Craig’s leadership and vision has been instrumental in growing the renewable development pipeline at Clearway Group by six times since GIP’s investment while also effectively managing the teams that operate CWEN’s assets. In his expanded role within the Clearway enterprise as the incoming CEO of Clearway Energy, Inc., I’m confident CWEN will continue to meet its growth objectives.”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have been with CWEN and its predecessor entity since its inception in December 2012 and have been honored to serve as its CEO since 2016. While I’ll miss my colleagues, I’m comforted to know that I’m leaving behind a best-in-class team that can continue to build upon Clearway’s strong track record of value creation for its investors,” said Christopher Sotos, Clearway Energy, Inc.’s outgoing President and Chief Executive Officer. “I’ve worked with Craig for many years and know that CWEN will be in an excellent position under his leadership to continue to grow CWEN’s platform in a manner that is accretive to shareholders.”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becoming Clearway Group’s CEO at its formation through a spin-out of NRG Energy Inc.’s (“NRG”) clean energy businesses in 2018, Mr. Cornelius was President of NRG’s renewables division. In this capacity, he oversaw origination, development, engineering &amp;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“Chris was an instrumental creator of the business that became Clearway and has been a great colleague over his incredible arc of service. It’s been a true privilege getting to co-lead the enterprise alongside him. He’s built a solid foundation for CWEN that will allow for a seamless transition as we go forward. The Clearway enterprise has a talented employee base across our organization that supports both Clearway Energy, Inc. and Clearway Group. We remain well positioned to sustainably grow CAFD per share and our clean energy fleet for years to come and look forward to doing that,” said Craig Cornelius, Clearway Energy, Inc.’s incoming President and Chief Executive Officer. “We continue to expect CWEN to achieve the upper range of its 5% to 8% annual dividend growth objective without needing external capital through at least 2026. Furthermore, and consistent with prior disclosures, we see potential for CWEN's CAFD per share growth in 2027 to be in that same range if the balance of our gas fleet contracts its capacity to deliver resource adequacy at the same or better pricing as previously disclosed contract awards.”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reaffirming its 2024 full year CAFD guidance of $395 million. The Company's 2024 financial guidance factors in the contribution of committed growth investments based on current expected closing timelines and estimates for merchant energy gross margin at the conventional fleet. 2024 CAFD guidance does not factor in the timing of when CAFD is realized from new growth investments pursuant to 5-year averages beyond 2024. Financial guidance is based on median renewable energy production estimates for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Earnings Call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plans to report first quarter 2024 financial results on Thursday, May 9. Management will present the results during a conference call and webcast at 8:00 a.m. Eastern. A live webcast of the conference call, including presentation materials, can be accessed through the Company’s website at http://www.clearwayenergy.com and clicking on “Presentations &amp; Webcasts” under the Investor Relations section. The webcast will be archived on the site for those unable to listen in real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approximately 6,000 net MW of installed wind, solar and energy storage projects. The Company's approximately 8,500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described above, including those regarding annual dividend growth, the Company’s financial performance and/or business results and other future events, and views of economic and market conditions. Although Clearway Energy, Inc. believes that these estimates and the other expectations stated herein are reasonable, it can give no assurance that these estimates or other expectations will prove to be correct, and actual results may vary materially. Factors that could cause actual results to differ materially from those contemplated above include, among others, economic, competitive, governmental regulatory and market factors affecting our business, operations, dividends and access to capital. We identify the principal risks and uncertainties that affect our Company in our Form10-K and other filings with the Securities and Exchange Commission.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ind w:left="660"/>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94" w:lineRule="exact"/>
        <w:rPr>
          <w:sz w:val="20"/>
          <w:szCs w:val="20"/>
          <w:color w:val="auto"/>
        </w:rPr>
      </w:pPr>
    </w:p>
    <w:p>
      <w:pPr>
        <w:ind w:left="660"/>
        <w:spacing w:after="0"/>
        <w:tabs>
          <w:tab w:leader="none" w:pos="560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8"/>
          <w:szCs w:val="18"/>
          <w:color w:val="auto"/>
        </w:rPr>
        <w:t>Zadie Oleksiw</w:t>
      </w:r>
    </w:p>
    <w:p>
      <w:pPr>
        <w:spacing w:after="0" w:line="90" w:lineRule="exact"/>
        <w:rPr>
          <w:sz w:val="20"/>
          <w:szCs w:val="20"/>
          <w:color w:val="auto"/>
        </w:rPr>
      </w:pPr>
    </w:p>
    <w:p>
      <w:pPr>
        <w:ind w:left="660"/>
        <w:spacing w:after="0"/>
        <w:tabs>
          <w:tab w:leader="none" w:pos="560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8"/>
          <w:szCs w:val="18"/>
          <w:color w:val="auto"/>
        </w:rPr>
        <w:t>zadie.oleksiw@clearwayenergy.com</w:t>
      </w:r>
    </w:p>
    <w:p>
      <w:pPr>
        <w:spacing w:after="0" w:line="90" w:lineRule="exact"/>
        <w:rPr>
          <w:sz w:val="20"/>
          <w:szCs w:val="20"/>
          <w:color w:val="auto"/>
        </w:rPr>
      </w:pPr>
    </w:p>
    <w:p>
      <w:pPr>
        <w:ind w:left="660"/>
        <w:spacing w:after="0"/>
        <w:tabs>
          <w:tab w:leader="none" w:pos="560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Roman"/>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4"/>
    </w:lvl>
  </w:abstractNum>
  <w:abstractNum w:abstractNumId="6">
    <w:nsid w:val="836C40E"/>
    <w:multiLevelType w:val="hybridMultilevel"/>
    <w:lvl w:ilvl="0">
      <w:lvlJc w:val="left"/>
      <w:lvlText w:val="(%1)"/>
      <w:numFmt w:val="lowerRoman"/>
      <w:start w:val="1"/>
    </w:lvl>
  </w:abstractNum>
  <w:abstractNum w:abstractNumId="7">
    <w:nsid w:val="2901D82"/>
    <w:multiLevelType w:val="hybridMultilevel"/>
    <w:lvl w:ilvl="0">
      <w:lvlJc w:val="left"/>
      <w:lvlText w:val="(%1)"/>
      <w:numFmt w:val="lowerLetter"/>
      <w:start w:val="2"/>
    </w:lvl>
  </w:abstractNum>
  <w:abstractNum w:abstractNumId="8">
    <w:nsid w:val="3A95F874"/>
    <w:multiLevelType w:val="hybridMultilevel"/>
    <w:lvl w:ilvl="0">
      <w:lvlJc w:val="left"/>
      <w:lvlText w:val="(%1)"/>
      <w:numFmt w:val="lowerLetter"/>
      <w:start w:val="4"/>
    </w:lvl>
  </w:abstractNum>
  <w:abstractNum w:abstractNumId="9">
    <w:nsid w:val="8138641"/>
    <w:multiLevelType w:val="hybridMultilevel"/>
    <w:lvl w:ilvl="0">
      <w:lvlJc w:val="left"/>
      <w:lvlText w:val="(%1)"/>
      <w:numFmt w:val="lowerLetter"/>
      <w:start w:val="24"/>
    </w:lvl>
  </w:abstractNum>
  <w:abstractNum w:abstractNumId="10">
    <w:nsid w:val="1E7FF521"/>
    <w:multiLevelType w:val="hybridMultilevel"/>
    <w:lvl w:ilvl="0">
      <w:lvlJc w:val="left"/>
      <w:lvlText w:val="(%1)"/>
      <w:numFmt w:val="lowerRoman"/>
      <w:start w:val="1"/>
    </w:lvl>
  </w:abstractNum>
  <w:abstractNum w:abstractNumId="11">
    <w:nsid w:val="7C3DBD3D"/>
    <w:multiLevelType w:val="hybridMultilevel"/>
    <w:lvl w:ilvl="0">
      <w:lvlJc w:val="left"/>
      <w:lvlText w:val="(%1)"/>
      <w:numFmt w:val="lowerRoman"/>
      <w:start w:val="1"/>
    </w:lvl>
  </w:abstractNum>
  <w:abstractNum w:abstractNumId="12">
    <w:nsid w:val="737B8DDC"/>
    <w:multiLevelType w:val="hybridMultilevel"/>
    <w:lvl w:ilvl="0">
      <w:lvlJc w:val="left"/>
      <w:lvlText w:val="(%1)"/>
      <w:numFmt w:val="upperLetter"/>
      <w:start w:val="3"/>
    </w:lvl>
  </w:abstractNum>
  <w:abstractNum w:abstractNumId="13">
    <w:nsid w:val="6CEAF087"/>
    <w:multiLevelType w:val="hybridMultilevel"/>
    <w:lvl w:ilvl="0">
      <w:lvlJc w:val="left"/>
      <w:lvlText w:val="(%1)"/>
      <w:numFmt w:val="lowerRoman"/>
      <w:start w:val="4"/>
    </w:lvl>
  </w:abstractNum>
  <w:abstractNum w:abstractNumId="14">
    <w:nsid w:val="22221A70"/>
    <w:multiLevelType w:val="hybridMultilevel"/>
    <w:lvl w:ilvl="0">
      <w:lvlJc w:val="left"/>
      <w:lvlText w:val="(%1)"/>
      <w:numFmt w:val="decimal"/>
      <w:start w:val="20"/>
    </w:lvl>
  </w:abstractNum>
  <w:abstractNum w:abstractNumId="15">
    <w:nsid w:val="4516DDE9"/>
    <w:multiLevelType w:val="hybridMultilevel"/>
    <w:lvl w:ilvl="0">
      <w:lvlJc w:val="left"/>
      <w:lvlText w:val="1"/>
      <w:numFmt w:val="bullet"/>
      <w:start w:val="1"/>
    </w:lvl>
  </w:abstractNum>
  <w:abstractNum w:abstractNumId="16">
    <w:nsid w:val="3006C83E"/>
    <w:multiLevelType w:val="hybridMultilevel"/>
    <w:lvl w:ilvl="0">
      <w:lvlJc w:val="left"/>
      <w:lvlText w:val="1"/>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5"/>
    </w:lvl>
  </w:abstractNum>
  <w:abstractNum w:abstractNumId="20">
    <w:nsid w:val="440BADFC"/>
    <w:multiLevelType w:val="hybridMultilevel"/>
    <w:lvl w:ilvl="0">
      <w:lvlJc w:val="left"/>
      <w:lvlText w:val="(%1)"/>
      <w:numFmt w:val="lowerLetter"/>
      <w:start w:val="4"/>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2"/>
    </w:lvl>
  </w:abstractNum>
  <w:abstractNum w:abstractNumId="23">
    <w:nsid w:val="77465F01"/>
    <w:multiLevelType w:val="hybridMultilevel"/>
    <w:lvl w:ilvl="0">
      <w:lvlJc w:val="left"/>
      <w:lvlText w:val="(%1)"/>
      <w:numFmt w:val="lowerLetter"/>
      <w:start w:val="7"/>
    </w:lvl>
  </w:abstractNum>
  <w:abstractNum w:abstractNumId="24">
    <w:nsid w:val="7724C67E"/>
    <w:multiLevelType w:val="hybridMultilevel"/>
    <w:lvl w:ilvl="0">
      <w:lvlJc w:val="left"/>
      <w:lvlText w:val="1"/>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3"/>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lowerLetter"/>
      <w:start w:val="1"/>
    </w:lvl>
    <w:lvl w:ilvl="1">
      <w:lvlJc w:val="left"/>
      <w:lvlText w:val="%2."/>
      <w:numFmt w:val="lowerRoman"/>
      <w:start w:val="1"/>
    </w:lvl>
  </w:abstractNum>
  <w:abstractNum w:abstractNumId="30">
    <w:nsid w:val="580BD78F"/>
    <w:multiLevelType w:val="hybridMultilevel"/>
    <w:lvl w:ilvl="0">
      <w:lvlJc w:val="left"/>
      <w:lvlText w:val="%1"/>
      <w:numFmt w:val="lowerLetter"/>
      <w:start w:val="1"/>
    </w:lvl>
    <w:lvl w:ilvl="1">
      <w:lvlJc w:val="left"/>
      <w:lvlText w:val="%2."/>
      <w:numFmt w:val="lowerRoman"/>
      <w:start w:val="3"/>
    </w:lvl>
  </w:abstractNum>
  <w:abstractNum w:abstractNumId="31">
    <w:nsid w:val="153EA438"/>
    <w:multiLevelType w:val="hybridMultilevel"/>
    <w:lvl w:ilvl="0">
      <w:lvlJc w:val="left"/>
      <w:lvlText w:val="(%1)"/>
      <w:numFmt w:val="lowerLetter"/>
      <w:start w:val="3"/>
    </w:lvl>
    <w:lvl w:ilvl="1">
      <w:lvlJc w:val="left"/>
      <w:lvlText w:val="%2"/>
      <w:numFmt w:val="lowerRoman"/>
      <w:start w:val="1"/>
    </w:lvl>
  </w:abstractNum>
  <w:abstractNum w:abstractNumId="32">
    <w:nsid w:val="3855585C"/>
    <w:multiLevelType w:val="hybridMultilevel"/>
    <w:lvl w:ilvl="0">
      <w:lvlJc w:val="left"/>
      <w:lvlText w:val="%1."/>
      <w:numFmt w:val="decimal"/>
      <w:start w:val="3"/>
    </w:lvl>
  </w:abstractNum>
  <w:abstractNum w:abstractNumId="33">
    <w:nsid w:val="70A64E2A"/>
    <w:multiLevelType w:val="hybridMultilevel"/>
    <w:lvl w:ilvl="0">
      <w:lvlJc w:val="left"/>
      <w:lvlText w:val="%1."/>
      <w:numFmt w:val="decimal"/>
      <w:start w:val="4"/>
    </w:lvl>
  </w:abstractNum>
  <w:abstractNum w:abstractNumId="34">
    <w:nsid w:val="6A2342EC"/>
    <w:multiLevelType w:val="hybridMultilevel"/>
    <w:lvl w:ilvl="0">
      <w:lvlJc w:val="left"/>
      <w:lvlText w:val="%1."/>
      <w:numFmt w:val="decimal"/>
      <w:start w:val="5"/>
    </w:lvl>
  </w:abstractNum>
  <w:abstractNum w:abstractNumId="35">
    <w:nsid w:val="2A487CB0"/>
    <w:multiLevelType w:val="hybridMultilevel"/>
    <w:lvl w:ilvl="0">
      <w:lvlJc w:val="left"/>
      <w:lvlText w:val="%1."/>
      <w:numFmt w:val="decimal"/>
      <w:start w:val="6"/>
    </w:lvl>
  </w:abstractNum>
  <w:abstractNum w:abstractNumId="36">
    <w:nsid w:val="1D4ED43B"/>
    <w:multiLevelType w:val="hybridMultilevel"/>
    <w:lvl w:ilvl="0">
      <w:lvlJc w:val="left"/>
      <w:lvlText w:val="%1."/>
      <w:numFmt w:val="decimal"/>
      <w:start w:val="7"/>
    </w:lvl>
  </w:abstractNum>
  <w:abstractNum w:abstractNumId="37">
    <w:nsid w:val="725A06FB"/>
    <w:multiLevelType w:val="hybridMultilevel"/>
    <w:lvl w:ilvl="0">
      <w:lvlJc w:val="left"/>
      <w:lvlText w:val="%1."/>
      <w:numFmt w:val="decimal"/>
      <w:start w:val="8"/>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3"/>
    </w:lvl>
  </w:abstractNum>
  <w:abstractNum w:abstractNumId="40">
    <w:nsid w:val="7A6D8D3C"/>
    <w:multiLevelType w:val="hybridMultilevel"/>
    <w:lvl w:ilvl="0">
      <w:lvlJc w:val="left"/>
      <w:lvlText w:val="(%1)"/>
      <w:numFmt w:val="lowerLetter"/>
      <w:start w:val="6"/>
    </w:lvl>
  </w:abstractNum>
  <w:abstractNum w:abstractNumId="41">
    <w:nsid w:val="4B588F54"/>
    <w:multiLevelType w:val="hybridMultilevel"/>
    <w:lvl w:ilvl="0">
      <w:lvlJc w:val="left"/>
      <w:lvlText w:val="%1."/>
      <w:numFmt w:val="decimal"/>
      <w:start w:val="9"/>
    </w:lvl>
  </w:abstractNum>
  <w:abstractNum w:abstractNumId="42">
    <w:nsid w:val="542289EC"/>
    <w:multiLevelType w:val="hybridMultilevel"/>
    <w:lvl w:ilvl="0">
      <w:lvlJc w:val="left"/>
      <w:lvlText w:val="%1."/>
      <w:numFmt w:val="decimal"/>
      <w:start w:val="10"/>
    </w:lvl>
  </w:abstractNum>
  <w:abstractNum w:abstractNumId="43">
    <w:nsid w:val="6DE91B18"/>
    <w:multiLevelType w:val="hybridMultilevel"/>
    <w:lvl w:ilvl="0">
      <w:lvlJc w:val="left"/>
      <w:lvlText w:val="%1."/>
      <w:numFmt w:val="decimal"/>
      <w:start w:val="11"/>
    </w:lvl>
  </w:abstractNum>
  <w:abstractNum w:abstractNumId="44">
    <w:nsid w:val="38437FDB"/>
    <w:multiLevelType w:val="hybridMultilevel"/>
    <w:lvl w:ilvl="0">
      <w:lvlJc w:val="left"/>
      <w:lvlText w:val="(%1)"/>
      <w:numFmt w:val="lowerLetter"/>
      <w:start w:val="4"/>
    </w:lvl>
  </w:abstractNum>
  <w:abstractNum w:abstractNumId="45">
    <w:nsid w:val="7644A45C"/>
    <w:multiLevelType w:val="hybridMultilevel"/>
    <w:lvl w:ilvl="0">
      <w:lvlJc w:val="left"/>
      <w:lvlText w:val="%1."/>
      <w:numFmt w:val="decimal"/>
      <w:start w:val="12"/>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lowerLetter"/>
      <w:start w:val="5"/>
    </w:lvl>
  </w:abstractNum>
  <w:abstractNum w:abstractNumId="49">
    <w:nsid w:val="749ABB43"/>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5" Type="http://schemas.openxmlformats.org/officeDocument/2006/relationships/hyperlink" Target="https://www.sec.gov/ix?doc=/Archives/edgar/data/1637757/000163775724000003/cwen-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2024-04-30T15:35:48Z</dcterms:created>
  <dcterms:modified xsi:type="dcterms:W3CDTF">2024-04-30T15:35:48Z</dcterms:modified>
</cp:coreProperties>
</file>