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19685</wp:posOffset>
            </wp:positionV>
            <wp:extent cx="7048500" cy="5172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1727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180" w:space="44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Cornelius Craig</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040" w:type="dxa"/>
            <w:vAlign w:val="bottom"/>
          </w:tcPr>
          <w:p>
            <w:pPr>
              <w:ind w:left="160"/>
              <w:spacing w:after="0"/>
              <w:rPr>
                <w:sz w:val="20"/>
                <w:szCs w:val="20"/>
                <w:color w:val="auto"/>
              </w:rPr>
            </w:pPr>
            <w:r>
              <w:rPr>
                <w:rFonts w:ascii="Arial" w:cs="Arial" w:eastAsia="Arial" w:hAnsi="Arial"/>
                <w:sz w:val="13"/>
                <w:szCs w:val="13"/>
                <w:color w:val="auto"/>
              </w:rPr>
              <w:t>(First)</w:t>
            </w:r>
          </w:p>
        </w:tc>
        <w:tc>
          <w:tcPr>
            <w:tcW w:w="800" w:type="dxa"/>
            <w:vAlign w:val="bottom"/>
          </w:tcPr>
          <w:p>
            <w:pPr>
              <w:ind w:left="340"/>
              <w:spacing w:after="0"/>
              <w:rPr>
                <w:sz w:val="20"/>
                <w:szCs w:val="20"/>
                <w:color w:val="auto"/>
              </w:rPr>
            </w:pPr>
            <w:r>
              <w:rPr>
                <w:rFonts w:ascii="Arial" w:cs="Arial" w:eastAsia="Arial" w:hAnsi="Arial"/>
                <w:sz w:val="13"/>
                <w:szCs w:val="13"/>
                <w:color w:val="auto"/>
                <w:w w:val="93"/>
              </w:rPr>
              <w:t>(Middle)</w:t>
            </w:r>
          </w:p>
        </w:tc>
      </w:tr>
      <w:tr>
        <w:trPr>
          <w:trHeight w:val="259"/>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300 CARNEGIE CENTER</w:t>
            </w:r>
          </w:p>
        </w:tc>
        <w:tc>
          <w:tcPr>
            <w:tcW w:w="800" w:type="dxa"/>
            <w:vAlign w:val="bottom"/>
          </w:tcPr>
          <w:p>
            <w:pPr>
              <w:spacing w:after="0"/>
              <w:rPr>
                <w:sz w:val="22"/>
                <w:szCs w:val="22"/>
                <w:color w:val="auto"/>
              </w:rPr>
            </w:pPr>
          </w:p>
        </w:tc>
      </w:tr>
      <w:tr>
        <w:trPr>
          <w:trHeight w:val="251"/>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300</w:t>
            </w: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19"/>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1"/>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PRINCETON</w:t>
            </w:r>
          </w:p>
        </w:tc>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8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08540</w:t>
            </w:r>
          </w:p>
        </w:tc>
      </w:tr>
      <w:tr>
        <w:trPr>
          <w:trHeight w:val="456"/>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040" w:type="dxa"/>
            <w:vAlign w:val="bottom"/>
          </w:tcPr>
          <w:p>
            <w:pPr>
              <w:ind w:left="160"/>
              <w:spacing w:after="0"/>
              <w:rPr>
                <w:sz w:val="20"/>
                <w:szCs w:val="20"/>
                <w:color w:val="auto"/>
              </w:rPr>
            </w:pPr>
            <w:r>
              <w:rPr>
                <w:rFonts w:ascii="Arial" w:cs="Arial" w:eastAsia="Arial" w:hAnsi="Arial"/>
                <w:sz w:val="13"/>
                <w:szCs w:val="13"/>
                <w:color w:val="auto"/>
              </w:rPr>
              <w:t>(State)</w:t>
            </w:r>
          </w:p>
        </w:tc>
        <w:tc>
          <w:tcPr>
            <w:tcW w:w="80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760" w:type="dxa"/>
            <w:vAlign w:val="bottom"/>
            <w:gridSpan w:val="3"/>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80" w:type="dxa"/>
            <w:vAlign w:val="bottom"/>
            <w:tcBorders>
              <w:top w:val="single" w:sz="8" w:color="0000EE"/>
            </w:tcBorders>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1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07/01/2024</w:t>
            </w:r>
          </w:p>
        </w:tc>
        <w:tc>
          <w:tcPr>
            <w:tcW w:w="1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8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6"/>
                <w:szCs w:val="16"/>
                <w:color w:val="0000FF"/>
              </w:rPr>
              <w:t>President &amp; CEO</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1" w:lineRule="exact"/>
        <w:rPr>
          <w:sz w:val="24"/>
          <w:szCs w:val="24"/>
          <w:color w:val="auto"/>
        </w:rPr>
      </w:pPr>
    </w:p>
    <w:p>
      <w:pPr>
        <w:ind w:left="320" w:right="48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40"/>
              <w:spacing w:after="0" w:line="126"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jc w:val="center"/>
              <w:ind w:right="4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60" w:type="dxa"/>
            <w:vAlign w:val="bottom"/>
            <w:gridSpan w:val="2"/>
          </w:tcPr>
          <w:p>
            <w:pPr>
              <w:ind w:left="240"/>
              <w:spacing w:after="0" w:line="126"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200"/>
              <w:spacing w:after="0" w:line="126"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6"/>
                <w:szCs w:val="16"/>
                <w:color w:val="0000FF"/>
              </w:rPr>
              <w:t>07/01/2024</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0"/>
              </w:rPr>
              <w:t>37,945</w:t>
            </w:r>
            <w:r>
              <w:rPr>
                <w:rFonts w:ascii="Times New Roman" w:cs="Times New Roman" w:eastAsia="Times New Roman" w:hAnsi="Times New Roman"/>
                <w:sz w:val="20"/>
                <w:szCs w:val="20"/>
                <w:color w:val="008000"/>
                <w:w w:val="90"/>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Pr>
          <w:p>
            <w:pPr>
              <w:spacing w:after="0"/>
              <w:rPr>
                <w:sz w:val="20"/>
                <w:szCs w:val="20"/>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412,945</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0" w:type="dxa"/>
            <w:vAlign w:val="bottom"/>
            <w:gridSpan w:val="11"/>
          </w:tcPr>
          <w:p>
            <w:pPr>
              <w:jc w:val="center"/>
              <w:ind w:righ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line="126"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4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ind w:left="120"/>
              <w:spacing w:after="0" w:line="126" w:lineRule="exact"/>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w w:val="99"/>
              </w:rPr>
              <w:t>Class C</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restart"/>
          </w:tcPr>
          <w:p>
            <w:pPr>
              <w:ind w:left="140"/>
              <w:spacing w:after="0" w:line="215" w:lineRule="exact"/>
              <w:rPr>
                <w:sz w:val="20"/>
                <w:szCs w:val="20"/>
                <w:color w:val="auto"/>
              </w:rPr>
            </w:pPr>
            <w:r>
              <w:rPr>
                <w:rFonts w:ascii="Times New Roman" w:cs="Times New Roman" w:eastAsia="Times New Roman" w:hAnsi="Times New Roman"/>
                <w:sz w:val="13"/>
                <w:szCs w:val="13"/>
                <w:color w:val="0000FF"/>
              </w:rPr>
              <w:t>75,889</w:t>
            </w:r>
            <w:r>
              <w:rPr>
                <w:rFonts w:ascii="Times New Roman" w:cs="Times New Roman" w:eastAsia="Times New Roman" w:hAnsi="Times New Roman"/>
                <w:sz w:val="20"/>
                <w:szCs w:val="20"/>
                <w:color w:val="008000"/>
                <w:vertAlign w:val="superscript"/>
              </w:rPr>
              <w:t>(3)</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restart"/>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113,833</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0"/>
              <w:spacing w:after="0" w:line="215" w:lineRule="exact"/>
              <w:rPr>
                <w:sz w:val="20"/>
                <w:szCs w:val="20"/>
                <w:color w:val="auto"/>
              </w:rPr>
            </w:pPr>
            <w:r>
              <w:rPr>
                <w:rFonts w:ascii="Times New Roman" w:cs="Times New Roman" w:eastAsia="Times New Roman" w:hAnsi="Times New Roman"/>
                <w:sz w:val="13"/>
                <w:szCs w:val="13"/>
                <w:color w:val="0000FF"/>
              </w:rPr>
              <w:t>75,889</w:t>
            </w:r>
            <w:r>
              <w:rPr>
                <w:rFonts w:ascii="Times New Roman" w:cs="Times New Roman" w:eastAsia="Times New Roman" w:hAnsi="Times New Roman"/>
                <w:sz w:val="20"/>
                <w:szCs w:val="20"/>
                <w:color w:val="008000"/>
                <w:vertAlign w:val="superscript"/>
              </w:rPr>
              <w:t>(4)</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6"/>
                <w:szCs w:val="6"/>
                <w:color w:val="auto"/>
              </w:rPr>
            </w:pP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07/01/2024</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04/15/2027</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04/15/2027</w:t>
            </w:r>
          </w:p>
        </w:tc>
        <w:tc>
          <w:tcPr>
            <w:tcW w:w="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ind w:left="20"/>
              <w:spacing w:after="0" w:line="77" w:lineRule="exact"/>
              <w:rPr>
                <w:sz w:val="20"/>
                <w:szCs w:val="20"/>
                <w:color w:val="auto"/>
              </w:rPr>
            </w:pPr>
            <w:r>
              <w:rPr>
                <w:rFonts w:ascii="Times New Roman" w:cs="Times New Roman" w:eastAsia="Times New Roman" w:hAnsi="Times New Roman"/>
                <w:sz w:val="8"/>
                <w:szCs w:val="8"/>
                <w:color w:val="0000FF"/>
              </w:rPr>
              <w:t>par value</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w w:val="93"/>
              </w:rPr>
              <w:t>$.01 per</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980"/>
        <w:spacing w:after="0"/>
        <w:rPr>
          <w:sz w:val="20"/>
          <w:szCs w:val="20"/>
          <w:color w:val="auto"/>
        </w:rPr>
      </w:pPr>
      <w:r>
        <w:rPr>
          <w:rFonts w:ascii="Times New Roman" w:cs="Times New Roman" w:eastAsia="Times New Roman" w:hAnsi="Times New Roman"/>
          <w:sz w:val="13"/>
          <w:szCs w:val="13"/>
          <w:color w:val="0000FF"/>
        </w:rPr>
        <w:t>share</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0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his appointment as President and Chief Executive Officer, Mr. Cornelius was granted Restricted Stock Units ("RSUs") under Clearway Energy, Inc.'s Amended and Restated 2013 Equity Incentive Plan (the "LTIP"). The Reporting Person will receive from Clearway Energy, Inc. one such share of Class C Common Stock for each RSU that will vest ratably over a three-year period beginning on the first anniversary of the date of the grant.</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38"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75,889 Relative Performance Stock Units ("RPSUs") by Clearway Energy, Inc. under the LTIP on July 1, 2024. The RPSUs will convert to shares of Clearway Energy, Inc. Class C Common Stock on April 15, 2027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5" w:lineRule="exact"/>
        <w:rPr>
          <w:rFonts w:ascii="Times New Roman" w:cs="Times New Roman" w:eastAsia="Times New Roman" w:hAnsi="Times New Roman"/>
          <w:sz w:val="13"/>
          <w:szCs w:val="13"/>
          <w:color w:val="008000"/>
        </w:rPr>
      </w:pPr>
    </w:p>
    <w:p>
      <w:pPr>
        <w:ind w:left="40" w:right="180" w:hanging="2"/>
        <w:spacing w:after="0" w:line="229"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113,833 shares of Class C Common Stock if Company's TSR is ranked at or above the 75th percentile relative to a peer group of companies approved by the Company's Compensation Committee (the "Peer Group") for the performance period ("Maximum"); (ii) 75,889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18,972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8"/>
              </w:rPr>
              <w:t>/s/ Kevin P. Malcarney,</w:t>
            </w:r>
          </w:p>
        </w:tc>
        <w:tc>
          <w:tcPr>
            <w:tcW w:w="6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07/03/2024</w:t>
            </w:r>
          </w:p>
        </w:tc>
        <w:tc>
          <w:tcPr>
            <w:tcW w:w="0" w:type="dxa"/>
            <w:vAlign w:val="bottom"/>
          </w:tcPr>
          <w:p>
            <w:pPr>
              <w:spacing w:after="0"/>
              <w:rPr>
                <w:sz w:val="1"/>
                <w:szCs w:val="1"/>
                <w:color w:val="auto"/>
              </w:rPr>
            </w:pPr>
          </w:p>
        </w:tc>
      </w:tr>
      <w:tr>
        <w:trPr>
          <w:trHeight w:val="85"/>
        </w:trPr>
        <w:tc>
          <w:tcPr>
            <w:tcW w:w="110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w:t>
            </w:r>
          </w:p>
        </w:tc>
        <w:tc>
          <w:tcPr>
            <w:tcW w:w="110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100" w:type="dxa"/>
            <w:vAlign w:val="bottom"/>
            <w:tcBorders>
              <w:bottom w:val="single" w:sz="8" w:color="auto"/>
            </w:tcBorders>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266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2024-07-03T15:22:07Z</dcterms:created>
  <dcterms:modified xsi:type="dcterms:W3CDTF">2024-07-03T15:22:07Z</dcterms:modified>
</cp:coreProperties>
</file>