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6,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None</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August 6, 2025, Clearway Energy LLC (the “Company”) and Clearway Energy, Inc., the parent company of the Company (“Clearway Inc.”), entered into an Equity Distribution Agreement (the “Agreement”) with Morgan Stanley &amp; Co. LLC, BofA Securities, Inc., Citigroup Global Markets Inc., J.P. Morgan Securities LLC and Wells Fargo Securities, LLC (collectively, the “Agents”). Pursuant to the terms of the Agreement, Clearway Inc. may offer and sell shares of Clearway Inc.’s Class C common stock, par value $0.01 per share (the “Shares”), from time to time through the Agents, as Clearway Inc.’s sales agents for the offer and sale of the Shares, up to an aggregate sales price of $100,000,000 (the “ATM Program”). Sales of the Shares, if any, will be made by means of ordinary brokers’ transactions on the New York Stock Exchange, to or through a market maker or directly on or through an electronic communications network at market prices or as otherwise permitted by law. Clearway Inc. intends to use the net proceeds from the sale of the Shares for general corporate purposes, including the repayment or refinancing of indebtedness and the funding of working capital, capital expenditures, acquisitions and investments. Clearway Inc. may invest funds not required immediately for such purposes in marketable securities and short-term investments.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Shares will be issued pursuant to a prospectus supplement, dated August 6, 2025, to Clearway Inc.’s shelf registration statement (the “Registration Statement”) on Form S-3 (File No. 333-273804), which became effective upon filing with the Securities and Exchange Commission on August 8, 2023. This Current Report on Form 8-K (this “Current Report”) shall not constitute an offer to sell or a solicitation of an offer to buy any security, including the Shares, nor will there be any sales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12529"/>
        </w:rPr>
        <w:t>The foregoing description of the Agreement does not purport to be complete and is qualified in its entirety by reference to the full text of the Agreement, a copy of which is filed as Exhibit 1.1 to this Current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7.01. 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12529"/>
        </w:rPr>
        <w:t>On August 6, 2025, Clearway Inc. issued a press release announcing the commencement of the ATM Program. A copy of such press release is attached hereto as Exhibit 99.1 and incorporated herein by reference.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12529"/>
        </w:rPr>
        <w:t>The information furnished in this Item 7.01, including the attached exhibit, shall not be deemed “filed” for purposes of Section 18 of the Securities Exchange Act of 1934, as amended (the “Exchange Act”), or otherwise subject to the liabilities of that section, nor shall it be deemed incorporated by reference into any filings under the Securities Act of 1933, as amended (the “Securities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This Current Report contains forward-looking statements within the meaning of Section 27A of the Securities Act and Section 21E of the Exchange Act.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anticipated consummation of the transactions described above, the anticipated benefits, opportunities and results with respect to such transactions and Clearway Inc.’s anticipated use of proceeds from the sale of Shares under the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right="280"/>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 whether Clearway Inc. will offer or sell Shares under the ATM Program and the anticipated use of proceeds.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Current Report should be considered in connection with information regarding risks and uncertainties that may affect the Company’s future results included in the Company’s other filings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Equity Distribution Agreement, dated as of August 6, 2025, by and among Clearway Energy, Inc., Clearway Energy LLC, Morgan</w:t>
            </w:r>
          </w:p>
        </w:tc>
        <w:tc>
          <w:tcPr>
            <w:tcW w:w="700" w:type="dxa"/>
            <w:vAlign w:val="bottom"/>
            <w:tcBorders>
              <w:top w:val="single" w:sz="8" w:color="auto"/>
            </w:tcBorders>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Stanley &amp; Co. LLC, BofA Securities, Inc., Citigroup Global Markets Inc., J.P. Morgan Securities LLC and Wells Fargo Securities, LLC.</w:t>
            </w:r>
          </w:p>
        </w:tc>
        <w:tc>
          <w:tcPr>
            <w:tcW w:w="280" w:type="dxa"/>
            <w:vAlign w:val="bottom"/>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August 6, 2025.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C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Having an Aggregate Gross Sales Price of up to $100,000,000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Clearway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Clearway Energy LLC, a Delaware limited liability company (“</w:t>
      </w:r>
      <w:r>
        <w:rPr>
          <w:rFonts w:ascii="Times New Roman" w:cs="Times New Roman" w:eastAsia="Times New Roman" w:hAnsi="Times New Roman"/>
          <w:sz w:val="18"/>
          <w:szCs w:val="18"/>
          <w:u w:val="single" w:color="auto"/>
          <w:color w:val="auto"/>
        </w:rPr>
        <w:t>Clearway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confirm their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Morgan Stanley &amp; Co. LLC, BofA Securities, Inc., Citigroup Global Markets Inc., J.P. Morgan Securities LLC and Wells Fargo Securities, LLC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as follows: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Description of Shares</w:t>
      </w:r>
      <w:r>
        <w:rPr>
          <w:rFonts w:ascii="Times New Roman" w:cs="Times New Roman" w:eastAsia="Times New Roman" w:hAnsi="Times New Roman"/>
          <w:sz w:val="18"/>
          <w:szCs w:val="18"/>
          <w:color w:val="auto"/>
        </w:rPr>
        <w:t>. The Company proposes to issue and sell through or to the Managers, as sales agents, shares of Class C Common Stock, par value $0.01 per share, of the Company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having an aggregate gross sales price to the public of up to $100,000,000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time to time during the term of this Agreement and on the terms set forth in Section 3 of this Agreement. For purposes of selling the Shares through the Managers, the Company hereby appoints the Managers as exclusive agents of the Company with respect to the issuance and sale of the Shares from time to time from the Company pursuant to this Agreement, and the Managers agree to use their commercially reasonable efforts to sell the Shares in the manner and subject to the terms and conditions described in this Agreement. Certain terms used herein are defined in Section 23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Company Parties, jointly and severally, represent and warrant to each Manager at the Execution Time and at each such time the following representations and warranties are repeated or deemed to be made pursuant to this Agreement, including each Applicable Time, each Representation Date (as defined below) and each Settlement Date (as defined below), as set forth below.</w:t>
      </w:r>
    </w:p>
    <w:p>
      <w:pPr>
        <w:spacing w:after="0" w:line="174"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xml:space="preserve"> The Company meets the requirements for use of Form S-3 under the Act and has prepared and filed with the Commission a registration statement on Form S-3 (File Number: 333-273804), including a related Base Prospectus, for registration under the Act of the offering and sale of the securities, including the Shares, and such Registration Statement, including any amendments thereto filed prior to the Execution Time or prior to any such time this representation is repeated or deemed to be made, has become effective. The Company has filed with the Commission the Prospectus Supplement relating to the Shares in accordance with Rule 424(b). As filed, the Prospectus contains all information required by the Act and the rules thereunder, and, except to the extent the Managers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the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Company files a successor registration statement with respect to the Shares, after effectiveness of any such registration statement, (i) all references to “Registration Statement” included in this Agreement shall be deemed to include such new registration statement, including all documents incorporated by reference therein pursuant to Item 12 of Form S-3, (ii) all references to “Base Prospectus” included in this Agreement shall be deemed to include the final form of prospectus, including all documents incorporated by reference therein pursuant to Item 12 of Form S-3, included in any such registration statement at the time such registration statement became effective and (iii) all references to “Prospectus Supplement” included in this Agreement shall be deemed to include any prospectus supplement, including all documents incorporated by reference therein pursuant to Item 12 of Form S-3, relating to the final form of prospectus included in any such registration statement.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Stop Order.</w:t>
      </w:r>
      <w:r>
        <w:rPr>
          <w:rFonts w:ascii="Times New Roman" w:cs="Times New Roman" w:eastAsia="Times New Roman" w:hAnsi="Times New Roman"/>
          <w:sz w:val="18"/>
          <w:szCs w:val="18"/>
          <w:color w:val="auto"/>
        </w:rPr>
        <w:t xml:space="preserve"> The Commission has not issued any order preventing or suspending the use of the Prospectus or suspending the effectiveness of the Registration Statement, and no proceeding or examination for such purpose or pursuant to Section 8A of the Act has been instituted or, to the knowledge of any of the Company Parties, threatened by the Commission.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Ineligible Issuer.</w:t>
      </w:r>
      <w:r>
        <w:rPr>
          <w:rFonts w:ascii="Times New Roman" w:cs="Times New Roman" w:eastAsia="Times New Roman" w:hAnsi="Times New Roman"/>
          <w:sz w:val="18"/>
          <w:szCs w:val="18"/>
          <w:color w:val="auto"/>
        </w:rPr>
        <w:t xml:space="preserve"> At the time of filing the Registration Statement,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Act) of the Shares and at the date hereof, the Company was not and is not an “ineligible issuer,” as defined in Rule 405.</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 Material Misstatements or Omissions in the Registration Statement.</w:t>
      </w:r>
      <w:r>
        <w:rPr>
          <w:rFonts w:ascii="Times New Roman" w:cs="Times New Roman" w:eastAsia="Times New Roman" w:hAnsi="Times New Roman"/>
          <w:sz w:val="18"/>
          <w:szCs w:val="18"/>
          <w:color w:val="auto"/>
        </w:rPr>
        <w:t xml:space="preserve"> On each Effective Date,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 untrue statement of a material fact or omit to state a material fact required to be stated therein or necessary in order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by or on behalf of the Managers specifically for inclusion therein, which information is specified in Section 7(b).</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No Material Misstatements or Omissions in the Prospectus.</w:t>
      </w:r>
      <w:r>
        <w:rPr>
          <w:rFonts w:ascii="Times New Roman" w:cs="Times New Roman" w:eastAsia="Times New Roman" w:hAnsi="Times New Roman"/>
          <w:sz w:val="18"/>
          <w:szCs w:val="18"/>
          <w:color w:val="auto"/>
        </w:rPr>
        <w:t xml:space="preserve">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included in or omitted from the Prospectus in reliance upon and in conformity with written information furnished to the Company by or on behalf of the Managers specifically for inclusion therein, which information is specified in Section 7(b).</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No Other Prospectus.</w:t>
      </w:r>
      <w:r>
        <w:rPr>
          <w:rFonts w:ascii="Times New Roman" w:cs="Times New Roman" w:eastAsia="Times New Roman" w:hAnsi="Times New Roman"/>
          <w:sz w:val="18"/>
          <w:szCs w:val="18"/>
          <w:color w:val="auto"/>
        </w:rPr>
        <w:t xml:space="preserve"> Prior to the Execution Time, the Company has not, directly or indirectly, offered or sold any Shares by means of any “prospectus” (in each case within the meaning of the Act) or used any “prospectus” (in each case within the meaning of the Act) in connection with the offer or sale of Shares, and from and after the Execution Time, the Company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Company has not, directly or indirectly, prepared, used or referred to any Issuer Free Writing Prospectus, as defined in Rule 433, in connection with offers or sales of Shares pursuant to this Agreement.</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7" w:name="page8"/>
    <w:bookmarkEnd w:id="7"/>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Regulation M Exceptions</w:t>
      </w:r>
      <w:r>
        <w:rPr>
          <w:rFonts w:ascii="Times New Roman" w:cs="Times New Roman" w:eastAsia="Times New Roman" w:hAnsi="Times New Roman"/>
          <w:sz w:val="18"/>
          <w:szCs w:val="18"/>
          <w:color w:val="auto"/>
        </w:rPr>
        <w:t>. The Class C Common Stock is an “actively-traded security” as defined in Rule 101 of Regulation M under the Exchange Act by subsection (c)(1) of such rule.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Other Sales Agency Agreements</w:t>
      </w:r>
      <w:r>
        <w:rPr>
          <w:rFonts w:ascii="Times New Roman" w:cs="Times New Roman" w:eastAsia="Times New Roman" w:hAnsi="Times New Roman"/>
          <w:sz w:val="18"/>
          <w:szCs w:val="18"/>
          <w:color w:val="auto"/>
        </w:rPr>
        <w:t>. The Company is not a party to any other effective sales agency agreements or other similar arrangements, with any agent or any other representative in respect of at-the-market offerings of Class C Common Stock in accordance with Rule 415(a)(4) of the Act.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 (as defined below).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Good Standing of Subsidiaries</w:t>
      </w:r>
      <w:r>
        <w:rPr>
          <w:rFonts w:ascii="Times New Roman" w:cs="Times New Roman" w:eastAsia="Times New Roman" w:hAnsi="Times New Roman"/>
          <w:sz w:val="18"/>
          <w:szCs w:val="18"/>
          <w:color w:val="auto"/>
        </w:rPr>
        <w:t>. Each “significant subsidiary” (as such term is defined in Rule 1-02 of Regulation S-X) of the Company, including Clearway LLC,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(as defined below). Except as otherwise disclosed in the Registration Statement and the Prospectus or as would not, individually or in the aggregate, reasonably be expected to have a Material Adverse Effect, all of the issued and outstanding capital stock or other ownership interests of each subsidiary (except to the extent held by Clearway Energy Group LLC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has been duly authorized and validly issued, is fully paid and non-assessable and is owned by the Company, directly or through subsidiaries, free and clear of any security interest, mortgage, pledge, lien, encumbrance or claim. The only subsidiaries of the Company are the subsidiaries listed on Exhibit 21.1 to the Company’s Annual Report on Form 10-K for the year ended December 31, 2024 filed with the Commission on February 25, 2025 (the “</w:t>
      </w:r>
      <w:r>
        <w:rPr>
          <w:rFonts w:ascii="Times New Roman" w:cs="Times New Roman" w:eastAsia="Times New Roman" w:hAnsi="Times New Roman"/>
          <w:sz w:val="18"/>
          <w:szCs w:val="18"/>
          <w:u w:val="single" w:color="auto"/>
          <w:color w:val="auto"/>
        </w:rPr>
        <w:t>2024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and those subsidiaries that, collectively, do not constitute a “significant subsidiary” (as such term is defined in Rule 1-02 of Regulation S-X).</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 w:name="page9"/>
    <w:bookmarkEnd w:id="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Well-Known Seasoned Issuer</w:t>
      </w:r>
      <w:r>
        <w:rPr>
          <w:rFonts w:ascii="Times New Roman" w:cs="Times New Roman" w:eastAsia="Times New Roman" w:hAnsi="Times New Roman"/>
          <w:sz w:val="18"/>
          <w:szCs w:val="18"/>
          <w:color w:val="auto"/>
        </w:rPr>
        <w:t>. (i) At the original effectiveness of the Registration Statement, (ii) if applicable, at the time of the 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as of each Applicable Time, the Company was and is a “well-known seasoned issuer” (as defined in Rule 405).</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authorized, issued and outstanding shares of capital stock of the Company as of the Company’s most recently completed fiscal quarter or year are as set forth in the Company’s Quarterly Report on Form 10-Q or Annual Report on Form 10-K for the most recently completed fiscal quarter or year, as applicable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outstanding shares of capital stock of the Company have been duly authorized and validly issued and are fully paid and non-assessable. None of the outstanding shares of capital stock of, or ownership interests in, the Company or any subsidiary (except to the extent held by CEG) were issued in violation of the preemptive or other similar rights of any securityholder of the Company or such subsidiary.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Authorization and Description of Shares</w:t>
      </w:r>
      <w:r>
        <w:rPr>
          <w:rFonts w:ascii="Times New Roman" w:cs="Times New Roman" w:eastAsia="Times New Roman" w:hAnsi="Times New Roman"/>
          <w:sz w:val="18"/>
          <w:szCs w:val="18"/>
          <w:color w:val="auto"/>
        </w:rPr>
        <w:t>. The Shares to be purchased by the Managers from the Company have been duly authorized for issuance and sale to the Managers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The Class C Common Stock and Clearway LLC’s Class A units, Class B units, Class C units and Class D units (collectively, the “</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conform to all statements relating thereto contained in the Registration Statement and the Prospectus and such description conforms to the rights set forth in the instruments defining the same. No holder of Shares will be subject to personal liability by reason of being such a holder.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Accuracy of Descriptions</w:t>
      </w:r>
      <w:r>
        <w:rPr>
          <w:rFonts w:ascii="Times New Roman" w:cs="Times New Roman" w:eastAsia="Times New Roman" w:hAnsi="Times New Roman"/>
          <w:sz w:val="18"/>
          <w:szCs w:val="18"/>
          <w:color w:val="auto"/>
        </w:rPr>
        <w:t>. The statements under the heading “Business—Regulatory Matters” in the 2024 Annual Report and under the heading “Certain Relationships and Related Person Transactions” in the Company’s Definitive Proxy Statement on Schedule 14A filed with the Commission on March 13, 2025,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and the Prospectus, including the documents incorporated by reference therein pursuant to Item 12 of Form S-3 under the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and the Prospectus, neither the Company nor, to the knowledge of the Company, CEG has sent or received any notice indicating the termination of or intention to terminate any of the contracts or agreements referred to or described in the Registration Statement and the Prospectus or filed as an exhibit to the Registration Statement.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9" w:name="page10"/>
    <w:bookmarkEnd w:id="9"/>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Act pursuant to this Agreement, other than those rights that have been disclosed in the Registration Statement and the Prospectus and have been waived.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Authorization, Execution and Delivery of the Equity Distribution Agreement.</w:t>
      </w:r>
      <w:r>
        <w:rPr>
          <w:rFonts w:ascii="Times New Roman" w:cs="Times New Roman" w:eastAsia="Times New Roman" w:hAnsi="Times New Roman"/>
          <w:sz w:val="18"/>
          <w:szCs w:val="18"/>
          <w:color w:val="auto"/>
        </w:rPr>
        <w:t xml:space="preserve"> This Agreement has been duly authorized, executed and delivered by the Company Parties.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Absence of Violations, Defaults and Conflicts</w:t>
      </w:r>
      <w:r>
        <w:rPr>
          <w:rFonts w:ascii="Times New Roman" w:cs="Times New Roman" w:eastAsia="Times New Roman" w:hAnsi="Times New Roman"/>
          <w:sz w:val="18"/>
          <w:szCs w:val="18"/>
          <w:color w:val="auto"/>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except for such defaults that would not, individually or in the aggregate,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Parties with their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 (iii) 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Parties of their obligations hereunder, in connection with the offering, issuance or sale of the Shares hereunder or the consummation of the transactions contemplated by this Agreement except such as have been already obtained or as may be required under the Act and the rules and regulations promulgated thereunder, the rules of the New York Stock Exchange, state securities laws or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The pro forma financial statements, data and the related notes thereto, if any, included or incorporated by reference in the Registration Statement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or incorporated by reference therein, no historical or pro forma financial statements or supporting schedules are required to be included or incorporated by reference in the Registration Statement or the Prospectus under the Act or the rules and regulations promulgated thereunder. All disclosures contained in the Registration Statement or the Prospectus, or incorporated by reference therein, regarding “non-GAAP financial measures” (as such term is defined by the rules and regulations of the Commission) comply with Regulation G of the Exchange Act and Item 10 of Regulation S-K of the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1" w:name="page12"/>
    <w:bookmarkEnd w:id="11"/>
    <w:p>
      <w:pPr>
        <w:jc w:val="both"/>
        <w:ind w:left="4" w:firstLine="648"/>
        <w:spacing w:after="0" w:line="267"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and the Prospectus are independent public accountants as required by the Act and the rules and regulations promulgated thereunder, the Exchange Act and the rules and regulations promulgated thereunder and the Public Company Accounting Oversight Board.</w:t>
      </w:r>
    </w:p>
    <w:p>
      <w:pPr>
        <w:spacing w:after="0" w:line="173"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Accounting Controls and Disclosure Controls</w:t>
      </w:r>
      <w:r>
        <w:rPr>
          <w:rFonts w:ascii="Times New Roman" w:cs="Times New Roman" w:eastAsia="Times New Roman" w:hAnsi="Times New Roman"/>
          <w:sz w:val="18"/>
          <w:szCs w:val="18"/>
          <w:color w:val="auto"/>
        </w:rPr>
        <w:t>. The Company and each of its subsidiaries maintain internal control over financial reporting (as defined under Rule 13a-15 and 15d-15 under the rules and regulations promulgated under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w:t>
      </w:r>
    </w:p>
    <w:p>
      <w:pPr>
        <w:spacing w:after="0" w:line="1" w:lineRule="exact"/>
        <w:rPr>
          <w:sz w:val="20"/>
          <w:szCs w:val="20"/>
          <w:color w:val="auto"/>
        </w:rPr>
      </w:pPr>
    </w:p>
    <w:p>
      <w:pPr>
        <w:jc w:val="both"/>
        <w:ind w:left="4" w:hanging="4"/>
        <w:spacing w:after="0" w:line="250"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prepared in accordance with the Commission’s rules and guidelines applicable thereto. Except as described in the Registration Statement and the Prospectus, since the Company’s inception, there has been (A) no material weakness in the Company’s internal control over financial reporting that could adversely affect the Company’s ability to record, process, summarize and report financial data and</w:t>
      </w:r>
    </w:p>
    <w:p>
      <w:pPr>
        <w:spacing w:after="0" w:line="1"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change in the Company’s internal control over financial reporting that has materially affected, or is reasonably likely to materially affect, the Company’s internal control over financial reporting.</w:t>
      </w:r>
    </w:p>
    <w:p>
      <w:pPr>
        <w:spacing w:after="0" w:line="17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Compliance with the Sarbanes-Oxley Act</w:t>
      </w:r>
      <w:r>
        <w:rPr>
          <w:rFonts w:ascii="Times New Roman" w:cs="Times New Roman" w:eastAsia="Times New Roman" w:hAnsi="Times New Roman"/>
          <w:sz w:val="18"/>
          <w:szCs w:val="18"/>
          <w:color w:val="auto"/>
        </w:rPr>
        <w:t>. The Company is in compliance in all material respects with all provisions of the Sarbanes-Oxley Act of 2002 and all rules and regulations promulgated thereunder or implementing the provisions thereof (the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 are in effect and with which the Company is required to comply. To the Company’s knowledge, such internal controls over financial reporting are effective at a reasonable assurance level.</w:t>
      </w:r>
    </w:p>
    <w:p>
      <w:pPr>
        <w:spacing w:after="0" w:line="180"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xml:space="preserve"> Except as otherwise stated therein, since the respective dates as of which information is given in the Registration Statement and the Prospectus, (i) there has been no material adverse change in the condition, financial or otherwise, or in the earnings, business, operations or prospects as described in or contemplated by the Registration Statement and the Prospectus, whether or not arising from transactions in the ordinary course of business, of the Company and its subsidiaries, considered as one entity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w:t>
      </w:r>
    </w:p>
    <w:p>
      <w:pPr>
        <w:spacing w:after="0" w:line="2" w:lineRule="exact"/>
        <w:rPr>
          <w:sz w:val="20"/>
          <w:szCs w:val="20"/>
          <w:color w:val="auto"/>
        </w:rPr>
      </w:pPr>
    </w:p>
    <w:p>
      <w:pPr>
        <w:ind w:left="4" w:hanging="4"/>
        <w:spacing w:after="0" w:line="260" w:lineRule="auto"/>
        <w:tabs>
          <w:tab w:leader="none" w:pos="3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or any of its subsidiaries on any class of their capital stock or other equity securities.</w:t>
      </w: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and the Prospectus or (ii)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The Company and its subsidiaries have filed or caused to be filed with the appropriate Governmental Entities all forms, statements, reports, and documents (including all exhibits, amendments, and supplements thereto) (each a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w:t>
      </w:r>
      <w:r>
        <w:rPr>
          <w:rFonts w:ascii="Times New Roman" w:cs="Times New Roman" w:eastAsia="Times New Roman" w:hAnsi="Times New Roman"/>
          <w:sz w:val="18"/>
          <w:szCs w:val="18"/>
          <w:u w:val="single" w:color="auto"/>
          <w:color w:val="auto"/>
        </w:rPr>
        <w:t>Governmental License</w:t>
      </w:r>
      <w:r>
        <w:rPr>
          <w:rFonts w:ascii="Times New Roman" w:cs="Times New Roman" w:eastAsia="Times New Roman" w:hAnsi="Times New Roman"/>
          <w:sz w:val="18"/>
          <w:szCs w:val="18"/>
          <w:color w:val="auto"/>
        </w:rPr>
        <w:t>”),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inquiry or investigation before or brought by any Governmental Entity now pending or, to the knowledge of the Company Parties,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i w:val="1"/>
          <w:iCs w:val="1"/>
          <w:color w:val="auto"/>
        </w:rPr>
        <w:t>Accuracy of Exhibits</w:t>
      </w:r>
      <w:r>
        <w:rPr>
          <w:rFonts w:ascii="Times New Roman" w:cs="Times New Roman" w:eastAsia="Times New Roman" w:hAnsi="Times New Roman"/>
          <w:sz w:val="18"/>
          <w:szCs w:val="18"/>
          <w:color w:val="auto"/>
        </w:rPr>
        <w:t>. There are no contracts or documents which are required by the Act or the rules and regulations promulgated thereunder to be described in the Registration Statement or the Prospectus or to be filed as exhibits to the Registration Statement which have not been so described and filed as required.</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4" w:name="page15"/>
    <w:bookmarkEnd w:id="14"/>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i w:val="1"/>
          <w:iCs w:val="1"/>
          <w:color w:val="auto"/>
        </w:rPr>
        <w:t>Absence of Certain Relationships</w:t>
      </w:r>
      <w:r>
        <w:rPr>
          <w:rFonts w:ascii="Times New Roman" w:cs="Times New Roman" w:eastAsia="Times New Roman" w:hAnsi="Times New Roman"/>
          <w:sz w:val="18"/>
          <w:szCs w:val="18"/>
          <w:color w:val="auto"/>
        </w:rPr>
        <w:t>. No relationship, direct or indirect, exists between or among the Company or its subsidiaries, on the one hand, and the directors, officers or stockholders of the Company, on the other hand, which is required under the Act to be described in the Registration Statement or the Prospectus which is not so described. Except as disclosed in the Registration Statement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82" w:lineRule="exact"/>
        <w:rPr>
          <w:sz w:val="20"/>
          <w:szCs w:val="20"/>
          <w:color w:val="auto"/>
        </w:rPr>
      </w:pPr>
    </w:p>
    <w:p>
      <w:pPr>
        <w:jc w:val="both"/>
        <w:ind w:left="4" w:right="20" w:firstLine="648"/>
        <w:spacing w:after="0" w:line="284"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i w:val="1"/>
          <w:iCs w:val="1"/>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Parties, is imminent, which, in any case, would have a Material Adverse Effect.</w:t>
      </w:r>
    </w:p>
    <w:p>
      <w:pPr>
        <w:spacing w:after="0" w:line="158"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Except as described in the Registration Statement and the Prospectus or would not, individually or in the aggregate, reasonably be expected to have a Material Adverse Effect, the Company and its subsidiaries (i) are conducting and have conducted their businesses, operations and facilities in compliance with Environmental Laws (as defined below); (ii) have duly obtained, possess, maintain in full force and effect and have fulfilled and performed all of their obligations under any and all permits, licenses or registrations required under Environmental Law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(iii) have not received any notice from a governmental authority or any other third party alleging any violation of Environmental Law or liability thereunder; (iv) are not subject to any pending or, to the best knowledge of the Company or any of its subsidiaries, threatened claim in writing or other legal proceeding under any Environmental Laws against the Company or any of its subsidiaries; (v)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(vi)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w:t>
      </w:r>
    </w:p>
    <w:p>
      <w:pPr>
        <w:jc w:val="both"/>
        <w:ind w:left="4" w:hanging="4"/>
        <w:spacing w:after="0" w:line="253" w:lineRule="auto"/>
        <w:tabs>
          <w:tab w:leader="none" w:pos="3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 w:name="page16"/>
    <w:bookmarkEnd w:id="15"/>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i w:val="1"/>
          <w:iCs w:val="1"/>
          <w:color w:val="auto"/>
        </w:rPr>
        <w:t>Payment of Taxes</w:t>
      </w:r>
      <w:r>
        <w:rPr>
          <w:rFonts w:ascii="Times New Roman" w:cs="Times New Roman" w:eastAsia="Times New Roman" w:hAnsi="Times New Roman"/>
          <w:sz w:val="18"/>
          <w:szCs w:val="18"/>
          <w:color w:val="auto"/>
        </w:rPr>
        <w:t>. All federal, state and other material tax returns required to be filed, and all federal, state and other material taxes required to be paid, by the Company Parties and their subsidiaries pursuant to applicable law have been filed and paid, except for taxes required to be paid pursuant to assessments against which appeals have been taken or will be timely taken and as to which adequate reserves have been provided in accordance with GAAP. The Company has made adequate charges, accruals and reserves in accordance with GAAP in the applicable financial statements referred to in Section 2(s)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183"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Parties and their subsidiaries that could have a Material Adverse Effect;</w:t>
      </w:r>
    </w:p>
    <w:p>
      <w:pPr>
        <w:spacing w:after="0" w:line="2" w:lineRule="exact"/>
        <w:rPr>
          <w:sz w:val="20"/>
          <w:szCs w:val="20"/>
          <w:color w:val="auto"/>
        </w:rPr>
      </w:pPr>
    </w:p>
    <w:p>
      <w:pPr>
        <w:jc w:val="both"/>
        <w:ind w:left="4" w:hanging="4"/>
        <w:spacing w:after="0" w:line="251" w:lineRule="auto"/>
        <w:tabs>
          <w:tab w:leader="none" w:pos="3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contractual obligation, or any violation of law or applicable qualification standards, with respect to the employment or compensation of employees by any of the Company Parties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Parties and their subsidiaries compared to the amount of such contributions made in the most recently completed fiscal year of any of the Company Parties and their subsidiaries that could reasonably be expected to result in a Material Adverse Effect; (x) a material increase in the “accumulated post-retirement benefit obligations” (within the meaning of Statement of Financial Accounting Standards 106) of any of the Company Parties and their subsidiaries compared to the amount of such obligations in the most recently completed fiscal year of any of the Company Parties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Parties and their subsidiaries related to their employment that could have a Material Adverse Effect. For purposes of this paragraph, the term “Plan” means a plan (within the meaning of Section 3(3) of ERISA) subject to Title IV of ERISA with respect to which any of the Company Parties and their subsidiaries may have any liability.</w:t>
      </w:r>
    </w:p>
    <w:p>
      <w:pPr>
        <w:spacing w:after="0" w:line="190"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or the Prospectus are based on or derived from sources that the Company believes, after reasonable inquiry, to be reliable and accurate and, to the extent required, the Company has obtained consent to the use of such data from such sources.</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6" w:name="page17"/>
    <w:bookmarkEnd w:id="1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Neither Company Party is required, and upon the issuance and sale of the Shares as herein contemplated and the application of the net proceeds therefrom as described in the Registration Statement and the Prospectus, neither Company Party will be required, to register as an “investment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i w:val="1"/>
          <w:iCs w:val="1"/>
          <w:color w:val="auto"/>
        </w:rPr>
        <w:t>No Finder’s Fee</w:t>
      </w:r>
      <w:r>
        <w:rPr>
          <w:rFonts w:ascii="Times New Roman" w:cs="Times New Roman" w:eastAsia="Times New Roman" w:hAnsi="Times New Roman"/>
          <w:sz w:val="18"/>
          <w:szCs w:val="18"/>
          <w:color w:val="auto"/>
        </w:rPr>
        <w:t>. Except for the Managers’ discounts and commissions payable by the Company to the Managers in connection with the offering of the Shares contemplated herein or as otherwise disclosed in the Prospectus, the Company has not incurred any liability for any brokerage commission, finder’s fees or similar payments in connection with the offering of the Shares contemplated hereby.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None of the Company, any of its subsidiaries or, to the knowledge of the Company Parties,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best knowledge of the Company Parties, threatened.</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None of the Company, any of its subsidiaries or, to the knowledge of the Company Parties, any director, officer, agent, employee, affiliate or representative of the Company or any of its subsidiaries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of Sanctions (including, without limitation, the so-called Donetsk People’s Republic, the so-called Luhansk People’s Republic, or any other Covered Region of Ukraine identified pursuant to Executive Order 14065, Crimea, Cuba, Iran, North Korea and Syria);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manager, underwriter, advisor, investor or otherwise) of Sanctions.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or target of Sanctions.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8" w:name="page19"/>
    <w:bookmarkEnd w:id="18"/>
    <w:p>
      <w:pPr>
        <w:ind w:left="660" w:firstLine="648"/>
        <w:spacing w:after="0" w:line="262"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i w:val="1"/>
          <w:iCs w:val="1"/>
          <w:color w:val="auto"/>
        </w:rPr>
        <w:t>Restrictions on Distributions</w:t>
      </w:r>
      <w:r>
        <w:rPr>
          <w:rFonts w:ascii="Times New Roman" w:cs="Times New Roman" w:eastAsia="Times New Roman" w:hAnsi="Times New Roman"/>
          <w:sz w:val="18"/>
          <w:szCs w:val="18"/>
          <w:color w:val="auto"/>
        </w:rPr>
        <w:t>. Except as described in the Registration Statement and the Prospectus, no subsidiary of the Company is currently prohibited in any material respect, directly or indirectly, from (i) paying any distributions to the Company Parties or</w:t>
      </w:r>
    </w:p>
    <w:p>
      <w:pPr>
        <w:ind w:left="660" w:hanging="4"/>
        <w:spacing w:after="0" w:line="260" w:lineRule="auto"/>
        <w:tabs>
          <w:tab w:leader="none" w:pos="9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making any other distribution on such subsidiary’s equity interests, (B) repaying to the Company any loans or advances to such subsidiary from the Company or (C) transferring any of such subsidiary’s property or assets to the Company or any other subsidiary of the Company.</w:t>
      </w:r>
    </w:p>
    <w:p>
      <w:pPr>
        <w:spacing w:after="0" w:line="179"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i w:val="1"/>
          <w:iCs w:val="1"/>
          <w:color w:val="auto"/>
        </w:rPr>
        <w:t>No Equity Awards</w:t>
      </w:r>
      <w:r>
        <w:rPr>
          <w:rFonts w:ascii="Times New Roman" w:cs="Times New Roman" w:eastAsia="Times New Roman" w:hAnsi="Times New Roman"/>
          <w:sz w:val="18"/>
          <w:szCs w:val="18"/>
          <w:color w:val="auto"/>
        </w:rPr>
        <w:t>. Except for grants disclosed in the Registration Statement and the Prospectus or the Section 16 filings related to the Company pursuant to the Exchange Act, the Company has not granted to any person or entity, a stock option or other equity-based award to purchase or receive equity securities of the Company Parties pursuant to an equity-based compensation plan or otherwise.</w:t>
      </w:r>
    </w:p>
    <w:p>
      <w:pPr>
        <w:spacing w:after="0" w:line="17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The Company Parties have not sold or issued any securities that would be integrated with the offering of Shares pursuant to the Act and the rules and regulations promulgated thereunder or the interpretations thereof by the Commission.</w:t>
      </w:r>
    </w:p>
    <w:p>
      <w:pPr>
        <w:spacing w:after="0" w:line="15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i w:val="1"/>
          <w:iCs w:val="1"/>
          <w:color w:val="auto"/>
        </w:rPr>
        <w:t>Lending Relationship.</w:t>
      </w:r>
      <w:r>
        <w:rPr>
          <w:rFonts w:ascii="Times New Roman" w:cs="Times New Roman" w:eastAsia="Times New Roman" w:hAnsi="Times New Roman"/>
          <w:sz w:val="18"/>
          <w:szCs w:val="18"/>
          <w:color w:val="auto"/>
        </w:rPr>
        <w:t xml:space="preserve"> Except as disclosed in the Registration Statement, and the Prospectus, the Company (i) does not have any material lending or other relationship with any bank or lending affiliate of any Manager and (ii) does not intend to use any of the proceeds from the sale of the Shares to repay any outstanding debt owed to any affiliate of any Manager.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(including any entity that controls a subsidiary) delivered to the Managers or to counsel for the Managers shall be deemed a representation and warranty by the Company or such other entity, as applicable, to each Manager as to the matters covered thereby.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Sale and Delivery of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Sale of Shares by a Manager, as Sales Agent</w:t>
      </w:r>
      <w:r>
        <w:rPr>
          <w:rFonts w:ascii="Times New Roman" w:cs="Times New Roman" w:eastAsia="Times New Roman" w:hAnsi="Times New Roman"/>
          <w:sz w:val="18"/>
          <w:szCs w:val="18"/>
          <w:color w:val="auto"/>
        </w:rPr>
        <w:t>. Subject to the terms and conditions and in reliance upon the representations and warranties herein set forth, the Company and the Managers agree that the Company may seek to issue and sell Shares from time to time through the Managers, acting as sales agents, and each Manager agrees to use its commercially reasonable efforts to sell, as sales agent for the Company, the Shares with respect to which such Manager has agreed to act as sales agent on the following terms.</w:t>
      </w:r>
    </w:p>
    <w:p>
      <w:pPr>
        <w:spacing w:after="0" w:line="18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(i)            The Company may submit its orders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through any of the individuals listed as “Authorized Representatives”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the same may be amended or supplemented by the Company in its sole discretion upon advance written notice to the Managers, to such Manager by electronic mail using a form substantially similar to that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by telephone (including any price, time or size limits or other customary parameters or conditions) to sell Shares on any Trading Day (as defined below) for the NYSE (other than a day on which the NYSE is scheduled to close prior to its regular weekday closing time), which order shall be confirmed by such Manager promptly (and accepted by the Company) by electronic mail using a form substantially similar to that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make such sales; provided that the Company has satisfied its obligations under Section 6 of this Agreement. The Company will designate (i) the maximum amount of Shares to be sold by such Manager daily as agreed to by such Manager (in any event not in excess of the amount available for issuance under the Prospectus and the currently effective Registration Statement), (ii) the minimum price per Share at which such Shares may be sold, (iii) dates on which the Shares may be sold and (iv) the compensation payable to such Manager for such sales pursuant to Section 3(a)(v), which compensation shall have been discussed and agreed to by the Company and such Manager. For the avoidance of doubt, the Company shall submit instructions to sell Shares to only one Manager, if any, on any single Trading Day. For the purposes hereof, “Trading Day” means any day on which the Shares are purchased and sold on the NYSE or such other principal market on which the Class C Common Stock is listed or quoted.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(ii)            Subject to the terms and conditions hereof, such Manager shall use its commercially reasonable efforts, consistent with its normal trading and sales practices, to sell on a particular day all of the Shares designated for sale by the Company on such day. The Company acknowledges and agrees that (A) there can be no assurance that the Managers will be successful in selling the Shares, (B) no Manager will incur any liability or obligation to the Company or any other person or entity if such Manager does not sell Shares for any reason other than a failure by such Manager to use its commercially reasonable efforts consistent with its normal trading and sales practices to sell such Shares as required under this Agreement, (C) no Manager shall be under any obligation to purchase Shares on a principal basis pursuant to this Agreement and (D) no Manager shall have an obligation to offer or sell any Shares in the event an offer or sale of the Shares on behalf of the Company may, in the judgment of such Manager, constitute the sale of a “block” under Rule 10b-18(a)</w:t>
      </w:r>
    </w:p>
    <w:p>
      <w:pPr>
        <w:spacing w:after="0" w:line="1" w:lineRule="exact"/>
        <w:rPr>
          <w:sz w:val="20"/>
          <w:szCs w:val="20"/>
          <w:color w:val="auto"/>
        </w:rPr>
      </w:pPr>
    </w:p>
    <w:p>
      <w:pPr>
        <w:jc w:val="both"/>
        <w:ind w:left="180" w:firstLine="4"/>
        <w:spacing w:after="0" w:line="255" w:lineRule="auto"/>
        <w:tabs>
          <w:tab w:leader="none" w:pos="4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or a “distribution” within the meaning of Rule 100 of Regulation M under the Exchange Act, or such Manager reasonably believes it may be deemed an “underwriter” under the Act in a transaction that is other than by means set forth under Section 3(a)(iv) hereof.</w:t>
      </w:r>
    </w:p>
    <w:p>
      <w:pPr>
        <w:spacing w:after="0" w:line="186"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(iii)            The Company shall not authorize the issuance and sale of, and the relevant Manager shall not be obligated to use its commercially reasonable efforts to sell, any Shares at a price lower than the minimum price therefor designated from time to time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a duly authorized committee thereof, or any individual to whom such authority has been duly and properly delegated by the Board or a duly authorized committee thereof, and notified to such Manager in writing. The Company or any Manager may, upon notice to the other party hereto by electronic mail or telephone (and in the case of telephone, confirmed promptly by electronic mail), suspend or terminate the offering of the Shares with respect to which such Manager is acting as sales agent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(iv)            Each Manager hereby covenants and agrees not to make any sales of the Shares on behalf of the Company pursuant to this Section 3(a), other than (A)(1) by means of ordinary brokers’ transactions between members of the NYSE, any other national securities exchange or facility thereof, a trading facility of a national securities association, or an alternative trading system that qualify for delivery of a Prospectus to the NYSE in accordance with Rule 153 under the Act, (2) to or through a market maker or (3) directly on or through an electronic communication network, a “dark pool” or any similar market venue and (B) such other sales of the Shares on behalf of the Company in its capacity as agent of the Company as shall be permitted by law.</w:t>
      </w:r>
    </w:p>
    <w:p>
      <w:pPr>
        <w:spacing w:after="0" w:line="187"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(v)            The compensation to each Manager for sales of the Shares with respect to which such Manager acts as sales agent under this Agreement shall not exceed 1.5% of the gross sales price of the Shares sold pursuant to this Section 3(a), as mutually agreed to in writing by the Company and such Manager, and payable as described in the succeeding subsection (vi) below. The gross proceeds less such Manager’s commission shall constitute the net proceeds to the Company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for such Shares. Payment of the Net Proceeds after further deduction for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for Shares sold by the Company on any Settlement Date shall be made to the Company by federal funds wire transfer to the account of the Company against delivery of such Shares to such Manager’s account, or an account of such Manager’s designee,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            The Manager acting as sales agent hereunder shall provide written confirmation (which may be by facsimile or electronic mail) to the Company following the close of trading on the NYSE each day on which Shares with respect to which such Manager is acting as sales agent are sold under this Section 3(a) setting forth the number of Shares sold on such day, the aggregate gross sales proceeds from such sales, the Net Proceeds to the Company and the compensation payable by the Company to such Manager with respect to such sales. Such compensation shall be set forth and invoiced in periodic statements from such Manager to the Company, with payment to be made by the Company promptly after its receipt thereof.</w:t>
      </w:r>
    </w:p>
    <w:p>
      <w:pPr>
        <w:spacing w:after="0" w:line="187"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(vii)            Settlement for sales of the Shares pursuant to this Section 3(a) will generally occur on the first Trading Day following the date on which such sales are made, unless another date shall be agreed to in writing by the Company and the applicable Manager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a Manager for settlement on such date shall be issued and delivered by the Company to such Manager against payment of the Net Proceeds less any Transaction Fees for the sale of such Shares. Settlement for all such Shares shall be effected by free delivery of the Shares to such Manager’s account, or an account of such Manager’s designee, at DTC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(including reasonable legal fees and expenses) arising from or as a result of such default by the Company and (B) pay such Manager any commission to which it would otherwise be entitled absent such default. If a Manager acting as sales agent hereunder breaches this Agreement by failing to deliver the Net Proceeds less any Transaction Fees to the Company on any Settlement Date for the Shares delivered by the Company to such Manager, such Manager will pay the Company interest based on the effective overnight federal funds rate on such unpaid amount less any compensation due to such Manager.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(viii)            At each Applicable Time, each Settlement Date and each Representation Date, the Company shall be deemed to have affirmed each representation and warranty contained in this Agreement as if such representation and warranty were made as of such date, but modified as necessary to conform to, and incorporate the disclosures and information contained in, the Registration Statement, the Prospectus and the documents incorporated by reference therein, in each case as amended or supplemented as of such date. Any obligation of a Manager to use its commercially reasonable efforts to sell the Shares on behalf of the Company shall be subject to the continuing accuracy of the representations and warranties of the Company herein (as modified in the manner described above), to the performance by the Company of its obligations hereunder and to the continuing satisfaction of the additional conditions specified in Section 6 of this Agreement.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Limitations on Number and Amount of Shares Sold.</w:t>
      </w:r>
      <w:r>
        <w:rPr>
          <w:rFonts w:ascii="Times New Roman" w:cs="Times New Roman" w:eastAsia="Times New Roman" w:hAnsi="Times New Roman"/>
          <w:sz w:val="18"/>
          <w:szCs w:val="18"/>
          <w:color w:val="auto"/>
        </w:rPr>
        <w:t xml:space="preserve"> Under no circumstances shall the number and aggregate amount of Shares sold pursuant to this Agreement exceed (i) $100,000,000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(ii) the number of shares of Class C Common Stock available for issuance under the currently effective Registration Statement or (iii) the number and aggregate amount of Shares authorized from time to time to be issued and sold under this Agreement by the Board, or a duly authorized committee or authorized individual thereof, and notified to such Manager in writing. Under no circumstances shall the price of the Shares sold pursuant to this Agreement be lower than the minimum price authorized from time to time to be issued and sold under this Agreement by the Board, or a duly authorized committee or authorized individual thereof, and notified to such Manager in writing.</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Regulation M Exemption.</w:t>
      </w:r>
      <w:r>
        <w:rPr>
          <w:rFonts w:ascii="Times New Roman" w:cs="Times New Roman" w:eastAsia="Times New Roman" w:hAnsi="Times New Roman"/>
          <w:sz w:val="18"/>
          <w:szCs w:val="18"/>
          <w:color w:val="auto"/>
        </w:rPr>
        <w:t xml:space="preserve"> If any party hereto has reason to believe that the exemptive provisions set forth in Rule 101(c)(1) of Regulation M under the Exchange Act are not satisfied with respect to the Shares, it shall promptly notify the other parties and sales of the Shares under this Agreement shall be suspended until that or other exemptive provisions have been satisfied in the judgment of each party.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Material Non-Public Information</w:t>
      </w:r>
      <w:r>
        <w:rPr>
          <w:rFonts w:ascii="Times New Roman" w:cs="Times New Roman" w:eastAsia="Times New Roman" w:hAnsi="Times New Roman"/>
          <w:sz w:val="18"/>
          <w:szCs w:val="18"/>
          <w:color w:val="auto"/>
        </w:rPr>
        <w:t>. Notwithstanding any other provision of this Agreement, (i) no sales of Shares shall take place, and the Company shall not request the sales of any Shares during any period in which the Company is in possession of material non-public information, and (ii) except as may be mutually agreed upon by the Company and the applicable Manager that is requested to make any such sale, the Company shall not offer, sell or deliver, or request the offer or sale, of any Shares pursuant to this Agreement and, by notice to the Managers given by telephone (confirmed promptly by email), shall cancel any instructions for the offer or sale of any Shares, and the Manager shall not be obligated to offer or sell any Shares at any time from and including the date two weeks prior to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 (such period referred to herein as a “</w:t>
      </w:r>
      <w:r>
        <w:rPr>
          <w:rFonts w:ascii="Times New Roman" w:cs="Times New Roman" w:eastAsia="Times New Roman" w:hAnsi="Times New Roman"/>
          <w:sz w:val="18"/>
          <w:szCs w:val="18"/>
          <w:u w:val="single" w:color="auto"/>
          <w:color w:val="auto"/>
        </w:rPr>
        <w:t>Quarterly Blackout Period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Parties, jointly and severally, covenant and agree with each Manager that:</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Filing of Amendment or Supplement.</w:t>
      </w:r>
      <w:r>
        <w:rPr>
          <w:rFonts w:ascii="Times New Roman" w:cs="Times New Roman" w:eastAsia="Times New Roman" w:hAnsi="Times New Roman"/>
          <w:sz w:val="18"/>
          <w:szCs w:val="18"/>
          <w:color w:val="auto"/>
        </w:rPr>
        <w:t xml:space="preserve"> During any period when the delivery of a prospectus relating to the Shares is required (including in circumstances where such requirement may be satisfied pursuant to Rule 172 or any similar rule) to be delivered under the Act, the Company will not file any (i) amendment to the Registration Statement, or (ii) supplement to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Exchange Act), unless the Company has furnished to the Managers a copy for its review prior to filing and will not file any such proposed amendment, supplement or Registration Statement to which any Manager reasonably objects, unless the Company shall have determined based upon the advice of counsel that such amendment, supplement or filing is required by law.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Company will promptly advise each Manager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(v) of any mandatory or voluntary suspension of sales under the Registration Statement relating to the Company’s eligibility to use Form S-3 and (vi)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Material Changes.</w:t>
      </w:r>
      <w:r>
        <w:rPr>
          <w:rFonts w:ascii="Times New Roman" w:cs="Times New Roman" w:eastAsia="Times New Roman" w:hAnsi="Times New Roman"/>
          <w:sz w:val="18"/>
          <w:szCs w:val="18"/>
          <w:color w:val="auto"/>
        </w:rPr>
        <w:t xml:space="preserve">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each Manager so that any use of the Registration Statement and Prospectus may cease until it is amended or supplemented; (ii) amend or supplement the Registration Statement and Prospectus to correct such statement or omission; and (iii) supply any amendment or supplement to each Manager in such quantities as such Manager may reasonably request.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Amendment of Registration Statement or Supplement of Prospectus.</w:t>
      </w:r>
      <w:r>
        <w:rPr>
          <w:rFonts w:ascii="Times New Roman" w:cs="Times New Roman" w:eastAsia="Times New Roman" w:hAnsi="Times New Roman"/>
          <w:sz w:val="18"/>
          <w:szCs w:val="18"/>
          <w:color w:val="auto"/>
        </w:rPr>
        <w:t xml:space="preserve"> During any period when the delivery of a prospectus relating to the Shares is required (including in circumstances where such requirement may be satisfied pursuant to Rule 172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each Manager of any such event; (ii) prepare and file with the Commission, subject to the first sentence of Section 4(a),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Reports to Securityholders</w:t>
      </w:r>
      <w:r>
        <w:rPr>
          <w:rFonts w:ascii="Times New Roman" w:cs="Times New Roman" w:eastAsia="Times New Roman" w:hAnsi="Times New Roman"/>
          <w:sz w:val="18"/>
          <w:szCs w:val="18"/>
          <w:color w:val="auto"/>
        </w:rPr>
        <w:t>. In accordance with Section 11(a) of the Act and Rule 158, the Company will make generally available to its securityholders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Signed Copies of the Registration Statement and Copies of the Prospectus</w:t>
      </w:r>
      <w:r>
        <w:rPr>
          <w:rFonts w:ascii="Times New Roman" w:cs="Times New Roman" w:eastAsia="Times New Roman" w:hAnsi="Times New Roman"/>
          <w:sz w:val="18"/>
          <w:szCs w:val="18"/>
          <w:color w:val="auto"/>
        </w:rPr>
        <w:t>. The Company will furnish to each Manager and counsel for the Managers, upon request and without charge, copies of the executed Registration Statement (including exhibits thereto) and, so long as delivery of a prospectus by such Manager or dealer may be required by the Act (including in circumstances where such requirement may be satisfied pursuant to Rule 172 or any similar rule), as many copies of the Prospectus and any supplement thereto as such Manager may reasonably request. The Company will pay the expenses of printing or other production of all documents relating to the offering.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Qualification of the Shares in Certain Jurisdictions</w:t>
      </w:r>
      <w:r>
        <w:rPr>
          <w:rFonts w:ascii="Times New Roman" w:cs="Times New Roman" w:eastAsia="Times New Roman" w:hAnsi="Times New Roman"/>
          <w:sz w:val="18"/>
          <w:szCs w:val="18"/>
          <w:color w:val="auto"/>
        </w:rPr>
        <w:t xml:space="preserve">. 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No Issuer Free Writing Prospectus.</w:t>
      </w:r>
      <w:r>
        <w:rPr>
          <w:rFonts w:ascii="Times New Roman" w:cs="Times New Roman" w:eastAsia="Times New Roman" w:hAnsi="Times New Roman"/>
          <w:sz w:val="18"/>
          <w:szCs w:val="18"/>
          <w:color w:val="auto"/>
        </w:rPr>
        <w:t xml:space="preserve"> Each of the Company and the Managers agree that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Limitations on Sale of Class C Common Stock.</w:t>
      </w:r>
      <w:r>
        <w:rPr>
          <w:rFonts w:ascii="Times New Roman" w:cs="Times New Roman" w:eastAsia="Times New Roman" w:hAnsi="Times New Roman"/>
          <w:sz w:val="18"/>
          <w:szCs w:val="18"/>
          <w:color w:val="auto"/>
        </w:rPr>
        <w:t xml:space="preserve"> If sales of the Shares have been made but not settled, or the Company has had outstanding with the Managers any instructions to sell the Shares, in either case, within the prior three Business Days, the Company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a registration statement on Form S-8 or post-effective amendment to the Registration Statement) in respect of, or establish or increase a put equivalent position or liquidate or decrease a call equivalent position within the meaning of Section 16 of the Exchange Act, any other shares of Class C Common Stock or any securities convertible into, or exercisable, or exchangeable for, Class C Common Stock, or publicly announce an intention to effect any such transaction without (i) giving such Manager at least one Business Day’s prior written notice specifying the nature of the proposed transaction and the date of such proposed transaction and (ii) such Manager suspending acting under this Agreement for such period of time requested by the Company or as deemed appropriate by such Manager in light of the proposed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may issue and sell Class C Common Stock pursuant to this Agreement, (ii) the Company may issue and sell Class C Common Stock pursuant to any employee benefit plan of the Company, (iii) the Company may issue Class C Common Stock pursuant to any employee stock option plan, stock ownership plan or dividend reinvestment plan of the Company, (iv) the Company may issue Class C Common Stock issuable upon the conversion of securities or the exercise of warrants outstanding at the Execution Time and (v) the Company may issue shares to affiliates as full or partial consideration for any transfer, sale or contribution of assets or equity interests to the Company or any of its subsidiaries.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Market Stabilization.</w:t>
      </w:r>
      <w:r>
        <w:rPr>
          <w:rFonts w:ascii="Times New Roman" w:cs="Times New Roman" w:eastAsia="Times New Roman" w:hAnsi="Times New Roman"/>
          <w:sz w:val="18"/>
          <w:szCs w:val="18"/>
          <w:color w:val="auto"/>
        </w:rPr>
        <w:t xml:space="preserve"> The Company will not (i) take, directly or indirectly, any action designed to or that would constitute or that might reasonably be expected to cause or result in, under the Exchange Act or otherwise, stabilization or manipulation of the price of Class C Common Stock to facilitate the sale or resale of the Shares or (ii) sell, bid for, purchase or pay any person (other than as contemplated by this Agreement) any compensation for soliciting purchases of the Shares.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Notifications to Managers.</w:t>
      </w:r>
      <w:r>
        <w:rPr>
          <w:rFonts w:ascii="Times New Roman" w:cs="Times New Roman" w:eastAsia="Times New Roman" w:hAnsi="Times New Roman"/>
          <w:sz w:val="18"/>
          <w:szCs w:val="18"/>
          <w:color w:val="auto"/>
        </w:rPr>
        <w:t xml:space="preserve"> The Company will, at any time during the term of this Agreement, as supplemented from time to time, advise the Managers immediately after it shall have received notice or obtained knowledge thereof, of any information or fact that would alter or affect any opinion, certificate, letter and other document provided to the Managers pursuant to Section 6 herein.</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any prospectus supplement filed pursuant to Rule 424(b) pursuant to Section 4(a) hereof or a prospectus supplement relating solely to the offering of securities other than the Shares), (ii) the Company shall file an Annual Report on Form 10-K or a Quarterly Report on Form 10-Q, (iii) there is filed with the Commission any document (other than an Annual Report on Form 10-K or a Quarterly Report on Form 10-Q), which contains financial information required under Regulation S-X or financial information filed with the Commission on Form 8-K under Item 9.01 or (iv) otherwise as any Manager may reasonably request (such commencement or recommencement date and each such date referred to in subsection (i), (ii), (iii) and (iv) herein, excluding any date occurring during the suspension of sales hereunder, each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shall furnish or cause to be furnished to any Manager forthwith a certificate within two (2) Trading Days of the Representation Date, in form satisfactory to the Managers to the effect that the statements contained in the certificate referred to in Section 6(e) hereof which were last furnished to the Managers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and information contained in the Registration Statement, the Prospectus and the documents incorporated by reference therein, in each case as amended or supplemented as of such date) or, in lieu of such certificate, a certificate of the same tenor as the certificate referred to in said Section 6(e), modified as described immediately above to the time of delivery of such certificate. Notwithstanding the foregoing, if the Company subsequently decides to sell the Shares following a Representation Date when the Company relied on such waiver and did not provide the Managers with a certificate under this Section 4(k), then before the Company delivers the Placement Notice or the Managers sell any Shares, the Company shall provide the Managers with a certificate under this Section 4(k), dated the date of the Placement Notice.</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Opinion and 10b-5 Statement of Company Counsel.</w:t>
      </w:r>
      <w:r>
        <w:rPr>
          <w:rFonts w:ascii="Times New Roman" w:cs="Times New Roman" w:eastAsia="Times New Roman" w:hAnsi="Times New Roman"/>
          <w:sz w:val="18"/>
          <w:szCs w:val="18"/>
          <w:color w:val="auto"/>
        </w:rPr>
        <w:t xml:space="preserve"> Within two (2) Trading Days of each Representation Date, the Company shall furnish or cause to be furnished forthwith to the Managers and to counsel to the Managers a written opinion and 10b-5 Statement of Baker Botts L.L.P.,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such Company Counsel may furnish the Managers with a letter, in form and substance satisfactory to the Managers, to the effect that the Managers may rely on a prior opinion and 10b-5 Statement delivered under this Section 4(l) to the same extent as if it were dated the date of such letter (except that statements in such prior opinion shall be deemed to relate to the Registration Statement and the Prospectus as amended or supplemented as of such subsequent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Opinion of Company Regulatory Counsel.</w:t>
      </w:r>
      <w:r>
        <w:rPr>
          <w:rFonts w:ascii="Times New Roman" w:cs="Times New Roman" w:eastAsia="Times New Roman" w:hAnsi="Times New Roman"/>
          <w:sz w:val="18"/>
          <w:szCs w:val="18"/>
          <w:color w:val="auto"/>
        </w:rPr>
        <w:t xml:space="preserve"> Within two (2) Trading Days of each Representation Date, the Company shall furnish or cause to be furnished forthwith to the Managers and to counsel to the Managers a written opinion of McDermott Will &amp; Emery LLP, counsel to the Company (“</w:t>
      </w:r>
      <w:r>
        <w:rPr>
          <w:rFonts w:ascii="Times New Roman" w:cs="Times New Roman" w:eastAsia="Times New Roman" w:hAnsi="Times New Roman"/>
          <w:sz w:val="18"/>
          <w:szCs w:val="18"/>
          <w:u w:val="single" w:color="auto"/>
          <w:color w:val="auto"/>
        </w:rPr>
        <w:t>Company Regulatory Counsel</w:t>
      </w:r>
      <w:r>
        <w:rPr>
          <w:rFonts w:ascii="Times New Roman" w:cs="Times New Roman" w:eastAsia="Times New Roman" w:hAnsi="Times New Roman"/>
          <w:sz w:val="18"/>
          <w:szCs w:val="18"/>
          <w:color w:val="auto"/>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for dates subsequent to the commencement of the offering of the Shares under this Agreement, such Company Regulatory Counsel may furnish the Managers with a letter, in form and substance satisfactory to the Managers, to the effect that the Managers may rely on a prior opinion delivered under this Section 4(m) to the same extent as if it were dated the date of such letter (except that statements in such prior opinion shall be deemed to relate to the Registration Statement and the Prospectus as amended or supplemented as of such subsequent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Opinion and 10b-5 Statement of Managers’ Counsel.</w:t>
      </w:r>
      <w:r>
        <w:rPr>
          <w:rFonts w:ascii="Times New Roman" w:cs="Times New Roman" w:eastAsia="Times New Roman" w:hAnsi="Times New Roman"/>
          <w:sz w:val="18"/>
          <w:szCs w:val="18"/>
          <w:color w:val="auto"/>
        </w:rPr>
        <w:t xml:space="preserve"> Within two (2) Trading Days of each Representation Date, Latham &amp; Watkins LLP, counsel to the Managers, shall deliver a written opinion and 10b-5 Statement, dated as of the date that the opinion is delivered, in form and substance satisfactory to the Managers, of the same tenor as the opinion referred to in Section 6(d) of this Agreement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Latham &amp; Watkins LLP may furnish the Managers with a letter, in form and substance satisfactory to the Managers, to the effect that the Managers may rely on a prior opinion and 10b-5 Statement delivered under this Section 4(n) to the same extent as if it were dated the date of such letter (except that statements in such prior opinion shall be deemed to relate to the Registration Statement and the Prospectus as amended or supplemented as of such subsequent date).</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Letters of Independent Accountants</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as contemplated herein), and within two (2) Trading Days of each time, excluding any date occurring during the suspension of sales hereunder, that (i) the Registration Statement or the Prospectus shall be amended or supplemented to include additional or amended financial information, (ii) the Company files a Quarterly Report on Form 10-Q or an Annual Report on Form 10-K, or (iii) at any Manager’s request and upon reasonable advance notice to the Company, there is filed with the Commission any document which contains financial information (other than a Quarterly Report on Form 10-Q or an Annual Report on Form 10- K) incorporated by reference into the Prospectus, the Company shall cause Ernst &amp; Young LLP, PricewaterhouseCoopers LLP, or other independent accountants satisfactory to the Managers forthwith, to furnish such Manager(s) with letters, each dated the date that the letter is delivered, in form and substance satisfactory to such Manager(s), to the effect of the letters referred to in Section 6(f) of this Agreement but modified to relate to the Registration Statement and the Prospectus, as amended and supplemented to the date of such letter.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 xml:space="preserve"> Within two (2) Trading Days of each Representation Date, if requested by the Managers, the Company will conduct a due diligence session, in form and substance satisfactory to the Managers, which shall include representatives of the management and the independent accountants of the Company. Furthermore, in the event that the Company requests the Manager to sell on any one Trading Day an amount of Shares that would be equal to or greater than 15% of the average daily trading volume (calculated based on the most recent three completed Trading Days) of the Company’s common stock, if requested by the Manager, the Company will conduct a due diligence call, in form and substance satisfactory to the Managers, which shall include representatives of the management and the independent accountants of the Company and that the Company shall provide the certificate referred to in Section 4(k) of the Agreement. The Company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8" w:name="page29"/>
    <w:bookmarkEnd w:id="2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Managers Trading.</w:t>
      </w:r>
      <w:r>
        <w:rPr>
          <w:rFonts w:ascii="Times New Roman" w:cs="Times New Roman" w:eastAsia="Times New Roman" w:hAnsi="Times New Roman"/>
          <w:sz w:val="18"/>
          <w:szCs w:val="18"/>
          <w:color w:val="auto"/>
        </w:rPr>
        <w:t xml:space="preserve"> The Company consents to the Managers trading in Class C Common Stock for their own accounts and for the account of their clients at the same time as sales of the Shares occur pursuant to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Disclosures in Periodic Reports.</w:t>
      </w:r>
      <w:r>
        <w:rPr>
          <w:rFonts w:ascii="Times New Roman" w:cs="Times New Roman" w:eastAsia="Times New Roman" w:hAnsi="Times New Roman"/>
          <w:sz w:val="18"/>
          <w:szCs w:val="18"/>
          <w:color w:val="auto"/>
        </w:rPr>
        <w:t xml:space="preserve">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period.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Failure of Certain Conditions</w:t>
      </w:r>
      <w:r>
        <w:rPr>
          <w:rFonts w:ascii="Times New Roman" w:cs="Times New Roman" w:eastAsia="Times New Roman" w:hAnsi="Times New Roman"/>
          <w:sz w:val="18"/>
          <w:szCs w:val="18"/>
          <w:color w:val="auto"/>
        </w:rPr>
        <w:t>. If, to the knowledge of the Company, the conditions set forth in Section 6 (other than the conditions set forth in Sections 6(b), 6(c), 6(d), 6(f), 6(j) or 6(k))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Acceptance of Offer to Purchase</w:t>
      </w:r>
      <w:r>
        <w:rPr>
          <w:rFonts w:ascii="Times New Roman" w:cs="Times New Roman" w:eastAsia="Times New Roman" w:hAnsi="Times New Roman"/>
          <w:sz w:val="18"/>
          <w:szCs w:val="18"/>
          <w:color w:val="auto"/>
        </w:rPr>
        <w:t>. Each acceptance by the Company of an offer to purchase the Shares hereunder shall be deemed to be an affirmation to each Manager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Settlement Date for the Shares relating to such acceptance or as of the Applicable Time relating to such sale, as the case may be, as though made at and as of such date (except that such representations and warranties shall be deemed modified to relate to the Registration Statement, the Prospectus and the documents incorporated by reference therein, in each case as amended or supplemented as of such date).</w:t>
      </w:r>
    </w:p>
    <w:p>
      <w:pPr>
        <w:spacing w:after="0" w:line="183"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New Shelf Registration Statement</w:t>
      </w:r>
      <w:r>
        <w:rPr>
          <w:rFonts w:ascii="Times New Roman" w:cs="Times New Roman" w:eastAsia="Times New Roman" w:hAnsi="Times New Roman"/>
          <w:sz w:val="18"/>
          <w:szCs w:val="18"/>
          <w:color w:val="auto"/>
        </w:rPr>
        <w:t>. If the third anniversary of the initial effective date of the Registration Statement occurs before all the Shares have been sold, prior to such third anniversary, to file, subject to Section 4(a), a new shelf registration statement and to take any other action necessary to permit the public offering of the Shares to continue without interruption.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Company will reserve and keep available at all times, free of preemptive rights, Shares for the purpose of enabling the Company to satisfy its obligations hereunder.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NYSE Listing</w:t>
      </w:r>
      <w:r>
        <w:rPr>
          <w:rFonts w:ascii="Times New Roman" w:cs="Times New Roman" w:eastAsia="Times New Roman" w:hAnsi="Times New Roman"/>
          <w:sz w:val="18"/>
          <w:szCs w:val="18"/>
          <w:color w:val="auto"/>
        </w:rPr>
        <w:t>. The Company will use its commercially reasonable efforts to cause the Shares to be listed for trading on the NYSE and to maintain such listing.</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Delivery of Prospectus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or any similar rule) to be delivered under the Act, the Company will file all documents required to be filed with the Commission pursuant to the Exchange Act within the time periods required by the Exchange Act and the regulations thereunder.</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9" w:name="page30"/>
    <w:bookmarkEnd w:id="29"/>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xml:space="preserve"> The Company shall cooperate with the Managers and use its reasonable efforts to permit the Shares to be eligible for clearance and settlement through the facilities of DTC.</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 will apply the Net Proceeds from the sale of the Shares in the manner set forth in the Prospectus under the heading “Use of Proceeds.”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 Each of the Company Parties agrees to pay the reasonable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any amendment or supplement thereto,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and resale of the Shares; (iv) the printing (or reproduction) and delivery of this Agreement, any blue sky memorandum and all other agreements or documents printed (or reproduced) and delivered in connection with the offering of the Shares; (v) the registration of the Shares under the Act and the listing of the Shares on the NYSE; (vi) any registration or qualification of the Shares for offer and sale under the securities or blue sky laws of the several states (including filing fees and the reasonable fees and expenses of counsel for the Managers in an amount not to exceed $15,000 relating to such registration and qualification); (vii) any filings required to be made with FINRA (including filing fees and the reasonable fees and expenses of counsel for the Managers in an amount not to exceed $30,000 relating to such filings); (viii) the fees and expenses of the Company’s accountants and the fees and expenses of counsel (including local and special counsel) for the Company and the reasonable fees and expenses of counsel for the Managers (which shall be one outside counsel for all the Managers unless otherwise agreed by the Company); (ix) the costs and charges of any transfer agent or registrar; and (x) all other costs and expenses incident to the performance by the Company Parties of its respective obligations hereunder; provided, however, that transportation and other expenses incurred by or on behalf of the Managers in connection with presentations to prospective purchasers of the Shares will be paid solely by the Managers. It is understood, however, that except as provided in this Section and Sections 3(a)(v) and 7 hereof, each Manager will pay all of its own out-of-pocket costs and expenses incurred in connection with entering into this Agreement and the transactions contemplated by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Conditions to the Obligations of the Managers</w:t>
      </w:r>
      <w:r>
        <w:rPr>
          <w:rFonts w:ascii="Times New Roman" w:cs="Times New Roman" w:eastAsia="Times New Roman" w:hAnsi="Times New Roman"/>
          <w:sz w:val="18"/>
          <w:szCs w:val="18"/>
          <w:color w:val="auto"/>
        </w:rPr>
        <w:t>. The obligations of the Managers under this Agreement shall be subject to (i) the accuracy of the representations and warranties on the part of the Company Parties contained herein as of the Execution Time, each Representation Date, and as of each Applicable Time and Settlement Date (as such representations and warranties shall be deemed modified in the manner set forth in Section 3(a)(viii)), (ii) the performance by each of the Company Parties of its respective obligations hereunder, and (iii) the following additional conditions: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Prospectus, and any supplement thereto, required by Rule 424 to be filed with the Commission have been filed in the manner and within the time period required by Rule 424(b) with respect to any sale of Shares;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The Company shall have requested and caused Company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4(l) to the same extent as if it were dated the date of such letter (except that statements in such prior opinion shall be deemed to relate to the Registration Statement and the Prospectus as amended or supplemented as of such subsequent date)).</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The Company shall have requested and caused Company Regulatory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4(m) to the same extent as if it were dated the date of such letter (except that statements in such prior opinion shall be deemed to relate to the Registration Statement and the Prospectus as amended or supplemented as of such subsequent date)).</w:t>
      </w:r>
    </w:p>
    <w:p>
      <w:pPr>
        <w:spacing w:after="0" w:line="189"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17"/>
          <w:szCs w:val="17"/>
          <w:color w:val="auto"/>
        </w:rPr>
        <w:t>(d)            Each Manager shall have received from Latham &amp; Watkins LLP, counsel for the Managers, or such other counsel as is acceptable to the Company and the Managers, within two (2) Trading Days of every Representation Date, its opinion,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4(n) to the same extent as if it were dated the date of such letter (except that statements in such prior opinion shall be deemed to relate to the Registration Statement and the Prospectus as amended or supplemented as of such subsequent date)), and the Company shall have furnished to such counsel such documents as they request for the purpose of enabling them to pass upon such matters.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Company shall have furnished to each Manager, within two (2) Trading Days of every Representation Date, a certificate of the Company, signed on behalf of the Company by an executive officer, the Treasurer or the General Counsel of the Company, dated as of the date such certificate is delivered, to the effect that the signer of such certificate has carefully examined the Registration Statement and the Prospectus and any amendment or supplement thereto and this Agreement and that:</w:t>
      </w:r>
    </w:p>
    <w:p>
      <w:pPr>
        <w:spacing w:after="0" w:line="18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            the representations and warranties of the Company Parties in this Agreement that are not qualified by materiality are true and correct in all material respects and that the representations and warranties of the Company Parties in this Agreement that are qualified by materiality are true and correct in all respects, in each case, on and as of such date with the same effect as if made on such date and the Company Parties have complied in all material respects with all the agreements and satisfied in all material respects all the conditions on its part to be performed or satisfied at or prior to such date;</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Company Parties’ knowledge, threatened;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since the date of the most recent financial statements included or incorporated by reference in the Prospectus, no event has occurred that had, or which may reasonably be expected to have, a Material Adverse Effect, except as set forth in or contemplated in the Prospectus.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The Company shall have requested and caused Ernst &amp; Young LLP, PricewaterhouseCoopers LLP or other independent accountants satisfactory to the Managers, to have furnished to the Managers, on every date specified in Section 4(o) hereof, to the extent requested by such Manager(s) in connection with any offering of the Shares, and to the extent requested by such Manager(s) in connection with any updates to financials included or incorporated by reference in the Registration Statement, letters (which may refer to letters previously delivered to such Manager(s)), dated as of such date, in form and substance satisfactory to such Manager(s)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Between the Execution Time and each Applicable Time,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Parties and their subsidiaries taken as a whole, whether or not arising from transactions in the ordinary course of business, except as set forth in or contemplated in the Prospectus (exclusive of any amendment or supplement thereto) the effect of which, in any case referred to in clause (ii) above, is, in the sole judgment of the Manager, so material and adverse as to make it impractical or inadvisable to proceed with the offering or delivery of the Shares as contemplated by the Registration Statement (exclusive of any amendment thereof) and the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(h)            FINRA shall not have raised any objection with respect to the fairness and reasonableness of the terms and arrangements under this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The Shares shall have been listed and admitted and authorized for trading on the NYSE, and satisfactory evidence of such actions shall have been provided to the Managers.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(j)            The Company shall have furnished to the Managers within two (2) Trading Days of each Representation Date such further information, certificates and documents as such Manager(s) may reasonably request.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The requirements (i) to provide opinions and letters of counsel, the officer’s certificate and accountants’ letter specified in Sections 4(k), 4(l), 4(m), 4(n), 4(o), 4(p), 6(b), 6(c), 6(d), 6(e) and 6(f) and (ii) to furnish information, certificates or documents as any Manager may reasonably request in Section 6(j), shall be deemed waived for any Representation Date occurring at a time at which no instruction by the Company to any Manager to sell Class C Common Stock under this Agreement is in effect, which waiver shall continue until the earlier to occur of the date the Company delivers an instruction to any Manager to sell Class C Common Stock pursuant to Section 3(a) hereof (which for such calendar quarter shall be considered a Representation Date) and the next occurring Representation Date for which no such waiver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elect, in its sole discretion, to provide a certificate under Section 4(k) and thereby satisfy its obligations hereunder, notwithstanding the fact that no instruction by the Company to any Manager to sell Class C Common Stock under this Agreement is in effect. Notwithstanding the foregoing, if the Company subsequently decides to sell the Shares following a Representation Date when the Company relied on such waiver and did not provide the Managers with the requirements as discussed in this Section 6(k), then before the Company delivers the Placement Notice or the Managers sell any Shares, the Company shall provide the Managers each of the deliverables and, dated the date of the Placement Notice.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any Manager and counsel for the Managers, this Agreement, as it relates to such Manager, and all obligations of such Manager hereunder may be canceled at, or at any time prior to, any Settlement Date or Applicable Time, as applicable, by such Manager. Notice of such cancellation shall be given to the Company in writing or by telephone or facsimile confirmed in writing. Notwithstanding any other provision of this Agreement, the Company shall not offer, sell or deliver, or request the offer or sale, of any Shares pursuant to this Agreement following any Representation Date until the Company has provided the Managers with the opinions and letters of counsel, the officers’ certificate and accountants’ letter specified in Sections 6(b), (c), (d), (e) and (f), hereof and afforded the Managers the opportunity to conduct a due diligence review in accordance with Section 6(j)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Latham &amp; Watkins LLP, counsel for the Managers, at 1271 Avenue of the Americas, New York, New York 10020, or electronically if agreed to by the parties, on each such date as provided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The Company Parties agree, jointly and severally, to indemnify and hold harmless the Managers, the directors, officers, employees, affiliates and agents of the Managers and each person who controls any Manager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the Base Prospectus, the Prospectus Supplement, the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Parties will not be liable in any such case to the extent that any such loss, claim, damage, expense or liability arises out of or is based upon any such untrue statement or alleged untrue statement or omission or alleged omission made therein in reliance upon and in conformity with written information furnished to the Company Parties by or on behalf of the Managers specifically for inclusion therein, it being understood and agreed that the only such information furnished by or on behalf of the Managers consists of the information described as such in paragraph (b) below. This indemnity agreement will be in addition to any liability which the Company Parties may otherwise have.</w:t>
      </w:r>
    </w:p>
    <w:p>
      <w:pPr>
        <w:spacing w:after="0" w:line="19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The Managers, severally and not jointly, agree to indemnify and hold harmless the Company Parties, each of the Company Parties’ directors and officers who sign the Registration Statement, and each person who controls the Company Parties within the meaning of either the Act or the Exchange Act, to the same extent as the foregoing indemnity from the Company Parties to each Manager, but only with reference to written information relating to a Manager furnished to the Company Parties by or on behalf of such Manager specifically for inclusion in the documents referred to in the foregoing indemnity, which information consists only of the name of the Managers. This indemnity agreement will be in addition to any liability which any Manager may otherwise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(ii) be liable for any settlement of such action without its written consent, except as otherwise permitted in the following sentence.</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In the event that the indemnity provided in paragraph (a) or (b) of this Section 7 is unavailable to or insufficient to hold harmless an indemnified party for any reason, the Company Parties and each Manager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Parties and the Managers may be subject in such proportion as is appropriate to reflect the relative fault of the Company Parties, on the one hand, and of the Managers, on the other, in connection with the statements or omissions which resulted in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Managers be responsible for any amount in excess of the compensation to such Manager for sales of the Shares hereunder. For the avoidance of doubt, the obligation of each Manager to contribute pursuant to this Section 7(d) shall be several and not joint. If the allocation provided by the immediately preceding sentence is unavailable for any reason, the Company Parties and the Managers severally shall contribute in such relative proportions as is appropriate to reflect not only such relative fault but also the relative benefits received by the Company Parties, on the one hand, and by any Manager, on the other, in connection with the offering of the Shares as well as any other relevant equitable considerations. Benefits received by the Company Parties shall be deemed to be equal to the total net proceeds from the offering of the Shares purchased under this Agreement (before deducting expenses) received by the Company Parties, as determined by this Agreement, and benefits received by the Managers shall be deemed to be equal to the total compensation received by such Managers with respect to the Shares purchased under this Agreement, in each case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Parties on the one hand or by or on behalf of the Managers on the other, the intent of the parties and their relative knowledge, access to information and opportunity to correct or prevent such untrue statement or omission. The Company Parties and each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a Manager shall have the same rights to contribution as any Manager, and each person who controls the Company Parties within the meaning of either the Act or the Exchange Act, each officer of the Company Parties, who shall have signed the Registration Statement and each director of the Company Parties shall have the same rights to contribution as the Company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Company Parties shall have the right, by giving written notice as hereinafter specified, to terminate the provisions of this Agreement, with respect to any or all of the Managers,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such Managers for the Company, the obligations of the Company Parties, including in respect of compensation of the Managers, shall remain in full force and effect notwithstanding the termination, and (iii) the provisions of Sections 2, 5, 7, 9, 10, 11, 12, 13, 15 and 16 of this Agreement shall remain in full force and effect notwithstanding such termination.</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Each Manager shall have the right, by giving written notice as hereinafter specified, to terminate its own obligations under the provisions of this Agreement relating to the solicitation of offers to purchase the Shares in its sole discretion at any time. Any such termination shall have no effect on the obligations of any other Manager under this Agreement and shall be without liability of any party to any other party except that the provisions of Sections 2, 5, 7, 9, 10, 11, 12, 13, 15 and 16 of this Agreement shall remain in full force and effect with respect to such Managers notwithstanding such termination.</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This Agreement shall remain in full force and effect until the earlier of (i) its termination pursuant to Section 8(a) above or otherwise by mutual agreement of all of the parties, (ii) the termination of the obligations of each Manager pursuant to Section 8(b) above and</w:t>
      </w:r>
    </w:p>
    <w:p>
      <w:pPr>
        <w:jc w:val="both"/>
        <w:ind w:left="660" w:hanging="4"/>
        <w:spacing w:after="0" w:line="255"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date that the aggregate gross sales proceeds of the Shares sold pursuant to this Agreement equals the Maximum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or termination pursuant to clause (iii) shall in all cases be deemed to provide that Sections 2, 5, 7 and 9 shall remain in full force and effect. The Company Parties agree to provide prompt written notice of any termination pursuant to clause (iii).</w:t>
      </w:r>
    </w:p>
    <w:p>
      <w:pPr>
        <w:spacing w:after="0" w:line="18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any Manager or the Company Parties, as the case may be. If such termination shall occur prior to the Settlement Date or Applicable Time for any sale of the Shares, such sale shall settle in accordance with the provisions of Section 3(a)(vii)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Representations and Indemnities to Survive</w:t>
      </w:r>
      <w:r>
        <w:rPr>
          <w:rFonts w:ascii="Times New Roman" w:cs="Times New Roman" w:eastAsia="Times New Roman" w:hAnsi="Times New Roman"/>
          <w:sz w:val="18"/>
          <w:szCs w:val="18"/>
          <w:color w:val="auto"/>
        </w:rPr>
        <w:t>. The respective agreements, representations, warranties, indemnities, rights of contribution and other statements of the Company Parties’ officers and of the Managers set forth in or made pursuant to this Agreement will remain in full force and effect, regardless of any investigation made by or on behalf of the Managers or the Company Parties or any of the officers, directors, employees, affiliates, agents or controlling persons referred to in Section 7 hereof, and will survive delivery of and payment for the Shares. The provisions of Section 7 shall survive the termination or cancellation of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communications hereunder will be in writing and effective only on receipt, and, if sent to the Company Parties, shall be directed to them at c/o Clearway Energy, Inc., 300 Carnegie Center, Suite 300, Princeton, New Jersey 08540, attention of General Counsel, with a copy to Baker Botts L.L.P., 2001 Ross Avenue, Suite 900, Dallas, Texas 75201, attention to Preston Bernhisel; or, if sent to each Manager, will be directed 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Attention: ATM Execution Group, email: </w:t>
      </w:r>
      <w:r>
        <w:rPr>
          <w:rFonts w:ascii="Times New Roman" w:cs="Times New Roman" w:eastAsia="Times New Roman" w:hAnsi="Times New Roman"/>
          <w:sz w:val="18"/>
          <w:szCs w:val="18"/>
          <w:u w:val="single" w:color="auto"/>
          <w:color w:val="auto"/>
        </w:rPr>
        <w:t>dg.atm_execution@bofa.com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no: (212) 214-5918</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Fiduciary Duty</w:t>
      </w:r>
      <w:r>
        <w:rPr>
          <w:rFonts w:ascii="Times New Roman" w:cs="Times New Roman" w:eastAsia="Times New Roman" w:hAnsi="Times New Roman"/>
          <w:sz w:val="18"/>
          <w:szCs w:val="18"/>
          <w:color w:val="auto"/>
        </w:rPr>
        <w:t>. The Company Parties hereby acknowledge that (a) the purchase and sale of the Shares pursuant to this Agreement is an arm’s-length commercial transaction between the Company Parties, on the one hand, and the Managers and any affiliates through which it may be acting, on the other, (b) the Managers are acting solely as sales agents in connection with the purchase and sale of the Shares and not as fiduciaries of the Company Parties, (c) the Company’s engagement of the Managers in connection with the offering and the process leading up to the offering is as independent contractors and not in any other capacity and (d) none of the activities of the Managers in connection with the transactions contemplated herein constitutes a recommendation, investment advice, or solicitation of any action by the Managers with respect to any entity or natural person. Furthermore, the Company Parties agree that they are solely responsible for making their own judgments in connection with the offering (irrespective of whether the Managers have advised or are currently advising the Company Parties on related or other matters). The Company Parties agree that they will not claim that the Managers have rendered advisory services of any nature or respect, or owe an agency, fiduciary or similar duty to the Company Parties, in connection with the transactions contemplated by this Agreement or the process leading thereto.</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Research Analyst Independence</w:t>
      </w:r>
      <w:r>
        <w:rPr>
          <w:rFonts w:ascii="Times New Roman" w:cs="Times New Roman" w:eastAsia="Times New Roman" w:hAnsi="Times New Roman"/>
          <w:sz w:val="18"/>
          <w:szCs w:val="18"/>
          <w:color w:val="auto"/>
        </w:rPr>
        <w:t>. The Company Parties acknowledge that the Managers’ respective research analysts and research departments are required to be independent from their respective investment banking divisions and are subject to certain regulations and internal policies, and that such Managers’ respective research analysts may hold views and make statements or investment recommendations and/or publish research reports with respect to the Company, the value of the Class C Common Stock and/or the offering that differ from the views of their respective investment banking division. The Company Parties hereby waive and release, to the fullest extent permitted by law, any claims that the Company Parties may have against any of the Managers with respect to any conflict of interest that may arise from the fact that the views expressed by its respective independent research analysts and research departments may be different from or inconsistent with the views or advice communicated to the Company Parties by the Managers’ investment banking division. The Company Parties acknowledge that the Managers are full service securities firms and as such from time to time, subject to applicable securities laws, may effect transactions for their own account or the account of their customers and hold long or short positions in debt or equity securities of the companies which may be the subject of the transactions contemplated by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This Agreement supersedes all prior agreements and understandings (whether written or oral), between the Company Parties and the Managers with respect to the subject matter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This Agreement and any claim, counterclaim or dispute of any kind or nature whatsoever arising out of or in any way relating to this Agreement, will be governed by and construed in accordance with the laws of the State of New York applicable to contracts made and to be performed within the State of New York.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The Company Parties hereby irrevocably waive, to the fullest extent permitted by applicable law, any and all right to trial by jury in any legal proceeding arising out of or relating to this Agreement or the transactions contemplated hereby or thereby.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in this Agreement are for convenience only and shall not affect the construction hereof or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This Agreement may only be amended or modified in writing, signed by all of the parties hereto, and no condition herein (express or implied) may be waived unless waived in writing by each party whom the condition is meant to benefit.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Compliance with USA Patriot Act</w:t>
      </w:r>
      <w:r>
        <w:rPr>
          <w:rFonts w:ascii="Times New Roman" w:cs="Times New Roman" w:eastAsia="Times New Roman" w:hAnsi="Times New Roman"/>
          <w:sz w:val="18"/>
          <w:szCs w:val="18"/>
          <w:color w:val="auto"/>
        </w:rPr>
        <w:t>. In accordance with the requirements of the USA PATRIOT Act, the Managers are required to obtain, verify and record information that identifies their respective clients, including the Company Parties, which information may include the name and address of their respective clients, as well as other information that will allow the Managers to properly identify their respective clients.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Counterparts; Electronic Signatures</w:t>
      </w:r>
      <w:r>
        <w:rPr>
          <w:rFonts w:ascii="Times New Roman" w:cs="Times New Roman" w:eastAsia="Times New Roman" w:hAnsi="Times New Roman"/>
          <w:sz w:val="18"/>
          <w:szCs w:val="18"/>
          <w:color w:val="auto"/>
        </w:rPr>
        <w:t>. This Agreement may be executed in multiple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Recognition of the U.S. Special Resolution Regimes.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In the event that any Manager that is a Covered Entity (as defined below) becomes subject to a proceeding under a U.S. Special Resolution Regime (as defined below),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As used in this section: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2660" w:hanging="708"/>
        <w:spacing w:after="0"/>
        <w:tabs>
          <w:tab w:leader="none" w:pos="2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660" w:right="960" w:firstLine="644"/>
        <w:spacing w:after="0" w:line="490" w:lineRule="auto"/>
        <w:tabs>
          <w:tab w:leader="none" w:pos="15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 23.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that follow, when used in this Agreement, shall have the meanings indicated.</w:t>
      </w:r>
    </w:p>
    <w:p>
      <w:pPr>
        <w:ind w:left="660" w:right="11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Execution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becomes effective under the Act in accordance with the rules and regulations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prospectus supplement relating to the Shares that was first filed pursuant to Rule 424(b) at or prior to the Execution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134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153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Parties and the Managers.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Mauricio Dominguez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Name:Mauricio Dominguez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Ricardo C. Cuenca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Name:Ricardo C. Cuenca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Name:Ashwani Khubani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Director/Vice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Name:Sanjeet Dewal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Rebecca S. Kotkin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Name:Rebecca S. Kotkin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Representatives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Cornelius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[Manager Letterhead]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20[__]</w:t>
      </w:r>
    </w:p>
    <w:p>
      <w:pPr>
        <w:spacing w:after="0" w:line="225" w:lineRule="exact"/>
        <w:rPr>
          <w:sz w:val="20"/>
          <w:szCs w:val="20"/>
          <w:color w:val="auto"/>
        </w:rPr>
      </w:pPr>
    </w:p>
    <w:p>
      <w:pPr>
        <w:ind w:left="600" w:hanging="592"/>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ELECTRONIC MAIL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 CONFIRMATION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[_______]:</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Confirmation sets forth the terms of the agreement of [Morgan Stanley &amp; Co. LLC/BofA Securities, Inc./Citigroup Global Markets Inc./J.P. Morgan Securities LLC/Wells Fargo Securities, LLC] with Clearway Energy,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relating to the sale of shares of the Company’s common stock, par value $0.01 per share, having an aggregate gross sales price of up to $100,000,000, pursuant to the Equity Distribution Agreement between the Company, Clearway Energy LLC, a Delaware limited liability company (together with the Company, the “</w:t>
      </w:r>
      <w:r>
        <w:rPr>
          <w:rFonts w:ascii="Times New Roman" w:cs="Times New Roman" w:eastAsia="Times New Roman" w:hAnsi="Times New Roman"/>
          <w:sz w:val="18"/>
          <w:szCs w:val="18"/>
          <w:b w:val="1"/>
          <w:bCs w:val="1"/>
          <w:color w:val="auto"/>
        </w:rPr>
        <w:t>Company Parties</w:t>
      </w:r>
      <w:r>
        <w:rPr>
          <w:rFonts w:ascii="Times New Roman" w:cs="Times New Roman" w:eastAsia="Times New Roman" w:hAnsi="Times New Roman"/>
          <w:sz w:val="18"/>
          <w:szCs w:val="18"/>
          <w:color w:val="auto"/>
        </w:rPr>
        <w:t>”), and Morgan Stanley &amp; Co. LLC, BofA Securities, Inc., Citigroup Global Markets Inc., J.P. Morgan Securities LLC and Wells Fargo Securities, LLC (each a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dated August 6,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Unless otherwise defined below, capitalized terms defined in the Agreement shall have the same meanings when used herein.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By countersigning or otherwise indicating in writing the Company Parties’ acceptance of this Confirmation (an “</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the Company Parties shall have agreed with the Manager to engage in the following transaction: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to be sold][Aggregate Gross Price of Shares to be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Minimum price at which Shares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Date(s) on which Shares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Compensation to Manager (if different than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transaction set forth in this Confirmation will not be binding on the Company Parties or the Manager unless and until the Company Parties deliver their Acceptance;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the Company Parties nor the Manager will be bound by the terms of this Confirmation unless the Company Parties delivers their Acceptance by [_] a.m./p.m. (New York time) on [the date hereof [_____], 20[__]].</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if it becomes binding on the parties, shall be subject to all of the representations, warranties, covenants and other terms and conditions of the Agreement, except to the extent amended or modified hereby, all of which are expressly incorporated herein by reference. Each of the representations and warranties set forth in the Agreement shall be deemed to have been made at and as of every Applicable Time, every Settlement Date and every Representation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foregoing conforms to your understanding of our agreement, please so indicate your Acceptance by signing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[MORGAN STANLEY &amp; CO. LLC/BOFA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SECURITIES, INC./CITIGROUP GLOBAL MARKETS INC./J.P.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MORGAN SECURITIES LLC/WELLS FARGO SECURITIES, LLC]</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[Note: The Company Parties’ Acceptance may also be evidenced by a separate written acceptance referencing this Confirmation and delivered in accordance with the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785745" cy="480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857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Announces $100,000,000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(ATM) Equity Offering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PRINCETON, N.J.; August 6, 2025 — Clearway Energy, Inc. (NYSE: CWEN, CWEN.A) (the “Company” or “Clearway Energy”), today announced a $100,000,000 At-The-Market (“ATM”) equity offering program and announced that it and Clearway Energy LLC entered into an Equity Distribution Agreement (the “Agreement”) with Morgan Stanley, BofA Securities, Citigroup, J.P. Morgan and Wells Fargo Securities (collectively, the “Agents”). Pursuant to the terms of the Agreement, the Company may offer and sell shares of the Company’s Class C common stock, par value $0.01 per share, from time to time through the Agents, as the Company’s sales agents for the offer and sale of the shares, up to an aggregate sales price of $100,000,000. Sales of the shares, if any, will principally be made by means of ordinary brokers’ transactions on the New York Stock Exchange at market prices or as otherwise permitted by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will be issued pursuant to a prospectus supplement, dated August 6, 2025, to the Company’s shelf registration statement on Form S-3 (File No. 333-273804), which became effective upon filing with the Securities and Exchange Commission in the United States on August 8, 2023. Copies of the prospectus supplement may be obtained from: Morgan Stanley &amp; Co. LLC, Attn: Prospectus Department, 180 Varick Street, 2nd Floor, New York, NY 10014; BofA Securities, NC1-022-02-25, 201 North Tryon Street, Charlotte, NC 28255-0001, Attn: Prospectus Department or email: dg.prospectus_requests@bofa.com; Citigroup, c/o Broadridge Financial Solutions, 1155 Long Island Avenue, Edgewood, NY 11717 (Tel: 800-831-9146); J.P. Morgan Securities LLC, c/o Broadridge Financial Solutions, 1155 Long Island Avenue, Edgewood, NY 11717 or by email at prospectus-eq_fi@jpmchase.com and postsalemanualrequests@broadridge.com; and Wells Fargo Securities, LLC, 500 West 33rd Street, New York, New York 10001, Attention: Equity Syndicate Department (fax no: 212-214-5918). You may also obtain these documents free of charge when they are available by visiting EDGAR on the SEC’s website at www.sec.gov.</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sale of the shares for general corporate purposes, which may include the repayment or refinancing of indebtedness and the funding of working capital, capital expenditures, acquisitions and investments, and the Company may invest funds not required immediately for such purposes in marketable securities and short-term investments.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shares that may be issued by the Company under the ATM program have been approved for listing on the New York Stock Exchange. This press release shall not constitute an offer to sell or a solicitation of an offer to buy, nor will there be any sale of these securities in any state or jurisdiction in which such an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About Clearway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12 GW of gross capacity in 27 states, including approximately 9.2 GW of wind, solar and battery energy storage systems and approximately 2.8 GW of dispatchable combustion-based power generation assets that provide critical grid reliability services.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anticipated consummation of the transactions described above, the anticipated benefits, opportunities and results with respect to such transactions and the Company’s anticipated use of proceeds from the sale of shares under the ATM program.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 whether the Company will offer or sell shares under the ATM program and the anticipated use of proceeds.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1)"/>
      <w:numFmt w:val="lowerRoman"/>
      <w:start w:val="4"/>
    </w:lvl>
  </w:abstractNum>
  <w:abstractNum w:abstractNumId="3">
    <w:nsid w:val="7545E146"/>
    <w:multiLevelType w:val="hybridMultilevel"/>
    <w:lvl w:ilvl="0">
      <w:lvlJc w:val="left"/>
      <w:lvlText w:val="(%1)"/>
      <w:numFmt w:val="lowerRoman"/>
      <w:start w:val="3"/>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Roman"/>
      <w:start w:val="2"/>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2025-08-06T06:48:11Z</dcterms:created>
  <dcterms:modified xsi:type="dcterms:W3CDTF">2025-08-06T06:48:11Z</dcterms:modified>
</cp:coreProperties>
</file>