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899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991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01/02/2019</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94"/>
        <w:spacing w:after="0"/>
        <w:rPr>
          <w:sz w:val="20"/>
          <w:szCs w:val="20"/>
          <w:color w:val="auto"/>
        </w:rPr>
      </w:pPr>
      <w:r>
        <w:rPr>
          <w:rFonts w:ascii="Arial" w:cs="Arial" w:eastAsia="Arial" w:hAnsi="Arial"/>
          <w:sz w:val="17"/>
          <w:szCs w:val="17"/>
          <w:color w:val="0000FF"/>
        </w:rPr>
        <w:t>President and CEO</w:t>
      </w:r>
    </w:p>
    <w:p>
      <w:pPr>
        <w:spacing w:after="0" w:line="411" w:lineRule="exact"/>
        <w:rPr>
          <w:sz w:val="24"/>
          <w:szCs w:val="24"/>
          <w:color w:val="auto"/>
        </w:rPr>
      </w:pPr>
    </w:p>
    <w:p>
      <w:pPr>
        <w:sectPr>
          <w:pgSz w:w="11900" w:h="16838" w:orient="portrait"/>
          <w:cols w:equalWidth="0" w:num="3">
            <w:col w:w="3340" w:space="720"/>
            <w:col w:w="3266" w:space="720"/>
            <w:col w:w="3474"/>
          </w:cols>
          <w:pgMar w:left="240" w:top="223" w:right="1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PRINCETON</w:t>
            </w:r>
          </w:p>
        </w:tc>
        <w:tc>
          <w:tcPr>
            <w:tcW w:w="1000" w:type="dxa"/>
            <w:vAlign w:val="bottom"/>
          </w:tcPr>
          <w:p>
            <w:pPr>
              <w:ind w:left="160"/>
              <w:spacing w:after="0"/>
              <w:rPr>
                <w:sz w:val="20"/>
                <w:szCs w:val="20"/>
                <w:color w:val="auto"/>
              </w:rPr>
            </w:pPr>
            <w:r>
              <w:rPr>
                <w:rFonts w:ascii="Arial" w:cs="Arial" w:eastAsia="Arial" w:hAnsi="Arial"/>
                <w:sz w:val="17"/>
                <w:szCs w:val="17"/>
                <w:color w:val="0000FF"/>
              </w:rPr>
              <w:t>NJ</w:t>
            </w:r>
          </w:p>
        </w:tc>
        <w:tc>
          <w:tcPr>
            <w:tcW w:w="1660" w:type="dxa"/>
            <w:vAlign w:val="bottom"/>
          </w:tcPr>
          <w:p>
            <w:pPr>
              <w:ind w:left="440"/>
              <w:spacing w:after="0"/>
              <w:rPr>
                <w:sz w:val="20"/>
                <w:szCs w:val="20"/>
                <w:color w:val="auto"/>
              </w:rPr>
            </w:pPr>
            <w:r>
              <w:rPr>
                <w:rFonts w:ascii="Arial" w:cs="Arial" w:eastAsia="Arial" w:hAnsi="Arial"/>
                <w:sz w:val="17"/>
                <w:szCs w:val="17"/>
                <w:color w:val="0000FF"/>
              </w:rPr>
              <w:t>08540</w:t>
            </w:r>
          </w:p>
        </w:tc>
      </w:tr>
      <w:tr>
        <w:trPr>
          <w:trHeight w:val="153"/>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2"/>
          </w:tcPr>
          <w:p>
            <w:pPr>
              <w:jc w:val="center"/>
              <w:ind w:left="26"/>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  8)</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3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00" w:type="dxa"/>
            <w:vAlign w:val="bottom"/>
            <w:gridSpan w:val="2"/>
            <w:vMerge w:val="restart"/>
          </w:tcPr>
          <w:p>
            <w:pPr>
              <w:jc w:val="center"/>
              <w:ind w:left="26"/>
              <w:spacing w:after="0"/>
              <w:rPr>
                <w:sz w:val="20"/>
                <w:szCs w:val="20"/>
                <w:color w:val="auto"/>
              </w:rPr>
            </w:pPr>
            <w:r>
              <w:rPr>
                <w:rFonts w:ascii="Arial" w:cs="Arial" w:eastAsia="Arial" w:hAnsi="Arial"/>
                <w:sz w:val="17"/>
                <w:szCs w:val="17"/>
                <w:color w:val="0000FF"/>
                <w:w w:val="89"/>
              </w:rPr>
              <w:t>01/02/2019</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jc w:val="center"/>
              <w:ind w:right="138"/>
              <w:spacing w:after="0"/>
              <w:rPr>
                <w:sz w:val="20"/>
                <w:szCs w:val="20"/>
                <w:color w:val="auto"/>
              </w:rPr>
            </w:pPr>
            <w:r>
              <w:rPr>
                <w:rFonts w:ascii="Arial" w:cs="Arial" w:eastAsia="Arial" w:hAnsi="Arial"/>
                <w:sz w:val="13"/>
                <w:szCs w:val="13"/>
                <w:color w:val="0000FF"/>
              </w:rPr>
              <w:t>F</w:t>
            </w:r>
          </w:p>
        </w:tc>
        <w:tc>
          <w:tcPr>
            <w:tcW w:w="780" w:type="dxa"/>
            <w:vAlign w:val="bottom"/>
            <w:vMerge w:val="restart"/>
          </w:tcPr>
          <w:p>
            <w:pPr>
              <w:jc w:val="center"/>
              <w:ind w:left="330"/>
              <w:spacing w:after="0"/>
              <w:rPr>
                <w:sz w:val="20"/>
                <w:szCs w:val="20"/>
                <w:color w:val="auto"/>
              </w:rPr>
            </w:pPr>
            <w:r>
              <w:rPr>
                <w:rFonts w:ascii="Arial" w:cs="Arial" w:eastAsia="Arial" w:hAnsi="Arial"/>
                <w:sz w:val="17"/>
                <w:szCs w:val="17"/>
                <w:color w:val="0000FF"/>
                <w:w w:val="89"/>
              </w:rPr>
              <w:t>3,847</w:t>
            </w:r>
          </w:p>
        </w:tc>
        <w:tc>
          <w:tcPr>
            <w:tcW w:w="28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1340" w:type="dxa"/>
            <w:vAlign w:val="bottom"/>
            <w:gridSpan w:val="3"/>
            <w:vMerge w:val="restart"/>
          </w:tcPr>
          <w:p>
            <w:pPr>
              <w:ind w:left="340"/>
              <w:spacing w:after="0"/>
              <w:rPr>
                <w:sz w:val="20"/>
                <w:szCs w:val="20"/>
                <w:color w:val="auto"/>
              </w:rPr>
            </w:pPr>
            <w:r>
              <w:rPr>
                <w:rFonts w:ascii="Arial" w:cs="Arial" w:eastAsia="Arial" w:hAnsi="Arial"/>
                <w:sz w:val="17"/>
                <w:szCs w:val="17"/>
                <w:color w:val="0000FF"/>
              </w:rPr>
              <w:t>138,854</w:t>
            </w:r>
            <w:r>
              <w:rPr>
                <w:rFonts w:ascii="Arial" w:cs="Arial" w:eastAsia="Arial" w:hAnsi="Arial"/>
                <w:sz w:val="21"/>
                <w:szCs w:val="21"/>
                <w:color w:val="008000"/>
                <w:vertAlign w:val="superscript"/>
              </w:rPr>
              <w:t>(2)</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00" w:type="dxa"/>
            <w:vAlign w:val="bottom"/>
            <w:gridSpan w:val="2"/>
            <w:vMerge w:val="restart"/>
          </w:tcPr>
          <w:p>
            <w:pPr>
              <w:jc w:val="center"/>
              <w:ind w:left="26"/>
              <w:spacing w:after="0"/>
              <w:rPr>
                <w:sz w:val="20"/>
                <w:szCs w:val="20"/>
                <w:color w:val="auto"/>
              </w:rPr>
            </w:pPr>
            <w:r>
              <w:rPr>
                <w:rFonts w:ascii="Arial" w:cs="Arial" w:eastAsia="Arial" w:hAnsi="Arial"/>
                <w:sz w:val="17"/>
                <w:szCs w:val="17"/>
                <w:color w:val="0000FF"/>
                <w:w w:val="89"/>
              </w:rPr>
              <w:t>01/02/2019</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jc w:val="center"/>
              <w:ind w:right="138"/>
              <w:spacing w:after="0"/>
              <w:rPr>
                <w:sz w:val="20"/>
                <w:szCs w:val="20"/>
                <w:color w:val="auto"/>
              </w:rPr>
            </w:pPr>
            <w:r>
              <w:rPr>
                <w:rFonts w:ascii="Arial" w:cs="Arial" w:eastAsia="Arial" w:hAnsi="Arial"/>
                <w:sz w:val="13"/>
                <w:szCs w:val="13"/>
                <w:color w:val="0000FF"/>
                <w:w w:val="91"/>
              </w:rPr>
              <w:t>A</w:t>
            </w:r>
          </w:p>
        </w:tc>
        <w:tc>
          <w:tcPr>
            <w:tcW w:w="1060" w:type="dxa"/>
            <w:vAlign w:val="bottom"/>
            <w:gridSpan w:val="2"/>
            <w:vMerge w:val="restart"/>
          </w:tcPr>
          <w:p>
            <w:pPr>
              <w:jc w:val="center"/>
              <w:ind w:left="30"/>
              <w:spacing w:after="0"/>
              <w:rPr>
                <w:sz w:val="20"/>
                <w:szCs w:val="20"/>
                <w:color w:val="auto"/>
              </w:rPr>
            </w:pPr>
            <w:r>
              <w:rPr>
                <w:rFonts w:ascii="Arial" w:cs="Arial" w:eastAsia="Arial" w:hAnsi="Arial"/>
                <w:sz w:val="17"/>
                <w:szCs w:val="17"/>
                <w:color w:val="0000FF"/>
                <w:w w:val="86"/>
              </w:rPr>
              <w:t>29,307</w:t>
            </w:r>
            <w:r>
              <w:rPr>
                <w:rFonts w:ascii="Arial" w:cs="Arial" w:eastAsia="Arial" w:hAnsi="Arial"/>
                <w:sz w:val="21"/>
                <w:szCs w:val="21"/>
                <w:color w:val="008000"/>
                <w:w w:val="86"/>
                <w:vertAlign w:val="superscript"/>
              </w:rPr>
              <w:t>(3)</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1340" w:type="dxa"/>
            <w:vAlign w:val="bottom"/>
            <w:gridSpan w:val="3"/>
            <w:vMerge w:val="restart"/>
          </w:tcPr>
          <w:p>
            <w:pPr>
              <w:ind w:left="340"/>
              <w:spacing w:after="0"/>
              <w:rPr>
                <w:sz w:val="20"/>
                <w:szCs w:val="20"/>
                <w:color w:val="auto"/>
              </w:rPr>
            </w:pPr>
            <w:r>
              <w:rPr>
                <w:rFonts w:ascii="Arial" w:cs="Arial" w:eastAsia="Arial" w:hAnsi="Arial"/>
                <w:sz w:val="17"/>
                <w:szCs w:val="17"/>
                <w:color w:val="0000FF"/>
              </w:rPr>
              <w:t>168,161</w:t>
            </w:r>
            <w:r>
              <w:rPr>
                <w:rFonts w:ascii="Arial" w:cs="Arial" w:eastAsia="Arial" w:hAnsi="Arial"/>
                <w:sz w:val="21"/>
                <w:szCs w:val="21"/>
                <w:color w:val="008000"/>
                <w:vertAlign w:val="superscript"/>
              </w:rPr>
              <w:t>(5)</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00" w:type="dxa"/>
            <w:vAlign w:val="bottom"/>
            <w:gridSpan w:val="2"/>
            <w:vMerge w:val="restart"/>
          </w:tcPr>
          <w:p>
            <w:pPr>
              <w:jc w:val="center"/>
              <w:ind w:left="26"/>
              <w:spacing w:after="0"/>
              <w:rPr>
                <w:sz w:val="20"/>
                <w:szCs w:val="20"/>
                <w:color w:val="auto"/>
              </w:rPr>
            </w:pPr>
            <w:r>
              <w:rPr>
                <w:rFonts w:ascii="Arial" w:cs="Arial" w:eastAsia="Arial" w:hAnsi="Arial"/>
                <w:sz w:val="17"/>
                <w:szCs w:val="17"/>
                <w:color w:val="0000FF"/>
                <w:w w:val="89"/>
              </w:rPr>
              <w:t>01/03/2019</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jc w:val="center"/>
              <w:ind w:right="138"/>
              <w:spacing w:after="0"/>
              <w:rPr>
                <w:sz w:val="20"/>
                <w:szCs w:val="20"/>
                <w:color w:val="auto"/>
              </w:rPr>
            </w:pPr>
            <w:r>
              <w:rPr>
                <w:rFonts w:ascii="Arial" w:cs="Arial" w:eastAsia="Arial" w:hAnsi="Arial"/>
                <w:sz w:val="13"/>
                <w:szCs w:val="13"/>
                <w:color w:val="0000FF"/>
              </w:rPr>
              <w:t>F</w:t>
            </w:r>
          </w:p>
        </w:tc>
        <w:tc>
          <w:tcPr>
            <w:tcW w:w="780" w:type="dxa"/>
            <w:vAlign w:val="bottom"/>
            <w:vMerge w:val="restart"/>
          </w:tcPr>
          <w:p>
            <w:pPr>
              <w:jc w:val="center"/>
              <w:ind w:left="330"/>
              <w:spacing w:after="0"/>
              <w:rPr>
                <w:sz w:val="20"/>
                <w:szCs w:val="20"/>
                <w:color w:val="auto"/>
              </w:rPr>
            </w:pPr>
            <w:r>
              <w:rPr>
                <w:rFonts w:ascii="Arial" w:cs="Arial" w:eastAsia="Arial" w:hAnsi="Arial"/>
                <w:sz w:val="17"/>
                <w:szCs w:val="17"/>
                <w:color w:val="0000FF"/>
                <w:w w:val="89"/>
              </w:rPr>
              <w:t>4,590</w:t>
            </w:r>
          </w:p>
        </w:tc>
        <w:tc>
          <w:tcPr>
            <w:tcW w:w="28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1340" w:type="dxa"/>
            <w:vAlign w:val="bottom"/>
            <w:gridSpan w:val="3"/>
            <w:vMerge w:val="restart"/>
          </w:tcPr>
          <w:p>
            <w:pPr>
              <w:ind w:left="340"/>
              <w:spacing w:after="0"/>
              <w:rPr>
                <w:sz w:val="20"/>
                <w:szCs w:val="20"/>
                <w:color w:val="auto"/>
              </w:rPr>
            </w:pPr>
            <w:r>
              <w:rPr>
                <w:rFonts w:ascii="Arial" w:cs="Arial" w:eastAsia="Arial" w:hAnsi="Arial"/>
                <w:sz w:val="17"/>
                <w:szCs w:val="17"/>
                <w:color w:val="0000FF"/>
              </w:rPr>
              <w:t>163,571</w:t>
            </w:r>
            <w:r>
              <w:rPr>
                <w:rFonts w:ascii="Arial" w:cs="Arial" w:eastAsia="Arial" w:hAnsi="Arial"/>
                <w:sz w:val="21"/>
                <w:szCs w:val="21"/>
                <w:color w:val="008000"/>
                <w:vertAlign w:val="superscript"/>
              </w:rPr>
              <w:t>(7)</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3"/>
          </w:tcPr>
          <w:p>
            <w:pPr>
              <w:jc w:val="center"/>
              <w:ind w:right="18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gridSpan w:val="10"/>
          </w:tcPr>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0"/>
              <w:spacing w:after="0"/>
              <w:rPr>
                <w:sz w:val="20"/>
                <w:szCs w:val="20"/>
                <w:color w:val="auto"/>
              </w:rPr>
            </w:pPr>
            <w:r>
              <w:rPr>
                <w:rFonts w:ascii="Arial" w:cs="Arial" w:eastAsia="Arial" w:hAnsi="Arial"/>
                <w:sz w:val="12"/>
                <w:szCs w:val="12"/>
                <w:b w:val="1"/>
                <w:bCs w:val="1"/>
                <w:color w:val="auto"/>
                <w:w w:val="99"/>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0"/>
              <w:spacing w:after="0" w:line="132" w:lineRule="exact"/>
              <w:rPr>
                <w:sz w:val="20"/>
                <w:szCs w:val="20"/>
                <w:color w:val="auto"/>
              </w:rPr>
            </w:pPr>
            <w:r>
              <w:rPr>
                <w:rFonts w:ascii="Arial" w:cs="Arial" w:eastAsia="Arial" w:hAnsi="Arial"/>
                <w:sz w:val="12"/>
                <w:szCs w:val="12"/>
                <w:b w:val="1"/>
                <w:bCs w:val="1"/>
                <w:color w:val="auto"/>
                <w:w w:val="93"/>
              </w:rPr>
              <w:t>8)</w:t>
            </w:r>
          </w:p>
        </w:tc>
        <w:tc>
          <w:tcPr>
            <w:tcW w:w="94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gridSpan w:val="2"/>
          </w:tcPr>
          <w:p>
            <w:pPr>
              <w:jc w:val="center"/>
              <w:ind w:right="25"/>
              <w:spacing w:after="0"/>
              <w:rPr>
                <w:sz w:val="20"/>
                <w:szCs w:val="20"/>
                <w:color w:val="auto"/>
              </w:rPr>
            </w:pPr>
            <w:r>
              <w:rPr>
                <w:rFonts w:ascii="Arial" w:cs="Arial" w:eastAsia="Arial" w:hAnsi="Arial"/>
                <w:sz w:val="13"/>
                <w:szCs w:val="13"/>
                <w:color w:val="0000FF"/>
                <w:w w:val="92"/>
              </w:rPr>
              <w:t>Class C</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restart"/>
          </w:tcPr>
          <w:p>
            <w:pPr>
              <w:jc w:val="center"/>
              <w:ind w:right="25"/>
              <w:spacing w:after="0" w:line="145" w:lineRule="exact"/>
              <w:rPr>
                <w:sz w:val="20"/>
                <w:szCs w:val="20"/>
                <w:color w:val="auto"/>
              </w:rPr>
            </w:pPr>
            <w:r>
              <w:rPr>
                <w:rFonts w:ascii="Arial" w:cs="Arial" w:eastAsia="Arial" w:hAnsi="Arial"/>
                <w:sz w:val="13"/>
                <w:szCs w:val="13"/>
                <w:color w:val="0000FF"/>
                <w:w w:val="93"/>
              </w:rPr>
              <w:t>Stock,</w:t>
            </w:r>
          </w:p>
        </w:tc>
        <w:tc>
          <w:tcPr>
            <w:tcW w:w="680" w:type="dxa"/>
            <w:vAlign w:val="bottom"/>
            <w:vMerge w:val="restart"/>
          </w:tcPr>
          <w:p>
            <w:pPr>
              <w:ind w:left="20"/>
              <w:spacing w:after="0" w:line="220" w:lineRule="exact"/>
              <w:rPr>
                <w:sz w:val="20"/>
                <w:szCs w:val="20"/>
                <w:color w:val="auto"/>
              </w:rPr>
            </w:pPr>
            <w:r>
              <w:rPr>
                <w:rFonts w:ascii="Arial" w:cs="Arial" w:eastAsia="Arial" w:hAnsi="Arial"/>
                <w:sz w:val="17"/>
                <w:szCs w:val="17"/>
                <w:color w:val="0000FF"/>
                <w:w w:val="92"/>
              </w:rPr>
              <w:t>82,006</w:t>
            </w:r>
            <w:r>
              <w:rPr>
                <w:rFonts w:ascii="Arial" w:cs="Arial" w:eastAsia="Arial" w:hAnsi="Arial"/>
                <w:sz w:val="21"/>
                <w:szCs w:val="21"/>
                <w:color w:val="008000"/>
                <w:w w:val="92"/>
                <w:vertAlign w:val="superscript"/>
              </w:rPr>
              <w:t>(9)</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800" w:type="dxa"/>
            <w:vAlign w:val="bottom"/>
            <w:vMerge w:val="continue"/>
          </w:tcPr>
          <w:p>
            <w:pPr>
              <w:spacing w:after="0"/>
              <w:rPr>
                <w:sz w:val="6"/>
                <w:szCs w:val="6"/>
                <w:color w:val="auto"/>
              </w:rPr>
            </w:pPr>
          </w:p>
        </w:tc>
        <w:tc>
          <w:tcPr>
            <w:tcW w:w="1060" w:type="dxa"/>
            <w:vAlign w:val="bottom"/>
            <w:vMerge w:val="restart"/>
          </w:tcPr>
          <w:p>
            <w:pPr>
              <w:jc w:val="right"/>
              <w:ind w:right="139"/>
              <w:spacing w:after="0"/>
              <w:rPr>
                <w:sz w:val="20"/>
                <w:szCs w:val="20"/>
                <w:color w:val="auto"/>
              </w:rPr>
            </w:pPr>
            <w:r>
              <w:rPr>
                <w:rFonts w:ascii="Arial" w:cs="Arial" w:eastAsia="Arial" w:hAnsi="Arial"/>
                <w:sz w:val="13"/>
                <w:szCs w:val="13"/>
                <w:color w:val="0000FF"/>
              </w:rPr>
              <w:t>01/02/2019</w:t>
            </w: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54,671</w:t>
            </w:r>
          </w:p>
        </w:tc>
        <w:tc>
          <w:tcPr>
            <w:tcW w:w="34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01/02/2022</w:t>
            </w: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01/02/2022</w:t>
            </w:r>
          </w:p>
        </w:tc>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54,671</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gridSpan w:val="2"/>
          </w:tcPr>
          <w:p>
            <w:pPr>
              <w:ind w:left="20"/>
              <w:spacing w:after="0" w:line="76" w:lineRule="exact"/>
              <w:rPr>
                <w:sz w:val="20"/>
                <w:szCs w:val="20"/>
                <w:color w:val="auto"/>
              </w:rPr>
            </w:pPr>
            <w:r>
              <w:rPr>
                <w:rFonts w:ascii="Arial" w:cs="Arial" w:eastAsia="Arial" w:hAnsi="Arial"/>
                <w:sz w:val="8"/>
                <w:szCs w:val="8"/>
                <w:color w:val="0000FF"/>
              </w:rPr>
              <w:t>par value</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vMerge w:val="restart"/>
          </w:tcPr>
          <w:p>
            <w:pPr>
              <w:jc w:val="center"/>
              <w:ind w:right="25"/>
              <w:spacing w:after="0"/>
              <w:rPr>
                <w:sz w:val="20"/>
                <w:szCs w:val="20"/>
                <w:color w:val="auto"/>
              </w:rPr>
            </w:pPr>
            <w:r>
              <w:rPr>
                <w:rFonts w:ascii="Arial" w:cs="Arial" w:eastAsia="Arial" w:hAnsi="Arial"/>
                <w:sz w:val="13"/>
                <w:szCs w:val="13"/>
                <w:color w:val="0000FF"/>
                <w:w w:val="87"/>
              </w:rPr>
              <w:t>$.01 per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jc w:val="both"/>
        <w:ind w:left="40" w:right="160" w:firstLine="5"/>
        <w:spacing w:after="0" w:line="267"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2018, Mr. Sotos was issued 21,263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2019, 7,080 shares vested. Mr. Sotos elected to satisfy his tax obligation upon the exchange of common stock for RSUs having a value on the date of the exchange equal to the withholding obligation. This form reflects the surrender of 3,847 shares of Class C Common Stock to satisfy the grantee's tax withholding obligation.</w:t>
      </w:r>
    </w:p>
    <w:p>
      <w:pPr>
        <w:spacing w:after="0" w:line="16" w:lineRule="exact"/>
        <w:rPr>
          <w:rFonts w:ascii="Arial" w:cs="Arial" w:eastAsia="Arial" w:hAnsi="Arial"/>
          <w:sz w:val="12"/>
          <w:szCs w:val="12"/>
          <w:color w:val="008000"/>
        </w:rPr>
      </w:pPr>
    </w:p>
    <w:p>
      <w:pPr>
        <w:ind w:left="40" w:right="20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509 DERs converted to Class C Common Stock, resulting in the reporting person holding 23,251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3"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Mr. Sotos under the LTIP.</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47" w:lineRule="exact"/>
        <w:rPr>
          <w:rFonts w:ascii="Arial" w:cs="Arial" w:eastAsia="Arial" w:hAnsi="Arial"/>
          <w:sz w:val="13"/>
          <w:szCs w:val="13"/>
          <w:color w:val="008000"/>
        </w:rPr>
      </w:pPr>
    </w:p>
    <w:p>
      <w:pPr>
        <w:ind w:left="40" w:right="26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Arial" w:cs="Arial" w:eastAsia="Arial" w:hAnsi="Arial"/>
          <w:sz w:val="13"/>
          <w:szCs w:val="13"/>
          <w:color w:val="008000"/>
        </w:rPr>
      </w:pPr>
    </w:p>
    <w:p>
      <w:pPr>
        <w:ind w:left="40" w:right="180" w:firstLine="5"/>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3, 2017, Mr. Sotos was issued 26,274 Restricted Stock Units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January 3, 2019, 8,749 shares vested. Mr. Sotos elected to satisfy his tax obligation upon the exchange of common stock for RSUs having a value on the date of the exchange equal to the withholding obligation. This form reflects the surrender of 4,590 shares of Class C Common Stock to satisfy the grantee's tax withholding obligation.</w:t>
      </w:r>
    </w:p>
    <w:p>
      <w:pPr>
        <w:spacing w:after="0" w:line="32" w:lineRule="exact"/>
        <w:rPr>
          <w:rFonts w:ascii="Arial" w:cs="Arial" w:eastAsia="Arial" w:hAnsi="Arial"/>
          <w:sz w:val="13"/>
          <w:szCs w:val="13"/>
          <w:color w:val="008000"/>
        </w:rPr>
      </w:pPr>
    </w:p>
    <w:p>
      <w:pPr>
        <w:jc w:val="both"/>
        <w:ind w:left="40" w:right="22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1,207 DERs converted to Class C Common Stock, resulting in the reporting person holding 22,044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3" w:lineRule="exact"/>
        <w:rPr>
          <w:rFonts w:ascii="Arial" w:cs="Arial" w:eastAsia="Arial" w:hAnsi="Arial"/>
          <w:sz w:val="12"/>
          <w:szCs w:val="12"/>
          <w:color w:val="008000"/>
        </w:rPr>
      </w:pPr>
    </w:p>
    <w:p>
      <w:pPr>
        <w:ind w:left="40" w:right="30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issued 54,671 Relative Performance Stock Units ("RPSUs") by Clearway Energy, Inc. under the LTIP on January 2, 2019. The RPSUs will convert to shares of Clearway Energy, Inc. Class C Common Stock on January 2, 2022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3" w:lineRule="exact"/>
        <w:rPr>
          <w:rFonts w:ascii="Arial" w:cs="Arial" w:eastAsia="Arial" w:hAnsi="Arial"/>
          <w:sz w:val="12"/>
          <w:szCs w:val="12"/>
          <w:color w:val="008000"/>
        </w:rPr>
      </w:pPr>
    </w:p>
    <w:p>
      <w:pPr>
        <w:ind w:left="40" w:right="140" w:firstLine="5"/>
        <w:spacing w:after="0" w:line="238"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will receive (i) a maximum of 82,006 shares of Class C Common Stock if Company's TSR is ranked at or above the 75th percentile relative to a peer group of companies approved by the Company's Compensation Committee (the "Peer Group") for the performance period ("Maximum"); (ii) 54,671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13,667 shares of Common Stock if Company's TSR is ranked at the 25th percentile relative to the Peer Group for the performance period (the "Threshold"). The Reporting Person will not receive any shares of Common Stock if Company's TSR is below the 25th percentile.</w:t>
      </w:r>
    </w:p>
    <w:p>
      <w:pPr>
        <w:sectPr>
          <w:pgSz w:w="11900" w:h="16838" w:orient="portrait"/>
          <w:cols w:equalWidth="0" w:num="1">
            <w:col w:w="11520"/>
          </w:cols>
          <w:pgMar w:left="240" w:top="223" w:right="139" w:bottom="0" w:gutter="0" w:footer="0" w:header="0"/>
          <w:type w:val="continuous"/>
        </w:sectPr>
      </w:pPr>
    </w:p>
    <w:p>
      <w:pPr>
        <w:spacing w:after="0" w:line="6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Michael A.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-2540</wp:posOffset>
            </wp:positionV>
            <wp:extent cx="1406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502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49"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0000FF"/>
        </w:rPr>
        <w:t>01/04/2019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9080" w:space="6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59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2019-12-23T22:29:09Z</dcterms:created>
  <dcterms:modified xsi:type="dcterms:W3CDTF">2019-12-23T22:29:09Z</dcterms:modified>
</cp:coreProperties>
</file>