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21,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December 21, 2020, subsidiaries of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agreements providing for the Company’s co-investment in a 1,204 megawatt (“</w:t>
      </w:r>
      <w:r>
        <w:rPr>
          <w:rFonts w:ascii="Times New Roman" w:cs="Times New Roman" w:eastAsia="Times New Roman" w:hAnsi="Times New Roman"/>
          <w:sz w:val="18"/>
          <w:szCs w:val="18"/>
          <w:u w:val="single" w:color="auto"/>
          <w:color w:val="auto"/>
        </w:rPr>
        <w:t>MW</w:t>
      </w:r>
      <w:r>
        <w:rPr>
          <w:rFonts w:ascii="Times New Roman" w:cs="Times New Roman" w:eastAsia="Times New Roman" w:hAnsi="Times New Roman"/>
          <w:sz w:val="18"/>
          <w:szCs w:val="18"/>
          <w:color w:val="auto"/>
        </w:rPr>
        <w:t>”) portfolio of renewable energy projects developed by Clearway Energy Group LLC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consisting of (i) 1,012 MW from five geographically diversified wind, solar and solar plus storage assets under development and (ii) the 192 MW Rosamond Central solar project, which is expected to commence operations by the end of the year. A subsidiary of the Company also agreed to an amendment of the partnership that owns the 419 MW Mesquite Star wind project, providing the Company with additional project cash flows after the first half of 2031. For the above-mentioned transactions, the Company expects to invest an estimated $214 million in corporate capital by the end of 2022, subject to closing adjustments and the projects achieving certain milestones.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Rosamond Membership Interest Purchase Agreement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21, 2020, Rosamond Solar Investment LLC (the “</w:t>
      </w:r>
      <w:r>
        <w:rPr>
          <w:rFonts w:ascii="Times New Roman" w:cs="Times New Roman" w:eastAsia="Times New Roman" w:hAnsi="Times New Roman"/>
          <w:sz w:val="18"/>
          <w:szCs w:val="18"/>
          <w:u w:val="single" w:color="auto"/>
          <w:color w:val="auto"/>
        </w:rPr>
        <w:t>Rosie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Rosie MIPA</w:t>
      </w:r>
      <w:r>
        <w:rPr>
          <w:rFonts w:ascii="Times New Roman" w:cs="Times New Roman" w:eastAsia="Times New Roman" w:hAnsi="Times New Roman"/>
          <w:sz w:val="18"/>
          <w:szCs w:val="18"/>
          <w:color w:val="auto"/>
        </w:rPr>
        <w:t>”) with Renew Development HoldCo LLC (the “</w:t>
      </w:r>
      <w:r>
        <w:rPr>
          <w:rFonts w:ascii="Times New Roman" w:cs="Times New Roman" w:eastAsia="Times New Roman" w:hAnsi="Times New Roman"/>
          <w:sz w:val="18"/>
          <w:szCs w:val="18"/>
          <w:u w:val="single" w:color="auto"/>
          <w:color w:val="auto"/>
        </w:rPr>
        <w:t>Rosie Seller</w:t>
      </w:r>
      <w:r>
        <w:rPr>
          <w:rFonts w:ascii="Times New Roman" w:cs="Times New Roman" w:eastAsia="Times New Roman" w:hAnsi="Times New Roman"/>
          <w:sz w:val="18"/>
          <w:szCs w:val="18"/>
          <w:color w:val="auto"/>
        </w:rPr>
        <w:t>”), a subsidiary of CEG. Pursuant to the terms of the Rosie MIPA, the Rosie Purchaser acquired 100% of the Class A Membership Interests of Rosie TargetCo LLC, which owns the 192 MW Rosamond Central solar project, located in Kern County, California (the “</w:t>
      </w:r>
      <w:r>
        <w:rPr>
          <w:rFonts w:ascii="Times New Roman" w:cs="Times New Roman" w:eastAsia="Times New Roman" w:hAnsi="Times New Roman"/>
          <w:sz w:val="18"/>
          <w:szCs w:val="18"/>
          <w:u w:val="single" w:color="auto"/>
          <w:color w:val="auto"/>
        </w:rPr>
        <w:t>Rosie Transaction</w:t>
      </w:r>
      <w:r>
        <w:rPr>
          <w:rFonts w:ascii="Times New Roman" w:cs="Times New Roman" w:eastAsia="Times New Roman" w:hAnsi="Times New Roman"/>
          <w:sz w:val="18"/>
          <w:szCs w:val="18"/>
          <w:color w:val="auto"/>
        </w:rPr>
        <w:t>”). The Rosie Purchaser paid $23 million, subject to true-up concurrent with the tax equity investor’s final funding, in consideration for the Rosie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Rosie MIPA contains customary representations and warranties and covenants made by the parties. Each of the Rosie Purchaser and the Rosie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Rosie MIPA is not complete and is qualified in its entirety by reference to the full text of the Rosie MIPA, a copy of which is filed as Exhibit 10.1 to this Current Report on Form 8-K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 Rock Membership Interest Purchase Agreement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December 21, 2020, Lighthouse Renewable Class A LLC (the “</w:t>
      </w:r>
      <w:r>
        <w:rPr>
          <w:rFonts w:ascii="Times New Roman" w:cs="Times New Roman" w:eastAsia="Times New Roman" w:hAnsi="Times New Roman"/>
          <w:sz w:val="18"/>
          <w:szCs w:val="18"/>
          <w:u w:val="single" w:color="auto"/>
          <w:color w:val="auto"/>
        </w:rPr>
        <w:t>Black Rock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Black Rock MIPA</w:t>
      </w:r>
      <w:r>
        <w:rPr>
          <w:rFonts w:ascii="Times New Roman" w:cs="Times New Roman" w:eastAsia="Times New Roman" w:hAnsi="Times New Roman"/>
          <w:sz w:val="18"/>
          <w:szCs w:val="18"/>
          <w:color w:val="auto"/>
        </w:rPr>
        <w:t>”) with Clearway Renew LLC (the “</w:t>
      </w:r>
      <w:r>
        <w:rPr>
          <w:rFonts w:ascii="Times New Roman" w:cs="Times New Roman" w:eastAsia="Times New Roman" w:hAnsi="Times New Roman"/>
          <w:sz w:val="18"/>
          <w:szCs w:val="18"/>
          <w:u w:val="single" w:color="auto"/>
          <w:color w:val="auto"/>
        </w:rPr>
        <w:t>Black Rock Seller</w:t>
      </w:r>
      <w:r>
        <w:rPr>
          <w:rFonts w:ascii="Times New Roman" w:cs="Times New Roman" w:eastAsia="Times New Roman" w:hAnsi="Times New Roman"/>
          <w:sz w:val="18"/>
          <w:szCs w:val="18"/>
          <w:color w:val="auto"/>
        </w:rPr>
        <w:t>”), a subsidiary of CEG. Pursuant to the terms of the Black Rock MIPA, the Black Rock Purchaser agreed to acquire 50.01% of the Class B Membership Interests of Black Rock Wind Holding LLC, which owns and is developing the 110 MW Black Rock wind project, located in Grant and Mineral Counties, West Virginia, and is expected to reach commercial operations in the second half of 2021 (the “</w:t>
      </w:r>
      <w:r>
        <w:rPr>
          <w:rFonts w:ascii="Times New Roman" w:cs="Times New Roman" w:eastAsia="Times New Roman" w:hAnsi="Times New Roman"/>
          <w:sz w:val="18"/>
          <w:szCs w:val="18"/>
          <w:u w:val="single" w:color="auto"/>
          <w:color w:val="auto"/>
        </w:rPr>
        <w:t>Black Rock Transaction</w:t>
      </w:r>
      <w:r>
        <w:rPr>
          <w:rFonts w:ascii="Times New Roman" w:cs="Times New Roman" w:eastAsia="Times New Roman" w:hAnsi="Times New Roman"/>
          <w:sz w:val="18"/>
          <w:szCs w:val="18"/>
          <w:color w:val="auto"/>
        </w:rPr>
        <w:t>”). The purchase price for the Black Rock Transaction is expected to be $65 million, subject to certain closing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Black Rock MIPA contains customary representations and warranties and covenants made by the parties. Each of the Black Rock Purchaser and the Black Rock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closing of the Black Rock Transaction is subject to customary closing conditions, including the occurrence of the commercial operations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the Black Rock Transaction to close in the second half of 2021.</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Black Rock MIPA is not complete and is qualified in its entirety by reference to the full text of the Black Rock MIPA, a copy of which is filed as Exhibit 10.2 to this Current Report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Mesquite Sky Membership Interest Purchase Agreement</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December 21, 2020, Lighthouse Renewable Class A LLC (the “</w:t>
      </w:r>
      <w:r>
        <w:rPr>
          <w:rFonts w:ascii="Times New Roman" w:cs="Times New Roman" w:eastAsia="Times New Roman" w:hAnsi="Times New Roman"/>
          <w:sz w:val="18"/>
          <w:szCs w:val="18"/>
          <w:u w:val="single" w:color="auto"/>
          <w:color w:val="auto"/>
        </w:rPr>
        <w:t>Mesquite Sky Purchaser</w:t>
      </w:r>
      <w:r>
        <w:rPr>
          <w:rFonts w:ascii="Times New Roman" w:cs="Times New Roman" w:eastAsia="Times New Roman" w:hAnsi="Times New Roman"/>
          <w:sz w:val="18"/>
          <w:szCs w:val="18"/>
          <w:color w:val="auto"/>
        </w:rPr>
        <w:t>”), a subsidiary of the Company, entered into a Membership Interest Purchase Agreement (the “</w:t>
      </w:r>
      <w:r>
        <w:rPr>
          <w:rFonts w:ascii="Times New Roman" w:cs="Times New Roman" w:eastAsia="Times New Roman" w:hAnsi="Times New Roman"/>
          <w:sz w:val="18"/>
          <w:szCs w:val="18"/>
          <w:u w:val="single" w:color="auto"/>
          <w:color w:val="auto"/>
        </w:rPr>
        <w:t>Mesquite Sky MIPA</w:t>
      </w:r>
      <w:r>
        <w:rPr>
          <w:rFonts w:ascii="Times New Roman" w:cs="Times New Roman" w:eastAsia="Times New Roman" w:hAnsi="Times New Roman"/>
          <w:sz w:val="18"/>
          <w:szCs w:val="18"/>
          <w:color w:val="auto"/>
        </w:rPr>
        <w:t>”) with Clearway Renew LLC (the “</w:t>
      </w:r>
      <w:r>
        <w:rPr>
          <w:rFonts w:ascii="Times New Roman" w:cs="Times New Roman" w:eastAsia="Times New Roman" w:hAnsi="Times New Roman"/>
          <w:sz w:val="18"/>
          <w:szCs w:val="18"/>
          <w:u w:val="single" w:color="auto"/>
          <w:color w:val="auto"/>
        </w:rPr>
        <w:t>Mesquite Sky Seller</w:t>
      </w:r>
      <w:r>
        <w:rPr>
          <w:rFonts w:ascii="Times New Roman" w:cs="Times New Roman" w:eastAsia="Times New Roman" w:hAnsi="Times New Roman"/>
          <w:sz w:val="18"/>
          <w:szCs w:val="18"/>
          <w:color w:val="auto"/>
        </w:rPr>
        <w:t>”), a subsidiary of CEG. Pursuant to the terms of the Mesquite Sky MIPA, the Mesquite Sky Purchaser agreed to acquire 50.01% of the Class B Membership Interests of Mesquite Sky Holding LLC, which owns and is developing the 345 MW Mesquite Sky wind project, located in Callahan County, Texas, and is expected to reach commercial operations in the second half of 2021 (the “</w:t>
      </w:r>
      <w:r>
        <w:rPr>
          <w:rFonts w:ascii="Times New Roman" w:cs="Times New Roman" w:eastAsia="Times New Roman" w:hAnsi="Times New Roman"/>
          <w:sz w:val="18"/>
          <w:szCs w:val="18"/>
          <w:u w:val="single" w:color="auto"/>
          <w:color w:val="auto"/>
        </w:rPr>
        <w:t>Mesquite Sky Transaction</w:t>
      </w:r>
      <w:r>
        <w:rPr>
          <w:rFonts w:ascii="Times New Roman" w:cs="Times New Roman" w:eastAsia="Times New Roman" w:hAnsi="Times New Roman"/>
          <w:sz w:val="18"/>
          <w:szCs w:val="18"/>
          <w:color w:val="auto"/>
        </w:rPr>
        <w:t>”). The purchase price for the Mesquite Sky Transaction is expected to be $77 million, subject to certain closing adjustments.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Mesquite Sky MIPA contains customary representations and warranties and covenants made by the parties. Each of the Mesquite Sky Purchaser and the Mesquite Sky Seller is obligated, subject to certain limitations, to indemnify the other for certain customary matters, including breaches of representations and warranties, nonfulfillment or breaches of covenants and for certain liabilities and third-party claims.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Mesquite Sky Transaction is subject to customary closing conditions, including the occurrence of the commercial operations date. The Company expects the Mesquite Sky Transaction to close by the second half of 2021.</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Mesquite Sky MIPA is not complete and is qualified in its entirety by reference to the full text of the Mesquite Sky MIPA, a copy of which is filed as Exhibit 10.3 to this Current Report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December 22, 2020, the Company issued a press release announcing the transactions described herein. A copy of the press release is attached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660" w:type="dxa"/>
            <w:vAlign w:val="bottom"/>
          </w:tcPr>
          <w:p>
            <w:pPr>
              <w:spacing w:after="0"/>
              <w:rPr>
                <w:sz w:val="24"/>
                <w:szCs w:val="24"/>
                <w:color w:val="auto"/>
              </w:rPr>
            </w:pPr>
          </w:p>
        </w:tc>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Pr>
          <w:p>
            <w:pPr>
              <w:spacing w:after="0"/>
              <w:rPr>
                <w:sz w:val="14"/>
                <w:szCs w:val="14"/>
                <w:color w:val="auto"/>
              </w:rPr>
            </w:pPr>
          </w:p>
        </w:tc>
        <w:tc>
          <w:tcPr>
            <w:tcW w:w="600" w:type="dxa"/>
            <w:vAlign w:val="bottom"/>
          </w:tcPr>
          <w:p>
            <w:pPr>
              <w:spacing w:after="0" w:line="169"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10.1†*</w:t>
              </w:r>
            </w:hyperlink>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420" w:type="dxa"/>
            <w:vAlign w:val="bottom"/>
            <w:tcBorders>
              <w:bottom w:val="single" w:sz="8" w:color="0000EE"/>
            </w:tcBorders>
            <w:gridSpan w:val="4"/>
          </w:tcPr>
          <w:p>
            <w:pPr>
              <w:spacing w:after="0" w:line="169"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Membership Interest Purchase Agreement, dated as of December 21, 2020, by and between Renew Development HoldCo LLC and</w:t>
              </w:r>
            </w:hyperlink>
          </w:p>
        </w:tc>
        <w:tc>
          <w:tcPr>
            <w:tcW w:w="160" w:type="dxa"/>
            <w:vAlign w:val="bottom"/>
          </w:tcPr>
          <w:p>
            <w:pPr>
              <w:spacing w:after="0"/>
              <w:rPr>
                <w:sz w:val="14"/>
                <w:szCs w:val="14"/>
                <w:color w:val="auto"/>
              </w:rPr>
            </w:pPr>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gridSpan w:val="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Rosamond Solar Investment LLC.</w:t>
              </w:r>
            </w:hyperlink>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0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10.2†*</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Membership Interest Purchase Agreement, dated as of December 21, 2020, by and between Clearway Renew LLC and Lighthouse</w:t>
              </w:r>
            </w:hyperlink>
          </w:p>
        </w:tc>
        <w:tc>
          <w:tcPr>
            <w:tcW w:w="20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Renewable Class A LLC.</w:t>
              </w:r>
            </w:hyperlink>
          </w:p>
        </w:tc>
        <w:tc>
          <w:tcPr>
            <w:tcW w:w="776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0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10.3†*</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Membership Interest Purchase Agreement, dated as of December 21, 2020, by and between Clearway Renew LLC and Lighthouse</w:t>
              </w:r>
            </w:hyperlink>
          </w:p>
        </w:tc>
        <w:tc>
          <w:tcPr>
            <w:tcW w:w="20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99">
              <w:r>
                <w:rPr>
                  <w:rFonts w:ascii="Times New Roman" w:cs="Times New Roman" w:eastAsia="Times New Roman" w:hAnsi="Times New Roman"/>
                  <w:sz w:val="18"/>
                  <w:szCs w:val="18"/>
                  <w:color w:val="0000EE"/>
                  <w:w w:val="98"/>
                </w:rPr>
                <w:t>Renewable Class A LLC.</w:t>
              </w:r>
            </w:hyperlink>
          </w:p>
        </w:tc>
        <w:tc>
          <w:tcPr>
            <w:tcW w:w="7760" w:type="dxa"/>
            <w:vAlign w:val="bottom"/>
            <w:gridSpan w:val="4"/>
          </w:tcPr>
          <w:p>
            <w:pPr>
              <w:spacing w:after="0"/>
              <w:rPr>
                <w:sz w:val="17"/>
                <w:szCs w:val="17"/>
                <w:color w:val="auto"/>
              </w:rPr>
            </w:pPr>
          </w:p>
        </w:tc>
      </w:tr>
      <w:tr>
        <w:trPr>
          <w:trHeight w:val="237"/>
        </w:trPr>
        <w:tc>
          <w:tcPr>
            <w:tcW w:w="1260" w:type="dxa"/>
            <w:vAlign w:val="bottom"/>
            <w:gridSpan w:val="2"/>
          </w:tcPr>
          <w:p>
            <w:pPr>
              <w:ind w:left="66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99.1</w:t>
              </w:r>
            </w:hyperlink>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0" w:type="dxa"/>
            <w:vAlign w:val="bottom"/>
            <w:gridSpan w:val="6"/>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Press Release, dated as of December 22, 2020.</w:t>
              </w:r>
            </w:hyperlink>
          </w:p>
        </w:tc>
      </w:tr>
    </w:tbl>
    <w:p>
      <w:pPr>
        <w:ind w:left="1620" w:hanging="964"/>
        <w:spacing w:after="0"/>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460" w:right="18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both"/>
        <w:ind w:left="460" w:right="240" w:hanging="452"/>
        <w:spacing w:after="0" w:line="25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684"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Rosie TargetCo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Renew Development HoldCo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Rosamond Solar Investment LLC, 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8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4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PRINCIPLES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Rules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Adjusted Purchase Price Amount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Representations and Warranties with respect to Seller, the Company and the Rosie Entities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Representations and Warranties with Respect to Purchaser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Closing Date Conditions Precedent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Purchaser’s Substitute Support Obligations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Seller Parent Guaranty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Purchaser Parent Guaranty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by Seller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by Purchaser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Survival of Representations, Warranties, Covenants and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Limitations on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Procedure for Indemnification of Third Party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Rights of the Indemnifying Party in the Defense of Third Party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Direct Claims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Exclusive Remedy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Mitigations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Indemnity Treatment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GENERAL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06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60" w:type="dxa"/>
            <w:vAlign w:val="bottom"/>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48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Entire Agreement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Specific Performance</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Time of the Essence</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Confidentiality; Disclosures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Waiver</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Amendment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No Third Party Beneficiary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Assignment</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Consent to Jurisdiction</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Limitation on Certain Damages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Disclosures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PDF Signature; Counterparts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Base Case Model</w:t>
            </w:r>
          </w:p>
        </w:tc>
        <w:tc>
          <w:tcPr>
            <w:tcW w:w="706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 Certificate of Seller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Secretary’s Certificate of Seller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Certificate of Purchaser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Secretary’s Certificate of Purchaser</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70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Seller Parent Guaranty</w:t>
            </w:r>
          </w:p>
        </w:tc>
        <w:tc>
          <w:tcPr>
            <w:tcW w:w="70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Purchaser Parent Guaranty</w:t>
            </w:r>
          </w:p>
        </w:tc>
        <w:tc>
          <w:tcPr>
            <w:tcW w:w="70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Schedule 6.01(b)</w:t>
      </w:r>
      <w:r>
        <w:rPr>
          <w:sz w:val="20"/>
          <w:szCs w:val="20"/>
          <w:color w:val="auto"/>
        </w:rPr>
        <w:tab/>
      </w:r>
      <w:r>
        <w:rPr>
          <w:rFonts w:ascii="Times New Roman" w:cs="Times New Roman" w:eastAsia="Times New Roman" w:hAnsi="Times New Roman"/>
          <w:sz w:val="17"/>
          <w:szCs w:val="17"/>
          <w:color w:val="auto"/>
        </w:rPr>
        <w:t>Certain Indemnification Matters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Liens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3.01(c)</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 Consents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3.01(e)</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 Approvals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3.01(f)</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3.01(g)</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Business Jurisdictions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Equity Encumbrances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3.01(i)(iv)</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and Officers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Options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Additional Investments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Additional Business Operations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3.01(i)(x)</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 on Acquired Interests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3.01(j)</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3.01(k)</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Contracts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Contracts Defaults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Property Rights and Land</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Real Property Agreements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 I – Permitted Real Property Rights Agreements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 II – Permitted Absent Real Property Rights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Law Non-Compliance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Noncompliance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3.01(r)</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3.01(s)(i)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3.01(t)</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3.01(v)</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3.01(w)</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Accounts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3.01(y)</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Support Obligations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3.02(c)</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 Consents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3.02(e)</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3.02(h)</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Schedule 3.02(i)</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Purchaser Approvals</w:t>
            </w:r>
          </w:p>
        </w:tc>
      </w:tr>
      <w:tr>
        <w:trPr>
          <w:trHeight w:val="648"/>
        </w:trPr>
        <w:tc>
          <w:tcPr>
            <w:tcW w:w="168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Renew Development HoldCo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Rosamond Solar Investment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56"/>
        <w:spacing w:after="0" w:line="258" w:lineRule="auto"/>
        <w:tabs>
          <w:tab w:leader="none" w:pos="1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A Units (as defined in the Existing Rosie A&amp;R LLCA)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of Rosie TargetCo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 Lighthouse LLC, a Delaware limited liability company (“</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owns one hundred percent (100%) of the Class B Units (as defined in the Existing Rosie A&amp;R LLCA) in the Company, and Clearway Renew LLC, a Delaware limited liability company (the “</w:t>
      </w:r>
      <w:r>
        <w:rPr>
          <w:rFonts w:ascii="Times New Roman" w:cs="Times New Roman" w:eastAsia="Times New Roman" w:hAnsi="Times New Roman"/>
          <w:sz w:val="18"/>
          <w:szCs w:val="18"/>
          <w:i w:val="1"/>
          <w:iCs w:val="1"/>
          <w:color w:val="auto"/>
        </w:rPr>
        <w:t>Class C Member</w:t>
      </w:r>
      <w:r>
        <w:rPr>
          <w:rFonts w:ascii="Times New Roman" w:cs="Times New Roman" w:eastAsia="Times New Roman" w:hAnsi="Times New Roman"/>
          <w:sz w:val="18"/>
          <w:szCs w:val="18"/>
          <w:color w:val="auto"/>
        </w:rPr>
        <w:t>”) owns one hundred percent (100%) of the Class C Units (as defined in the Existing Rosie A&amp;R LLCA) in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Rosie Class B LLC, a Delaware limited liability company (“</w:t>
      </w:r>
      <w:r>
        <w:rPr>
          <w:rFonts w:ascii="Times New Roman" w:cs="Times New Roman" w:eastAsia="Times New Roman" w:hAnsi="Times New Roman"/>
          <w:sz w:val="18"/>
          <w:szCs w:val="18"/>
          <w:i w:val="1"/>
          <w:iCs w:val="1"/>
          <w:color w:val="auto"/>
        </w:rPr>
        <w:t>TE Class B Member</w:t>
      </w:r>
      <w:r>
        <w:rPr>
          <w:rFonts w:ascii="Times New Roman" w:cs="Times New Roman" w:eastAsia="Times New Roman" w:hAnsi="Times New Roman"/>
          <w:sz w:val="18"/>
          <w:szCs w:val="18"/>
          <w:color w:val="auto"/>
        </w:rPr>
        <w:t>”), which is the owner of one hundred percent (100%) of the Class B Units (as defined in the Tax Equity Agreement) of Rosie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and Morgan Stanley Renewables Inc. (the “</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is the owner of one hundred percent (100%) of the Class A Units (as defined in the Tax Equity Agreement) of TE HoldCo.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Rosie Project HoldCo LLC, a Delaware limited liability company (“</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which is the sole member and one hundred percent (100%) owner of Golden Fields Solar III, LLC, a Delaware limited liability company (the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TE Class B Member, TE HoldCo and Project HoldCo, the “</w:t>
      </w:r>
      <w:r>
        <w:rPr>
          <w:rFonts w:ascii="Times New Roman" w:cs="Times New Roman" w:eastAsia="Times New Roman" w:hAnsi="Times New Roman"/>
          <w:sz w:val="18"/>
          <w:szCs w:val="18"/>
          <w:i w:val="1"/>
          <w:iCs w:val="1"/>
          <w:color w:val="auto"/>
        </w:rPr>
        <w:t>Rosie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Rosie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owns and operates an approximately 192 MW AC ground-mounted solar photovoltaic generating facility and associated infrastructure located in Kern County, California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the Acquired Interests will be sold to Purchaser for the Purchase Price as provided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cells updated by Seller prior to the Substantial Completion Capital Contribution Date, in each case on the basis of the Pricing Adjustments:</w:t>
      </w:r>
    </w:p>
    <w:p>
      <w:pPr>
        <w:spacing w:after="0" w:line="160"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C9;</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C31;</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C32:C33;</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C43:C54;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P45:BC45;</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P43:WQ43;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C100:C103, C187:C191 and C201:C205;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P155:SA160;</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H143:H183;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P397:BC397;</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E463:E502;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G463:G502;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C563;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Depreciation, Input Reference U295:BC295;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920" w:hanging="616"/>
        <w:spacing w:after="0"/>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I8:L8.</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Rosie Entities shall not be considered “Affiliates” of Clearway Energy, Inc. and its direct or indirect subsidiaries, including Purchaser.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“Rosamond Central – CE Vehicle – External CWEN 12112020.xlsb”, and attached as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CAISO</w:t>
      </w:r>
      <w:r>
        <w:rPr>
          <w:rFonts w:ascii="Times New Roman" w:cs="Times New Roman" w:eastAsia="Times New Roman" w:hAnsi="Times New Roman"/>
          <w:sz w:val="18"/>
          <w:szCs w:val="18"/>
          <w:color w:val="auto"/>
        </w:rPr>
        <w:t>” means the California Independent System Operator,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Contribution Date</w:t>
      </w:r>
      <w:r>
        <w:rPr>
          <w:rFonts w:ascii="Times New Roman" w:cs="Times New Roman" w:eastAsia="Times New Roman" w:hAnsi="Times New Roman"/>
          <w:sz w:val="18"/>
          <w:szCs w:val="18"/>
          <w:color w:val="auto"/>
        </w:rPr>
        <w:t>” means the Capital Contribution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3.01(m)(i)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7.15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Rosie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Rosie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Rosie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Rosie A&amp;R LLCA</w:t>
      </w:r>
      <w:r>
        <w:rPr>
          <w:rFonts w:ascii="Times New Roman" w:cs="Times New Roman" w:eastAsia="Times New Roman" w:hAnsi="Times New Roman"/>
          <w:sz w:val="18"/>
          <w:szCs w:val="18"/>
          <w:color w:val="auto"/>
        </w:rPr>
        <w:t>” means that certain Amended and Restated Limited Liability Company Agreement of the Company, dated as of November 20, 2020, by and among Seller, HASI and the Class C Member.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that certain Amended and Restated Financing Agreement, dated as of February 25, 2020, by and among TE Class B Member, Rosie DevCo LLC, a Delaware limited liability company, Norddeutsche Landesbank Girozentrale, New York Branch, CIT Bank, N.A., Zions Bancorporation, N.A. and the lenders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the Financing Documents (as defined in the Financing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and each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 w:name="page15"/>
    <w:bookmarkEnd w:id="1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Capital Contribution Date</w:t>
      </w:r>
      <w:r>
        <w:rPr>
          <w:rFonts w:ascii="Times New Roman" w:cs="Times New Roman" w:eastAsia="Times New Roman" w:hAnsi="Times New Roman"/>
          <w:sz w:val="18"/>
          <w:szCs w:val="18"/>
          <w:color w:val="auto"/>
        </w:rPr>
        <w:t>” means Initial Capital Contribution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Rosie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Rosie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Rosie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Rosie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Company or the Rosie Entities, taken as whole, as compared to similarly situated businesses in the same industry and in the same geographical area, which shall be deemed to include the State of California.</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(a) authorizing the wholesale sale of electric energy, capacity and specified ancillary services at market-based rates pursuant to Section 205 of the FPA, (b) accepting a tariff pertaining to such sales, and (c)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Company or any Rosie Entity,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in the case of the equity interests in, and assets of, TE HoldCo, Project HoldCo or the Project Company, Liens created pursuant to, and securing any Indebtedness under, the Financing Documents,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Liens or restrictions imposed on transfers set forth in the Tax Equity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19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ind w:right="20" w:firstLine="1304"/>
        <w:spacing w:after="0" w:line="266" w:lineRule="auto"/>
        <w:tabs>
          <w:tab w:leader="none" w:pos="1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Rosie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Rosie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Rosie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Rosie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Rosie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xml:space="preserve">) any Liens relating to or arising from the Financing Documents; and (g) any other Liens set forth on </w:t>
      </w:r>
      <w:r>
        <w:rPr>
          <w:rFonts w:ascii="Times New Roman" w:cs="Times New Roman" w:eastAsia="Times New Roman" w:hAnsi="Times New Roman"/>
          <w:sz w:val="18"/>
          <w:szCs w:val="18"/>
          <w:i w:val="1"/>
          <w:iCs w:val="1"/>
          <w:color w:val="auto"/>
        </w:rPr>
        <w:t xml:space="preserve">Schedule 1.01 </w:t>
      </w:r>
      <w:r>
        <w:rPr>
          <w:rFonts w:ascii="Times New Roman" w:cs="Times New Roman" w:eastAsia="Times New Roman" w:hAnsi="Times New Roman"/>
          <w:sz w:val="18"/>
          <w:szCs w:val="18"/>
          <w:color w:val="auto"/>
        </w:rPr>
        <w:t>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that guaranty of Purchaser Parent dated as of the Closing Date and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Rosie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the Western Electricity Coordinating Council.</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the Environmental Report (as defined in the Tax Equity Agreement), the Independent Engineer Report (as defined in the Tax Equity Agreement), the Transmission Report (as defined in the Tax Equity Agreement) and the Insurance Report (as defined in the Tax Equity Agreement), including any bring downs of such reports delivered pursuant to the Tax Equity Agreement as of the date hereof.</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Rosie A&amp;R LLCA</w:t>
      </w:r>
      <w:r>
        <w:rPr>
          <w:rFonts w:ascii="Times New Roman" w:cs="Times New Roman" w:eastAsia="Times New Roman" w:hAnsi="Times New Roman"/>
          <w:sz w:val="18"/>
          <w:szCs w:val="18"/>
          <w:color w:val="auto"/>
        </w:rPr>
        <w:t>” means that certain Second Amended and Restated Limited Liability Company Agreement of the Company, dated as of the date hereof, by and among Purchaser, HASI and the Class C Member.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Rosie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Rosie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means Clearway Renew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Closing Date and attached hereto as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Premises</w:t>
      </w:r>
      <w:r>
        <w:rPr>
          <w:rFonts w:ascii="Times New Roman" w:cs="Times New Roman" w:eastAsia="Times New Roman" w:hAnsi="Times New Roman"/>
          <w:sz w:val="18"/>
          <w:szCs w:val="18"/>
          <w:color w:val="auto"/>
        </w:rPr>
        <w:t>” means “Shared Premises” (as defined in the Shared Facilities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 Completion Capital Contribution Date</w:t>
      </w:r>
      <w:r>
        <w:rPr>
          <w:rFonts w:ascii="Times New Roman" w:cs="Times New Roman" w:eastAsia="Times New Roman" w:hAnsi="Times New Roman"/>
          <w:sz w:val="18"/>
          <w:szCs w:val="18"/>
          <w:color w:val="auto"/>
        </w:rPr>
        <w:t>” means the Substantial Completion Capital Contribution Date as defined in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dated as of February 25, 2020, by and among TE Class B Member, TE HoldCo, and Morgan Stanley Renewables Inc., a Delaware corporation.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means the Base Case Model as defined in and updated pursuant to the Tax Equity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Class B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Stewart Title Guaranty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ALTA 2006 extended coverage owner’s policy of title insurance, issued by the Title Company in favor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Company.</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i w:val="1"/>
          <w:iCs w:val="1"/>
          <w:color w:val="auto"/>
        </w:rPr>
        <w:t>Rules of Interpretation.</w:t>
      </w:r>
    </w:p>
    <w:p>
      <w:pPr>
        <w:spacing w:after="0" w:line="225" w:lineRule="exact"/>
        <w:rPr>
          <w:sz w:val="20"/>
          <w:szCs w:val="20"/>
          <w:color w:val="auto"/>
        </w:rPr>
      </w:pPr>
    </w:p>
    <w:p>
      <w:pPr>
        <w:ind w:firstLine="1304"/>
        <w:spacing w:after="0" w:line="286" w:lineRule="auto"/>
        <w:tabs>
          <w:tab w:leader="none" w:pos="19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ind w:firstLine="1304"/>
        <w:spacing w:after="0" w:line="259" w:lineRule="auto"/>
        <w:tabs>
          <w:tab w:leader="none" w:pos="20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Twenty-Three Million Three Hundred Twenty Thousand Two Hundred Seventy-Four Dollars ($23,320,274)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304"/>
        <w:spacing w:after="0" w:line="261" w:lineRule="auto"/>
        <w:tabs>
          <w:tab w:leader="none" w:pos="19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Base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660" w:firstLine="1292"/>
        <w:spacing w:after="0" w:line="282" w:lineRule="auto"/>
        <w:tabs>
          <w:tab w:leader="none" w:pos="2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1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of the Substantial Completion Capital Contribution Date, the Adjusted Purchase Price Amount (as defined below) is positive, the Base Purchase Price shall be increased by the Adjusted Purchase Price Amount and the amount of such increase shall be paid by Purchaser to Seller on the date that is five (5) Business Days after the Substantial Completion Capital Contribution Date. If, as of the Substantial Completion Capital Contribution Date, the Adjusted Purchase Price Amount is negative, the Base Purchase Price shall be decreased by the Adjusted Purchase Price Amount and be paid by Seller to Purchaser on the date that is five (5) Business Days after the Substantial Completion Capital Contribution Date.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Purchase Price for Tax purposes.</w:t>
      </w:r>
    </w:p>
    <w:p>
      <w:pPr>
        <w:spacing w:after="0" w:line="18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Tab PP Adj, Cell T9 of the Adjusted Purchase Price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Rosie Entities</w:t>
      </w:r>
      <w:r>
        <w:rPr>
          <w:rFonts w:ascii="Times New Roman" w:cs="Times New Roman" w:eastAsia="Times New Roman" w:hAnsi="Times New Roman"/>
          <w:sz w:val="18"/>
          <w:szCs w:val="18"/>
          <w:color w:val="auto"/>
        </w:rPr>
        <w:t>. Seller hereby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as of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1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9" w:lineRule="auto"/>
        <w:tabs>
          <w:tab w:leader="none" w:pos="19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breach of, or constitute a default under, the Constitutive Documents of Seller or the Company or any material Contract to which Seller, or Company Contract to which the Company or the Rosie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Rosie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Rosie Entities or any rights or benefits are to be received by any Person, under any Contract to which Seller, the Company or the Rosie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3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Rosie Entities in connection with the execution, delivery and performance of this Agreement or the consummation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Rosie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Rosie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Rosie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Rosie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Rosie Entities is or, to the Knowledge of Seller, has been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past six (6) years in material violation of any material Law or Order applicable to the Company, the Rosie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 xml:space="preserve">Section 3.01(p) </w:t>
      </w:r>
      <w:r>
        <w:rPr>
          <w:rFonts w:ascii="Times New Roman" w:cs="Times New Roman" w:eastAsia="Times New Roman" w:hAnsi="Times New Roman"/>
          <w:sz w:val="18"/>
          <w:szCs w:val="18"/>
          <w:color w:val="auto"/>
        </w:rPr>
        <w:t>hereof. None of Seller, the Company nor the Rosie Entities has received notice from any Governmental Authority of any material violation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such Law.</w:t>
      </w:r>
    </w:p>
    <w:p>
      <w:pPr>
        <w:spacing w:after="0" w:line="17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Rosie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Rosie Entities are limited liability companies validly existing and in good standing under the Laws of Delaware, and each has full power and authority to conduct its business as and to the extent now conducted and to own, use and lease its assets. The Company and the Rosie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Rosie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w:t>
      </w:r>
    </w:p>
    <w:p>
      <w:pPr>
        <w:spacing w:after="0" w:line="227" w:lineRule="exact"/>
        <w:rPr>
          <w:rFonts w:ascii="Times New Roman" w:cs="Times New Roman" w:eastAsia="Times New Roman" w:hAnsi="Times New Roman"/>
          <w:sz w:val="18"/>
          <w:szCs w:val="18"/>
          <w:color w:val="auto"/>
        </w:rPr>
      </w:pPr>
    </w:p>
    <w:p>
      <w:pPr>
        <w:ind w:left="3420" w:hanging="820"/>
        <w:spacing w:after="0"/>
        <w:tabs>
          <w:tab w:leader="none" w:pos="34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Acquired Interests are owned directly, beneficially and of record by Seller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and clear of all Liens;</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337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TE Class B Member are owned directly, beneficially and of record by the Company, free and clear of all Liens;</w:t>
      </w:r>
    </w:p>
    <w:p>
      <w:pPr>
        <w:spacing w:after="0" w:line="161"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341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Class B Units (as defined in the Tax Equity Agreement) of TE HoldCo are owned directly, beneficially and of record by TE Class B Member, free and clear of all Liens;</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43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Project HoldCo are owned directly, beneficially and of record by TE HoldCo, free and clear of all Liens; and</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37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the Project Company are owned directly, beneficially and of record by Project HoldCo, free and clear of all Liens.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3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equity interests of the Company and the Rosie Entities have been duly authorized, validly issued and are fully paid and non-assessable and have been issued in compliance with federal and state securities laws.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Rosie Entities, and the position with the Company or the Rosie Entities held by each, are listed in </w:t>
      </w:r>
      <w:r>
        <w:rPr>
          <w:rFonts w:ascii="Times New Roman" w:cs="Times New Roman" w:eastAsia="Times New Roman" w:hAnsi="Times New Roman"/>
          <w:sz w:val="18"/>
          <w:szCs w:val="18"/>
          <w:i w:val="1"/>
          <w:iCs w:val="1"/>
          <w:color w:val="auto"/>
        </w:rPr>
        <w:t>Schedule 3.01(i)(iv)</w:t>
      </w:r>
      <w:r>
        <w:rPr>
          <w:rFonts w:ascii="Times New Roman" w:cs="Times New Roman" w:eastAsia="Times New Roman" w:hAnsi="Times New Roman"/>
          <w:sz w:val="18"/>
          <w:szCs w:val="18"/>
          <w:color w:val="auto"/>
        </w:rPr>
        <w:t xml:space="preserve"> of the Disclosure Schedules.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24" w:name="page25"/>
    <w:bookmarkEnd w:id="24"/>
    <w:p>
      <w:pPr>
        <w:ind w:left="660" w:right="20" w:firstLine="1292"/>
        <w:spacing w:after="0" w:line="282" w:lineRule="auto"/>
        <w:tabs>
          <w:tab w:leader="none" w:pos="313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Rosie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9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there are no outstanding Options issued or granted by, or binding upon, the Company or the Rosie Entities for any Person to purchase or sell or otherwise acquire or dispose of any equity interest or other security or interest in the Company or the Rosie Entities other than as set forth under this Agreement, the Financing Documents, the Tax Equity Agreement or the Constitutive Documents of the Company and the Rosie Entities. Except as set forth in Part II of </w:t>
      </w:r>
      <w:r>
        <w:rPr>
          <w:rFonts w:ascii="Times New Roman" w:cs="Times New Roman" w:eastAsia="Times New Roman" w:hAnsi="Times New Roman"/>
          <w:sz w:val="18"/>
          <w:szCs w:val="18"/>
          <w:i w:val="1"/>
          <w:iCs w:val="1"/>
          <w:color w:val="auto"/>
        </w:rPr>
        <w:t xml:space="preserve">Schedule 3.01(i)(vi) </w:t>
      </w:r>
      <w:r>
        <w:rPr>
          <w:rFonts w:ascii="Times New Roman" w:cs="Times New Roman" w:eastAsia="Times New Roman" w:hAnsi="Times New Roman"/>
          <w:sz w:val="18"/>
          <w:szCs w:val="18"/>
          <w:color w:val="auto"/>
        </w:rPr>
        <w:t>of the Disclosure Schedules, none of the Acquired Interests or the membership interests of the Rosie Entities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voting trust or voting trust agreement, voting agreement, pledge agreement, buy-sell agreement, right of first refusal, preemptive right or proxy other than as set forth under the Financing Documents, the Tax Equity Agreement or the Constitutive Documents of the Company and the Rosie Entities.</w:t>
      </w:r>
    </w:p>
    <w:p>
      <w:pPr>
        <w:spacing w:after="0" w:line="184"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Rosie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3.01(i)(viii)</w:t>
      </w:r>
      <w:r>
        <w:rPr>
          <w:rFonts w:ascii="Times New Roman" w:cs="Times New Roman" w:eastAsia="Times New Roman" w:hAnsi="Times New Roman"/>
          <w:sz w:val="18"/>
          <w:szCs w:val="18"/>
          <w:color w:val="auto"/>
        </w:rPr>
        <w:t xml:space="preserve"> of the Disclosure Schedules, neither the Company nor the Rosie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Rosie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Rosie Entities.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 and except as set forth in </w:t>
      </w:r>
      <w:r>
        <w:rPr>
          <w:rFonts w:ascii="Times New Roman" w:cs="Times New Roman" w:eastAsia="Times New Roman" w:hAnsi="Times New Roman"/>
          <w:sz w:val="18"/>
          <w:szCs w:val="18"/>
          <w:i w:val="1"/>
          <w:iCs w:val="1"/>
          <w:color w:val="auto"/>
        </w:rPr>
        <w:t>Schedule 3.01(i)(x)</w:t>
      </w:r>
      <w:r>
        <w:rPr>
          <w:rFonts w:ascii="Times New Roman" w:cs="Times New Roman" w:eastAsia="Times New Roman" w:hAnsi="Times New Roman"/>
          <w:sz w:val="18"/>
          <w:szCs w:val="18"/>
          <w:color w:val="auto"/>
        </w:rPr>
        <w:t xml:space="preserve"> of the Disclosure Schedules.</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5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Rosie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Rosie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1304"/>
        <w:spacing w:after="0" w:line="286" w:lineRule="auto"/>
        <w:tabs>
          <w:tab w:leader="none" w:pos="22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Rosie Entities, as applicable: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74" w:lineRule="auto"/>
        <w:tabs>
          <w:tab w:leader="none" w:pos="292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federal and all other material Tax Returns required to be filed by or with respect to the Company or the Rosie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Rosie Entities (or income attributable thereto), and Seller, Affiliates of Seller, the Company and the Rosie Entities have paid, or made adequate provisions for the payment of, all Taxes, assessments and other charges due or claimed to be due (regardless of whether shown on any Tax Return) from the Company or the Rosie Entities or for which the Company, Rosie Entities or the Purchaser could be held liable.</w:t>
      </w:r>
    </w:p>
    <w:p>
      <w:pPr>
        <w:spacing w:after="0" w:line="172" w:lineRule="exact"/>
        <w:rPr>
          <w:rFonts w:ascii="Times New Roman" w:cs="Times New Roman" w:eastAsia="Times New Roman" w:hAnsi="Times New Roman"/>
          <w:sz w:val="17"/>
          <w:szCs w:val="17"/>
          <w:color w:val="auto"/>
        </w:rPr>
      </w:pPr>
    </w:p>
    <w:p>
      <w:pPr>
        <w:jc w:val="both"/>
        <w:ind w:left="660" w:firstLine="1292"/>
        <w:spacing w:after="0" w:line="253" w:lineRule="auto"/>
        <w:tabs>
          <w:tab w:leader="none" w:pos="28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or Proceedings currently pending or threatened in writing against the Company or the Rosie Entities or related to their business operations, by any Governmental Authority for the assessment or collection of Taxes, (ii) audits or other examinations of any Tax Return of the Company or the Rosie Entities (or income attributable thereto) in progress nor has Seller, any Affiliate of Seller, the Company or the Rosie Entities been notified in writing of any request for examination with respect to the Company or the Rosie Entities, (iii) claims for assessment or collection of Taxes that have been asserted in writing against Seller or any Affiliate of Seller with respect to the Company or the Rosie Entities, the Company or the Rosie Entities (or the income attributable thereto) or (iv) matters under discussion with any Governmental Authority regarding claims for assessment or collection of Taxes against the Company or the Rosie Entities (or income attributable thereto). There are no outstanding agreements, waivers or consents extending the statutory period of limitations applicable to any Tax of the Company or the Rosie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Rosie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9" w:lineRule="exact"/>
        <w:rPr>
          <w:rFonts w:ascii="Times New Roman" w:cs="Times New Roman" w:eastAsia="Times New Roman" w:hAnsi="Times New Roman"/>
          <w:sz w:val="18"/>
          <w:szCs w:val="18"/>
          <w:color w:val="auto"/>
        </w:rPr>
      </w:pPr>
    </w:p>
    <w:p>
      <w:pPr>
        <w:ind w:left="660" w:firstLine="1292"/>
        <w:spacing w:after="0" w:line="282" w:lineRule="auto"/>
        <w:tabs>
          <w:tab w:leader="none" w:pos="29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its owner for U.S. federal income tax purposes is not, a “foreign person” within the meaning of Code Sections 1445(b)(2) and 1446(f).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Rosie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Rosie Entities as other than a disregarded entity or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left="660" w:firstLine="1292"/>
        <w:spacing w:after="0" w:line="266" w:lineRule="auto"/>
        <w:tabs>
          <w:tab w:leader="none" w:pos="28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Rosie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30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Rosie Entities, nor Seller or any Affiliate of Seller with respect to the assets or operations of the Company or the Rosie Entities, is or has ever entered into or been a party to any “listed transaction,” as defined in Section 1.6011-4(b)(2) of the Treasury Regulations.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92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Rosie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right="20" w:firstLine="1304"/>
        <w:spacing w:after="0" w:line="286" w:lineRule="auto"/>
        <w:tabs>
          <w:tab w:leader="none" w:pos="24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Rosie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154"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material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amendments, modifications and supplements thereto, to which the Company or the Rosie Entities is a party or by which the Company, the Rosie Entities or any of their assets or properties are bound (collectively, the “</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which includes:</w:t>
      </w:r>
    </w:p>
    <w:p>
      <w:pPr>
        <w:spacing w:after="0" w:line="175" w:lineRule="exact"/>
        <w:rPr>
          <w:rFonts w:ascii="Times New Roman" w:cs="Times New Roman" w:eastAsia="Times New Roman" w:hAnsi="Times New Roman"/>
          <w:sz w:val="18"/>
          <w:szCs w:val="18"/>
          <w:color w:val="auto"/>
        </w:rPr>
      </w:pPr>
    </w:p>
    <w:p>
      <w:pPr>
        <w:ind w:left="3880" w:hanging="1280"/>
        <w:spacing w:after="0"/>
        <w:tabs>
          <w:tab w:leader="none" w:pos="38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3480" w:hanging="880"/>
        <w:spacing w:after="0"/>
        <w:tabs>
          <w:tab w:leader="none" w:pos="34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3760" w:hanging="1160"/>
        <w:spacing w:after="0"/>
        <w:tabs>
          <w:tab w:leader="none" w:pos="37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Rosie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and the agreements described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Rosie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660" w:firstLine="1292"/>
        <w:spacing w:after="0" w:line="267" w:lineRule="auto"/>
        <w:tabs>
          <w:tab w:leader="none" w:pos="30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Rosie Entities or, to the Knowledge of Seller, the other parties thereto, is in material violation or material breach of or material default under any Company Contract to which it is a party.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2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Rosie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Rosie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property in which the Company and the Rosie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Policy.</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Rosie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6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Rosie Entities has caused or suffered to exist any easement, right-of-way, covenant, condition, restriction, reservation, license, agreement or other similar matter that would materially interfere with the operation of the Project or the business of the Company or the Rosie Entities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or in the Title Policy.</w:t>
      </w:r>
    </w:p>
    <w:p>
      <w:pPr>
        <w:spacing w:after="0" w:line="177" w:lineRule="exact"/>
        <w:rPr>
          <w:rFonts w:ascii="Times New Roman" w:cs="Times New Roman" w:eastAsia="Times New Roman" w:hAnsi="Times New Roman"/>
          <w:sz w:val="18"/>
          <w:szCs w:val="18"/>
          <w:color w:val="auto"/>
        </w:rPr>
      </w:pPr>
    </w:p>
    <w:p>
      <w:pPr>
        <w:ind w:left="660" w:right="20" w:firstLine="1292"/>
        <w:spacing w:after="0" w:line="284" w:lineRule="auto"/>
        <w:tabs>
          <w:tab w:leader="none" w:pos="2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Rosie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9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Rosie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Seller has provided to Purchaser a true and correct copy of the Title Policy covering the Real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ind w:left="1120" w:hanging="936"/>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Rosie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the Company or the Rosie Entities relating to any material violation of Environmental Law. None of Seller, the Company or the Rosie Entities has received notice from any Governmental Authority of any material violation of any Environmental Law.</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21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Rosie Entities for the development, construction, ownership, use or operation of the Land or the business of the Company and the Rosie Entities as currently conducted. Except as set forth in </w:t>
      </w: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such Permits have been obtained in a timely manner and are presently maintained in full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 in the name of the Company or the Rosie Entities.</w:t>
      </w:r>
    </w:p>
    <w:p>
      <w:pPr>
        <w:spacing w:after="0" w:line="18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Rosie Entities as currently conducted that would be reasonably expected to trigger any obligation of Seller, the Company or the Rosie Entities under Environmental Laws to report, investigate, remove or remediate such Release.</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7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Rosie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1120" w:hanging="936"/>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8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Rosie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 xml:space="preserve">Section 3.01(p) </w:t>
      </w:r>
      <w:r>
        <w:rPr>
          <w:rFonts w:ascii="Times New Roman" w:cs="Times New Roman" w:eastAsia="Times New Roman" w:hAnsi="Times New Roman"/>
          <w:sz w:val="18"/>
          <w:szCs w:val="18"/>
          <w:color w:val="auto"/>
        </w:rPr>
        <w:t>hereof, or those of a type that are routinely granted on application and for which none of Seller, the Company or the Rosie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Rosie Entities.</w:t>
      </w:r>
    </w:p>
    <w:p>
      <w:pPr>
        <w:spacing w:after="0" w:line="4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9" w:name="page30"/>
    <w:bookmarkEnd w:id="29"/>
    <w:p>
      <w:pPr>
        <w:jc w:val="both"/>
        <w:ind w:left="660" w:firstLine="1292"/>
        <w:spacing w:after="0" w:line="254" w:lineRule="auto"/>
        <w:tabs>
          <w:tab w:leader="none" w:pos="298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Rosie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55"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25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under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and except for this Agreement, there are no existing or pending transactions, Contracts or Liabilities between or among the Company or the Rosie Entity on the one hand, and Seller or any of Seller’s Affiliates on the other hand.</w:t>
      </w:r>
    </w:p>
    <w:p>
      <w:pPr>
        <w:spacing w:after="0" w:line="170"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9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Rosie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Rosie Entities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2"/>
        <w:spacing w:after="0" w:line="261" w:lineRule="auto"/>
        <w:tabs>
          <w:tab w:leader="none" w:pos="30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Rosie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Rosie Entities that would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1304"/>
        <w:spacing w:after="0" w:line="253" w:lineRule="auto"/>
        <w:tabs>
          <w:tab w:leader="none" w:pos="22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date of this Agreement that insure the assets and properties and business of the Company or the Rosie Entities or affect or relate to the ownership of any of the assets and properties the Company or the Rosie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Rosie Entities has received any notice with respect to the assets and properties and business of the Company or the Rosie Entities from any insurer under any insurance policy applicable to the assets and properties and business of the Company or the Rosie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Rosie Entities, as applicable, in all material respects. The insurance maintained by or on behalf of the Company or the Rosie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Rosie Entities on a consolidated basis for the quarter ended September 30, 2020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Rosie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Rosie Entities.</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23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acquisition of any equity interests of the Company or the Rosie Entities or any interests convertible into equity interests of the Company or the Rosie Entities or any other change in the capitalization or ownership of the Company or the Rosie Entities;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Rosie Entities into or with any other Person, consolidation of the Company or the Rosie Entities with any other Person or acquisition by the Company or the Rosie Entities of all or substantially all of the business or assets of any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left="660" w:firstLine="1292"/>
        <w:spacing w:after="0" w:line="266" w:lineRule="auto"/>
        <w:tabs>
          <w:tab w:leader="none" w:pos="29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Rosie Entities or any commitment entered into by any member of the Company or the Rosie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307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Rosie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4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2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9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Rosie Entities that would reasonably be expected to have, individually or in the aggregate, a Material Adverse Effect.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financial institutions at which the Company or the Rosie Entities maintain bank accounts or safe deposit boxes, in each case listing the type of account, the account number, and the names of all Persons authorized to draw thereupon or who have access thereto.</w:t>
      </w:r>
    </w:p>
    <w:p>
      <w:pPr>
        <w:spacing w:after="0" w:line="170"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1292"/>
        <w:spacing w:after="0" w:line="282" w:lineRule="auto"/>
        <w:tabs>
          <w:tab w:leader="none" w:pos="307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Rosie Entities other than the Project Company is a “holding company,” as defined in PUHCA, solely with respect to its direct or indirect, as applicable, ownership of the Project Company and, therefore, Company and each of the Rosie Entities other than the Project Company is entitled to the exemptions and waivers set forth in at 18 C.F.R. § 366.3(a). The Project Company is not a “holding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left="660" w:firstLine="1292"/>
        <w:spacing w:after="0" w:line="261" w:lineRule="auto"/>
        <w:tabs>
          <w:tab w:leader="none" w:pos="29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FERC regulation as an “electric utility company,” a “public-utility company,” or a “holding company,” or an “affiliate” or “subsidiary company” as defined under PUHCA, or as “public utility” under the FPA,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CPUC regulation as a “public utility” or an “electrical corporation.”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30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Rosie Entities other than the Project Company is subject to regulation as a “public utility” as that term is defined under FPA Section 201(e). The Project Company has received MBR Authorization. Neither the Company nor any of the Rosie Entities is subject to regulation by the CPUC as a “public utility” or, other than the Project Company, an “electrical corporation.”</w:t>
      </w:r>
    </w:p>
    <w:p>
      <w:pPr>
        <w:spacing w:after="0" w:line="175" w:lineRule="exact"/>
        <w:rPr>
          <w:rFonts w:ascii="Times New Roman" w:cs="Times New Roman" w:eastAsia="Times New Roman" w:hAnsi="Times New Roman"/>
          <w:sz w:val="18"/>
          <w:szCs w:val="18"/>
          <w:color w:val="auto"/>
        </w:rPr>
      </w:pPr>
    </w:p>
    <w:p>
      <w:pPr>
        <w:ind w:left="2400" w:hanging="1096"/>
        <w:spacing w:after="0"/>
        <w:tabs>
          <w:tab w:leader="none" w:pos="2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2" w:lineRule="exact"/>
        <w:rPr>
          <w:rFonts w:ascii="Times New Roman" w:cs="Times New Roman" w:eastAsia="Times New Roman" w:hAnsi="Times New Roman"/>
          <w:sz w:val="18"/>
          <w:szCs w:val="18"/>
          <w:color w:val="auto"/>
        </w:rPr>
      </w:pPr>
    </w:p>
    <w:p>
      <w:pPr>
        <w:jc w:val="both"/>
        <w:ind w:firstLine="1304"/>
        <w:spacing w:after="0" w:line="259" w:lineRule="auto"/>
        <w:tabs>
          <w:tab w:leader="none" w:pos="2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contained in the Disclosure Schedules or any other document, certificate or other instrument delivered to or to be delivered by or on behalf of Seller, the Company or the Rosie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ind w:firstLine="1304"/>
        <w:spacing w:after="0" w:line="286" w:lineRule="auto"/>
        <w:tabs>
          <w:tab w:leader="none" w:pos="23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Equity Agreement as of the Closing Date.</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Rosie Entities, which are reflected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Rosie Entities to Sellers or its Affiliates.</w:t>
      </w:r>
    </w:p>
    <w:p>
      <w:pPr>
        <w:spacing w:after="0" w:line="17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ROSIE ENTITIES, THE ASSETS OF THE COMPANY, OR THE ASSETS OF THE ROSIE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ROSIE ENTITIES, THE ASSETS OF THE COMPANY, THE ASSETS OF THE ROSIE ENTITIES OR THE ACQUIRED INTERESTS.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to Seller as of the Closing Date,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representation and warranty set forth in this</w:t>
      </w:r>
      <w:r>
        <w:rPr>
          <w:rFonts w:ascii="Times New Roman" w:cs="Times New Roman" w:eastAsia="Times New Roman" w:hAnsi="Times New Roman"/>
          <w:sz w:val="18"/>
          <w:szCs w:val="18"/>
          <w:i w:val="1"/>
          <w:iCs w:val="1"/>
          <w:color w:val="auto"/>
        </w:rPr>
        <w:t xml:space="preserve"> Section 3.02 </w:t>
      </w:r>
      <w:r>
        <w:rPr>
          <w:rFonts w:ascii="Times New Roman" w:cs="Times New Roman" w:eastAsia="Times New Roman" w:hAnsi="Times New Roman"/>
          <w:sz w:val="18"/>
          <w:szCs w:val="18"/>
          <w:color w:val="auto"/>
        </w:rPr>
        <w:t>and expressly stated to be made only as of a specified date shall be made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such date:</w:t>
      </w:r>
    </w:p>
    <w:p>
      <w:pPr>
        <w:spacing w:after="0" w:line="171" w:lineRule="exact"/>
        <w:rPr>
          <w:sz w:val="20"/>
          <w:szCs w:val="20"/>
          <w:color w:val="auto"/>
        </w:rPr>
      </w:pPr>
    </w:p>
    <w:p>
      <w:pPr>
        <w:jc w:val="both"/>
        <w:ind w:firstLine="1304"/>
        <w:spacing w:after="0" w:line="262" w:lineRule="auto"/>
        <w:tabs>
          <w:tab w:leader="none" w:pos="2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1304"/>
        <w:spacing w:after="0" w:line="262" w:lineRule="auto"/>
        <w:tabs>
          <w:tab w:leader="none" w:pos="23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4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right="20" w:firstLine="1304"/>
        <w:spacing w:after="0" w:line="286" w:lineRule="auto"/>
        <w:tabs>
          <w:tab w:leader="none" w:pos="2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2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3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Acquired Interests, the Company, the Rosie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the Parties to sell and purchase, respectively, the Acquired Interests are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fulfillment (or waiver by the applicable Party), at or before the Closing, by the applicable Party of each of the following conditions:</w:t>
      </w:r>
    </w:p>
    <w:p>
      <w:pPr>
        <w:spacing w:after="0" w:line="155" w:lineRule="exact"/>
        <w:rPr>
          <w:sz w:val="20"/>
          <w:szCs w:val="20"/>
          <w:color w:val="auto"/>
        </w:rPr>
      </w:pPr>
    </w:p>
    <w:p>
      <w:pPr>
        <w:ind w:left="2260" w:hanging="956"/>
        <w:spacing w:after="0"/>
        <w:tabs>
          <w:tab w:leader="none" w:pos="2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Financing</w:t>
      </w:r>
      <w:r>
        <w:rPr>
          <w:rFonts w:ascii="Times New Roman" w:cs="Times New Roman" w:eastAsia="Times New Roman" w:hAnsi="Times New Roman"/>
          <w:sz w:val="18"/>
          <w:szCs w:val="18"/>
          <w:color w:val="auto"/>
        </w:rPr>
        <w:t>. The Initial Capital Contribution Date under the Tax Equity Agreement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6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2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2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5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4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firstLine="1304"/>
        <w:spacing w:after="0" w:line="286" w:lineRule="auto"/>
        <w:tabs>
          <w:tab w:leader="none" w:pos="24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3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The Seller shall have delivered to the Purchaser a certificate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Purchaser, certifying that the transactions contemplated by this Agreement are exempt from withholding under Code Sections 1445 and 1446(f).</w:t>
      </w:r>
    </w:p>
    <w:p>
      <w:pPr>
        <w:spacing w:after="0" w:line="170" w:lineRule="exact"/>
        <w:rPr>
          <w:rFonts w:ascii="Times New Roman" w:cs="Times New Roman" w:eastAsia="Times New Roman" w:hAnsi="Times New Roman"/>
          <w:sz w:val="18"/>
          <w:szCs w:val="18"/>
          <w:color w:val="auto"/>
        </w:rPr>
      </w:pPr>
    </w:p>
    <w:p>
      <w:pPr>
        <w:ind w:right="20" w:firstLine="1304"/>
        <w:spacing w:after="0" w:line="286" w:lineRule="auto"/>
        <w:tabs>
          <w:tab w:leader="none" w:pos="23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Rosie A&amp;R LLCA</w:t>
      </w:r>
      <w:r>
        <w:rPr>
          <w:rFonts w:ascii="Times New Roman" w:cs="Times New Roman" w:eastAsia="Times New Roman" w:hAnsi="Times New Roman"/>
          <w:sz w:val="18"/>
          <w:szCs w:val="18"/>
          <w:color w:val="auto"/>
        </w:rPr>
        <w:t>. Each of HASI, Purchaser and the Class C Member shall have delivered executed counterparts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Rosie A&amp;R LLCA in escrow to be released concurrently with the Closing.</w:t>
      </w:r>
    </w:p>
    <w:p>
      <w:pPr>
        <w:spacing w:after="0" w:line="154"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60" w:type="dxa"/>
            <w:vAlign w:val="bottom"/>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rPr>
              <w:t>ARTICLE 5</w:t>
            </w:r>
          </w:p>
        </w:tc>
      </w:tr>
      <w:tr>
        <w:trPr>
          <w:trHeight w:val="238"/>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60" w:type="dxa"/>
            <w:vAlign w:val="bottom"/>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w w:val="98"/>
              </w:rPr>
              <w:t>CERTAIN COVENANTS</w:t>
            </w:r>
          </w:p>
        </w:tc>
      </w:tr>
      <w:tr>
        <w:trPr>
          <w:trHeight w:val="432"/>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5.01.</w:t>
            </w: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r>
              <w:rPr>
                <w:rFonts w:ascii="Times New Roman" w:cs="Times New Roman" w:eastAsia="Times New Roman" w:hAnsi="Times New Roman"/>
                <w:sz w:val="18"/>
                <w:szCs w:val="18"/>
                <w:color w:val="auto"/>
              </w:rPr>
              <w:t>.</w:t>
            </w:r>
          </w:p>
        </w:tc>
      </w:tr>
      <w:tr>
        <w:trPr>
          <w:trHeight w:val="432"/>
        </w:trPr>
        <w:tc>
          <w:tcPr>
            <w:tcW w:w="5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Purchaser acknowledges that Seller and certain Affiliates have provided certain credit support pursuant to the</w:t>
            </w: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Closing Date and continuing until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1304"/>
        <w:spacing w:after="0" w:line="256" w:lineRule="auto"/>
        <w:tabs>
          <w:tab w:leader="none" w:pos="2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5.01(c)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Rosie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 xml:space="preserve">Section 5.01(d)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Section 6.01</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Rosie Entities conducted, existing or arising at or prior to the Closing (including as a result of any draw or demand for or making of any payment by Purchaser or any such Affiliate of Purchaser under any Substitute Support Obligation).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spacing w:after="0" w:line="7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5.02.</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22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Rosie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Rosie Entity) for the post-Closing Date period, on the other hand, as of the Closing Date, based upon the actual number of days of the Tax period that have elapsed before and after the Closing Date, and all income Taxes imposed on the Company and the Rosie Entities shall be allocated between the pre-Closing Date period and the post-Closing Date period as though a taxable year of the Company and the Rosie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Seller shall be responsible for the portion of such Apportioned Obligations attributable to the period ending on (and including) the Closing Date. The Company (or the applicable Rosie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Rosie Entity) pursuant to the preceding sentence shall be paid by the Company (or the applicable Rosie Entity). If any refund, rebate or similar payment is received by the Company or the Rosie Entities for any real property Taxes, personal property Taxes or similar obligations referred to above that are Apportioned Obligations, such refund shall be apportioned between Seller and the Company (or the applicable Rosie Entity) as aforesaid on the basis of the obligations of the Company and the Rosie Entities during the applicable Tax period. Any refund, rebate or similar payment received by the Company or a Rosie Entity for any income Tax attributable to the pre-Closing Date period, as determined above, shall be for the benefit of Seller; and any such refund, rebate or similar payment attributable to the post-Closing Date period, as determined above, shall be for the benefit of the Company (or the applicable Rosie Entity).</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Rosie Entities (as applicable) ends on or before the Closing Date, Seller shall, at its sole cost and expense, timely prepare and file with the appropriate authorities all Tax Returns required to be filed by the Company and the Rosie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Rosie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Rosie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Purchaser the Seller Parent Guaranty.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indemnity shall not apply to Losses to the extent caused by the gross negligence or willful misconduct of Purchaser Indemnified Parties or their agents, officers, employees or contractors.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(vi) and (x) </w:t>
      </w:r>
      <w:r>
        <w:rPr>
          <w:rFonts w:ascii="Times New Roman" w:cs="Times New Roman" w:eastAsia="Times New Roman" w:hAnsi="Times New Roman"/>
          <w:sz w:val="18"/>
          <w:szCs w:val="18"/>
          <w:color w:val="auto"/>
        </w:rPr>
        <w:t>(Company and Rosie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 Closing for five (5) years after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 (30) 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 xml:space="preserve">Section 6.01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Section 6.02</w:t>
      </w:r>
      <w:r>
        <w:rPr>
          <w:rFonts w:ascii="Times New Roman" w:cs="Times New Roman" w:eastAsia="Times New Roman" w:hAnsi="Times New Roman"/>
          <w:sz w:val="18"/>
          <w:szCs w:val="18"/>
          <w:color w:val="auto"/>
        </w:rPr>
        <w:t>, a written notice of claim prior to the applicable survival expiration date;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written notice for a claim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20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ectPr>
          <w:pgSz w:w="11900" w:h="16909" w:orient="portrait"/>
          <w:cols w:equalWidth="0" w:num="1">
            <w:col w:w="11240"/>
          </w:cols>
          <w:pgMar w:left="320" w:top="684" w:right="339" w:bottom="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0" w:name="page41"/>
    <w:bookmarkEnd w:id="40"/>
    <w:p>
      <w:pPr>
        <w:jc w:val="both"/>
        <w:ind w:firstLine="1304"/>
        <w:spacing w:after="0" w:line="255" w:lineRule="auto"/>
        <w:tabs>
          <w:tab w:leader="none" w:pos="19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8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9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19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claim or legal proceeding, without the prior written consent of the Indemnified Party (which consent shall not be unreasonably withheld or delayed).</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8"/>
          <w:szCs w:val="18"/>
          <w:b w:val="1"/>
          <w:bCs w:val="1"/>
          <w:i w:val="1"/>
          <w:iCs w:val="1"/>
          <w:color w:val="auto"/>
        </w:rPr>
        <w:t>Mitigations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9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Purchaser, to:</w:t>
            </w: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Rosamond Solar Investment LLC</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Attn: Christopher Sotos and Kevin Malcarney</w:t>
            </w:r>
          </w:p>
        </w:tc>
      </w:tr>
      <w:tr>
        <w:trPr>
          <w:trHeight w:val="234"/>
        </w:trPr>
        <w:tc>
          <w:tcPr>
            <w:tcW w:w="3160" w:type="dxa"/>
            <w:vAlign w:val="bottom"/>
          </w:tcPr>
          <w:p>
            <w:pPr>
              <w:spacing w:after="0"/>
              <w:rPr>
                <w:sz w:val="20"/>
                <w:szCs w:val="20"/>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christopher.sotos@clearwayenergy.com and kevin.malcarney@clearwayenergy.com</w:t>
            </w:r>
          </w:p>
        </w:tc>
      </w:tr>
      <w:tr>
        <w:trPr>
          <w:trHeight w:val="414"/>
        </w:trPr>
        <w:tc>
          <w:tcPr>
            <w:tcW w:w="31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a copy to:</w:t>
            </w: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Perkins Coie LLP</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700 13th St. NW</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Washington, DC 20005</w:t>
            </w:r>
          </w:p>
        </w:tc>
      </w:tr>
      <w:tr>
        <w:trPr>
          <w:trHeight w:val="216"/>
        </w:trPr>
        <w:tc>
          <w:tcPr>
            <w:tcW w:w="316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Attn: Eric Dodson Greenberg</w:t>
            </w:r>
          </w:p>
        </w:tc>
      </w:tr>
      <w:tr>
        <w:trPr>
          <w:trHeight w:val="234"/>
        </w:trPr>
        <w:tc>
          <w:tcPr>
            <w:tcW w:w="3160" w:type="dxa"/>
            <w:vAlign w:val="bottom"/>
          </w:tcPr>
          <w:p>
            <w:pPr>
              <w:spacing w:after="0"/>
              <w:rPr>
                <w:sz w:val="20"/>
                <w:szCs w:val="20"/>
                <w:color w:val="auto"/>
              </w:rPr>
            </w:pPr>
          </w:p>
        </w:tc>
        <w:tc>
          <w:tcPr>
            <w:tcW w:w="8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egreenberg@perkinscoie.com</w:t>
            </w:r>
          </w:p>
        </w:tc>
      </w:tr>
      <w:tr>
        <w:trPr>
          <w:trHeight w:val="864"/>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240"/>
          </w:cols>
          <w:pgMar w:left="320" w:top="684"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 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4900 N Scottsdale Road, Suite 5000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3440" w:space="720"/>
            <w:col w:w="7080"/>
          </w:cols>
          <w:pgMar w:left="320" w:top="688" w:right="339" w:bottom="1440" w:gutter="0" w:footer="0" w:header="0"/>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3440" w:space="720"/>
            <w:col w:w="7080"/>
          </w:cols>
          <w:pgMar w:left="320" w:top="688"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9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46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Rosie Entities or Purchaser.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RENEW DEVELOPMENT HOLDCO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Rosamond Central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ROSAMOND SOLAR INVESTMENT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Christopher S. Sotos</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Rosamond Central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Rock Wind Holding LLC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Renew LLC, as Seller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Lighthouse Renewable Class A LLC, as Purchaser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5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ARTICLE1 DEFINITIONS AND PRINCIPLES OF INTERPRETATION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ARTICLE2 SALE OF MEMBERSHIP INTERESTS AND 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Adjusted Purchase Price Amount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2.05.</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Post-Closing Additional Turbine Adjustments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2.06.</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ARTICLE3 REPRESENTATIONS AND WARRANTIES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3.01.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the Company and the Black Rock Entities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3.02.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ARTICLE4 CONDITIONS PRECEDENT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4.01.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5.05.</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5.06.</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5.07.</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5.08.</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5.09.</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5.10.</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5.12.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6.01.</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6.02.</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6.03.</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6.04.</w:t>
            </w:r>
          </w:p>
        </w:tc>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6.09.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6.10.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7.01.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7.02.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ARTICLE8 GENERAL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8.09.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8.17.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Base Case Model</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Officer’s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Secretary’s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Officer’s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Secretary’s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Assignment of Membership Interests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8"/>
          <w:szCs w:val="18"/>
          <w:color w:val="auto"/>
        </w:rPr>
        <w:t>Form of Purchaser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Form of Build-Out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w:t>
      </w:r>
      <w:r>
        <w:rPr>
          <w:sz w:val="20"/>
          <w:szCs w:val="20"/>
          <w:color w:val="auto"/>
        </w:rPr>
        <w:tab/>
      </w:r>
      <w:r>
        <w:rPr>
          <w:rFonts w:ascii="Times New Roman" w:cs="Times New Roman" w:eastAsia="Times New Roman" w:hAnsi="Times New Roman"/>
          <w:sz w:val="18"/>
          <w:szCs w:val="18"/>
          <w:color w:val="auto"/>
        </w:rPr>
        <w:t>Form of Drop Down Assignment and Assumption Agreement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J</w:t>
      </w:r>
      <w:r>
        <w:rPr>
          <w:sz w:val="20"/>
          <w:szCs w:val="20"/>
          <w:color w:val="auto"/>
        </w:rPr>
        <w:tab/>
      </w:r>
      <w:r>
        <w:rPr>
          <w:rFonts w:ascii="Times New Roman" w:cs="Times New Roman" w:eastAsia="Times New Roman" w:hAnsi="Times New Roman"/>
          <w:sz w:val="18"/>
          <w:szCs w:val="18"/>
          <w:color w:val="auto"/>
        </w:rPr>
        <w:t>Certain Seller Proceeds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Indemnification Matters</w:t>
      </w:r>
    </w:p>
    <w:p>
      <w:pPr>
        <w:spacing w:after="0" w:line="211" w:lineRule="exact"/>
        <w:rPr>
          <w:sz w:val="20"/>
          <w:szCs w:val="20"/>
          <w:color w:val="auto"/>
        </w:rPr>
      </w:pPr>
    </w:p>
    <w:p>
      <w:pPr>
        <w:sectPr>
          <w:pgSz w:w="11900" w:h="16838" w:orient="portrait"/>
          <w:cols w:equalWidth="0" w:num="2">
            <w:col w:w="1540" w:space="720"/>
            <w:col w:w="7879"/>
          </w:cols>
          <w:pgMar w:left="320" w:top="90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Schedules:</w:t>
      </w:r>
    </w:p>
    <w:p>
      <w:pPr>
        <w:sectPr>
          <w:pgSz w:w="11900" w:h="16838" w:orient="portrait"/>
          <w:cols w:equalWidth="0" w:num="1">
            <w:col w:w="10139"/>
          </w:cols>
          <w:pgMar w:left="320" w:top="900" w:right="1440" w:bottom="1440" w:gutter="0" w:footer="0" w:header="0"/>
          <w:type w:val="continuous"/>
        </w:sectPr>
      </w:pP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Schedule 1.01 Schedule 3.01(c) Schedule 3.01(e) Schedule 3.01(f) Schedule 3.01(g) Schedule 3.01(i) Schedule 3.01(i)(ii) Schedule 3.01(i)(iii) Schedule 3.01(i)(v) Schedule 3.01(i)(vi) Schedule 3.01(i)(vii) Schedule 3.01(i)(ix) Schedule 3.01(j) Schedule 3.01(k) Schedule 3.01(m)(i) Schedule 3.01(m)(iii) Schedule 3.01(n)(i) Schedule 3.01(n)(ii) Schedule 3.01(n)(iii) Schedule 3.01(p)(i) Schedule 3.01(p)(iii) Schedule 3.01(p)(iv) Schedule 3.01(q)(i) Schedule 3.01(q)(ii) Schedule 3.01(r) Schedule 3.01(s)(i) Schedule 3.01(t)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Business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Equity 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Business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on Acquired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Real Property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Hazardous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03" w:lineRule="exact"/>
        <w:rPr>
          <w:sz w:val="20"/>
          <w:szCs w:val="20"/>
          <w:color w:val="auto"/>
        </w:rPr>
      </w:pPr>
    </w:p>
    <w:p>
      <w:pPr>
        <w:sectPr>
          <w:pgSz w:w="11900" w:h="16838" w:orient="portrait"/>
          <w:cols w:equalWidth="0" w:num="2">
            <w:col w:w="1560" w:space="700"/>
            <w:col w:w="7879"/>
          </w:cols>
          <w:pgMar w:left="320" w:top="900" w:right="1440" w:bottom="1440" w:gutter="0" w:footer="0" w:header="0"/>
          <w:type w:val="continuous"/>
        </w:sect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53" w:name="page54"/>
    <w:bookmarkEnd w:id="53"/>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ectPr>
          <w:pgSz w:w="11900" w:h="16838" w:orient="portrait"/>
          <w:cols w:equalWidth="0" w:num="1">
            <w:col w:w="10139"/>
          </w:cols>
          <w:pgMar w:left="320" w:top="900"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5.04(b)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0" w:lineRule="exact"/>
        <w:rPr>
          <w:sz w:val="20"/>
          <w:szCs w:val="20"/>
          <w:color w:val="auto"/>
        </w:rPr>
      </w:pPr>
    </w:p>
    <w:p>
      <w:pPr>
        <w:sectPr>
          <w:pgSz w:w="11900" w:h="16838" w:orient="portrait"/>
          <w:cols w:equalWidth="0" w:num="2">
            <w:col w:w="1540" w:space="720"/>
            <w:col w:w="787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Clearway Renew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Lighthouse Renewable Class A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right="20" w:firstLine="656"/>
        <w:spacing w:after="0" w:line="267" w:lineRule="auto"/>
        <w:tabs>
          <w:tab w:leader="none" w:pos="13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B membership interests (the “</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of Black Rock Wind Holding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Apex Clean Energy Holdings, LLC (the “</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owns one hundred percent (100%) of the Class A membership interests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Black Rock Class B Holdco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Class B Holdco is the sole member and one hundred percent (100%) owner of Black Rock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Black Rock Wind Force, LLC, a Delaware limited liability company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Class B Holdco and TE Holdco, the “</w:t>
      </w:r>
      <w:r>
        <w:rPr>
          <w:rFonts w:ascii="Times New Roman" w:cs="Times New Roman" w:eastAsia="Times New Roman" w:hAnsi="Times New Roman"/>
          <w:sz w:val="18"/>
          <w:szCs w:val="18"/>
          <w:i w:val="1"/>
          <w:iCs w:val="1"/>
          <w:color w:val="auto"/>
        </w:rPr>
        <w:t>Black Rock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Black Rock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developing an approximately 110 MW wind power project and associated infrastructure located in Mineral County and Grant County, West Virginia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fifty and one one-hundredth percent (50.01%) of the Class B Units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will be sold to Purchaser for the Purchase Price as provided herein.</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HASI have agreed that, as sole shareholders of Lighthouse Renewable HoldCo LLC (the “</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they shall, immediately upon the Closing, contribute their respective Class B Units to the Master JV HoldCo and cause Master JV HoldCo to be admitted as the Class B Member of the Company (the “</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i w:val="1"/>
          <w:iCs w:val="1"/>
          <w:color w:val="auto"/>
        </w:rPr>
        <w:t xml:space="preserve">Definitions. </w:t>
      </w:r>
      <w:r>
        <w:rPr>
          <w:rFonts w:ascii="Times New Roman" w:cs="Times New Roman" w:eastAsia="Times New Roman" w:hAnsi="Times New Roman"/>
          <w:sz w:val="17"/>
          <w:szCs w:val="17"/>
          <w:color w:val="auto"/>
        </w:rPr>
        <w:t>As used in this Agreement, the following defined terms have the meanings indicated below:</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Amount</w:t>
      </w:r>
      <w:r>
        <w:rPr>
          <w:rFonts w:ascii="Times New Roman" w:cs="Times New Roman" w:eastAsia="Times New Roman" w:hAnsi="Times New Roman"/>
          <w:sz w:val="18"/>
          <w:szCs w:val="18"/>
          <w:color w:val="auto"/>
        </w:rPr>
        <w:t xml:space="preserve">” means, with respect to each Additional Turbine, an amount of money that is equal to the Additional Turbine Holdback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Additional Turbines.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Deadline</w:t>
      </w:r>
      <w:r>
        <w:rPr>
          <w:rFonts w:ascii="Times New Roman" w:cs="Times New Roman" w:eastAsia="Times New Roman" w:hAnsi="Times New Roman"/>
          <w:sz w:val="18"/>
          <w:szCs w:val="18"/>
          <w:color w:val="auto"/>
        </w:rPr>
        <w:t>” means the earlier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date on which the final Additional Turbine is Placed in Service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20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Holdback Amount</w:t>
      </w:r>
      <w:r>
        <w:rPr>
          <w:rFonts w:ascii="Times New Roman" w:cs="Times New Roman" w:eastAsia="Times New Roman" w:hAnsi="Times New Roman"/>
          <w:sz w:val="18"/>
          <w:szCs w:val="18"/>
          <w:color w:val="auto"/>
        </w:rPr>
        <w:t>” means an amount of money that is equal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 Base Purchase Price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fraction that is the result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total number of Additional Turbines,</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23.</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updated by Seller prior to the Closing Date, in each case on the basis of the Pricing Adjustments:</w:t>
      </w:r>
    </w:p>
    <w:p>
      <w:pPr>
        <w:spacing w:after="0" w:line="160" w:lineRule="exact"/>
        <w:rPr>
          <w:sz w:val="20"/>
          <w:szCs w:val="20"/>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 - TE, Input Reference J75;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C24:C25;</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TE Depr, Input Reference G106-AT106</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C185, C188, C199, and C202;</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P45:WQ45, P47:AZ47, C11 and C43:C54;</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G143:G181 and H143:H181;</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E456:E491;</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G456:G491 and P508:AX508;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C389:C390.</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Black Rock Entities shall not be considered “Affiliates” of Clearway Energy, Inc. and its direct or indirect subsidiaries, including Purchaser.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w:t>
      </w:r>
      <w:r>
        <w:rPr>
          <w:rFonts w:ascii="Times New Roman" w:cs="Times New Roman" w:eastAsia="Times New Roman" w:hAnsi="Times New Roman"/>
          <w:sz w:val="18"/>
          <w:szCs w:val="18"/>
          <w:color w:val="auto"/>
        </w:rPr>
        <w:t xml:space="preserve">” means (a) each of the documents set forth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and (b) any Financing Document, in each case, other than the Financing Agreement and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w:t>
      </w:r>
      <w:r>
        <w:rPr>
          <w:rFonts w:ascii="Times New Roman" w:cs="Times New Roman" w:eastAsia="Times New Roman" w:hAnsi="Times New Roman"/>
          <w:sz w:val="18"/>
          <w:szCs w:val="18"/>
          <w:i w:val="1"/>
          <w:iCs w:val="1"/>
          <w:color w:val="auto"/>
        </w:rPr>
        <w:t>Black Rock Financial Model – CE Vehicle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External CWEN 12142020.xlsb</w:t>
      </w:r>
      <w:r>
        <w:rPr>
          <w:rFonts w:ascii="Times New Roman" w:cs="Times New Roman" w:eastAsia="Times New Roman" w:hAnsi="Times New Roman"/>
          <w:sz w:val="18"/>
          <w:szCs w:val="18"/>
          <w:color w:val="auto"/>
        </w:rPr>
        <w:t>, and attached as</w:t>
      </w:r>
      <w:r>
        <w:rPr>
          <w:rFonts w:ascii="Times New Roman" w:cs="Times New Roman" w:eastAsia="Times New Roman" w:hAnsi="Times New Roman"/>
          <w:sz w:val="18"/>
          <w:szCs w:val="18"/>
          <w:i w:val="1"/>
          <w:iCs w:val="1"/>
          <w:color w:val="auto"/>
        </w:rPr>
        <w:t xml:space="preserve"> 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Black Rock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Black Rock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Build-Out Agreement</w:t>
      </w:r>
      <w:r>
        <w:rPr>
          <w:rFonts w:ascii="Times New Roman" w:cs="Times New Roman" w:eastAsia="Times New Roman" w:hAnsi="Times New Roman"/>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Seller Proceeds Agreement</w:t>
      </w:r>
      <w:r>
        <w:rPr>
          <w:rFonts w:ascii="Times New Roman" w:cs="Times New Roman" w:eastAsia="Times New Roman" w:hAnsi="Times New Roman"/>
          <w:sz w:val="18"/>
          <w:szCs w:val="18"/>
          <w:color w:val="auto"/>
        </w:rPr>
        <w:t xml:space="preserve">” means that certain Seller Proceeds Agreement, to be entered into by and between Seller and the Master JV HoldCo, substantially in the form of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means all material Contracts and amendments, modifications and supplements thereto, to which the Company or the Black Rock Entities is a party or by which the Company, the Black Rock Entities or any of their assets or properties are bound.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 Assignment &amp; Assumption Agreement</w:t>
      </w:r>
      <w:r>
        <w:rPr>
          <w:rFonts w:ascii="Times New Roman" w:cs="Times New Roman" w:eastAsia="Times New Roman" w:hAnsi="Times New Roman"/>
          <w:sz w:val="18"/>
          <w:szCs w:val="18"/>
          <w:color w:val="auto"/>
        </w:rPr>
        <w:t xml:space="preserve">” means the assignment of the Acquired Interests to be executed by Purchaser and the Master JV HoldCo immediately upon the Closing, in the form attached hereto as </w:t>
      </w:r>
      <w:r>
        <w:rPr>
          <w:rFonts w:ascii="Times New Roman" w:cs="Times New Roman" w:eastAsia="Times New Roman" w:hAnsi="Times New Roman"/>
          <w:sz w:val="18"/>
          <w:szCs w:val="18"/>
          <w:i w:val="1"/>
          <w:iCs w:val="1"/>
          <w:color w:val="auto"/>
        </w:rPr>
        <w:t>Exhibit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Black Rock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Black Rock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Black Rock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 Date</w:t>
      </w:r>
      <w:r>
        <w:rPr>
          <w:rFonts w:ascii="Times New Roman" w:cs="Times New Roman" w:eastAsia="Times New Roman" w:hAnsi="Times New Roman"/>
          <w:sz w:val="18"/>
          <w:szCs w:val="18"/>
          <w:color w:val="auto"/>
        </w:rPr>
        <w:t>” means the date on which Final Completion occurs.</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PJM, and each Regional Entity, or any court or governmental tribunal.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means HA Lighthouse LLC, a Delaware limited liability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 Purchase Agreement</w:t>
      </w:r>
      <w:r>
        <w:rPr>
          <w:rFonts w:ascii="Times New Roman" w:cs="Times New Roman" w:eastAsia="Times New Roman" w:hAnsi="Times New Roman"/>
          <w:sz w:val="18"/>
          <w:szCs w:val="18"/>
          <w:color w:val="auto"/>
        </w:rPr>
        <w:t>” means the membership interest purchase and sale agreement pursuant to which HASI will acquire the remaining 49.99% of the Class B Units from the Seller simultaneously with the Closing.</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Interconnection Agreement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 Options</w:t>
      </w:r>
      <w:r>
        <w:rPr>
          <w:rFonts w:ascii="Times New Roman" w:cs="Times New Roman" w:eastAsia="Times New Roman" w:hAnsi="Times New Roman"/>
          <w:sz w:val="18"/>
          <w:szCs w:val="18"/>
          <w:color w:val="auto"/>
        </w:rPr>
        <w:t xml:space="preserve">” means the put options exercisable by each of the counterparties to the Contracts set forth on </w:t>
      </w:r>
      <w:r>
        <w:rPr>
          <w:rFonts w:ascii="Times New Roman" w:cs="Times New Roman" w:eastAsia="Times New Roman" w:hAnsi="Times New Roman"/>
          <w:sz w:val="18"/>
          <w:szCs w:val="18"/>
          <w:i w:val="1"/>
          <w:iCs w:val="1"/>
          <w:color w:val="auto"/>
        </w:rPr>
        <w:t>Schedule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the Project that is reasonably likely to result in a material delay in achieving commercial operations,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the Project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Black Rock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Black Rock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Black Rock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Black Rock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a Material Adverse Effect has occurred to the extent such changes, events, effects or occurrences have a materially disproportionate impact on the Company or the Black Rock Entities, taken as whole, as compared to similarly situated businesses in the same industry and in the same geographical area, which shall be deemed to include the State of West Virginia.</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an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1" w:lineRule="exact"/>
        <w:rPr>
          <w:sz w:val="20"/>
          <w:szCs w:val="20"/>
          <w:color w:val="auto"/>
        </w:rPr>
      </w:pPr>
    </w:p>
    <w:p>
      <w:pPr>
        <w:jc w:val="both"/>
        <w:ind w:firstLine="8"/>
        <w:spacing w:after="0" w:line="253" w:lineRule="auto"/>
        <w:tabs>
          <w:tab w:leader="none" w:pos="2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7"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20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jc w:val="both"/>
        <w:ind w:firstLine="1304"/>
        <w:spacing w:after="0" w:line="266" w:lineRule="auto"/>
        <w:tabs>
          <w:tab w:leader="none" w:pos="21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Black Rock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Black Rock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Black Rock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Black Rock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Black Rock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and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means PJM Interconnection,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PSC</w:t>
      </w:r>
      <w:r>
        <w:rPr>
          <w:rFonts w:ascii="Times New Roman" w:cs="Times New Roman" w:eastAsia="Times New Roman" w:hAnsi="Times New Roman"/>
          <w:sz w:val="18"/>
          <w:szCs w:val="18"/>
          <w:color w:val="auto"/>
        </w:rPr>
        <w:t>” means the Public Service Commission of West Virginia.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in the form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Black Rock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ReliabilityFirst Corporation.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Engineer’s Report,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Agreement),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Wind Resource Report (as defined in the Tax Equity Agreement),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Insurance Consultant’s Report (as defined in the Tax Equity Agreement),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Transmission Consultant’s Report and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the Cost Seg Report, including any bring downs of such reports delivered pursuant to the Tax Equity Agreement as of the Closing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same in all respects as to those certain conditions to the obligations of the Tax Equity Investor set forth in Section 5.2 of such form of Tax Equity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otherwise in all other respect the same or, to the extent modified, so modified pursuant to the terms and subject to the conditions of </w:t>
      </w:r>
      <w:r>
        <w:rPr>
          <w:rFonts w:ascii="Times New Roman" w:cs="Times New Roman" w:eastAsia="Times New Roman" w:hAnsi="Times New Roman"/>
          <w:sz w:val="18"/>
          <w:szCs w:val="18"/>
          <w:i w:val="1"/>
          <w:iCs w:val="1"/>
          <w:color w:val="auto"/>
        </w:rPr>
        <w:t>Section 5.12(a).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Funding Date</w:t>
      </w:r>
      <w:r>
        <w:rPr>
          <w:rFonts w:ascii="Times New Roman" w:cs="Times New Roman" w:eastAsia="Times New Roman" w:hAnsi="Times New Roman"/>
          <w:sz w:val="18"/>
          <w:szCs w:val="18"/>
          <w:color w:val="auto"/>
        </w:rPr>
        <w:t>” means the Funding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Old Republic National Title Insurance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ALTA 2006 extended coverage owner’s policy of title insurance, issued by the Title Company in favor of the Project Company, subject only to the exceptions set forth in the Title Proforma or otherwise in a form reasonably acceptable to Purchaser.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w:t>
      </w:r>
      <w:r>
        <w:rPr>
          <w:rFonts w:ascii="Times New Roman" w:cs="Times New Roman" w:eastAsia="Times New Roman" w:hAnsi="Times New Roman"/>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Wind Turbine</w:t>
      </w:r>
      <w:r>
        <w:rPr>
          <w:rFonts w:ascii="Times New Roman" w:cs="Times New Roman" w:eastAsia="Times New Roman" w:hAnsi="Times New Roman"/>
          <w:sz w:val="18"/>
          <w:szCs w:val="18"/>
          <w:color w:val="auto"/>
        </w:rPr>
        <w:t>” has the meaning set forth in the Tax Equity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6" w:lineRule="auto"/>
        <w:tabs>
          <w:tab w:leader="none" w:pos="20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Sixty-Five Million One Hundred Twenty-Five Thousand Six Hundred Ten Dollars and Ninety-Six Cents ($65,125,610.96)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304"/>
        <w:spacing w:after="0" w:line="261" w:lineRule="auto"/>
        <w:tabs>
          <w:tab w:leader="none" w:pos="20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92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87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1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five (5) Business Days prior to the Closing Date, Seller shall provide to Purchaser an Adjusted Purchase Price Model for purposes of calculating the Adjusted Purchase Price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Base Purchase Price for Tax purposes.</w:t>
      </w:r>
    </w:p>
    <w:p>
      <w:pPr>
        <w:spacing w:after="0" w:line="173"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cell PP Adj Table Cell T9 of the Adjusted Purchase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Model.</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i w:val="1"/>
          <w:iCs w:val="1"/>
          <w:color w:val="auto"/>
        </w:rPr>
        <w:t>Post-Closing Additional Turbine Adjustments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40" w:hanging="736"/>
        <w:spacing w:after="0"/>
        <w:tabs>
          <w:tab w:leader="none" w:pos="2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Closing Date there are no Additional Turbines, then the Base Purchase Price shall not be adjusted by this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Closing Date there are any Additional Turbines, then: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left="2660" w:hanging="708"/>
        <w:spacing w:after="0"/>
        <w:tabs>
          <w:tab w:leader="none" w:pos="2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Purchase Price shall be decreased by an amount equal to the Additional Turbine Holdback Amount; and</w:t>
      </w:r>
    </w:p>
    <w:p>
      <w:pPr>
        <w:spacing w:after="0" w:line="22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there has been an adjustment to the Base Purchase Price pursuant to Section </w:t>
      </w:r>
      <w:r>
        <w:rPr>
          <w:rFonts w:ascii="Times New Roman" w:cs="Times New Roman" w:eastAsia="Times New Roman" w:hAnsi="Times New Roman"/>
          <w:sz w:val="18"/>
          <w:szCs w:val="18"/>
          <w:i w:val="1"/>
          <w:iCs w:val="1"/>
          <w:color w:val="auto"/>
        </w:rPr>
        <w:t>2.05(b)(i)</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20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Additional Turbine Funding Amount</w:t>
      </w:r>
      <w:r>
        <w:rPr>
          <w:rFonts w:ascii="Times New Roman" w:cs="Times New Roman" w:eastAsia="Times New Roman" w:hAnsi="Times New Roman"/>
          <w:sz w:val="18"/>
          <w:szCs w:val="18"/>
          <w:color w:val="auto"/>
        </w:rPr>
        <w:t xml:space="preserve">” shall be an amount of money that is equal to the product of the Additional Turbine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Additional Turbines Placed in Service by the Additional Turbine Deadline.</w:t>
      </w:r>
    </w:p>
    <w:p>
      <w:pPr>
        <w:spacing w:after="0" w:line="1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color w:val="auto"/>
        </w:rPr>
        <w:t>. Notwithstanding anything herein to the contrary, in the event that anytime following the Final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(if Purchaser receives any such payment separately and not from the Company or a Black Rock Entity) or the Company or any Black Rock Entity receives any payment with respect to any amounts released from any completion escrow account or any amounts released from adequate reserves established at or prior to the Closing Date in accordance with GAAP by the Company or any Black Rock Entity, Purchaser and Seller agree that such amount shall be retained by, or immediately refunded to, Seller.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Black Rock Entities</w:t>
      </w:r>
      <w:r>
        <w:rPr>
          <w:rFonts w:ascii="Times New Roman" w:cs="Times New Roman" w:eastAsia="Times New Roman" w:hAnsi="Times New Roman"/>
          <w:sz w:val="18"/>
          <w:szCs w:val="18"/>
          <w:color w:val="auto"/>
        </w:rPr>
        <w:t>. Seller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warrants to Purchaser,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 xml:space="preserve">Section 3.01 </w:t>
      </w:r>
      <w:r>
        <w:rPr>
          <w:rFonts w:ascii="Times New Roman" w:cs="Times New Roman" w:eastAsia="Times New Roman" w:hAnsi="Times New Roman"/>
          <w:sz w:val="18"/>
          <w:szCs w:val="18"/>
          <w:color w:val="auto"/>
        </w:rPr>
        <w:t>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20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1304"/>
        <w:spacing w:after="0" w:line="256" w:lineRule="auto"/>
        <w:tabs>
          <w:tab w:leader="none" w:pos="2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the Constitutive Documents of Seller or the Company or any material Contract to which Seller, or Company Contract to which the Company or the Black Rock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Black Rock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Black Rock Entities or any rights or benefits are to be received by any Person, under any Contract to which Seller, the Company or the Black Rock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Black Rock Entities in connection with the execution, delivery and performance of this Agreement or the consummation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Black Rock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Black Rock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Black Rock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Black Rock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Black Rock Entities is or, to the Knowledge of Seller,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past six (6) years in material violation of any material Law or Order applicable to the Company, the Black Rock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None of Seller, the Company nor the Black Rock Entities has received notice from any Governmental Authority of any material violation of any such Law.</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Black Rock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0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Black Rock Entities are limited liability companies validly existing and in good standing under the Laws of Delaware, and each has full power and authority to conduct its business as and to the extent now conducted and to own, use and lease its assets. The Company and the Black Rock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Black Rock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ind w:left="-460" w:firstLine="1292"/>
        <w:spacing w:after="0" w:line="255" w:lineRule="auto"/>
        <w:tabs>
          <w:tab w:leader="none" w:pos="16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Agreement, all of the issued and outstanding equity interests of the Black Rock Entities are owned directly or indirectly, beneficially and of record by the Company, free and clear of all Liens except as set forth in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Company and the Black Rock Entities have been duly authorized, validly issued and are fully paid and non-assessable and have been issued in compliance with federal and state securities laws.</w:t>
      </w:r>
    </w:p>
    <w:p>
      <w:pPr>
        <w:spacing w:after="0" w:line="188"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6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Black Rock Entities, and the position with the Company or the Black Rock Entities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Black Rock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5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outstanding Options issued or granted by, or binding upon, the Company or the Black Rock Entities for any Person to purchase or sell or otherwise acquire or dispose of any equity interest or other security or interest in the Company or the Black Rock Entities other than as set forth under this Agreement. Except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Black Rock Entities are subject to any voting trust or voting trust agreement, voting agreement, pledge agreement, buy-sell agreement, right of first refusal, preemptive right or proxy.</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neither the Company nor the Black Rock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Black Rock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Black Rock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Black Rock Entities.</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Times New Roman" w:cs="Times New Roman" w:eastAsia="Times New Roman" w:hAnsi="Times New Roman"/>
          <w:sz w:val="18"/>
          <w:szCs w:val="18"/>
          <w:i w:val="1"/>
          <w:iCs w:val="1"/>
          <w:color w:val="auto"/>
        </w:rPr>
        <w:t>Schedule 3.01(i)(ix)</w:t>
      </w:r>
      <w:r>
        <w:rPr>
          <w:rFonts w:ascii="Times New Roman" w:cs="Times New Roman" w:eastAsia="Times New Roman" w:hAnsi="Times New Roman"/>
          <w:sz w:val="18"/>
          <w:szCs w:val="18"/>
          <w:color w:val="auto"/>
        </w:rPr>
        <w:t xml:space="preserve"> of the Disclosure Schedules.</w:t>
      </w:r>
    </w:p>
    <w:p>
      <w:pPr>
        <w:spacing w:after="0" w:line="3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0" w:name="page71"/>
    <w:bookmarkEnd w:id="70"/>
    <w:p>
      <w:pPr>
        <w:jc w:val="both"/>
        <w:ind w:firstLine="1304"/>
        <w:spacing w:after="0" w:line="259" w:lineRule="auto"/>
        <w:tabs>
          <w:tab w:leader="none" w:pos="21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Black Rock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Black Rock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79" w:lineRule="exact"/>
        <w:rPr>
          <w:rFonts w:ascii="Times New Roman" w:cs="Times New Roman" w:eastAsia="Times New Roman" w:hAnsi="Times New Roman"/>
          <w:sz w:val="18"/>
          <w:szCs w:val="18"/>
          <w:color w:val="auto"/>
        </w:rPr>
      </w:pPr>
    </w:p>
    <w:p>
      <w:pPr>
        <w:ind w:right="20" w:firstLine="1304"/>
        <w:spacing w:after="0" w:line="286" w:lineRule="auto"/>
        <w:tabs>
          <w:tab w:leader="none" w:pos="21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Black Rock Entities, as applicable: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the Company or the Black Rock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Black Rock Entities (or income attributable thereto), and Seller, Affiliates of Seller, the Company and the Black Rock Entities have paid, or made adequate provisions for the payment of, all Taxes, assessments and other charges due or claimed to be due (regardless of whether shown on any Tax Return) from the Company or the Black Rock Entities or for which the Company, Black Rock Entities or the Purchaser could be held liable.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70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 Actions or Proceedings currently pending or threatened in writing against the Company or the Black Rock Entities or related to their business operations, by any Governmental Authority for the assessment or collection of Taxes, (ii) audits or other examinations of any Tax Return of the Company or the Black Rock Entities (or income attributable thereto) in progress nor has Seller, any Affiliate of Seller, the Company or the Black Rock Entities been notified in writing of any request for examination with respect to the Company or the Black Rock Entities, (iii) claims for assessment or collection of Taxes that have been asserted in writing against Seller or any Affiliate of Seller with respect to the Company or the Black Rock Entities, the Company or the Black Rock Entities (or the income attributable thereto) or</w:t>
      </w:r>
    </w:p>
    <w:p>
      <w:pPr>
        <w:spacing w:after="0" w:line="5"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under discussion with any Governmental Authority regarding claims for assessment or collection of Taxes against the Company or the Black Rock Entities (or income attributable thereto). There are no outstanding agreements, waivers or consents extending the statutory period of limitations applicable to any Tax of the Company or the Black Rock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Black Rock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7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Black Rock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Black Rock Entities as other than a disregarded entity or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left="660" w:firstLine="1292"/>
        <w:spacing w:after="0" w:line="266" w:lineRule="auto"/>
        <w:tabs>
          <w:tab w:leader="none" w:pos="28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Black Rock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entered into or been a party to any “listed transaction,” as defined in Section 1.6011-4(b)(2)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Regulations.</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6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Black Rock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2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Black Rock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154"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1292"/>
        <w:spacing w:after="0" w:line="284" w:lineRule="auto"/>
        <w:tabs>
          <w:tab w:leader="none" w:pos="267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Company Contracts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Execution Date, which includes as of such Execution Date:</w:t>
      </w:r>
    </w:p>
    <w:p>
      <w:pPr>
        <w:spacing w:after="0" w:line="160" w:lineRule="exact"/>
        <w:rPr>
          <w:rFonts w:ascii="Times New Roman" w:cs="Times New Roman" w:eastAsia="Times New Roman" w:hAnsi="Times New Roman"/>
          <w:sz w:val="18"/>
          <w:szCs w:val="18"/>
          <w:color w:val="auto"/>
        </w:rPr>
      </w:pPr>
    </w:p>
    <w:p>
      <w:pPr>
        <w:ind w:left="3840" w:hanging="1240"/>
        <w:spacing w:after="0"/>
        <w:tabs>
          <w:tab w:leader="none" w:pos="38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3460" w:hanging="860"/>
        <w:spacing w:after="0"/>
        <w:tabs>
          <w:tab w:leader="none" w:pos="3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Black Rock</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9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Black Rock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6"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1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Black Rock Entities or, to the Knowledge of Seller, the other parties thereto, is in material violation or material breach of or material default under any Company Contract to which it is a party.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left="660" w:firstLine="1292"/>
        <w:spacing w:after="0" w:line="261" w:lineRule="auto"/>
        <w:tabs>
          <w:tab w:leader="none" w:pos="28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Black Rock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real property in which the Company and the Black Rock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Proforma.</w:t>
      </w:r>
    </w:p>
    <w:p>
      <w:pPr>
        <w:spacing w:after="0" w:line="173" w:lineRule="exact"/>
        <w:rPr>
          <w:rFonts w:ascii="Times New Roman" w:cs="Times New Roman" w:eastAsia="Times New Roman" w:hAnsi="Times New Roman"/>
          <w:sz w:val="18"/>
          <w:szCs w:val="18"/>
          <w:color w:val="auto"/>
        </w:rPr>
      </w:pPr>
    </w:p>
    <w:p>
      <w:pPr>
        <w:jc w:val="both"/>
        <w:ind w:left="660" w:right="20" w:firstLine="1292"/>
        <w:spacing w:after="0" w:line="267" w:lineRule="auto"/>
        <w:tabs>
          <w:tab w:leader="none" w:pos="283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Black Rock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5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Black Rock Entities has caused or suffered to exist any easement, right-of-way, covenant, condition, restriction, reservation, license, agreement or other similar matter that would materially interfere with the operation of the Project or the business of the Company or the Black Rock Entities in respect of the Real Property Rights, except as set forth on Part I of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3.01(n)(iii) </w:t>
      </w:r>
      <w:r>
        <w:rPr>
          <w:rFonts w:ascii="Times New Roman" w:cs="Times New Roman" w:eastAsia="Times New Roman" w:hAnsi="Times New Roman"/>
          <w:sz w:val="18"/>
          <w:szCs w:val="18"/>
          <w:color w:val="auto"/>
        </w:rPr>
        <w:t>of the Disclosure Schedules or in the Title Proforma.</w:t>
      </w:r>
    </w:p>
    <w:p>
      <w:pPr>
        <w:spacing w:after="0" w:line="177" w:lineRule="exact"/>
        <w:rPr>
          <w:rFonts w:ascii="Times New Roman" w:cs="Times New Roman" w:eastAsia="Times New Roman" w:hAnsi="Times New Roman"/>
          <w:sz w:val="18"/>
          <w:szCs w:val="18"/>
          <w:color w:val="auto"/>
        </w:rPr>
      </w:pPr>
    </w:p>
    <w:p>
      <w:pPr>
        <w:ind w:left="660" w:firstLine="1292"/>
        <w:spacing w:after="0" w:line="284" w:lineRule="auto"/>
        <w:tabs>
          <w:tab w:leader="none" w:pos="26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Black Rock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64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Black Rock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As of the Closing Date, Seller has provided to Purchaser a true and correct copy of the Title Policy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Rights. 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Black Rock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left="4" w:firstLine="1292"/>
        <w:spacing w:after="0" w:line="258" w:lineRule="auto"/>
        <w:tabs>
          <w:tab w:leader="none" w:pos="227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(solely in respect of the Project, the Company or the Black Rock Entities), the Company or the Black Rock Entities relating to any material violation of Environmental Law. None of Seller, the Company or the Black Rock Entities has received written notice from any Governmental Authority of any material violation of any Environmental Law in respect of the Project, the Company or the BlackRock Entities (other than those violations that have been resolved or remedied).</w:t>
      </w:r>
    </w:p>
    <w:p>
      <w:pPr>
        <w:spacing w:after="0" w:line="181" w:lineRule="exact"/>
        <w:rPr>
          <w:rFonts w:ascii="Times New Roman" w:cs="Times New Roman" w:eastAsia="Times New Roman" w:hAnsi="Times New Roman"/>
          <w:sz w:val="18"/>
          <w:szCs w:val="18"/>
          <w:color w:val="auto"/>
        </w:rPr>
      </w:pPr>
    </w:p>
    <w:p>
      <w:pPr>
        <w:jc w:val="both"/>
        <w:ind w:left="4" w:firstLine="1292"/>
        <w:spacing w:after="0" w:line="258" w:lineRule="auto"/>
        <w:tabs>
          <w:tab w:leader="none" w:pos="245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Black Rock Entities for the development, construction, ownership, use or operation of the Land or the business of the Company and the Black Rock Entities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58" w:lineRule="auto"/>
        <w:tabs>
          <w:tab w:leader="none" w:pos="203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Black Rock Entities as currently conducted that would be reasonably expected to trigger any obligation of Seller, the Company or the Black Rock Entities under Environmental Laws to report, investigate, remove or remediate such Release.</w:t>
      </w:r>
    </w:p>
    <w:p>
      <w:pPr>
        <w:spacing w:after="0" w:line="185"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208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Black Rock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17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Black Rock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or those of a type that are routinely granted on application and for which none of Seller, the Company or the Black Rock Entities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Black Rock Entities.</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2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Black Rock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4" w:name="page75"/>
    <w:bookmarkEnd w:id="74"/>
    <w:p>
      <w:pPr>
        <w:ind w:left="660" w:right="20" w:firstLine="1292"/>
        <w:spacing w:after="0" w:line="282" w:lineRule="auto"/>
        <w:tabs>
          <w:tab w:leader="none" w:pos="27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under Company Contracts entered into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this Agreement, there are no existing or pending transactions, Contracts or Liabilities between or among the Company or the Black Rock Entity on the one hand, and Seller or any of Seller’s Affiliates on the other hand.</w:t>
      </w:r>
    </w:p>
    <w:p>
      <w:pPr>
        <w:spacing w:after="0" w:line="176"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6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Black Rock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Black Rock Entities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2"/>
        <w:spacing w:after="0" w:line="261" w:lineRule="auto"/>
        <w:tabs>
          <w:tab w:leader="none" w:pos="27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Black Rock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Black Rock Entities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this Agreement that insure the assets and properties and business of the Company or the Black Rock Entities or affect or relate to the ownership of any of the assets and properties the Company or the Black Rock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Black Rock Entities has received any notice with respect to the assets and properties and business of the Company or the Black Rock Entities from any insurer under any insurance policy applicable to the assets and properties and business of the Company or the Black Rock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Black Rock Entities, as applicable, in all material respects. The insurance maintained by or on behalf of the Company or the Black Rock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1304"/>
        <w:spacing w:after="0" w:line="257" w:lineRule="auto"/>
        <w:tabs>
          <w:tab w:leader="none" w:pos="20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Black Rock Entities on a consolidated basis for the quarter ended November 30, 2020 (the “</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 Company and the Black Rock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Black Rock Entities.</w:t>
      </w:r>
    </w:p>
    <w:p>
      <w:pPr>
        <w:spacing w:after="0" w:line="182" w:lineRule="exact"/>
        <w:rPr>
          <w:rFonts w:ascii="Times New Roman" w:cs="Times New Roman" w:eastAsia="Times New Roman" w:hAnsi="Times New Roman"/>
          <w:sz w:val="18"/>
          <w:szCs w:val="18"/>
          <w:color w:val="auto"/>
        </w:rPr>
      </w:pPr>
    </w:p>
    <w:p>
      <w:pPr>
        <w:ind w:right="20" w:firstLine="1304"/>
        <w:spacing w:after="0" w:line="286" w:lineRule="auto"/>
        <w:tabs>
          <w:tab w:leader="none" w:pos="19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repurchase, redemption or other acquisition of any equity interests of the Company or the Black Rock Entities or any interests convertible into equity interests of the Company or the Black Rock Entities or any other change in the capitalization or ownership of the Company or the Black Rock Entities, other than as permitted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Black Rock Entities into or with any other Person, consolidation of the Company or the Black Rock Entities with any other Person or acquisition by the Company or the Black Rock Entities of all or substantially all of the business or assets of any Person;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Black Rock Entities or any commitment entered into by any member of the Company or the Black Rock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Black Rock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ind w:left="660" w:firstLine="1292"/>
        <w:spacing w:after="0" w:line="282" w:lineRule="auto"/>
        <w:tabs>
          <w:tab w:leader="none" w:pos="26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Black Rock Entities that would reasonably be expected to have, individually or in the aggregate, a Material Adverse Effect.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financial institutions at which the Company or the Black Rock Entities maintain bank accounts or safe deposit boxes, in each case listing the type of account, the account number, and the names of all Persons authorized to draw thereupon or who have access thereto.</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9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0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Black Rock Entities other than the Project Company will become a “holding company,” as defined in PUHCA, solely with respect to its direct or indirect, as applicable, ownership of the Project Company and, therefore, Company and each of the Black Rock Entities other than the Project Company is entitled to the exemptions and waivers set forth in at 18 C.F.R. § 366.3(a). The Project Company is not a “holding company.”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PSC regulation as a “public utility”.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8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the Black Rock Entities is subject to regulation as a “public utility” as that term is defined under FPA Section 201(e),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Project Company shall become a “public utility” under the FPA upon the effectiveness of its MBR Authorization.</w:t>
      </w:r>
    </w:p>
    <w:p>
      <w:pPr>
        <w:spacing w:after="0" w:line="17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Disclosure Schedules or any other document, certificate or other instrument delivered to or to be delivered by or on behalf of Seller, the Company or the Black Rock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jc w:val="both"/>
        <w:ind w:firstLine="1304"/>
        <w:spacing w:after="0" w:line="268" w:lineRule="auto"/>
        <w:tabs>
          <w:tab w:leader="none" w:pos="20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Black Rock Entities, which are reflected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Black Rock Entities to Sellers or its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firstLine="1304"/>
        <w:spacing w:after="0" w:line="254" w:lineRule="auto"/>
        <w:tabs>
          <w:tab w:leader="none" w:pos="20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BLACK ROCK ENTITIES, THE ASSETS OF THE COMPANY, OR THE ASSETS OF THE BLACK ROCK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BLACK ROCK ENTITIES, THE ASSETS OF THE COMPANY, THE ASSETS OF THE BLACK ROCK ENTITIES OR THE ACQUIRED INTERESTS.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to Seller as of the Execution Date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304"/>
        <w:spacing w:after="0" w:line="262" w:lineRule="auto"/>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ind w:firstLine="1304"/>
        <w:spacing w:after="0" w:line="262" w:lineRule="auto"/>
        <w:tabs>
          <w:tab w:leader="none" w:pos="19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19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9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Acquired Interests, the Company, the Black Rock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color w:val="auto"/>
        </w:rPr>
        <w:t>. The obligations of the Parties to sell and purchase, respectively, the Acquired Interests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fulfillment (or waiver by the applicable Party), at or before the Closing, by the applicable Party of each of the following conditions:</w:t>
      </w:r>
    </w:p>
    <w:p>
      <w:pPr>
        <w:spacing w:after="0" w:line="155" w:lineRule="exact"/>
        <w:rPr>
          <w:sz w:val="20"/>
          <w:szCs w:val="20"/>
          <w:color w:val="auto"/>
        </w:rPr>
      </w:pPr>
    </w:p>
    <w:p>
      <w:pPr>
        <w:ind w:left="1900" w:hanging="596"/>
        <w:spacing w:after="0"/>
        <w:tabs>
          <w:tab w:leader="none" w:pos="1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Funding</w:t>
      </w:r>
      <w:r>
        <w:rPr>
          <w:rFonts w:ascii="Times New Roman" w:cs="Times New Roman" w:eastAsia="Times New Roman" w:hAnsi="Times New Roman"/>
          <w:sz w:val="18"/>
          <w:szCs w:val="18"/>
          <w:color w:val="auto"/>
        </w:rPr>
        <w:t>. The Tax Equity Funding Date shall have occurred.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9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9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1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Seller shall have delivered to the Purchaser a certificate in form and substance reasonably satisfactory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Purchaser, certifying that the transactions contemplated by this Agreement are exempt from withholding under Code Sections 1445 and 1446(f).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ind w:right="20" w:firstLine="1304"/>
        <w:spacing w:after="0" w:line="286" w:lineRule="auto"/>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HASI Purchase Agreement</w:t>
      </w:r>
      <w:r>
        <w:rPr>
          <w:rFonts w:ascii="Times New Roman" w:cs="Times New Roman" w:eastAsia="Times New Roman" w:hAnsi="Times New Roman"/>
          <w:sz w:val="18"/>
          <w:szCs w:val="18"/>
          <w:color w:val="auto"/>
        </w:rPr>
        <w:t>. HASI shall, simultaneously with or prior to the Closing, have closed the acquisition of the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(other than the Acquired Interests) pursuant to the HASI Purchase Agreement.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Drop-Down Assignment</w:t>
      </w:r>
      <w:r>
        <w:rPr>
          <w:rFonts w:ascii="Times New Roman" w:cs="Times New Roman" w:eastAsia="Times New Roman" w:hAnsi="Times New Roman"/>
          <w:sz w:val="18"/>
          <w:szCs w:val="18"/>
          <w:color w:val="auto"/>
        </w:rPr>
        <w:t>. Each of Purchaser and the Master JV HoldCo shall have delivered executed counterparts to the Drop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Assignment &amp; Assumption Agreement, to be held in escrow and released immediately following the Closing.</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certificate, dated as of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 duly executed counterpart to the Certain Seller Proceeds Agreement, to be held in escrow and released immediately following the Drop Down;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the Title Policy consistent with the Title Proforma in all material respects; and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 executed counterpart to the Build-Out Agreement executed by the Project Company, TE HoldCo, and Clearway Energy Operating LLC, to be held in escrow and released immediately following the Closing;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 executed counterpart to the Certain Seller Proceeds Agreement, executed by the Master JV HoldCo, to be held in escrow and released immediately following the Drop Down.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Seller shall, or shall cause the Company and the Black Rock Entities to, as promptly as practicable,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Project Company shall have obtained MBR Authorization and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Black Rock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Company and the Black Rock Entities, the Acquired Interests or the Project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Company, the Black Rock Entities or the Project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Company or the Black Rock Entities or their properties without the prior written consent of Seller.</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5.03.</w:t>
      </w:r>
      <w:r>
        <w:rPr>
          <w:sz w:val="20"/>
          <w:szCs w:val="20"/>
          <w:color w:val="auto"/>
        </w:rPr>
        <w:tab/>
      </w:r>
      <w:r>
        <w:rPr>
          <w:rFonts w:ascii="Times New Roman" w:cs="Times New Roman" w:eastAsia="Times New Roman" w:hAnsi="Times New Roman"/>
          <w:sz w:val="17"/>
          <w:szCs w:val="17"/>
          <w:b w:val="1"/>
          <w:bCs w:val="1"/>
          <w:i w:val="1"/>
          <w:iCs w:val="1"/>
          <w:color w:val="auto"/>
        </w:rPr>
        <w:t>Notification of Certain Matters</w:t>
      </w:r>
    </w:p>
    <w:p>
      <w:pPr>
        <w:spacing w:after="0" w:line="229" w:lineRule="exact"/>
        <w:rPr>
          <w:sz w:val="20"/>
          <w:szCs w:val="20"/>
          <w:color w:val="auto"/>
        </w:rPr>
      </w:pPr>
    </w:p>
    <w:p>
      <w:pPr>
        <w:jc w:val="both"/>
        <w:ind w:firstLine="8"/>
        <w:spacing w:after="0" w:line="252" w:lineRule="auto"/>
        <w:tabs>
          <w:tab w:leader="none" w:pos="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the right (but not the obligation) to deliver to Purchaser, not later than ten (10) Business Days prior to the Closing Date, a supplement to the Disclosure Schedules (the “Closing </w:t>
      </w:r>
      <w:r>
        <w:rPr>
          <w:rFonts w:ascii="Times New Roman" w:cs="Times New Roman" w:eastAsia="Times New Roman" w:hAnsi="Times New Roman"/>
          <w:sz w:val="18"/>
          <w:szCs w:val="18"/>
          <w:i w:val="1"/>
          <w:iCs w:val="1"/>
          <w:color w:val="auto"/>
        </w:rPr>
        <w:t>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exercise of any Land Option by the applicable counterparty, Seller shall be entitled to supplement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with respect to the Real Property Right Seller acquired in accordance with such Land Option (each such update, a “</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and the Disclosure Schedules shall be deemed to be modified, supplemented and amended to include the items listed in such Land Option Schedule Supplement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with respect to such item.</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5.04.</w:t>
      </w:r>
      <w:r>
        <w:rPr>
          <w:sz w:val="20"/>
          <w:szCs w:val="20"/>
          <w:color w:val="auto"/>
        </w:rPr>
        <w:tab/>
      </w:r>
      <w:r>
        <w:rPr>
          <w:rFonts w:ascii="Times New Roman" w:cs="Times New Roman" w:eastAsia="Times New Roman" w:hAnsi="Times New Roman"/>
          <w:sz w:val="18"/>
          <w:szCs w:val="18"/>
          <w:b w:val="1"/>
          <w:bCs w:val="1"/>
          <w:i w:val="1"/>
          <w:iCs w:val="1"/>
          <w:color w:val="auto"/>
        </w:rPr>
        <w:t>Conduct of Business.</w:t>
      </w:r>
    </w:p>
    <w:p>
      <w:pPr>
        <w:spacing w:after="0" w:line="229" w:lineRule="exact"/>
        <w:rPr>
          <w:sz w:val="20"/>
          <w:szCs w:val="20"/>
          <w:color w:val="auto"/>
        </w:rPr>
      </w:pPr>
    </w:p>
    <w:p>
      <w:pPr>
        <w:jc w:val="both"/>
        <w:ind w:firstLine="1304"/>
        <w:spacing w:after="0" w:line="258" w:lineRule="auto"/>
        <w:tabs>
          <w:tab w:leader="none" w:pos="191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Seller shall cause the Company and each Black Rock Entity to operate and carry on its business in the ordinary course and substantially as operated prior to the date of this Agreement. Without limiting the foregoing, Seller shall cause the Company and each Black Rock Entity to perform in all material respects the Company Contracts to which the Company or such Black Rock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Black Rock Entities.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ind w:firstLine="1304"/>
        <w:spacing w:after="0" w:line="261" w:lineRule="auto"/>
        <w:tabs>
          <w:tab w:leader="none" w:pos="197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as would not be reasonably likely to cause a Major Project Change (with respect to clauses (vi), (vii), (ix) and (xiv)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the Company and each Black Rock Entity not to:</w:t>
      </w:r>
    </w:p>
    <w:p>
      <w:pPr>
        <w:spacing w:after="0" w:line="181" w:lineRule="exact"/>
        <w:rPr>
          <w:rFonts w:ascii="Times New Roman" w:cs="Times New Roman" w:eastAsia="Times New Roman" w:hAnsi="Times New Roman"/>
          <w:sz w:val="18"/>
          <w:szCs w:val="18"/>
          <w:color w:val="auto"/>
        </w:rPr>
      </w:pPr>
    </w:p>
    <w:p>
      <w:pPr>
        <w:ind w:left="660" w:firstLine="1292"/>
        <w:spacing w:after="0" w:line="282" w:lineRule="auto"/>
        <w:tabs>
          <w:tab w:leader="none" w:pos="272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3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Thirty-Six Million Dollars ($36,000,000) from the proceeds received by Class B HoldCo from the closing of the debt financing under the Financing Agreement;</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80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enter into any commitment with respect to or in contemplation of any liquidation, dissolution, recapitalization, reorganization, or other winding up of business or operations;</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or establish any new accounts with financial institutions;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business or operations, except such changes as may be required to comply with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66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capital expenditures (or enter into any Contracts in respect of material capital expenditures) other than as contemplated by the Company Contracts;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4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Company or any Black Rock Entity into or with any other Person or consolidate Company or any Black Rock Entity with any other Person;</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3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for the purchase of real property or any interests therein (other than upon the exercise of a Land Option by the applicable counterparty);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3" w:name="page84"/>
    <w:bookmarkEnd w:id="83"/>
    <w:p>
      <w:pPr>
        <w:ind w:left="-460" w:firstLine="1292"/>
        <w:spacing w:after="0" w:line="282" w:lineRule="auto"/>
        <w:tabs>
          <w:tab w:leader="none" w:pos="15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1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179" w:lineRule="exact"/>
        <w:rPr>
          <w:rFonts w:ascii="Times New Roman" w:cs="Times New Roman" w:eastAsia="Times New Roman" w:hAnsi="Times New Roman"/>
          <w:sz w:val="18"/>
          <w:szCs w:val="18"/>
          <w:color w:val="auto"/>
        </w:rPr>
      </w:pPr>
    </w:p>
    <w:p>
      <w:pPr>
        <w:ind w:left="1560" w:hanging="728"/>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except in the ordinary course of business consistent with past practice;</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2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Black Rock Entity;</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or practices (including any change in depreciation or amortization policies) of Company or any Black Rock Entity, except as required under Seller’s GAAP or revalue any of the Company’s or any Black Rock Entity’s assets;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6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Black Rock Entities, or take any other similar action relating to the filing of any Tax Return or the payment of any Tax;</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6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75"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5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61"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employees or adopt any Employee Plans;</w:t>
      </w:r>
    </w:p>
    <w:p>
      <w:pPr>
        <w:spacing w:after="0" w:line="225"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w:t>
      </w:r>
    </w:p>
    <w:p>
      <w:pPr>
        <w:spacing w:after="0" w:line="225"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coverage substantially equivalent to its insurance coverage as in effect on the date hereof; or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4" w:name="page85"/>
    <w:bookmarkEnd w:id="84"/>
    <w:p>
      <w:pPr>
        <w:ind w:left="2620" w:hanging="668"/>
        <w:spacing w:after="0"/>
        <w:tabs>
          <w:tab w:leader="none" w:pos="2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(a) Seller may permit the Black Rock Entities to take commercially reasonable actions with respect to emergency situations so long as Seller shall, upon receipt of notice of any such actions, promptly inform Purchaser of any such actions taken outside the ordinary course of business and (b) upon the exercise of a Land Option by the applicable counterparty, Seller may permit or cause one or more of the Black Rock Entities to enter into a Contract with such counterparty to acquire the applicable Real Property Right in accordance with the terms of the Land Option.</w:t>
      </w:r>
    </w:p>
    <w:p>
      <w:pPr>
        <w:spacing w:after="0" w:line="181" w:lineRule="exact"/>
        <w:rPr>
          <w:sz w:val="20"/>
          <w:szCs w:val="20"/>
          <w:color w:val="auto"/>
        </w:rPr>
      </w:pPr>
    </w:p>
    <w:p>
      <w:pPr>
        <w:ind w:firstLine="1304"/>
        <w:spacing w:after="0" w:line="284" w:lineRule="auto"/>
        <w:tabs>
          <w:tab w:leader="none" w:pos="20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 xml:space="preserve">, an action taken by Seller or any of the Black Rock Entities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 xml:space="preserve"> shall in no event be deemed a breach of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other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18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i w:val="1"/>
          <w:iCs w:val="1"/>
          <w:color w:val="auto"/>
        </w:rPr>
        <w:t xml:space="preserve">Purchaser’s Substitute Support Obligations </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2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5" w:name="page86"/>
    <w:bookmarkEnd w:id="85"/>
    <w:p>
      <w:pPr>
        <w:jc w:val="both"/>
        <w:ind w:firstLine="1304"/>
        <w:spacing w:after="0" w:line="254" w:lineRule="auto"/>
        <w:tabs>
          <w:tab w:leader="none" w:pos="21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Black Rock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Black Rock Entities conducted, existing or arising at or prior to the Closing (including as a result of any draw or demand for or making of any payment by Purchaser or any such Affiliate of Purchaser under any Substitute Support Obligation).</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2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use transfer, controlling interest transfer, recording, stock transfer, real property transfer, value-added and other similar Taxes and fees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Black Rock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Black Rock Entity) for the post-Closing Date period, on the other hand, as of the Closing Date, based upon the actual number of days of the Tax period that have elapsed before and after the Closing Date, and any income Taxes imposed on the Company and the Black Rock Entities shall be allocated between the pre-Closing Date period and the post-Closing Date period as though a taxable year of the Company and the Black Rock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Black Rock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Black Rock Entity) pursuant to the preceding sentence shall be paid by the Company (or the applicable Black Rock Entity). If any refund, rebate or similar payment is received by the Company or the Black Rock Entities for any real property Taxes, personal property Taxes or similar obligations referred to above that are Apportioned Obligations, such refund shall be apportioned between Seller and the Company (or the applicable Black Rock Entity) as aforesaid on the basis of the obligations of the Company and the Black Rock Entities during the applicable Tax period. Any refund, rebate or similar payment received by the Company or a Black Rock Entity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attributable to the post-Closing Date period, as determined above, shall be for the benefit of the Company (or the applicable Black Rock Entity).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6" w:name="page87"/>
    <w:bookmarkEnd w:id="86"/>
    <w:p>
      <w:pPr>
        <w:jc w:val="both"/>
        <w:ind w:firstLine="1304"/>
        <w:spacing w:after="0" w:line="258" w:lineRule="auto"/>
        <w:tabs>
          <w:tab w:leader="none" w:pos="21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Black Rock Entities (as applicable) ends on or before the Closing Date, Seller shall, at its sole cost and expense, timely prepare and file with the appropriate authorities all Tax Returns required to be filed by the Company and the Black Rock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Black Rock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Black Rock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Seller shall not, and shall not authorize or permit the Company, the Black Rock Entities, any of 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Affiliates or any of its or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Company, the Black Rock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Tax Equity Agreement, the Financing Documents and the HASI Purchase Agreement)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Company or the Black Rock Entities,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Company or the Black Rock Entities,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Company’s or the Black Rock Entities’ properties or assets.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i w:val="1"/>
          <w:iCs w:val="1"/>
          <w:color w:val="auto"/>
        </w:rPr>
        <w:t>Post-Execution Date 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0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with respect to the Financing Documents, in no event later than January 29, 2021), Seller shall (or shall cause the Company and/or applicable Black Rock Entity to) enter into the Financing Documents and the Ancillary Documents on the following terms and conditions: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66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Financing Agreement and the Tax Equity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7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Ancillary Document: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Ancillary Document is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material to the Company and/or applicable Black Rock Entity and such Ancillary Document is not designated with an asterisk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Ancillary Document is not subject to the terms and conditions of the foregoing clause (A), enter into such Ancillary Document without the necessity of Purchaser’s consent in any respect.</w:t>
      </w:r>
    </w:p>
    <w:p>
      <w:pPr>
        <w:spacing w:after="0" w:line="184" w:lineRule="exact"/>
        <w:rPr>
          <w:rFonts w:ascii="Times New Roman" w:cs="Times New Roman" w:eastAsia="Times New Roman" w:hAnsi="Times New Roman"/>
          <w:sz w:val="18"/>
          <w:szCs w:val="18"/>
          <w:color w:val="auto"/>
        </w:rPr>
      </w:pPr>
    </w:p>
    <w:p>
      <w:pPr>
        <w:ind w:firstLine="1304"/>
        <w:spacing w:after="0" w:line="282" w:lineRule="auto"/>
        <w:tabs>
          <w:tab w:leader="none" w:pos="2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into any Financing Document or Ancillary Document, Seller shall promptly provide to Purchaser a true, complete and correct copy of such Contract or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 and (ix) </w:t>
      </w:r>
      <w:r>
        <w:rPr>
          <w:rFonts w:ascii="Times New Roman" w:cs="Times New Roman" w:eastAsia="Times New Roman" w:hAnsi="Times New Roman"/>
          <w:sz w:val="18"/>
          <w:szCs w:val="18"/>
          <w:color w:val="auto"/>
        </w:rPr>
        <w:t>(Company and Black Rock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 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for five (5) years after the Closing 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w:t>
      </w:r>
    </w:p>
    <w:p>
      <w:pPr>
        <w:spacing w:after="0" w:line="1" w:lineRule="exact"/>
        <w:rPr>
          <w:sz w:val="20"/>
          <w:szCs w:val="20"/>
          <w:color w:val="auto"/>
        </w:rPr>
      </w:pPr>
    </w:p>
    <w:p>
      <w:pPr>
        <w:jc w:val="both"/>
        <w:ind w:firstLine="8"/>
        <w:spacing w:after="0" w:line="252" w:lineRule="auto"/>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7"/>
          <w:szCs w:val="17"/>
          <w:b w:val="1"/>
          <w:bCs w:val="1"/>
          <w:i w:val="1"/>
          <w:iCs w:val="1"/>
          <w:color w:val="auto"/>
        </w:rPr>
        <w:t>Limitations on Claims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7"/>
          <w:szCs w:val="17"/>
          <w:b w:val="1"/>
          <w:bCs w:val="1"/>
          <w:i w:val="1"/>
          <w:iCs w:val="1"/>
          <w:color w:val="auto"/>
        </w:rPr>
        <w:t>Procedure for Indemnification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7" w:lineRule="auto"/>
        <w:tabs>
          <w:tab w:leader="none" w:pos="214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20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claim or legal proceeding, without the prior written consent of the Indemnified Party (which consent shall not be unreasonably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7"/>
          <w:szCs w:val="17"/>
          <w:b w:val="1"/>
          <w:bCs w:val="1"/>
          <w:i w:val="1"/>
          <w:iCs w:val="1"/>
          <w:color w:val="auto"/>
        </w:rPr>
        <w:t>Mitigations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This Agreement may be terminated at any time prior to the Closing Date as follows:</w:t>
      </w:r>
    </w:p>
    <w:p>
      <w:pPr>
        <w:spacing w:after="0" w:line="229" w:lineRule="exact"/>
        <w:rPr>
          <w:sz w:val="20"/>
          <w:szCs w:val="20"/>
          <w:color w:val="auto"/>
        </w:rPr>
      </w:pPr>
    </w:p>
    <w:p>
      <w:pPr>
        <w:jc w:val="right"/>
        <w:ind w:left="5540" w:right="5520" w:hanging="4236"/>
        <w:spacing w:after="0" w:line="783" w:lineRule="auto"/>
        <w:tabs>
          <w:tab w:leader="none" w:pos="20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and Purchaser;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ind w:firstLine="1304"/>
        <w:spacing w:after="0" w:line="284" w:lineRule="auto"/>
        <w:tabs>
          <w:tab w:leader="none" w:pos="21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on or before March 31, 2022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67" w:lineRule="auto"/>
        <w:tabs>
          <w:tab w:leader="none" w:pos="211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there has been a breach by Seller of its covenant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with respect to the Financing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breach was not caused by a breach by Purchaser of the terms and conditions with respect to its granting of consent under</w:t>
      </w:r>
      <w:r>
        <w:rPr>
          <w:rFonts w:ascii="Times New Roman" w:cs="Times New Roman" w:eastAsia="Times New Roman" w:hAnsi="Times New Roman"/>
          <w:sz w:val="18"/>
          <w:szCs w:val="18"/>
          <w:i w:val="1"/>
          <w:iCs w:val="1"/>
          <w:color w:val="auto"/>
        </w:rPr>
        <w:t xml:space="preserve"> Section 5.12(a), </w:t>
      </w:r>
      <w:r>
        <w:rPr>
          <w:rFonts w:ascii="Times New Roman" w:cs="Times New Roman" w:eastAsia="Times New Roman" w:hAnsi="Times New Roman"/>
          <w:sz w:val="18"/>
          <w:szCs w:val="18"/>
          <w:color w:val="auto"/>
        </w:rPr>
        <w:t>as applicable.</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by a Party for any reason, (i) Purchaser shall return all documents and other materials of Seller relating to the Company and the Black Rock Entities, the assets or properties of the Company and the Black Rock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Black Rock Entities, the assets of the Company, the assets of the Black Rock Entities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ectPr>
          <w:pgSz w:w="11900" w:h="16838" w:orient="portrait"/>
          <w:cols w:equalWidth="0" w:num="1">
            <w:col w:w="11240"/>
          </w:cols>
          <w:pgMar w:left="320" w:top="684" w:right="339" w:bottom="1440" w:gutter="0" w:footer="0" w:header="0"/>
        </w:sectPr>
      </w:pP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Lighthouse Renewable Class 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Christopher Sotos and Kevin Malcarney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christopher.sotos@clearwayenergy.com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kevin.malcarney@clearwayenergy.com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13th St.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egreenberg@perkinscoie.com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4900 N Scottsdale Road, Suite 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93" w:name="page94"/>
    <w:bookmarkEnd w:id="9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i w:val="1"/>
          <w:iCs w:val="1"/>
          <w:color w:val="auto"/>
        </w:rPr>
        <w:t>Consent to Jurisdiction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Black Rock Entities or Purchaser.</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color w:val="auto"/>
        </w:rPr>
        <w:t>. 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Cornelius</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Craig Cornelius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LIGHTHOUSE RENEWABLE CLASS A LLC, 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Christopher S. Sotos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19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 Black Rock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Mesquite Sky Holding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Renew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Lighthouse Renewable Class A LLC, as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6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PRINCIPLES OF INTERPRETATION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b w:val="1"/>
                <w:bCs w:val="1"/>
                <w:i w:val="1"/>
                <w:iCs w:val="1"/>
                <w:color w:val="auto"/>
              </w:rPr>
              <w:t>djusted Purchase Price Amount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Post-Closing Additional Turbine Adjustments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the Company and the Mesquite Sky Entities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5.07.</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5.08.</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5.09.</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5.10.</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6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6.08.</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6.09.</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6.10.</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8.03.</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8.04.</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8.08.</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8.09.</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8.10.</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8.11.</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8.12.</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8.13.</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8.14.</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8.15.</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8.16.</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8.17.</w:t>
            </w: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4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8"/>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 Case Model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 of Seller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Secretary’s Certificate of Seller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 of Purchaser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Secretary’s Certificate of Purchaser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Purchaser Parent Guaranty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Build-Out Agreement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Drop Down Assignment and Assumption Agreement</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Seller Proceeds Agreement</w:t>
            </w:r>
          </w:p>
        </w:tc>
        <w:tc>
          <w:tcPr>
            <w:tcW w:w="0" w:type="dxa"/>
            <w:vAlign w:val="bottom"/>
          </w:tcPr>
          <w:p>
            <w:pPr>
              <w:spacing w:after="0"/>
              <w:rPr>
                <w:sz w:val="1"/>
                <w:szCs w:val="1"/>
                <w:color w:val="auto"/>
              </w:rPr>
            </w:pPr>
          </w:p>
        </w:tc>
      </w:tr>
      <w:tr>
        <w:trPr>
          <w:trHeight w:val="48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1.03</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Ancillary Documents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4.01(m)</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to be Amended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5.04(b)(xxiii)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Covenants</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6.01(b)</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Indemnification Matters</w:t>
            </w:r>
          </w:p>
        </w:tc>
        <w:tc>
          <w:tcPr>
            <w:tcW w:w="0" w:type="dxa"/>
            <w:vAlign w:val="bottom"/>
          </w:tcPr>
          <w:p>
            <w:pPr>
              <w:spacing w:after="0"/>
              <w:rPr>
                <w:sz w:val="1"/>
                <w:szCs w:val="1"/>
                <w:color w:val="auto"/>
              </w:rPr>
            </w:pPr>
          </w:p>
        </w:tc>
      </w:tr>
      <w:tr>
        <w:trPr>
          <w:trHeight w:val="48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tc>
        <w:tc>
          <w:tcPr>
            <w:tcW w:w="9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Liens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3.01(c)</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Consents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3.01(e)</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Approvals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3.01(f)</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3.01(g)</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Business Jurisdictions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Equity Encumbrances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Officers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Options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Additional Investments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3.01(i)(vii)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Additional Business Operations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3.01(i)(ix)</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 on Acquired Interests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3.01(j)</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3.01(k)</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Contracts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3.01(m)(iii)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Contracts Defaults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Real Property Agreements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3.01(n)(iii)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 Rights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Law Non-Compliance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Permits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3.01(p)(iv)</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Hazardous Substances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3.01(q)(ii)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Noncompliance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3.01(r)</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Schedule 3.01(s)(i)</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648"/>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ectPr>
          <w:pgSz w:w="11900" w:h="16838" w:orient="portrait"/>
          <w:cols w:equalWidth="0" w:num="1">
            <w:col w:w="10139"/>
          </w:cols>
          <w:pgMar w:left="320" w:top="900"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5.04(b)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0" w:lineRule="exact"/>
        <w:rPr>
          <w:sz w:val="20"/>
          <w:szCs w:val="20"/>
          <w:color w:val="auto"/>
        </w:rPr>
      </w:pPr>
    </w:p>
    <w:p>
      <w:pPr>
        <w:sectPr>
          <w:pgSz w:w="11900" w:h="16838" w:orient="portrait"/>
          <w:cols w:equalWidth="0" w:num="2">
            <w:col w:w="1280" w:space="640"/>
            <w:col w:w="821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21, 2020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Clearway Renew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Lighthouse Renewable Class A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56"/>
        <w:spacing w:after="0" w:line="267" w:lineRule="auto"/>
        <w:tabs>
          <w:tab w:leader="none" w:pos="14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owns one hundred percent (100%) of the Class B membership interests (the “</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of Mesquite Sky Holding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Apex Clean Energy Holdings, LLC (the “</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owns one hundred percent (100%) of the Class A membership interests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member and one hundred percent (100%) owner of Mesquite Sky Class B Holdco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Class B Holdco is the sole member and one hundred percent (100%) owner of Mesquite Sky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4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 Holdco is the sole member and one hundred percent (100%) owner of BMP Wind LLC, a Delaware limited liability company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and, together with Class B Holdco and TE Holdco, the “</w:t>
      </w:r>
      <w:r>
        <w:rPr>
          <w:rFonts w:ascii="Times New Roman" w:cs="Times New Roman" w:eastAsia="Times New Roman" w:hAnsi="Times New Roman"/>
          <w:sz w:val="18"/>
          <w:szCs w:val="18"/>
          <w:i w:val="1"/>
          <w:iCs w:val="1"/>
          <w:color w:val="auto"/>
        </w:rPr>
        <w:t>Mesquite Sky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Mesquite Sky Entity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developing an approximately 345 MW wind power project and associated infrastructure located in Callahan County, Texas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and sells electric power therefrom.</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subject to the satisfaction or waiver of the applicable conditions precedent set forth herein, fifty and one one-hundredth percent (50.01%) of the Class B Units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will be sold to Purchaser for the Purchase Price as provided herein.</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HASI have agreed that, as sole shareholders of Lighthouse Renewable HoldCo LLC (the “</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they shall, immediately upon the Closing, contribute their respective Class B Units to the Master JV HoldCo and cause Master JV HoldCo to be admitted as the Class B Member of the Company (the “</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PRINCIPLES OF INTERPRETATION</w:t>
      </w:r>
    </w:p>
    <w:p>
      <w:pPr>
        <w:spacing w:after="0" w:line="20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Amount</w:t>
      </w:r>
      <w:r>
        <w:rPr>
          <w:rFonts w:ascii="Times New Roman" w:cs="Times New Roman" w:eastAsia="Times New Roman" w:hAnsi="Times New Roman"/>
          <w:sz w:val="18"/>
          <w:szCs w:val="18"/>
          <w:color w:val="auto"/>
        </w:rPr>
        <w:t xml:space="preserve">” means, with respect to each Additional Turbine, an amount of money that is equal to the Additional Turbine Holdback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Additional Turbines.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Deadline</w:t>
      </w:r>
      <w:r>
        <w:rPr>
          <w:rFonts w:ascii="Times New Roman" w:cs="Times New Roman" w:eastAsia="Times New Roman" w:hAnsi="Times New Roman"/>
          <w:sz w:val="18"/>
          <w:szCs w:val="18"/>
          <w:color w:val="auto"/>
        </w:rPr>
        <w:t>” means the earlier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date on which the final Additional Turbine is Placed in Service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20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Turbine Holdback Amount</w:t>
      </w:r>
      <w:r>
        <w:rPr>
          <w:rFonts w:ascii="Times New Roman" w:cs="Times New Roman" w:eastAsia="Times New Roman" w:hAnsi="Times New Roman"/>
          <w:sz w:val="18"/>
          <w:szCs w:val="18"/>
          <w:color w:val="auto"/>
        </w:rPr>
        <w:t>” means an amount of money that is equal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 Base Purchase Price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fraction that is the result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total number of Additional Turbines,</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69.</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the Base Case Model, with the following updated by Seller prior to the Closing Date, in each case on the basis of the Pricing Adjustments:</w:t>
      </w:r>
    </w:p>
    <w:p>
      <w:pPr>
        <w:spacing w:after="0" w:line="160" w:lineRule="exact"/>
        <w:rPr>
          <w:sz w:val="20"/>
          <w:szCs w:val="20"/>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D - TE, Input Reference J75;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C24:25;</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Scenario, Input Reference I8;</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TE Depr, Input Reference G106-AT106</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C186, C189, C200, C203, C214, C217, C242 and C245;</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P45:WQ45, P47:AZ47, C11 and C43:C54;</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G144:G182 and H144:H182;</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E457:E492;</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G457:G492 and P505:AX505;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 Inputs, Input Reference C390:C391.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calculations shall assume that any expected Additional Turbines will be Placed in Service on the Outside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the Company and the Mesquite Sky Entities shall not be considered “Affiliates” of Clearway Energy, Inc. and its direct or indirect subsidiaries, including Purchaser.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w:t>
      </w:r>
      <w:r>
        <w:rPr>
          <w:rFonts w:ascii="Times New Roman" w:cs="Times New Roman" w:eastAsia="Times New Roman" w:hAnsi="Times New Roman"/>
          <w:sz w:val="18"/>
          <w:szCs w:val="18"/>
          <w:color w:val="auto"/>
        </w:rPr>
        <w:t xml:space="preserve">” means (a) each of the documents set forth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and (b) any Financing Document, in each case, other than the Financing Agreement and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xml:space="preserve">” means the financial projections with respect to the Project in file </w:t>
      </w:r>
      <w:r>
        <w:rPr>
          <w:rFonts w:ascii="Times New Roman" w:cs="Times New Roman" w:eastAsia="Times New Roman" w:hAnsi="Times New Roman"/>
          <w:sz w:val="18"/>
          <w:szCs w:val="18"/>
          <w:i w:val="1"/>
          <w:iCs w:val="1"/>
          <w:color w:val="auto"/>
        </w:rPr>
        <w:t>Mesquite Sky Financial Model – CE Vehicle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External CWEN 12142020.xlsb</w:t>
      </w:r>
      <w:r>
        <w:rPr>
          <w:rFonts w:ascii="Times New Roman" w:cs="Times New Roman" w:eastAsia="Times New Roman" w:hAnsi="Times New Roman"/>
          <w:sz w:val="18"/>
          <w:szCs w:val="18"/>
          <w:color w:val="auto"/>
        </w:rPr>
        <w:t>, and attached as</w:t>
      </w:r>
      <w:r>
        <w:rPr>
          <w:rFonts w:ascii="Times New Roman" w:cs="Times New Roman" w:eastAsia="Times New Roman" w:hAnsi="Times New Roman"/>
          <w:sz w:val="18"/>
          <w:szCs w:val="18"/>
          <w:i w:val="1"/>
          <w:iCs w:val="1"/>
          <w:color w:val="auto"/>
        </w:rPr>
        <w:t xml:space="preserve"> 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Build-Out Agreement</w:t>
      </w:r>
      <w:r>
        <w:rPr>
          <w:rFonts w:ascii="Times New Roman" w:cs="Times New Roman" w:eastAsia="Times New Roman" w:hAnsi="Times New Roman"/>
          <w:sz w:val="18"/>
          <w:szCs w:val="18"/>
          <w:color w:val="auto"/>
        </w:rPr>
        <w:t xml:space="preserve">” means that certain Build-Out Agreement, to be dated as of the Closing Date, by and among the Project Company, TE HoldCo, Clearway Energy Operating LLC, and each subsequent party that may become a party thereto substantially in the form and to the effect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Seller Proceeds Agreement</w:t>
      </w:r>
      <w:r>
        <w:rPr>
          <w:rFonts w:ascii="Times New Roman" w:cs="Times New Roman" w:eastAsia="Times New Roman" w:hAnsi="Times New Roman"/>
          <w:sz w:val="18"/>
          <w:szCs w:val="18"/>
          <w:color w:val="auto"/>
        </w:rPr>
        <w:t xml:space="preserve">” means that certain Seller Proceeds Agreement, to be entered into by and between Seller and the Master JV HoldCo, substantially in the form of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Member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xml:space="preserve">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means all material Contracts and amendments, modifications and supplements thereto, to which the Company or the Mesquite Sky Entities is a party or by which the Company, the Mesquite Sky Entities or any of their assets or properties are bound.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Drop Down Assignment &amp; Assumption Agreement</w:t>
      </w:r>
      <w:r>
        <w:rPr>
          <w:rFonts w:ascii="Times New Roman" w:cs="Times New Roman" w:eastAsia="Times New Roman" w:hAnsi="Times New Roman"/>
          <w:sz w:val="18"/>
          <w:szCs w:val="18"/>
          <w:color w:val="auto"/>
        </w:rPr>
        <w:t xml:space="preserve">” means the assignment of the Acquired Interests to be executed by Purchaser and the Master JV HoldCo immediately upon the Closing in the form attached hereto as </w:t>
      </w:r>
      <w:r>
        <w:rPr>
          <w:rFonts w:ascii="Times New Roman" w:cs="Times New Roman" w:eastAsia="Times New Roman" w:hAnsi="Times New Roman"/>
          <w:sz w:val="18"/>
          <w:szCs w:val="18"/>
          <w:i w:val="1"/>
          <w:iCs w:val="1"/>
          <w:color w:val="auto"/>
        </w:rPr>
        <w:t>Exhibit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the Mesquite Sky Entities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(a) resulting from the avoidance of the emission of any gas, chemical or other substance, including mercury, nitrogen oxide, sulfur dioxide, carbon dioxide, carbon monoxide, particulate matter or similar pollutants or contaminants of air, water, or soil, gas, chemical, or other substance, and (b) attributable to the generation, purchase, sale or use of renewable energy generated or use of renewable generation technologies by the Project, or otherwise attributable to the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means the Electric Reliability Council of Texas, Inc.</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the Company or the Mesquite Sky Entities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the Mesquite Sky Entities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Completion Date</w:t>
      </w:r>
      <w:r>
        <w:rPr>
          <w:rFonts w:ascii="Times New Roman" w:cs="Times New Roman" w:eastAsia="Times New Roman" w:hAnsi="Times New Roman"/>
          <w:sz w:val="18"/>
          <w:szCs w:val="18"/>
          <w:color w:val="auto"/>
        </w:rPr>
        <w:t>” means the date on which Final Completion occurs.</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xml:space="preserve">” means that certain Financing Agreement to be entered into by and among Class B Holdco, as borrower, [***], and the other lenders party thereto, in the form delivered by Seller to Purchaser prior to the Execution Date or as modified from such form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 Equity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ERCOT, and each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w:t>
      </w:r>
      <w:r>
        <w:rPr>
          <w:rFonts w:ascii="Times New Roman" w:cs="Times New Roman" w:eastAsia="Times New Roman" w:hAnsi="Times New Roman"/>
          <w:sz w:val="18"/>
          <w:szCs w:val="18"/>
          <w:color w:val="auto"/>
        </w:rPr>
        <w:t>” means HA Lighthouse LLC, a Delaware limited liability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HASI Purchase Agreement</w:t>
      </w:r>
      <w:r>
        <w:rPr>
          <w:rFonts w:ascii="Times New Roman" w:cs="Times New Roman" w:eastAsia="Times New Roman" w:hAnsi="Times New Roman"/>
          <w:sz w:val="18"/>
          <w:szCs w:val="18"/>
          <w:color w:val="auto"/>
        </w:rPr>
        <w:t>” means the membership interest purchase and sale agreement pursuant to which HASI will acquire the remaining 49.99% of the Class B Units from the Seller simultaneously with the Closing.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8" w:name="page109"/>
    <w:bookmarkEnd w:id="10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 “hazardous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 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or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radioactive materials (other than naturally occurring radioactive materials).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Interconnection Agreement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 after reasonable inquiry of their direct reports.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9" w:name="page110"/>
    <w:bookmarkEnd w:id="109"/>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the Project that is reasonably likely to result in a material delay in achieving commercial operations,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the Project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the Project.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Master JV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the Company or the Mesquite Sky Entities, individually or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electric generating industry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Company or the Mesquite Sky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the Company or the Mesquite Sky Entities operate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the Company or the Mesquite Sky Entities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a Material Adverse Effect has occurred to the extent such changes, events, effects or occurrences have a materially disproportionate impact on the Company or the Mesquite Sky Entities, taken as whole, as compared to similarly situated businesses in the same industry and in the same geographical area, which shall be deemed to include the State of Texas.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Mesquite Sky Entity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Mesquite Sky Entities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w:t>
      </w:r>
    </w:p>
    <w:p>
      <w:pPr>
        <w:spacing w:after="0" w:line="1" w:lineRule="exact"/>
        <w:rPr>
          <w:sz w:val="20"/>
          <w:szCs w:val="20"/>
          <w:color w:val="auto"/>
        </w:rPr>
      </w:pPr>
    </w:p>
    <w:p>
      <w:pPr>
        <w:jc w:val="both"/>
        <w:ind w:firstLine="8"/>
        <w:spacing w:after="0" w:line="253" w:lineRule="auto"/>
        <w:tabs>
          <w:tab w:leader="none" w:pos="2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0" w:name="page111"/>
    <w:bookmarkEnd w:id="110"/>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7" w:lineRule="auto"/>
        <w:tabs>
          <w:tab w:leader="none" w:pos="20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1" w:name="page112"/>
    <w:bookmarkEnd w:id="111"/>
    <w:p>
      <w:pPr>
        <w:jc w:val="both"/>
        <w:ind w:firstLine="1304"/>
        <w:spacing w:after="0" w:line="258" w:lineRule="auto"/>
        <w:tabs>
          <w:tab w:leader="none" w:pos="21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mechanic’s and materialmen’s liens for construction in progress and workmen’s, repairmen’s, warehousemen’s and carrier’s liens arising in the ordinary course of business of the Company or the Mesquite Sky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Company or the Mesquite Sky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Company or the Mesquite Sky Entities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Company or the Mesquite Sky Entities;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Company or the Mesquite Sky Entities,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and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set forth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PUCT</w:t>
      </w:r>
      <w:r>
        <w:rPr>
          <w:rFonts w:ascii="Times New Roman" w:cs="Times New Roman" w:eastAsia="Times New Roman" w:hAnsi="Times New Roman"/>
          <w:sz w:val="18"/>
          <w:szCs w:val="18"/>
          <w:color w:val="auto"/>
        </w:rPr>
        <w:t>” means the Public Utility Commission of Texas.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PURA</w:t>
      </w:r>
      <w:r>
        <w:rPr>
          <w:rFonts w:ascii="Times New Roman" w:cs="Times New Roman" w:eastAsia="Times New Roman" w:hAnsi="Times New Roman"/>
          <w:sz w:val="18"/>
          <w:szCs w:val="18"/>
          <w:color w:val="auto"/>
        </w:rPr>
        <w:t>” means the Texas Public Utility Regulatory Act and the implementing regulations of the PUCT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in the form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Company or the Mesquite Sky Entities, including all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Regional Entity</w:t>
      </w:r>
      <w:r>
        <w:rPr>
          <w:rFonts w:ascii="Times New Roman" w:cs="Times New Roman" w:eastAsia="Times New Roman" w:hAnsi="Times New Roman"/>
          <w:sz w:val="18"/>
          <w:szCs w:val="18"/>
          <w:color w:val="auto"/>
        </w:rPr>
        <w:t>” means Texas Reliability Entity, Inc.</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Engineer’s Report,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Agreement),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Wind Resource Report (as defined in the Tax Equity Agreement),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Insurance Consultant’s Report (as defined in the Tax Equity Agreement),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Transmission Consultant’s Report and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the Cost Seg Report, including any bring downs of such reports delivered pursuant to the Tax Equity Agreement as of the Closing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3" w:name="page114"/>
    <w:bookmarkEnd w:id="11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w:t>
      </w:r>
      <w:r>
        <w:rPr>
          <w:rFonts w:ascii="Times New Roman" w:cs="Times New Roman" w:eastAsia="Times New Roman" w:hAnsi="Times New Roman"/>
          <w:sz w:val="18"/>
          <w:szCs w:val="18"/>
          <w:color w:val="auto"/>
        </w:rPr>
        <w:t>” means that certain Equity Capital Contribution Agreement to be entered into by and between TE Holdco and Tax Equity Investor, that, with respect to the form of such agreement delivered by Seller to Purchaser prior to the Execution Date,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same in all respects as to those certain conditions to the obligations of the Tax Equity Investor set forth in Section 5.2 of such form of Tax Equity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otherwise in all other respect the same or, to the extent modified, so modified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Funding Date</w:t>
      </w:r>
      <w:r>
        <w:rPr>
          <w:rFonts w:ascii="Times New Roman" w:cs="Times New Roman" w:eastAsia="Times New Roman" w:hAnsi="Times New Roman"/>
          <w:sz w:val="18"/>
          <w:szCs w:val="18"/>
          <w:color w:val="auto"/>
        </w:rPr>
        <w:t>” means the Funding Date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Stewart Title Guaranty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Policy</w:t>
      </w:r>
      <w:r>
        <w:rPr>
          <w:rFonts w:ascii="Times New Roman" w:cs="Times New Roman" w:eastAsia="Times New Roman" w:hAnsi="Times New Roman"/>
          <w:sz w:val="18"/>
          <w:szCs w:val="18"/>
          <w:color w:val="auto"/>
        </w:rPr>
        <w:t>” means the owner’s policy of title insurance, issued by the Title Company in favor of the Project Company, in the form of the Texas Form T-1 Owner’s Policy of Title Insurance or such replacement form contained in the Basic Manual of Rules, Rates and Forms for the Writing of Title Insurance in the State of Texas, subject only to the exceptions set forth in the Title Proforma or otherwise in a form reasonably acceptable to Purchaser.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w:t>
      </w:r>
      <w:r>
        <w:rPr>
          <w:rFonts w:ascii="Times New Roman" w:cs="Times New Roman" w:eastAsia="Times New Roman" w:hAnsi="Times New Roman"/>
          <w:sz w:val="18"/>
          <w:szCs w:val="18"/>
          <w:color w:val="auto"/>
        </w:rPr>
        <w:t>” means the Title Policy Pro Forma (as defined in the Tax Equity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Wind Turbine</w:t>
      </w:r>
      <w:r>
        <w:rPr>
          <w:rFonts w:ascii="Times New Roman" w:cs="Times New Roman" w:eastAsia="Times New Roman" w:hAnsi="Times New Roman"/>
          <w:sz w:val="18"/>
          <w:szCs w:val="18"/>
          <w:color w:val="auto"/>
        </w:rPr>
        <w:t>” has the meaning set forth in the Tax Equity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4" w:name="page115"/>
    <w:bookmarkEnd w:id="114"/>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1.02.</w:t>
        <w:tab/>
        <w:t>Rules of Interpretation.</w:t>
      </w:r>
    </w:p>
    <w:p>
      <w:pPr>
        <w:spacing w:after="0" w:line="225" w:lineRule="exact"/>
        <w:rPr>
          <w:sz w:val="20"/>
          <w:szCs w:val="20"/>
          <w:color w:val="auto"/>
        </w:rPr>
      </w:pPr>
    </w:p>
    <w:p>
      <w:pPr>
        <w:ind w:firstLine="1304"/>
        <w:spacing w:after="0" w:line="286" w:lineRule="auto"/>
        <w:tabs>
          <w:tab w:leader="none" w:pos="20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neuter gender shall include the masculine and feminine unless the context otherwise indicates.</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3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in and to the Acquired Interests at the Closing on the terms and subject to the conditions set forth in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 Upon the terms and subject to the conditions hereinafter set forth, in consideration of the delivery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Acquired Interests, Purchaser, by wire transfer of immediately available United States funds, shall pay to Seller at the Closing an amount equal to Seventy-Seven Million Three Hundred Thirty-One Thousand Eight Hundred Three Dollars ($77,331,803) (the “</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61" w:lineRule="auto"/>
        <w:tabs>
          <w:tab w:leader="none" w:pos="20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left="660" w:firstLine="1292"/>
        <w:spacing w:after="0" w:line="282" w:lineRule="auto"/>
        <w:tabs>
          <w:tab w:leader="none" w:pos="28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the Purchase Price by wire transfer of immediately available funds to Seller’s account, which account shall be communicated by Seller to Purchaser in writing no later than two (2) Business Days prior to the Closing;</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Party the certificates and other deliverables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8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8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interests powers duly endorsed for transfer to Purchaser.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i w:val="1"/>
          <w:iCs w:val="1"/>
          <w:color w:val="auto"/>
        </w:rPr>
        <w:t>Adjusted Purchase Price Amount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16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five (5) Business Days prior to the Closing Date, Seller shall provide to Purchaser an Adjusted Purchase Price Model for purposes of calculating the Adjusted Purchase Price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Adjusted Purchase Price Amount is positive, then the Base Purchase Price shall be increased by the Adjusted Purchase Price Amount. If the Adjusted Purchase Price Amount is negative, then 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Base Purchase Price for Tax purposes.</w:t>
      </w:r>
    </w:p>
    <w:p>
      <w:pPr>
        <w:spacing w:after="0" w:line="173"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shall equal the number set forth in cell PP Adj Table Cell T9 of the Adjusted Purchase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Model.</w:t>
      </w:r>
    </w:p>
    <w:p>
      <w:pPr>
        <w:spacing w:after="0" w:line="20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i w:val="1"/>
          <w:iCs w:val="1"/>
          <w:color w:val="auto"/>
        </w:rPr>
        <w:t>Post-Closing Additional Turbine Adjustments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40" w:hanging="736"/>
        <w:spacing w:after="0"/>
        <w:tabs>
          <w:tab w:leader="none" w:pos="2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Closing Date there are no Additional Turbines, then the Base Purchase Price shall not be adjusted by this </w:t>
      </w:r>
      <w:r>
        <w:rPr>
          <w:rFonts w:ascii="Times New Roman" w:cs="Times New Roman" w:eastAsia="Times New Roman" w:hAnsi="Times New Roman"/>
          <w:sz w:val="18"/>
          <w:szCs w:val="18"/>
          <w:i w:val="1"/>
          <w:iCs w:val="1"/>
          <w:color w:val="auto"/>
        </w:rPr>
        <w:t>Section 2.05</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Closing Date there are any Additional Turbines, then:</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Purchase Price shall be decreased by an amount equal to the Additional Turbine Holdback Amount; and</w:t>
      </w:r>
    </w:p>
    <w:p>
      <w:pPr>
        <w:spacing w:after="0" w:line="22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6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there has been an adjustment to the Base Purchase Price pursuant to Section </w:t>
      </w:r>
      <w:r>
        <w:rPr>
          <w:rFonts w:ascii="Times New Roman" w:cs="Times New Roman" w:eastAsia="Times New Roman" w:hAnsi="Times New Roman"/>
          <w:sz w:val="18"/>
          <w:szCs w:val="18"/>
          <w:i w:val="1"/>
          <w:iCs w:val="1"/>
          <w:color w:val="auto"/>
        </w:rPr>
        <w:t>2.05(b)(i)</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there are any Additional Turbines that have been Placed in Service during the period between the Closing Date and the Additional Turbine Deadline, Purchaser shall calculate the Additional Turbine Funding Amount and, within five (5) Business Days after the Additional Turbine Deadline, Purchaser shall pay to Seller the Additional Turbine Funding Amount.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207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Additional Turbine Funding Amount</w:t>
      </w:r>
      <w:r>
        <w:rPr>
          <w:rFonts w:ascii="Times New Roman" w:cs="Times New Roman" w:eastAsia="Times New Roman" w:hAnsi="Times New Roman"/>
          <w:sz w:val="18"/>
          <w:szCs w:val="18"/>
          <w:color w:val="auto"/>
        </w:rPr>
        <w:t xml:space="preserve">” shall be an amount of money that is equal to the product of the Additional Turbine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Additional Turbines Placed in Service by the Additional Turbine Deadline.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color w:val="auto"/>
        </w:rPr>
        <w:t>. Notwithstanding anything herein to the contrary, in the event that anytime following the Final Completion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(if Purchaser receives any such payment separately and not from the Company or a Mesquite Sky Entity) or the Company or any Mesquite Sky Entity receives any payment with respect to any amounts released from any completion escrow account or any amounts released from adequate reserves established at or prior to the Closing Date in accordance with GAAP by the Company or any Mesquite Sky Entity, Purchaser and Seller agree that such amount shall be retained by, or immediately refunded to, Seller.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the Company and the Mesquite Sky Entities</w:t>
      </w:r>
      <w:r>
        <w:rPr>
          <w:rFonts w:ascii="Times New Roman" w:cs="Times New Roman" w:eastAsia="Times New Roman" w:hAnsi="Times New Roman"/>
          <w:sz w:val="18"/>
          <w:szCs w:val="18"/>
          <w:color w:val="auto"/>
        </w:rPr>
        <w:t>. Seller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warrants to Purchaser,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 xml:space="preserve">Section 3.01 </w:t>
      </w:r>
      <w:r>
        <w:rPr>
          <w:rFonts w:ascii="Times New Roman" w:cs="Times New Roman" w:eastAsia="Times New Roman" w:hAnsi="Times New Roman"/>
          <w:sz w:val="18"/>
          <w:szCs w:val="18"/>
          <w:color w:val="auto"/>
        </w:rPr>
        <w:t>and expressly stated to be made only as of a specified date shall be made solely as of such date:</w:t>
      </w:r>
    </w:p>
    <w:p>
      <w:pPr>
        <w:spacing w:after="0" w:line="171" w:lineRule="exact"/>
        <w:rPr>
          <w:sz w:val="20"/>
          <w:szCs w:val="20"/>
          <w:color w:val="auto"/>
        </w:rPr>
      </w:pPr>
    </w:p>
    <w:p>
      <w:pPr>
        <w:jc w:val="both"/>
        <w:ind w:firstLine="1304"/>
        <w:spacing w:after="0" w:line="268" w:lineRule="auto"/>
        <w:tabs>
          <w:tab w:leader="none" w:pos="20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The execution, delivery and performance of this Agreement by Seller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the Constitutive Documents of Seller or the Company or any material Contract to which Seller, or Company Contract to which the Company or the Mesquite Sky Entities,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Acquired Interests or assets or properties of the Company or the Mesquite Sky Entities;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Seller, the Company or the Mesquite Sky Entities or any rights or benefits are to be received by any Person, under any Contract to which Seller, the Company or the Mesquite Sky Entities is a party;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Approval is required on the part of Seller, the Company or the Mesquite Sky Entities in connection with the execution, delivery and performance of this Agreement or the consummation of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jc w:val="both"/>
        <w:ind w:firstLine="1304"/>
        <w:spacing w:after="0" w:line="255" w:lineRule="auto"/>
        <w:tabs>
          <w:tab w:leader="none" w:pos="20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for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the Company or the Mesquite Sky Entities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the Company or the Mesquite Sky Entities or any of their assets or properties (including the Project),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the Company or the Mesquite Sky Entities is subject to any Order which materially restricts the operation of its business or which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1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the Seller,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Mesquite Sky Entities for a finder’s fee, brokerage commission or similar payment directly or indirectly in connection with the transactions contemplated by this Agreement.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Neither Seller, the Company nor the Mesquite Sky Entities is or, to the Knowledge of Seller,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past six (6) years in material violation of any material Law or Order applicable to the Company, the Mesquite Sky Entities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None of Seller, the Company nor the Mesquite Sky Entities has received notice from any Governmental Authority of any material violation of any such Law.</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and the Mesquite Sky Entities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8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Mesquite Sky Entities are limited liability companies validly existing and in good standing under the Laws of Delaware, and each has full power and authority to conduct its business as and to the extent now conducted and to own, use and lease its assets. The Company and the Mesquite Sky Entities are duly qualified, licensed or admitted to do business and are in good standing in those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the Company’s assets and the Mesquite Sky Entities’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Agreement, all of the issued and outstanding equity interests of the Mesquite Sky Entities are owned directly or indirectly, beneficially and of record by the Company, free and clear of all Liens except as set forth in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Company and the Mesquite Sky Entities have been duly authorized, validly issued and are fully paid and non-assessable and have been issued in compliance with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ind w:left="660" w:firstLine="1292"/>
        <w:spacing w:after="0" w:line="282" w:lineRule="auto"/>
        <w:tabs>
          <w:tab w:leader="none" w:pos="280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the Company and the Mesquite Sky Entities, and the position with the Company or the Mesquite Sky Entities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304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the Company and the Mesquite Sky Entities as in effect on the date hereof.</w:t>
      </w:r>
    </w:p>
    <w:p>
      <w:pPr>
        <w:spacing w:after="0" w:line="159"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89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outstanding Options issued or granted by, or binding upon, the Company or the Mesquite Sky Entities for any Person to purchase or sell or otherwise acquire or dispose of any equity interest or other security or interest in the Company or the Mesquite Sky Entities other than as set forth under this Agreement. Except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Mesquite Sky Entities are subject to any voting trust or voting trust agreement, voting agreement, pledge agreement, buy-sell agreement, right of first refusal, preemptive right or proxy.</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8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i w:val="1"/>
          <w:iCs w:val="1"/>
          <w:color w:val="auto"/>
        </w:rPr>
        <w:t>Section 3.01(i)(ii)</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neither the Company nor the Mesquite Sky Entities have any subsidiaries, equity interests, interests in joint ventures or general or limited partnerships or other investment or portfolio assets of a similar nature.</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78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neither the Company nor the Mesquite Sky Entities conduct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business other than the development, ownership, operation and management of the Project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operations other than those incidental to the ownership, operation, and management of the Project.</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2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and the Mesquite Sky Entities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state in reasonable detail and accurately and fairly reflect the activities and transactions of the Company and the Mesquite Sky Entities.</w:t>
      </w:r>
    </w:p>
    <w:p>
      <w:pPr>
        <w:spacing w:after="0" w:line="17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7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Times New Roman" w:cs="Times New Roman" w:eastAsia="Times New Roman" w:hAnsi="Times New Roman"/>
          <w:sz w:val="18"/>
          <w:szCs w:val="18"/>
          <w:i w:val="1"/>
          <w:iCs w:val="1"/>
          <w:color w:val="auto"/>
        </w:rPr>
        <w:t>Schedule 3.01(i)(ix)</w:t>
      </w:r>
      <w:r>
        <w:rPr>
          <w:rFonts w:ascii="Times New Roman" w:cs="Times New Roman" w:eastAsia="Times New Roman" w:hAnsi="Times New Roman"/>
          <w:sz w:val="18"/>
          <w:szCs w:val="18"/>
          <w:color w:val="auto"/>
        </w:rPr>
        <w:t xml:space="preserve"> of the Disclosure Schedules.</w:t>
      </w:r>
    </w:p>
    <w:p>
      <w:pPr>
        <w:spacing w:after="0" w:line="177"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Neither the Company nor the Mesquite Sky Entities has any liability or obligation that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disclosed on a balance sheet prepared in accordance with GAAP, except for the liabilities and obligations of the Company or the Mesquite Sky Entities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do not and are not individually or in the aggregate reasonably expected to have a Material Adverse Effect,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0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date of formation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Mesquite Sky Entities, as applicable: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ind w:left="660" w:firstLine="1292"/>
        <w:spacing w:after="0" w:line="255" w:lineRule="auto"/>
        <w:tabs>
          <w:tab w:leader="none" w:pos="27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the Company or the Mesquite Sky Entities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the Mesquite Sky Entities (or income attributable thereto), and Seller, Affiliates of Seller, the Company and the Mesquite Sky Entities have paid, or made adequate provisions for the payment of, all Taxes, assessments and other charges due or claimed to be due (regardless of whether shown on any Tax Return) from the Company or the Mesquite Sky Entities or for which the Company, Mesquite Sky Entities or the Purchaser could be held liable.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92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or Proceedings currently pending or threatened in writing against the Company or the Mesquite Sky Entities or related to their business operations, by any Governmental Authority for the assessment or collection of Taxes, (ii) audits or other examinations of any Tax Return of the Company or the Mesquite Sky Entities (or income attributable thereto) in progress nor has Seller, any Affiliate of Seller, the Company or the Mesquite Sky Entities been notified in writing of any request for examination with respect to the Company or the Mesquite Sky Entities, (iii) claims for assessment or collection of Taxes that have been asserted in writing against Seller or any Affiliate of Seller with respect to the Company or the Mesquite Sky Entities, the Company or the Mesquite Sky Entities (or the income attributable thereto) or (iv) matters under discussion with any Governmental Authority regarding claims for assessment or collection of Taxes against the Company or the Mesquite Sky Entities (or income attributable thereto). There are no outstanding agreements, waivers or consents extending the statutory period of limitations applicable to any Tax of the Company or the Mesquite Sky Entities,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neither the Company nor the Mesquite Sky Entities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2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Mesquite Sky Entities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the Company or the Mesquite Sky Entities as other than a disregarded entity or partnership.</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3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Mesquite Sky Entities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entered into or been a party to any “listed transaction,” as defined in Section 1.6011-4(b)(2)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Regulations.</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71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property owned by either the Company or the Mesquite Sky Entities is “tax exempt use property” within the meaning of Section 168(h) of the Code or “tax exempt bond financed property” within the meaning of Code Section 168(g)(5).</w:t>
      </w:r>
    </w:p>
    <w:p>
      <w:pPr>
        <w:spacing w:after="0" w:line="157" w:lineRule="exact"/>
        <w:rPr>
          <w:rFonts w:ascii="Times New Roman" w:cs="Times New Roman" w:eastAsia="Times New Roman" w:hAnsi="Times New Roman"/>
          <w:sz w:val="18"/>
          <w:szCs w:val="18"/>
          <w:color w:val="auto"/>
        </w:rPr>
      </w:pPr>
    </w:p>
    <w:p>
      <w:pPr>
        <w:ind w:firstLine="1304"/>
        <w:spacing w:after="0" w:line="286" w:lineRule="auto"/>
        <w:tabs>
          <w:tab w:leader="none" w:pos="201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Neither the Company nor the Mesquite Sky Entities has, nor has ever had, any employees or any liability, actual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with respect to any Employee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ind w:left="980" w:hanging="796"/>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60" w:firstLine="1292"/>
        <w:spacing w:after="0" w:line="284" w:lineRule="auto"/>
        <w:tabs>
          <w:tab w:leader="none" w:pos="155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3.01(m)(i) </w:t>
      </w:r>
      <w:r>
        <w:rPr>
          <w:rFonts w:ascii="Times New Roman" w:cs="Times New Roman" w:eastAsia="Times New Roman" w:hAnsi="Times New Roman"/>
          <w:sz w:val="18"/>
          <w:szCs w:val="18"/>
          <w:color w:val="auto"/>
        </w:rPr>
        <w:t>of the Disclosure Schedules contains a true, correct and complete list of all Company Contracts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Execution Date, which includes as of such Execution Date:</w:t>
      </w:r>
    </w:p>
    <w:p>
      <w:pPr>
        <w:spacing w:after="0" w:line="160" w:lineRule="exact"/>
        <w:rPr>
          <w:rFonts w:ascii="Times New Roman" w:cs="Times New Roman" w:eastAsia="Times New Roman" w:hAnsi="Times New Roman"/>
          <w:sz w:val="18"/>
          <w:szCs w:val="18"/>
          <w:color w:val="auto"/>
        </w:rPr>
      </w:pPr>
    </w:p>
    <w:p>
      <w:pPr>
        <w:ind w:left="2720" w:hanging="1240"/>
        <w:spacing w:after="0"/>
        <w:tabs>
          <w:tab w:leader="none" w:pos="272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ancillary services or</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Attributes;</w:t>
      </w:r>
    </w:p>
    <w:p>
      <w:pPr>
        <w:spacing w:after="0" w:line="206"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25"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25" w:lineRule="exact"/>
        <w:rPr>
          <w:rFonts w:ascii="Times New Roman" w:cs="Times New Roman" w:eastAsia="Times New Roman" w:hAnsi="Times New Roman"/>
          <w:sz w:val="18"/>
          <w:szCs w:val="18"/>
          <w:color w:val="auto"/>
        </w:rPr>
      </w:pPr>
    </w:p>
    <w:p>
      <w:pPr>
        <w:ind w:left="2260" w:hanging="780"/>
        <w:spacing w:after="0"/>
        <w:tabs>
          <w:tab w:leader="none" w:pos="22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HASI or any of their respective Affiliates; and</w:t>
      </w:r>
    </w:p>
    <w:p>
      <w:pPr>
        <w:spacing w:after="0" w:line="225" w:lineRule="exact"/>
        <w:rPr>
          <w:rFonts w:ascii="Times New Roman" w:cs="Times New Roman" w:eastAsia="Times New Roman" w:hAnsi="Times New Roman"/>
          <w:sz w:val="18"/>
          <w:szCs w:val="18"/>
          <w:color w:val="auto"/>
        </w:rPr>
      </w:pPr>
    </w:p>
    <w:p>
      <w:pPr>
        <w:ind w:left="2300" w:hanging="820"/>
        <w:spacing w:after="0"/>
        <w:tabs>
          <w:tab w:leader="none" w:pos="23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the Company or the Mesquite Sky</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pacing w:after="0" w:line="206"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7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Company or the Mesquite Sky Entities party thereto and to the Knowledge of Seller, the other parties thereto, except as may be limited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6"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59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neither the Company nor the Mesquite Sky Entities or, to the Knowledge of Seller, the other parties thereto, is in material violation or material breach of or material default under any Company Contract to which it is a party.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85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any of the Mesquite Sky Entities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62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3.01(n)(i) </w:t>
      </w:r>
      <w:r>
        <w:rPr>
          <w:rFonts w:ascii="Times New Roman" w:cs="Times New Roman" w:eastAsia="Times New Roman" w:hAnsi="Times New Roman"/>
          <w:sz w:val="18"/>
          <w:szCs w:val="18"/>
          <w:color w:val="auto"/>
        </w:rPr>
        <w:t>of the Disclosure Schedules lists all Real Property Rights of the Company and the Mesquite Sky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real property in which the Company and the Mesquite Sky Entities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The Land is free and clear of all Liens except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Permitted Exceptions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disclosed in the Title Proforma.</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21" w:name="page122"/>
    <w:bookmarkEnd w:id="121"/>
    <w:p>
      <w:pPr>
        <w:jc w:val="both"/>
        <w:ind w:left="660" w:firstLine="1292"/>
        <w:spacing w:after="0" w:line="267" w:lineRule="auto"/>
        <w:tabs>
          <w:tab w:leader="none" w:pos="281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neither the Company nor the Mesquite Sky Entities has entered into any assignment, lease, license, sublease, easement or other agreement granting to any Person any right to the possession, use, occupancy or enjoyment of the Land.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3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Mesquite Sky Entities has caused or suffered to exist any easement, right-of-way, covenant, condition, restriction, reservation, license, agreement or other similar matter that would materially interfere with the operation of the Project or the business of the Company or the Mesquite Sky Entities in respect of the Real Property Rights, except as set forth on Part I of </w:t>
      </w:r>
      <w:r>
        <w:rPr>
          <w:rFonts w:ascii="Times New Roman" w:cs="Times New Roman" w:eastAsia="Times New Roman" w:hAnsi="Times New Roman"/>
          <w:sz w:val="18"/>
          <w:szCs w:val="18"/>
          <w:i w:val="1"/>
          <w:iCs w:val="1"/>
          <w:color w:val="auto"/>
        </w:rPr>
        <w:t xml:space="preserve">Schedule 3.01(n)(iii) </w:t>
      </w:r>
      <w:r>
        <w:rPr>
          <w:rFonts w:ascii="Times New Roman" w:cs="Times New Roman" w:eastAsia="Times New Roman" w:hAnsi="Times New Roman"/>
          <w:sz w:val="18"/>
          <w:szCs w:val="18"/>
          <w:color w:val="auto"/>
        </w:rPr>
        <w:t>of the Disclosure Schedules or in the Title Proforma.</w:t>
      </w:r>
    </w:p>
    <w:p>
      <w:pPr>
        <w:spacing w:after="0" w:line="177" w:lineRule="exact"/>
        <w:rPr>
          <w:rFonts w:ascii="Times New Roman" w:cs="Times New Roman" w:eastAsia="Times New Roman" w:hAnsi="Times New Roman"/>
          <w:sz w:val="18"/>
          <w:szCs w:val="18"/>
          <w:color w:val="auto"/>
        </w:rPr>
      </w:pPr>
    </w:p>
    <w:p>
      <w:pPr>
        <w:ind w:left="660" w:firstLine="1292"/>
        <w:spacing w:after="0" w:line="284" w:lineRule="auto"/>
        <w:tabs>
          <w:tab w:leader="none" w:pos="270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Company and the Mesquite Sky Entities to develop, construct, own and operate the Project.</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86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the Company or the Mesquite Sky Entities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As of the Closing Date, Seller has provided to Purchaser a true and correct copy of the Title Policy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Rights. The Real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w:t>
      </w:r>
    </w:p>
    <w:p>
      <w:pPr>
        <w:spacing w:after="0" w:line="17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6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Company and the Mesquite Sky Entities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Project or the Land.</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9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(solely in respect of the Project, the Company or the Mesquite Sky Entities), the Company or the Mesquite Sky Entities relating to any material violation of Environmental Law. None of Seller, the Company or the Mesquite Sky Entities has received written notice from any Governmental Authority of any material violation of any Environmental Law in respect of the Project, the Company or the Mesquite Sky Entities (other than those violations that have been resolved or remedied).</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316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sets forth all material Permits required pursuant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Law to be acquired or held by or for the benefit of Seller, the Company or the Mesquite Sky Entities for the development, construction, ownership, use or operation of the Land or the business of the Company and the Mesquite Sky Entities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2" w:name="page123"/>
    <w:bookmarkEnd w:id="122"/>
    <w:p>
      <w:pPr>
        <w:jc w:val="both"/>
        <w:ind w:left="660" w:firstLine="1292"/>
        <w:spacing w:after="0" w:line="258" w:lineRule="auto"/>
        <w:tabs>
          <w:tab w:leader="none" w:pos="275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Company and the Mesquite Sky Entities as currently conducted that would be reasonably expected to trigger any obligation of Seller, the Company or the Mesquite Sky Entities under Environmental Laws to report, investigate, remove or remediate such Release.</w:t>
      </w:r>
    </w:p>
    <w:p>
      <w:pPr>
        <w:spacing w:after="0" w:line="185"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769"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the Company or the Mesquite Sky Entities and that relate to actual or potential material liabilities or obligations under Environmental Laws with respect to the Project or the Land.</w:t>
      </w:r>
    </w:p>
    <w:p>
      <w:pPr>
        <w:spacing w:after="0" w:line="17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2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3.01(q)(i) </w:t>
      </w:r>
      <w:r>
        <w:rPr>
          <w:rFonts w:ascii="Times New Roman" w:cs="Times New Roman" w:eastAsia="Times New Roman" w:hAnsi="Times New Roman"/>
          <w:sz w:val="18"/>
          <w:szCs w:val="18"/>
          <w:color w:val="auto"/>
        </w:rPr>
        <w:t>of the Disclosure Schedules sets forth all material Permits required pursuant to any Law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or held by or for the benefit of Seller, the Company or the Mesquite Sky Entities in connection with the development, construction, ownership, maintenance, or operation of the Project,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or those of a type that are routinely granted on application and for which none of Seller, the Company or the Mesquite Sky Entities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the Company or the Mesquite Sky Entities.</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89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hereof, Seller, the Company and the Mesquite Sky Entities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subject to any Action or Proceeding or unsatisfied condition, in each case of clause (i) and</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remedied or resolved.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801"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7"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3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under Company Contracts entered into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this Agreement, there are no existing or pending transactions, Contracts or Liabilities between or among the Company or the Mesquite Sky Entity on the one hand, and Seller or any of Seller’s Affiliates on the other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3" w:name="page124"/>
    <w:bookmarkEnd w:id="123"/>
    <w:p>
      <w:pPr>
        <w:ind w:left="2040" w:hanging="736"/>
        <w:spacing w:after="0"/>
        <w:tabs>
          <w:tab w:leader="none" w:pos="2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6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Company or the Mesquite Sky Entities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Company or the Mesquite Sky Entities and which is owned by any third party and which, in each case, would reasonably be expected to have a Material Adverse Effect.</w:t>
      </w:r>
    </w:p>
    <w:p>
      <w:pPr>
        <w:spacing w:after="0" w:line="184"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1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Mesquite Sky Entities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1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Company or the Mesquite Sky Entities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correct and complete list of all insurance policies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this Agreement that insure the assets and properties and business of the Company or the Mesquite Sky Entities or affect or relate to the ownership of any of the assets and properties the Company or the Mesquite Sky Entities.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the Company or the Mesquite Sky Entities has received any notice with respect to the assets and properties and business of the Company or the Mesquite Sky Entities from any insurer under any insurance policy applicable to the assets and properties and business of the Company or the Mesquite Sky Entities disclaiming coverage, reserving rights with respect to a particular claim or such policy in general or canceling any such policy. All premiums due and payable under all such policies have been paid and the terms of such policies have been complied with by Seller, the Company and the Mesquite Sky Entities, as applicable, in all material respects. The insurance maintained by or on behalf of the Company or the Mesquite Sky Entities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2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Seller has previously delivered to Purchaser true, correct and complete copies of the most recent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(the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of the Company and the Mesquite Sky Entities on a consolidated basis for the quarter ended November 30, 2020 (the “</w:t>
      </w:r>
      <w:r>
        <w:rPr>
          <w:rFonts w:ascii="Times New Roman" w:cs="Times New Roman" w:eastAsia="Times New Roman" w:hAnsi="Times New Roman"/>
          <w:sz w:val="18"/>
          <w:szCs w:val="18"/>
          <w:i w:val="1"/>
          <w:iCs w:val="1"/>
          <w:color w:val="auto"/>
        </w:rPr>
        <w:t>Balance Sheet Date</w:t>
      </w:r>
      <w:r>
        <w:rPr>
          <w:rFonts w:ascii="Times New Roman" w:cs="Times New Roman" w:eastAsia="Times New Roman" w:hAnsi="Times New Roman"/>
          <w:sz w:val="18"/>
          <w:szCs w:val="18"/>
          <w:color w:val="auto"/>
        </w:rPr>
        <w:t>”). The Balance Sheet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presents, in all material respects, the consolidated financial position and consolidated results of operations of the Company and the Mesquite Sky Entities, as of the Balance Sheet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has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been prepared from the books and records of the Company and the Mesquite Sky Entities.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ind w:firstLine="1304"/>
        <w:spacing w:after="0" w:line="286" w:lineRule="auto"/>
        <w:tabs>
          <w:tab w:leader="none" w:pos="22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indicated in subparagraph (vii) below) until the date of this Agreement, there has not been:</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89" w:lineRule="auto"/>
        <w:tabs>
          <w:tab w:leader="none" w:pos="266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repurchase, redemption or other acquisition of any equity interests of the Company or the Mesquite Sky Entities or any interests convertible into equity interests of the Company or the Mesquite Sky Entities or any other change in the capitalization or ownership of the Company or the Mesquite Sky Entities, other than as permitted pursuant to the terms and subject to the conditions of </w:t>
      </w:r>
      <w:r>
        <w:rPr>
          <w:rFonts w:ascii="Times New Roman" w:cs="Times New Roman" w:eastAsia="Times New Roman" w:hAnsi="Times New Roman"/>
          <w:sz w:val="17"/>
          <w:szCs w:val="17"/>
          <w:i w:val="1"/>
          <w:iCs w:val="1"/>
          <w:color w:val="auto"/>
        </w:rPr>
        <w:t>Section 5.12(a)</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jc w:val="both"/>
        <w:ind w:left="660" w:firstLine="1292"/>
        <w:spacing w:after="0" w:line="266" w:lineRule="auto"/>
        <w:tabs>
          <w:tab w:leader="none" w:pos="269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Company or the Mesquite Sky Entities into or with any other Person, consolidation of the Company or the Mesquite Sky Entities with any other Person or acquisition by the Company or the Mesquite Sky Entities of all or substantially all of the business or assets of any Person;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5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the Company or the Mesquite Sky Entities or any commitment entered into by any member of the Company or the Mesquite Sky Entities with respect to or in contemplation of any liquidation, dissolution, recapitalization, reorganization or other winding up of its business or operations;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8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the Company or the Mesquite Sky Entities, except as required under GAAP;</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81" w:lineRule="auto"/>
        <w:tabs>
          <w:tab w:leader="none" w:pos="266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as permitted pursuant to the terms and subject to the conditions of </w:t>
      </w:r>
      <w:r>
        <w:rPr>
          <w:rFonts w:ascii="Times New Roman" w:cs="Times New Roman" w:eastAsia="Times New Roman" w:hAnsi="Times New Roman"/>
          <w:sz w:val="17"/>
          <w:szCs w:val="17"/>
          <w:i w:val="1"/>
          <w:iCs w:val="1"/>
          <w:color w:val="auto"/>
        </w:rPr>
        <w:t>Section 5.12(a)</w:t>
      </w:r>
      <w:r>
        <w:rPr>
          <w:rFonts w:ascii="Times New Roman" w:cs="Times New Roman" w:eastAsia="Times New Roman" w:hAnsi="Times New Roman"/>
          <w:sz w:val="17"/>
          <w:szCs w:val="17"/>
          <w:color w:val="auto"/>
        </w:rPr>
        <w:t>; or</w:t>
      </w:r>
    </w:p>
    <w:p>
      <w:pPr>
        <w:spacing w:after="0" w:line="164" w:lineRule="exact"/>
        <w:rPr>
          <w:rFonts w:ascii="Times New Roman" w:cs="Times New Roman" w:eastAsia="Times New Roman" w:hAnsi="Times New Roman"/>
          <w:sz w:val="17"/>
          <w:szCs w:val="17"/>
          <w:color w:val="auto"/>
        </w:rPr>
      </w:pPr>
    </w:p>
    <w:p>
      <w:pPr>
        <w:ind w:left="660" w:firstLine="1292"/>
        <w:spacing w:after="0" w:line="282" w:lineRule="auto"/>
        <w:tabs>
          <w:tab w:leader="none" w:pos="26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the Company or the Mesquite Sky Entities that would reasonably be expected to have, individually or in the aggregate, a Material Adverse Effect.</w:t>
      </w:r>
    </w:p>
    <w:p>
      <w:pPr>
        <w:spacing w:after="0" w:line="158" w:lineRule="exact"/>
        <w:rPr>
          <w:sz w:val="20"/>
          <w:szCs w:val="20"/>
          <w:color w:val="auto"/>
        </w:rPr>
      </w:pPr>
    </w:p>
    <w:p>
      <w:pPr>
        <w:jc w:val="both"/>
        <w:ind w:firstLine="1304"/>
        <w:spacing w:after="0" w:line="268" w:lineRule="auto"/>
        <w:tabs>
          <w:tab w:leader="none" w:pos="19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the names and locations of banks, trust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financial institutions at which the Company or the Mesquite Sky Entities maintain bank accounts or safe deposit boxes, in each case listing the type of account, the account number, and the names of all Persons authorized to draw thereupon or who have access thereto.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ind w:left="2060" w:hanging="756"/>
        <w:spacing w:after="0"/>
        <w:tabs>
          <w:tab w:leader="none" w:pos="2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1292"/>
        <w:spacing w:after="0" w:line="282" w:lineRule="auto"/>
        <w:tabs>
          <w:tab w:leader="none" w:pos="29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Company is an “exempt wholesale generator,” as such term is defined in PUHCA. As an “exempt wholesale generator,” the Project Company is exempt from PUHCA to the extent provided for in 18 C.F.R. § 366.7(e).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7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each of the Mesquite Sky Entities other than the Project Company will become a “holding company,” as defined in PUHCA, solely with respect to its direct or indirect, as applicable, ownership of the Project Company and, therefore, Company and each of the Mesquite Sky Entities other than the Project Company is entitled to the exemptions and waivers set forth in at 18 C.F.R. § 366.3(a). The Project Company is not a “holding company.”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Purchaser, solely by virtue of its indirect ownership of the Project Company, will not be subject to, or will not lose the exemption from, (A) FERC regulation as an “electric utility company,” a “public-utility company,” or a “holding company,” or an “affiliate” or “subsidiary company” as defined under PUHCA, (B) as “public utility” under the FPA, and (C) PUCT regulation as an “electric utility,” “public utility,” “utility,” “transmission and distribution utility,” or “retail electric provider” under PURA.</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7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Mesquite Sky Entities is subject to regulation as a “public utility” as that term is defined under FPA Section 201(e).</w:t>
      </w:r>
    </w:p>
    <w:p>
      <w:pPr>
        <w:spacing w:after="0" w:line="158"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the Support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3" w:lineRule="exact"/>
        <w:rPr>
          <w:sz w:val="20"/>
          <w:szCs w:val="20"/>
          <w:color w:val="auto"/>
        </w:rPr>
      </w:pPr>
    </w:p>
    <w:p>
      <w:pPr>
        <w:jc w:val="both"/>
        <w:ind w:firstLine="1304"/>
        <w:spacing w:after="0" w:line="259" w:lineRule="auto"/>
        <w:tabs>
          <w:tab w:leader="none" w:pos="231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To the Knowledge of Seller, no representation or warranty by Seller contained in this Agreement,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contained in the Disclosure Schedules or any other document, certificate or other instrument delivered to or to be delivered by or on behalf of Seller, the Company or the Mesquite Sky Entities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79" w:lineRule="exact"/>
        <w:rPr>
          <w:sz w:val="20"/>
          <w:szCs w:val="20"/>
          <w:color w:val="auto"/>
        </w:rPr>
      </w:pPr>
    </w:p>
    <w:p>
      <w:pPr>
        <w:jc w:val="both"/>
        <w:ind w:firstLine="1304"/>
        <w:spacing w:after="0" w:line="268" w:lineRule="auto"/>
        <w:tabs>
          <w:tab w:leader="none" w:pos="20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Agreement as of the Execution Date. As of the Closing Date, Seller has made available to Purchaser true, correct and complete copies of all Reports that were not made available to Purchaser on the Execution Date.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Company and the Mesquite Sky Entities, which are reflected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are consistent in all material respects with Prudent Industry Practices,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reflect all material payments to be made by the Company or the Mesquite Sky Entities to Sellers or its Affiliates.</w:t>
      </w:r>
    </w:p>
    <w:p>
      <w:pPr>
        <w:spacing w:after="0" w:line="17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FOR THE WARRANTIES SET FORTH HEREIN, THE ACQUIRED INTERESTS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BEING SOLD HEREUNDER ON AN “AS IS,” “WHERE IS” BASIS. THE WARRANTIES SET FORTH HEREIN ARE EXCLUSIVE AND ARE IN LIEU OF ALL OTHER WARRANTIES, WHETHER STATUTORY, WRITTEN OR ORAL, EXPRESS OR IMPLIED; SELLER PROVIDES NO OTHER WARRANTIES WITH RESPECT TO THE ACQUIRED INTERESTS, THE COMPANY, THE PROJECT, THE MESQUITE SKY ENTITIES, THE ASSETS OF THE COMPANY, OR THE ASSETS OF THE MESQUITE SKY ENTITIES,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COMPANY, THE PROJECT, THE MESQUITE SKY ENTITIES, THE ASSETS OF THE COMPANY, THE ASSETS OF THE MESQUITE SKY ENTITIES OR THE ACQUIRED INTERESTS.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with Respect to Purchaser</w:t>
      </w:r>
    </w:p>
    <w:p>
      <w:pPr>
        <w:spacing w:after="0" w:line="227" w:lineRule="exact"/>
        <w:rPr>
          <w:sz w:val="20"/>
          <w:szCs w:val="20"/>
          <w:color w:val="auto"/>
        </w:rPr>
      </w:pPr>
    </w:p>
    <w:p>
      <w:pPr>
        <w:ind w:right="20" w:firstLine="8"/>
        <w:spacing w:after="0" w:line="284" w:lineRule="auto"/>
        <w:tabs>
          <w:tab w:leader="none" w:pos="9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hereby represents to Seller 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56"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1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limited liability company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8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or proceedings necessary to authorize the execution and delivery by Purchaser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7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except as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1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Permit is required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7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ind w:firstLine="1304"/>
        <w:spacing w:after="0" w:line="255" w:lineRule="auto"/>
        <w:tabs>
          <w:tab w:leader="none" w:pos="225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4" w:lineRule="exact"/>
        <w:rPr>
          <w:rFonts w:ascii="Times New Roman" w:cs="Times New Roman" w:eastAsia="Times New Roman" w:hAnsi="Times New Roman"/>
          <w:sz w:val="18"/>
          <w:szCs w:val="18"/>
          <w:color w:val="auto"/>
        </w:rPr>
      </w:pPr>
    </w:p>
    <w:p>
      <w:pPr>
        <w:ind w:firstLine="1304"/>
        <w:spacing w:after="0" w:line="286" w:lineRule="auto"/>
        <w:tabs>
          <w:tab w:leader="none" w:pos="20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 Person has any claim against Purchaser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brokerage commission or similar payment directly or indirectly in connection with the transactions contemplated by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which have already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no Governmental Approval is required on the part of Purchaser in connection with the execution, delivery and performance of this Agreement or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right="20" w:firstLine="1304"/>
        <w:spacing w:after="0" w:line="286" w:lineRule="auto"/>
        <w:tabs>
          <w:tab w:leader="none" w:pos="20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aggregate reasonably be expected to have a material adverse effect on Purchaser’s ability to satisfy its obligations under this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9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Purchaser, or its Representatives, have had the opportunity to conduct all such due diligence investigations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Acquired Interests, the Company, the Mesquite Sky Entities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w:t>
      </w:r>
      <w:r>
        <w:rPr>
          <w:rFonts w:ascii="Times New Roman" w:cs="Times New Roman" w:eastAsia="Times New Roman" w:hAnsi="Times New Roman"/>
          <w:sz w:val="18"/>
          <w:szCs w:val="18"/>
          <w:color w:val="auto"/>
        </w:rPr>
        <w:t>. The obligations of the Parties to sell and purchase, respectively, the Acquired Interests are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fulfillment (or waiver by the applicable Party), at or before the Closing, by the applicable Party of each of the following conditions:</w:t>
      </w:r>
    </w:p>
    <w:p>
      <w:pPr>
        <w:spacing w:after="0" w:line="155" w:lineRule="exact"/>
        <w:rPr>
          <w:sz w:val="20"/>
          <w:szCs w:val="20"/>
          <w:color w:val="auto"/>
        </w:rPr>
      </w:pPr>
    </w:p>
    <w:p>
      <w:pPr>
        <w:ind w:left="2000" w:hanging="696"/>
        <w:spacing w:after="0"/>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Equity Funding</w:t>
      </w:r>
      <w:r>
        <w:rPr>
          <w:rFonts w:ascii="Times New Roman" w:cs="Times New Roman" w:eastAsia="Times New Roman" w:hAnsi="Times New Roman"/>
          <w:sz w:val="18"/>
          <w:szCs w:val="18"/>
          <w:color w:val="auto"/>
        </w:rPr>
        <w:t>. The Tax Equity Funding Date shall have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All consents of Purchaser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and all approvals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the Purchaser; and all Seller Approvals and Seller Consents shall have been obtained by the Seller and shall in each case be in full force and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both"/>
        <w:ind w:firstLine="1304"/>
        <w:spacing w:after="0" w:line="262" w:lineRule="auto"/>
        <w:tabs>
          <w:tab w:leader="none" w:pos="249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in all material respects (except for any of such representations and warranties that are qualified by materiality, including by reference to Material Adverse Effect,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203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7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or would reasonably be expected to result in a Material Adverse Effect.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true and correct in all material respects (except for any of such representations and warranties that are qualified by materiality, which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2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at or before the Closing Date have been duly performed or complied with in all material respects.</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4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Seller shall have delivered to the Purchaser a certificate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Purchaser, certifying that the transactions contemplated by this Agreement are exempt from withholding under Code Sections 1445 and 1446(f).</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26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HASI Purchase Agreement</w:t>
      </w:r>
      <w:r>
        <w:rPr>
          <w:rFonts w:ascii="Times New Roman" w:cs="Times New Roman" w:eastAsia="Times New Roman" w:hAnsi="Times New Roman"/>
          <w:sz w:val="18"/>
          <w:szCs w:val="18"/>
          <w:color w:val="auto"/>
        </w:rPr>
        <w:t>. HASI shall, simultaneously with or prior to the Closing, have closed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Units (other than the Acquired Interests) pursuant to the HASI Purchase Agreement.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4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Drop-Down Assignment</w:t>
      </w:r>
      <w:r>
        <w:rPr>
          <w:rFonts w:ascii="Times New Roman" w:cs="Times New Roman" w:eastAsia="Times New Roman" w:hAnsi="Times New Roman"/>
          <w:sz w:val="18"/>
          <w:szCs w:val="18"/>
          <w:color w:val="auto"/>
        </w:rPr>
        <w:t>. Each of Purchaser and the Master JV HoldCo shall have delivered executed counterparts to the Drop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Assignment &amp; Assumption Agreement, to be held in escrow and released immediately following the Closing.</w:t>
      </w:r>
    </w:p>
    <w:p>
      <w:pPr>
        <w:spacing w:after="0" w:line="154"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Certain Agreements</w:t>
      </w:r>
      <w:r>
        <w:rPr>
          <w:rFonts w:ascii="Times New Roman" w:cs="Times New Roman" w:eastAsia="Times New Roman" w:hAnsi="Times New Roman"/>
          <w:sz w:val="18"/>
          <w:szCs w:val="18"/>
          <w:color w:val="auto"/>
        </w:rPr>
        <w:t>. The agreement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Schedule 4.01(m)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been amended as provided in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schedule.</w:t>
      </w:r>
    </w:p>
    <w:p>
      <w:pPr>
        <w:spacing w:after="0" w:line="202"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firstLine="1304"/>
        <w:spacing w:after="0" w:line="254" w:lineRule="auto"/>
        <w:tabs>
          <w:tab w:leader="none" w:pos="21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Other Ancillary Documents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certificate, dated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 duly executed counterpart to the Certain Seller Proceeds Agreement, to be held in escrow and released immediately following the Drop Down;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the Title Policy consistent with the Title Proforma in all material respects; and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copies of all recorded documents referred to, or listed as exceptions to title in, the Title Policy and a copy of all other material documents affecting the Real Property Rights.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 executed counterpart to the Build-Out Agreement executed by the Project Company, TE HoldCo, and Clearway Energy Operating LLC, to be held in escrow and released immediately following the Closing;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 executed counterpart to the Certain Seller Proceeds Agreement, executed by the Master JV HoldCo, to be held in escrow and released immediately following the Drop Down.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Seller shall, or shall cause the Company and the Mesquite Sky Entities to, as promptly as practicable,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(A) prior to the first sale of test power from the Project, Project Company shall have obtained EWG status and (B) Project Company shall register as a Power Generation Company and certify as a REC generator pursuant to the requirements of PURA.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the Company, the Mesquite Sky Entities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Company and the Mesquite Sky Entities, the Acquired Interests or the Project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Company, the Mesquite Sky Entities or the Project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Company or the Mesquite Sky Entities or their properties without the prior written consent of Seller.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5.03.</w:t>
      </w:r>
      <w:r>
        <w:rPr>
          <w:sz w:val="20"/>
          <w:szCs w:val="20"/>
          <w:color w:val="auto"/>
        </w:rPr>
        <w:tab/>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(but not the obligation) to deliver to Purchaser, not later than ten</w:t>
      </w:r>
    </w:p>
    <w:p>
      <w:pPr>
        <w:spacing w:after="0" w:line="31" w:lineRule="exact"/>
        <w:rPr>
          <w:sz w:val="20"/>
          <w:szCs w:val="20"/>
          <w:color w:val="auto"/>
        </w:rPr>
      </w:pPr>
    </w:p>
    <w:p>
      <w:pPr>
        <w:jc w:val="both"/>
        <w:ind w:firstLine="8"/>
        <w:spacing w:after="0" w:line="251" w:lineRule="auto"/>
        <w:tabs>
          <w:tab w:leader="none" w:pos="3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exercise of any Land Option by the applicable counterparty, Seller shall be entitled to supplement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with respect to the Real Property Right Seller acquired in accordance with such Land Option (each such update, a “</w:t>
      </w:r>
      <w:r>
        <w:rPr>
          <w:rFonts w:ascii="Times New Roman" w:cs="Times New Roman" w:eastAsia="Times New Roman" w:hAnsi="Times New Roman"/>
          <w:sz w:val="18"/>
          <w:szCs w:val="18"/>
          <w:i w:val="1"/>
          <w:iCs w:val="1"/>
          <w:color w:val="auto"/>
        </w:rPr>
        <w:t>Land Option Schedule Supplement</w:t>
      </w:r>
      <w:r>
        <w:rPr>
          <w:rFonts w:ascii="Times New Roman" w:cs="Times New Roman" w:eastAsia="Times New Roman" w:hAnsi="Times New Roman"/>
          <w:sz w:val="18"/>
          <w:szCs w:val="18"/>
          <w:color w:val="auto"/>
        </w:rPr>
        <w:t xml:space="preserve">”), and the Disclosure Schedules shall be deemed to be modified, supplemented and amended for all purposes hereunder.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with respect to such item.</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5.04.</w:t>
      </w:r>
      <w:r>
        <w:rPr>
          <w:sz w:val="20"/>
          <w:szCs w:val="20"/>
          <w:color w:val="auto"/>
        </w:rPr>
        <w:tab/>
      </w:r>
      <w:r>
        <w:rPr>
          <w:rFonts w:ascii="Times New Roman" w:cs="Times New Roman" w:eastAsia="Times New Roman" w:hAnsi="Times New Roman"/>
          <w:sz w:val="17"/>
          <w:szCs w:val="17"/>
          <w:b w:val="1"/>
          <w:bCs w:val="1"/>
          <w:i w:val="1"/>
          <w:iCs w:val="1"/>
          <w:color w:val="auto"/>
        </w:rPr>
        <w:t>Conduct of Business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Seller shall cause the Company and each Mesquite Sky Entity to operate and carry on its business in the ordinary course and substantially as operated prior to the date of this Agreement. Without limiting the foregoing, Seller shall cause the Company and each Mesquite Sky Entity to perform in all material respects the Company Contracts to which the Company or such Mesquite Sky Entity is a party and use commercially reasonable efforts consistent with good business practice to preserve the goodwill of the suppliers, contractors, lenders, Governmental Authorities, licensors, customers, distributors and others having business relations with the Company and the Mesquite Sky Entities.</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as would not be reasonably likely to cause a Major Project Change (with respect to clauses (vi), (vii), (ix) and (xiv)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the Company and each Mesquite Sky Entity not to:</w:t>
      </w:r>
    </w:p>
    <w:p>
      <w:pPr>
        <w:spacing w:after="0" w:line="181" w:lineRule="exact"/>
        <w:rPr>
          <w:rFonts w:ascii="Times New Roman" w:cs="Times New Roman" w:eastAsia="Times New Roman" w:hAnsi="Times New Roman"/>
          <w:sz w:val="18"/>
          <w:szCs w:val="18"/>
          <w:color w:val="auto"/>
        </w:rPr>
      </w:pPr>
    </w:p>
    <w:p>
      <w:pPr>
        <w:ind w:left="660" w:firstLine="1292"/>
        <w:spacing w:after="0" w:line="282" w:lineRule="auto"/>
        <w:tabs>
          <w:tab w:leader="none" w:pos="276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6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jc w:val="both"/>
        <w:ind w:firstLine="1292"/>
        <w:spacing w:after="0" w:line="258" w:lineRule="auto"/>
        <w:tabs>
          <w:tab w:leader="none" w:pos="217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a distribution by the Company to Seller of up to Thirty-Nine Million, Five Hundred Thousand Dollars ($39,500,000) from the proceeds received by Class B HoldCo from the closing of the debt financing under the Financing Agreement;</w:t>
      </w:r>
    </w:p>
    <w:p>
      <w:pPr>
        <w:spacing w:after="0" w:line="183" w:lineRule="exact"/>
        <w:rPr>
          <w:rFonts w:ascii="Times New Roman" w:cs="Times New Roman" w:eastAsia="Times New Roman" w:hAnsi="Times New Roman"/>
          <w:sz w:val="18"/>
          <w:szCs w:val="18"/>
          <w:color w:val="auto"/>
        </w:rPr>
      </w:pPr>
    </w:p>
    <w:p>
      <w:pPr>
        <w:ind w:right="20" w:firstLine="1292"/>
        <w:spacing w:after="0" w:line="282" w:lineRule="auto"/>
        <w:tabs>
          <w:tab w:leader="none" w:pos="21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enter into any commitment with respect to or in contemplation of any liquidation, dissolution, recapitalization, reorganization, or other winding up of business or operations;</w:t>
      </w:r>
    </w:p>
    <w:p>
      <w:pPr>
        <w:spacing w:after="0" w:line="161"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or establish any new accounts with financial institutions;</w:t>
      </w:r>
    </w:p>
    <w:p>
      <w:pPr>
        <w:spacing w:after="0" w:line="225" w:lineRule="exact"/>
        <w:rPr>
          <w:rFonts w:ascii="Times New Roman" w:cs="Times New Roman" w:eastAsia="Times New Roman" w:hAnsi="Times New Roman"/>
          <w:sz w:val="18"/>
          <w:szCs w:val="18"/>
          <w:color w:val="auto"/>
        </w:rPr>
      </w:pPr>
    </w:p>
    <w:p>
      <w:pPr>
        <w:ind w:left="2080" w:hanging="788"/>
        <w:spacing w:after="0"/>
        <w:tabs>
          <w:tab w:leader="none" w:pos="2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business or operations, except such changes as may be required to comply with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6" w:lineRule="exact"/>
        <w:rPr>
          <w:rFonts w:ascii="Times New Roman" w:cs="Times New Roman" w:eastAsia="Times New Roman" w:hAnsi="Times New Roman"/>
          <w:sz w:val="18"/>
          <w:szCs w:val="18"/>
          <w:color w:val="auto"/>
        </w:rPr>
      </w:pPr>
    </w:p>
    <w:p>
      <w:pPr>
        <w:ind w:right="20" w:firstLine="1292"/>
        <w:spacing w:after="0" w:line="282" w:lineRule="auto"/>
        <w:tabs>
          <w:tab w:leader="none" w:pos="20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capital expenditures (or enter into any Contracts in respect of material capital expenditures) other than as contemplated by the Company Contracts;</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207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Company or any Mesquite Sky Entity into or with any other Person or consolidate Company or any Mesquite Sky Entity with any other Person;</w:t>
      </w:r>
    </w:p>
    <w:p>
      <w:pPr>
        <w:spacing w:after="0" w:line="161" w:lineRule="exact"/>
        <w:rPr>
          <w:rFonts w:ascii="Times New Roman" w:cs="Times New Roman" w:eastAsia="Times New Roman" w:hAnsi="Times New Roman"/>
          <w:sz w:val="18"/>
          <w:szCs w:val="18"/>
          <w:color w:val="auto"/>
        </w:rPr>
      </w:pPr>
    </w:p>
    <w:p>
      <w:pPr>
        <w:ind w:left="2040" w:hanging="748"/>
        <w:spacing w:after="0"/>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for the purchase of real property or any interests therein;</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21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161" w:lineRule="exact"/>
        <w:rPr>
          <w:rFonts w:ascii="Times New Roman" w:cs="Times New Roman" w:eastAsia="Times New Roman" w:hAnsi="Times New Roman"/>
          <w:sz w:val="18"/>
          <w:szCs w:val="18"/>
          <w:color w:val="auto"/>
        </w:rPr>
      </w:pPr>
    </w:p>
    <w:p>
      <w:pPr>
        <w:jc w:val="both"/>
        <w:ind w:firstLine="1292"/>
        <w:spacing w:after="0" w:line="266" w:lineRule="auto"/>
        <w:tabs>
          <w:tab w:leader="none" w:pos="20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75" w:lineRule="exact"/>
        <w:rPr>
          <w:rFonts w:ascii="Times New Roman" w:cs="Times New Roman" w:eastAsia="Times New Roman" w:hAnsi="Times New Roman"/>
          <w:sz w:val="18"/>
          <w:szCs w:val="18"/>
          <w:color w:val="auto"/>
        </w:rPr>
      </w:pPr>
    </w:p>
    <w:p>
      <w:pPr>
        <w:jc w:val="both"/>
        <w:ind w:firstLine="1292"/>
        <w:spacing w:after="0" w:line="258" w:lineRule="auto"/>
        <w:tabs>
          <w:tab w:leader="none" w:pos="22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any Indebtedness arising from the Financing Agreement, any of the Financing Documents or the Morgan Stanley Capital Hedge (as defined in the Disclosure Schedules);</w:t>
      </w:r>
    </w:p>
    <w:p>
      <w:pPr>
        <w:spacing w:after="0" w:line="183"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Person, except in the ordinary course of business consistent with past practice;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2" w:name="page133"/>
    <w:bookmarkEnd w:id="132"/>
    <w:p>
      <w:pPr>
        <w:jc w:val="both"/>
        <w:ind w:left="660" w:firstLine="1292"/>
        <w:spacing w:after="0" w:line="266" w:lineRule="auto"/>
        <w:tabs>
          <w:tab w:leader="none" w:pos="279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Mesquite Sky Entity;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or practices (including any change in depreciation or amortization policies) of Company or any Mesquite Sky Entity, except as required under Seller’s GAAP or revalue any of the Company’s or any Mesquite Sky Entity’s assets;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surrender any right to claim a refund of Taxes, consent to any extension or waiver of the limitation period applicable to any material Tax claim or assessment relating to Company or the Mesquite Sky Entities, or take any other similar action relating to the filing of any Tax Return or the payment of any Tax;</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7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employees or adopt any Employee Plans;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w:t>
      </w:r>
    </w:p>
    <w:p>
      <w:pPr>
        <w:spacing w:after="0" w:line="22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coverage substantially equivalent to its insurance coverage as in effect on the date hereof;</w:t>
      </w:r>
    </w:p>
    <w:p>
      <w:pPr>
        <w:spacing w:after="0" w:line="223"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inconsistent with </w:t>
      </w:r>
      <w:r>
        <w:rPr>
          <w:rFonts w:ascii="Times New Roman" w:cs="Times New Roman" w:eastAsia="Times New Roman" w:hAnsi="Times New Roman"/>
          <w:sz w:val="18"/>
          <w:szCs w:val="18"/>
          <w:i w:val="1"/>
          <w:iCs w:val="1"/>
          <w:color w:val="auto"/>
        </w:rPr>
        <w:t>Schedule 5.04(b)(xxiii)</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Seller may permit the Mesquite Sky Entities to take commercially reasonable actions with respect to emergency situations so long as Seller shall, upon receipt of notice of any such actions, promptly inform Purchaser of any such actions taken outside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firstLine="1304"/>
        <w:spacing w:after="0" w:line="284" w:lineRule="auto"/>
        <w:tabs>
          <w:tab w:leader="none" w:pos="208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 xml:space="preserve">, an action taken by Seller or any of the Mesquite Sky Entities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 xml:space="preserve"> shall in no event be deemed a breach of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other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18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i w:val="1"/>
          <w:iCs w:val="1"/>
          <w:color w:val="auto"/>
        </w:rPr>
        <w:t>Purchaser’s Substitute Support Obligations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and/or release of each Support Obligation, Purchaser shall use commercially reasonable efforts to negotiate a replacement of each Support Obligations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and/or to effect the complete and unconditional release of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not amend, modify, grant a waiver in respect of, cancel or consent to the termination of such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to the extent that a Support Obligation cannot be released, terminated or replaced by Purchaser at or prior to the Closing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such Retained Support Obligation.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1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the Company or the Mesquite Sky Entities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diligently continue to seek the release, termination and replacement of such Support Obligation,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(i)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4" w:name="page135"/>
    <w:bookmarkEnd w:id="134"/>
    <w:p>
      <w:pPr>
        <w:jc w:val="both"/>
        <w:ind w:firstLine="1304"/>
        <w:spacing w:after="0" w:line="256" w:lineRule="auto"/>
        <w:tabs>
          <w:tab w:leader="none" w:pos="214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the Company or the Mesquite Sky Entities conducted, existing or arising at or prior to the Closing (including as a result of any draw or demand for or making of any payment by Purchaser or any such Affiliate of Purchaser under any Substitute Support Obligation).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2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use transfer, controlling interest transfer, recording, stock transfer, real property transfer, value-added and other similar Taxes and fees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Taxes, personal property Taxes and similar obligations of the Company and Mesquite Sky Entities imposed by any Governmental Authority that are due or become due for Tax periods within which the Closing Date occurs shall be apportioned between Seller for the pre-Closing Date period (which shall include the Closing Date), on the one hand, and the Company (or the applicable Mesquite Sky Entity) for the post-Closing Date period, on the other hand, as of the Closing Date, based upon the actual number of days of the Tax period that have elapsed before and after the Closing Date, and any income Taxes imposed on the Company and the Mesquite Sky Entities shall be allocated between the pre-Closing Date period and the post-Closing Date period as though a taxable year of the Company and the Mesquite Sky Entities (as applicable)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Mesquite Sky Entity)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Company (or the applicable Mesquite Sky Entity) pursuant to the preceding sentence shall be paid by the Company (or the applicable Mesquite Sky Entity). If any refund, rebate or similar payment is received by the Company or the Mesquite Sky Entities for any real property Taxes, personal property Taxes or similar obligations referred to above that are Apportioned Obligations, such refund shall be apportioned between Seller and the Company (or the applicable Mesquite Sky Entity) as aforesaid on the basis of the obligations of the Company and the Mesquite Sky Entities during the applicable Tax period. Any refund, rebate or similar payment received by the Company or a Mesquite Sky Entity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Company (or the applicable Mesquite Sky Entity).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304"/>
        <w:spacing w:after="0" w:line="258" w:lineRule="auto"/>
        <w:tabs>
          <w:tab w:leader="none" w:pos="20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the Company or the Mesquite Sky Entities (as applicable) ends on or before the Closing Date, Seller shall, at its sole cost and expense, timely prepare and file with the appropriate authorities all Tax Returns required to be filed by the Company and the Mesquite Sky Entities (as applicable), and pay or cause to be paid all Taxes shown to be due thereon. After the Closing Date, the Company shall, at its sole cost and expense, timely prepare and file, or cause to be timely prepared and filed, with the appropriate authorities all other Tax Returns required to be filed by the Company and the Mesquite Sky Entities, as applicable, and pay all Taxes shown to be due thereon.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the Company and applicable Mesquite Sky Entities,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5.09.</w:t>
      </w:r>
      <w:r>
        <w:rPr>
          <w:sz w:val="20"/>
          <w:szCs w:val="20"/>
          <w:color w:val="auto"/>
        </w:rPr>
        <w:tab/>
      </w:r>
      <w:r>
        <w:rPr>
          <w:rFonts w:ascii="Times New Roman" w:cs="Times New Roman" w:eastAsia="Times New Roman" w:hAnsi="Times New Roman"/>
          <w:sz w:val="17"/>
          <w:szCs w:val="17"/>
          <w:b w:val="1"/>
          <w:bCs w:val="1"/>
          <w:i w:val="1"/>
          <w:iCs w:val="1"/>
          <w:color w:val="auto"/>
        </w:rPr>
        <w:t>No Solicitation</w:t>
      </w:r>
    </w:p>
    <w:p>
      <w:pPr>
        <w:spacing w:after="0" w:line="229" w:lineRule="exact"/>
        <w:rPr>
          <w:sz w:val="20"/>
          <w:szCs w:val="20"/>
          <w:color w:val="auto"/>
        </w:rPr>
      </w:pPr>
    </w:p>
    <w:p>
      <w:pPr>
        <w:jc w:val="both"/>
        <w:ind w:firstLine="1304"/>
        <w:spacing w:after="0" w:line="253" w:lineRule="auto"/>
        <w:tabs>
          <w:tab w:leader="none" w:pos="138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Closing, Seller shall not, and shall not authorize or permit the Company, the Mesquite Sky Entities, any of its or their Affiliates or any of its or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Company, the Mesquite Sky Entities,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Tax Equity Agreement, the Financing Documents and the HASI Purchase Agreement)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Company or the Mesquite Sky Entities,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Company or the Mesquite Sky Entities,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Company’s or the Mesquite Sky Entities’ properties or assets.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i w:val="1"/>
          <w:iCs w:val="1"/>
          <w:color w:val="auto"/>
        </w:rPr>
        <w:t>Post-Execution Date 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0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with respect to the Financing Documents, in no event later than January 29, 2021), Seller shall (or shall cause the Company and/or applicable Mesquite Sky Entity to) enter into the Financing Documents and the Ancillary Documents on the following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left="660" w:firstLine="1292"/>
        <w:spacing w:after="0" w:line="257" w:lineRule="auto"/>
        <w:tabs>
          <w:tab w:leader="none" w:pos="266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Financing Agreement and the Tax Equity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Financing Document is in a form that deviates in any material respect from the latest form of such Financing Document provided to Purchaser prior to the Execution Date (provided that, for the avoidance of doubt, any deviation in those certain conditions to the obligations of the Tax Equity Investor set forth in Article V of such form of Tax Equity Agreement shall be deemed a material deviation), enter into such Financing Document only upon the prior written consent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Financing Document is not otherwise subject to the terms and conditions of the foregoing clause (A), enter into such Financing Document without the necessity of Purchaser’s prior consent in any respect; and</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7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Ancillary Document: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to the extent such Ancillary Document is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material to the Company and/or applicable Mesquite Sky Entity and such Ancillary Document is not designated with an asterisk on </w:t>
      </w:r>
      <w:r>
        <w:rPr>
          <w:rFonts w:ascii="Times New Roman" w:cs="Times New Roman" w:eastAsia="Times New Roman" w:hAnsi="Times New Roman"/>
          <w:sz w:val="18"/>
          <w:szCs w:val="18"/>
          <w:i w:val="1"/>
          <w:iCs w:val="1"/>
          <w:color w:val="auto"/>
        </w:rPr>
        <w:t>Schedule 1.03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has been designated with an asterisk but deviates in any material respect from the latest form of such Ancillary Document provided to Purchaser prior to the Execution Date, enter into such Ancillary Document only upon the prior written consent of Purchaser (which consent shall not be unreasonably withheld or delayed);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to the extent such Ancillary Document is not subject to the terms and conditions of the foregoing clause (A), enter into such Ancillary Document without the necessity of Purchaser’s consent in any respect.</w:t>
      </w:r>
    </w:p>
    <w:p>
      <w:pPr>
        <w:spacing w:after="0" w:line="184" w:lineRule="exact"/>
        <w:rPr>
          <w:sz w:val="20"/>
          <w:szCs w:val="20"/>
          <w:color w:val="auto"/>
        </w:rPr>
      </w:pPr>
    </w:p>
    <w:p>
      <w:pPr>
        <w:ind w:firstLine="1304"/>
        <w:spacing w:after="0" w:line="282" w:lineRule="auto"/>
        <w:tabs>
          <w:tab w:leader="none" w:pos="2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entry into any Financing Document or Ancillary Document, Seller shall promptly provide to Purchaser a true, complete and correct copy of such Contract or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 harmless from and against, any and all Losses suffered, incurred or sustained by any of them or to which any of them become subject, resulting from, arising out of or related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breach of any representation, warranty, covenant, agreement or obligation made by Seller in this Agreement or any certificate delivered by Seller pursuant to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Purchaser Indemnified Parties or their agents, officers, employees or contractors.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r, that the foregoing indemnity shall not apply to Losses to the extent caused by the gross negligence or willful misconduct of Seller Indemnified Parties or their agents, officers, employees or contractors.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Sections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(ii), (v) and (ix) </w:t>
      </w:r>
      <w:r>
        <w:rPr>
          <w:rFonts w:ascii="Times New Roman" w:cs="Times New Roman" w:eastAsia="Times New Roman" w:hAnsi="Times New Roman"/>
          <w:sz w:val="18"/>
          <w:szCs w:val="18"/>
          <w:color w:val="auto"/>
        </w:rPr>
        <w:t>(Company and Mesquite Sky Entities),</w:t>
      </w:r>
      <w:r>
        <w:rPr>
          <w:rFonts w:ascii="Times New Roman" w:cs="Times New Roman" w:eastAsia="Times New Roman" w:hAnsi="Times New Roman"/>
          <w:sz w:val="18"/>
          <w:szCs w:val="18"/>
          <w:i w:val="1"/>
          <w:iCs w:val="1"/>
          <w:color w:val="auto"/>
        </w:rPr>
        <w:t xml:space="preserve"> Section 3.02(a) </w:t>
      </w:r>
      <w:r>
        <w:rPr>
          <w:rFonts w:ascii="Times New Roman" w:cs="Times New Roman" w:eastAsia="Times New Roman" w:hAnsi="Times New Roman"/>
          <w:sz w:val="18"/>
          <w:szCs w:val="18"/>
          <w:color w:val="auto"/>
        </w:rPr>
        <w:t>(Existence),</w:t>
      </w:r>
      <w:r>
        <w:rPr>
          <w:rFonts w:ascii="Times New Roman" w:cs="Times New Roman" w:eastAsia="Times New Roman" w:hAnsi="Times New Roman"/>
          <w:sz w:val="18"/>
          <w:szCs w:val="18"/>
          <w:i w:val="1"/>
          <w:iCs w:val="1"/>
          <w:color w:val="auto"/>
        </w:rPr>
        <w:t xml:space="preserve"> Section 3.02(b) </w:t>
      </w:r>
      <w:r>
        <w:rPr>
          <w:rFonts w:ascii="Times New Roman" w:cs="Times New Roman" w:eastAsia="Times New Roman" w:hAnsi="Times New Roman"/>
          <w:sz w:val="18"/>
          <w:szCs w:val="18"/>
          <w:color w:val="auto"/>
        </w:rPr>
        <w:t>(Authority) and</w:t>
      </w:r>
      <w:r>
        <w:rPr>
          <w:rFonts w:ascii="Times New Roman" w:cs="Times New Roman" w:eastAsia="Times New Roman" w:hAnsi="Times New Roman"/>
          <w:sz w:val="18"/>
          <w:szCs w:val="18"/>
          <w:i w:val="1"/>
          <w:iCs w:val="1"/>
          <w:color w:val="auto"/>
        </w:rPr>
        <w:t xml:space="preserve"> Section 3.02(h) </w:t>
      </w:r>
      <w:r>
        <w:rPr>
          <w:rFonts w:ascii="Times New Roman" w:cs="Times New Roman" w:eastAsia="Times New Roman" w:hAnsi="Times New Roman"/>
          <w:sz w:val="18"/>
          <w:szCs w:val="18"/>
          <w:color w:val="auto"/>
        </w:rPr>
        <w:t>(Brokers) (the “</w:t>
      </w:r>
      <w:r>
        <w:rPr>
          <w:rFonts w:ascii="Times New Roman" w:cs="Times New Roman" w:eastAsia="Times New Roman" w:hAnsi="Times New Roman"/>
          <w:sz w:val="18"/>
          <w:szCs w:val="18"/>
          <w:i w:val="1"/>
          <w:iCs w:val="1"/>
          <w:color w:val="auto"/>
        </w:rPr>
        <w:t>Seller Fundamental Representations</w:t>
      </w:r>
      <w:r>
        <w:rPr>
          <w:rFonts w:ascii="Times New Roman" w:cs="Times New Roman" w:eastAsia="Times New Roman" w:hAnsi="Times New Roman"/>
          <w:sz w:val="18"/>
          <w:szCs w:val="18"/>
          <w:color w:val="auto"/>
        </w:rPr>
        <w:t>”) shall survive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for five (5) years after the Closing Date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i w:val="1"/>
          <w:iCs w:val="1"/>
          <w:color w:val="auto"/>
        </w:rPr>
        <w:t>Section 3.01(k)</w:t>
      </w:r>
      <w:r>
        <w:rPr>
          <w:rFonts w:ascii="Times New Roman" w:cs="Times New Roman" w:eastAsia="Times New Roman" w:hAnsi="Times New Roman"/>
          <w:sz w:val="18"/>
          <w:szCs w:val="18"/>
          <w:color w:val="auto"/>
        </w:rPr>
        <w:t xml:space="preserve"> (Taxes) shall survive the Closing until thirty</w:t>
      </w:r>
    </w:p>
    <w:p>
      <w:pPr>
        <w:spacing w:after="0" w:line="1" w:lineRule="exact"/>
        <w:rPr>
          <w:sz w:val="20"/>
          <w:szCs w:val="20"/>
          <w:color w:val="auto"/>
        </w:rPr>
      </w:pPr>
    </w:p>
    <w:p>
      <w:pPr>
        <w:jc w:val="both"/>
        <w:ind w:firstLine="8"/>
        <w:spacing w:after="0" w:line="252" w:lineRule="auto"/>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expiration of the applicable Tax statute of limitations. The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7" w:name="page138"/>
    <w:bookmarkEnd w:id="13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7"/>
          <w:szCs w:val="17"/>
          <w:b w:val="1"/>
          <w:bCs w:val="1"/>
          <w:i w:val="1"/>
          <w:iCs w:val="1"/>
          <w:color w:val="auto"/>
        </w:rPr>
        <w:t>Limitations on Claims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5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(i) any Fraudulent Action or (ii) a breach of the Seller Fundamental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liability of the Seller Indemnifying Parties resulting from the Seller Fundamental Representations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other Losses resulting from any claims under breaches of representations or warranties herein and in any certificates delivered pursuant hereto shall be limited to an amount equal to the Purchase Price. For the avoidance of doubt, the foregoing limitation will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breach of any covenant, agreement or obligation made herein or any certificate delivered pursuant hereto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matters referenced on </w:t>
      </w:r>
      <w:r>
        <w:rPr>
          <w:rFonts w:ascii="Times New Roman" w:cs="Times New Roman" w:eastAsia="Times New Roman" w:hAnsi="Times New Roman"/>
          <w:sz w:val="18"/>
          <w:szCs w:val="18"/>
          <w:i w:val="1"/>
          <w:iCs w:val="1"/>
          <w:color w:val="auto"/>
        </w:rPr>
        <w:t>Schedule 6.01(b)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7"/>
          <w:szCs w:val="17"/>
          <w:b w:val="1"/>
          <w:bCs w:val="1"/>
          <w:i w:val="1"/>
          <w:iCs w:val="1"/>
          <w:color w:val="auto"/>
        </w:rPr>
        <w:t>Procedure for Indemnification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7" w:lineRule="auto"/>
        <w:tabs>
          <w:tab w:leader="none" w:pos="21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Whenever any claim by a third party shall arise for indemnification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jc w:val="both"/>
        <w:ind w:firstLine="1304"/>
        <w:spacing w:after="0" w:line="268" w:lineRule="auto"/>
        <w:tabs>
          <w:tab w:leader="none" w:pos="211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If the Indemnified Party has assumed the defense of any claim by a third party which may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indemnity hereunder pursuant to </w:t>
      </w:r>
      <w:r>
        <w:rPr>
          <w:rFonts w:ascii="Times New Roman" w:cs="Times New Roman" w:eastAsia="Times New Roman" w:hAnsi="Times New Roman"/>
          <w:sz w:val="18"/>
          <w:szCs w:val="18"/>
          <w:i w:val="1"/>
          <w:iCs w:val="1"/>
          <w:color w:val="auto"/>
        </w:rPr>
        <w:t>Section 6.06(c)</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7"/>
          <w:szCs w:val="17"/>
          <w:b w:val="1"/>
          <w:bCs w:val="1"/>
          <w:i w:val="1"/>
          <w:iCs w:val="1"/>
          <w:color w:val="auto"/>
        </w:rPr>
        <w:t>Rights of the Indemnifying Party in the Defense of Third Party Claims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2" w:lineRule="auto"/>
        <w:tabs>
          <w:tab w:leader="none" w:pos="207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claim or legal proceeding, without the prior written consent of the Indemnified Party (which consent shall not be unreasonably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7"/>
          <w:szCs w:val="17"/>
          <w:b w:val="1"/>
          <w:bCs w:val="1"/>
          <w:i w:val="1"/>
          <w:iCs w:val="1"/>
          <w:color w:val="auto"/>
        </w:rPr>
        <w:t>Mitigations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207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This Agreement may be terminated at any time prior to the Closing Date as follows:</w:t>
      </w:r>
    </w:p>
    <w:p>
      <w:pPr>
        <w:spacing w:after="0" w:line="229" w:lineRule="exact"/>
        <w:rPr>
          <w:sz w:val="20"/>
          <w:szCs w:val="20"/>
          <w:color w:val="auto"/>
        </w:rPr>
      </w:pPr>
    </w:p>
    <w:p>
      <w:pPr>
        <w:ind w:left="2040" w:hanging="736"/>
        <w:spacing w:after="0"/>
        <w:tabs>
          <w:tab w:leader="none" w:pos="20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Seller and Purchaser;</w:t>
      </w:r>
    </w:p>
    <w:p>
      <w:pPr>
        <w:spacing w:after="0" w:line="223" w:lineRule="exact"/>
        <w:rPr>
          <w:rFonts w:ascii="Times New Roman" w:cs="Times New Roman" w:eastAsia="Times New Roman" w:hAnsi="Times New Roman"/>
          <w:sz w:val="18"/>
          <w:szCs w:val="18"/>
          <w:color w:val="auto"/>
        </w:rPr>
      </w:pPr>
    </w:p>
    <w:p>
      <w:pPr>
        <w:ind w:firstLine="1304"/>
        <w:spacing w:after="0" w:line="284" w:lineRule="auto"/>
        <w:tabs>
          <w:tab w:leader="none" w:pos="21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on or before March 31, 2022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either (x) is a breach of Seller’s obligations to transfer the Acquired Interests at Closing in accordance with this Agreement or (y)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Seller is endeavoring in good faith, and proceeding diligently, to cure such breach, Seller shall have an additional thirty (30) days in which to effect such cure;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jc w:val="both"/>
        <w:ind w:firstLine="1304"/>
        <w:spacing w:after="0" w:line="258" w:lineRule="auto"/>
        <w:tabs>
          <w:tab w:leader="none" w:pos="22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the end of such thirty (30) day period, Purchaser is endeavoring in good faith, and proceeding diligently, to cure such breach, Purchaser shall have an additional thirty (30) days in which to effect such cure; and</w:t>
      </w:r>
    </w:p>
    <w:p>
      <w:pPr>
        <w:spacing w:after="0" w:line="181" w:lineRule="exact"/>
        <w:rPr>
          <w:rFonts w:ascii="Times New Roman" w:cs="Times New Roman" w:eastAsia="Times New Roman" w:hAnsi="Times New Roman"/>
          <w:sz w:val="18"/>
          <w:szCs w:val="18"/>
          <w:color w:val="auto"/>
        </w:rPr>
      </w:pPr>
    </w:p>
    <w:p>
      <w:pPr>
        <w:jc w:val="both"/>
        <w:ind w:firstLine="1304"/>
        <w:spacing w:after="0" w:line="267" w:lineRule="auto"/>
        <w:tabs>
          <w:tab w:leader="none" w:pos="21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there has been a breach by Seller of its covenant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with respect to the Financing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breach was not caused by a breach by Purchaser of the terms and conditions with respect to its granting of consent under</w:t>
      </w:r>
      <w:r>
        <w:rPr>
          <w:rFonts w:ascii="Times New Roman" w:cs="Times New Roman" w:eastAsia="Times New Roman" w:hAnsi="Times New Roman"/>
          <w:sz w:val="18"/>
          <w:szCs w:val="18"/>
          <w:i w:val="1"/>
          <w:iCs w:val="1"/>
          <w:color w:val="auto"/>
        </w:rPr>
        <w:t xml:space="preserve"> Section 5.12(a), </w:t>
      </w:r>
      <w:r>
        <w:rPr>
          <w:rFonts w:ascii="Times New Roman" w:cs="Times New Roman" w:eastAsia="Times New Roman" w:hAnsi="Times New Roman"/>
          <w:sz w:val="18"/>
          <w:szCs w:val="18"/>
          <w:color w:val="auto"/>
        </w:rPr>
        <w:t>as applicable.</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1304"/>
        <w:spacing w:after="0" w:line="258" w:lineRule="auto"/>
        <w:tabs>
          <w:tab w:leader="none" w:pos="20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by a Party for any reason, (i) Purchaser shall return all documents and other materials of Seller relating to the Company and the Mesquite Sky Entities, the assets or properties of the Company and the Mesquite Sky Entities and the transactions contemplated hereby, and (ii)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Company, the Mesquite Sky Entities, the assets of the Company, the assets of the Mesquite Sky Entities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Purchaser, to:</w:t>
            </w: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Lighthouse Renewable Class A LLC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Attn: Christopher Sotos and Kevin Malcarney</w:t>
            </w:r>
          </w:p>
        </w:tc>
      </w:tr>
      <w:tr>
        <w:trPr>
          <w:trHeight w:val="216"/>
        </w:trPr>
        <w:tc>
          <w:tcPr>
            <w:tcW w:w="326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 christopher.sotos@clearwayenergy.com and</w:t>
            </w:r>
          </w:p>
        </w:tc>
      </w:tr>
      <w:tr>
        <w:trPr>
          <w:trHeight w:val="234"/>
        </w:trPr>
        <w:tc>
          <w:tcPr>
            <w:tcW w:w="326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kevin.malcarney@clearwayenergy.com</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240"/>
          </w:cols>
          <w:pgMar w:left="320" w:top="688" w:right="339" w:bottom="144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13th St.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Dodson Greenberg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egreenberg@perkinscoie.com</w:t>
      </w:r>
    </w:p>
    <w:p>
      <w:pPr>
        <w:spacing w:after="0" w:line="200" w:lineRule="exact"/>
        <w:rPr>
          <w:sz w:val="20"/>
          <w:szCs w:val="20"/>
          <w:color w:val="auto"/>
        </w:rPr>
      </w:pPr>
    </w:p>
    <w:p>
      <w:pPr>
        <w:sectPr>
          <w:pgSz w:w="11900" w:h="16838" w:orient="portrait"/>
          <w:cols w:equalWidth="0" w:num="2">
            <w:col w:w="3180" w:space="720"/>
            <w:col w:w="7340"/>
          </w:cols>
          <w:pgMar w:left="320" w:top="688" w:right="339" w:bottom="1440" w:gutter="0" w:footer="0" w:header="0"/>
        </w:sectPr>
      </w:pP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4900 N Scottsdale Road, Suite 5000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am@clearwayenergy.com</w:t>
      </w:r>
    </w:p>
    <w:p>
      <w:pPr>
        <w:spacing w:after="0" w:line="200" w:lineRule="exact"/>
        <w:rPr>
          <w:sz w:val="20"/>
          <w:szCs w:val="20"/>
          <w:color w:val="auto"/>
        </w:rPr>
      </w:pPr>
    </w:p>
    <w:p>
      <w:pPr>
        <w:sectPr>
          <w:pgSz w:w="11900" w:h="16838" w:orient="portrait"/>
          <w:cols w:equalWidth="0" w:num="2">
            <w:col w:w="3180" w:space="720"/>
            <w:col w:w="7340"/>
          </w:cols>
          <w:pgMar w:left="320" w:top="688" w:right="339" w:bottom="1440" w:gutter="0" w:footer="0" w:header="0"/>
          <w:type w:val="continuous"/>
        </w:sectPr>
      </w:pP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5780 Fleet St., Suite 130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E-mail: legal@clearwayenergy.com</w:t>
      </w:r>
    </w:p>
    <w:p>
      <w:pPr>
        <w:spacing w:after="0" w:line="200" w:lineRule="exact"/>
        <w:rPr>
          <w:sz w:val="20"/>
          <w:szCs w:val="20"/>
          <w:color w:val="auto"/>
        </w:rPr>
      </w:pPr>
    </w:p>
    <w:p>
      <w:pPr>
        <w:sectPr>
          <w:pgSz w:w="11900" w:h="16838" w:orient="portrait"/>
          <w:cols w:equalWidth="0" w:num="2">
            <w:col w:w="3140" w:space="720"/>
            <w:col w:w="7380"/>
          </w:cols>
          <w:pgMar w:left="320" w:top="688" w:right="339" w:bottom="1440" w:gutter="0" w:footer="0" w:header="0"/>
          <w:type w:val="continuous"/>
        </w:sectPr>
      </w:pP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8.04.</w:t>
      </w:r>
      <w:r>
        <w:rPr>
          <w:sz w:val="20"/>
          <w:szCs w:val="20"/>
          <w:color w:val="auto"/>
        </w:rPr>
        <w:tab/>
      </w:r>
      <w:r>
        <w:rPr>
          <w:rFonts w:ascii="Times New Roman" w:cs="Times New Roman" w:eastAsia="Times New Roman" w:hAnsi="Times New Roman"/>
          <w:sz w:val="17"/>
          <w:szCs w:val="17"/>
          <w:b w:val="1"/>
          <w:bCs w:val="1"/>
          <w:i w:val="1"/>
          <w:iCs w:val="1"/>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i w:val="1"/>
          <w:iCs w:val="1"/>
          <w:color w:val="auto"/>
        </w:rPr>
        <w:t>Consent to Jurisdiction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3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8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1"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LOSSES ARISING OUT OF THIRD PARTY CLAIMS FOR WHICH A PARTY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Company, the Mesquite Sky Entities or Purchaser.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4" w:name="page145"/>
    <w:bookmarkEnd w:id="14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but all of which together will constitute one and the same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5" w:name="page146"/>
    <w:bookmarkEnd w:id="1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RENEW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Lighthouse Renewable Class A LLC,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Christopher S. Sotos</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Mesquite Sky MIPA]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7" w:name="page148"/>
    <w:bookmarkEnd w:id="147"/>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19685</wp:posOffset>
            </wp:positionV>
            <wp:extent cx="4826000" cy="436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260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Enterprise Announces Agreements for 1.6 GW Portfolio of Renewable Energy Assets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PRINCETON, NJ and SAN FRANCISCO, 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22, 2020</w:t>
      </w:r>
      <w:r>
        <w:rPr>
          <w:rFonts w:ascii="Times New Roman" w:cs="Times New Roman" w:eastAsia="Times New Roman" w:hAnsi="Times New Roman"/>
          <w:sz w:val="18"/>
          <w:szCs w:val="18"/>
          <w:color w:val="auto"/>
        </w:rPr>
        <w:t>— Clearway Energy, Inc. (NYSE: CWEN, CWEN.A) (“CWEN”,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renewable development partner and parent company, Clearway Energy Group LLC (“CEG”), today announced agreements providing for CWEN’s co-investment in a 1,204 MW portfolio of renewable energy projects developed by CEG consisting of i) 1,012 MW from five geographically diversified wind, solar, and solar plus storage assets under development and ii) the 192 MW Rosamond Central solar project which is expected to commence operations by the end of the year. Additionally, the parties amended the existing partnership agreement for the 419 MW Mesquite Star wind project providing CWEN an additional 27.51% of the project’s cash flows after the first half of 2031.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90% of the generation from the projects are contracted with a diverse group of primarily investment grade counterparties, including utilities and load serving entities, Fortune 500 corporations, commercial &amp; industrial customers, and financial institutions, and the portfolio has a greater than 14-year blended average contract length. Subject to closing adjustments and the projects achieving certain milestones, CWEN expects to invest approximately $214 million in corporate capital by the end of 2022. Based on the current expected timing of the projects achieving COD, CWEN expects, before corporate financing costs, the asset CAFD contribution from the investments to be immaterial in 2021, approximately $9 million in 2022, and $20 million on a 5-year average basis beginning on January 1,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invest in this portfolio of renewable energy and battery storage projects will add geographic and technological diversification at CWEN," said Christopher Sotos, Clearway Energy, Inc.’s President and Chief Executive Officer. “We are pleased to achieve this important milestone in collaboration with our development partner and look forward to working together on future accretive portfolio investments.”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thrilled to successfully complete our largest portfolio transaction to date with Clearway Energy, Inc.,” said Craig Cornelius, Chief Executive Officer at Clearway Energy Group LLC. “This geographically diverse 1.6 GW portfolio of wind, solar, and energy storage projects represents the economic opportunity of renewable energy in every corner of this country. Taken together, more than 2,500 American jobs will be created to build and operate these clean energy assets, which will go on to supply clean and low-cost power to hundreds of thousands of households and businesses across the United States. Today’s agreement with our investment partners will be pivotal in our continued ability to provide clean energy at the scale of our country’s demand while helping to deliver on investors’ growing interest in climate change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assets included in the portfolio are: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CWEN Cash</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29"/>
                <w:szCs w:val="29"/>
                <w:b w:val="1"/>
                <w:bCs w:val="1"/>
                <w:color w:val="auto"/>
                <w:vertAlign w:val="superscript"/>
              </w:rPr>
              <w:t>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2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180" w:type="dxa"/>
            <w:vAlign w:val="bottom"/>
            <w:gridSpan w:val="2"/>
            <w:vMerge w:val="continue"/>
          </w:tcPr>
          <w:p>
            <w:pPr>
              <w:spacing w:after="0"/>
              <w:rPr>
                <w:sz w:val="23"/>
                <w:szCs w:val="23"/>
                <w:color w:val="auto"/>
              </w:rPr>
            </w:pPr>
          </w:p>
        </w:tc>
        <w:tc>
          <w:tcPr>
            <w:tcW w:w="1080" w:type="dxa"/>
            <w:vAlign w:val="bottom"/>
          </w:tcPr>
          <w:p>
            <w:pPr>
              <w:ind w:left="40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80" w:type="dxa"/>
            <w:vAlign w:val="bottom"/>
          </w:tcPr>
          <w:p>
            <w:pPr>
              <w:spacing w:after="0"/>
              <w:rPr>
                <w:sz w:val="23"/>
                <w:szCs w:val="2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Interest in Mesquite Star</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Wind</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Closed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Rosamond Central</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192</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CA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Closed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Mesquite Sky</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Wind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TX</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2H21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Rock</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Wind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WV</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2H21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Waiawa</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HI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1H22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Mililani</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HI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1H22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Daggett Solar</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Solar/Storage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CA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2H22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portfolio partnership agreements, CWEN will act as managing member. The remaining interest in the cash equity partnerships will be owned by Hannon Armstrong Sustainable Infrastructure Capital, Inc. (“Hannon Armstrong”) (NYSE: HASI), a leading investor in climate solutions.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2020, CWEN acquired its 50% cash equity interest in Rosamond Central for $23 million and completed the amendment for the additional interest in Mesquite Star. The Mesquite Sky wind farm in Texas and the Black Rock wind farm in West Virginia will commence construction in the coming weeks. Definitive agreements relating to the Daggett, Waiawa, and Mililani projects remain subject to certain conditions and the review and approval by CWEN’s Independent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CEG will serve as the long-term site operator and asset manager, ensuring continuity of performance and community engagement over the life of each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Group</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Clearway Energy Group is leading the transition to a world powered by clean energy. Along with our public affiliate, Clearway Energy, Inc., we own and operate more than 5 gigawatts of wind, solar, and energy storage assets in 26 states, offsetting the equivalent of nearly 8.8 million metric tons of carbon emissions for our customers, and we are developing a pipeline of new renewable energy projects nationwide. With another 2.5 gigawatts of thermal energy systems and conventional power owned by our public affiliate, we’re also helping provide reliable and sustainable energy to thousands more customers across the country. Clearway Energy Group is headquartered in San Francisco, CA with offices in Carlsbad, CA; Scottsdale, AZ; Houston, TX; and Princeton, NJ. For more information, visit clearwayenergygroup.com.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4" w:lineRule="exact"/>
        <w:rPr>
          <w:sz w:val="20"/>
          <w:szCs w:val="20"/>
          <w:color w:val="auto"/>
        </w:rPr>
      </w:pPr>
    </w:p>
    <w:p>
      <w:pPr>
        <w:ind w:left="120" w:hanging="112"/>
        <w:spacing w:after="0"/>
        <w:tabs>
          <w:tab w:leader="none" w:pos="12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MW capacity is subject to change prior to COD; excludes 395 MW/1,580 MWh of co-located storage assets at Daggett, Waiawa, and Mililani</w:t>
      </w:r>
    </w:p>
    <w:p>
      <w:pPr>
        <w:spacing w:after="0" w:line="22" w:lineRule="exact"/>
        <w:rPr>
          <w:sz w:val="20"/>
          <w:szCs w:val="20"/>
          <w:color w:val="auto"/>
        </w:rPr>
      </w:pPr>
    </w:p>
    <w:p>
      <w:pPr>
        <w:ind w:right="340" w:firstLine="8"/>
        <w:spacing w:after="0" w:line="195" w:lineRule="auto"/>
        <w:tabs>
          <w:tab w:leader="none" w:pos="120" w:val="left"/>
        </w:tabs>
        <w:numPr>
          <w:ilvl w:val="0"/>
          <w:numId w:val="1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50% cash allocation percentage for Mesquite Star represents CWEN’s total cash allocation percentage in the project inclusive of its September 1, 2020 acquisition of its initial interest in the project.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related to COVID-19 or any other pandemic,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Clearway Energy, Inc. undertakes no obligation to update or revise any forward-looking statements, whether as a result of new information, future events or otherwise. The Adjusted EBITDA and Cash Available for Distribution are estimates as of today’s date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xml:space="preserve"> copies of materials it files with, or furnishes to, the Securities Exchange Commission.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investor.relations@clearwayenergy.com</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609-608-1500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media@clearwayenergy.com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202-836-5754</w:t>
      </w:r>
    </w:p>
    <w:p>
      <w:pPr>
        <w:spacing w:after="0" w:line="200" w:lineRule="exact"/>
        <w:rPr>
          <w:sz w:val="20"/>
          <w:szCs w:val="20"/>
          <w:color w:val="auto"/>
        </w:rPr>
      </w:pPr>
    </w:p>
    <w:p>
      <w:pPr>
        <w:sectPr>
          <w:pgSz w:w="11900" w:h="16838" w:orient="portrait"/>
          <w:cols w:equalWidth="0" w:num="2">
            <w:col w:w="5020" w:space="720"/>
            <w:col w:w="5500"/>
          </w:cols>
          <w:pgMar w:left="320" w:top="684" w:right="339" w:bottom="1440" w:gutter="0" w:footer="0" w:header="0"/>
          <w:type w:val="continuous"/>
        </w:sect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Appendix Table A-1: Adjusted EBITDA and Cash Available for Distribution Reconciliation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Estimated Cash Available for Distribution and provides a reconciliation to Net Income/(Loss):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5-Year</w:t>
            </w:r>
          </w:p>
        </w:tc>
      </w:tr>
      <w:tr>
        <w:trPr>
          <w:trHeight w:val="216"/>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2023-2027</w:t>
            </w:r>
          </w:p>
        </w:tc>
        <w:tc>
          <w:tcPr>
            <w:tcW w:w="80" w:type="dxa"/>
            <w:vAlign w:val="bottom"/>
            <w:tcBorders>
              <w:bottom w:val="single" w:sz="8" w:color="CCEEFF"/>
            </w:tcBorders>
          </w:tcPr>
          <w:p>
            <w:pPr>
              <w:spacing w:after="0"/>
              <w:rPr>
                <w:sz w:val="20"/>
                <w:szCs w:val="20"/>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09"/>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30"/>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r>
      <w:tr>
        <w:trPr>
          <w:trHeight w:val="22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interest paid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distributions to non-controlling interest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80"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2020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lvl w:ilvl="1">
      <w:lvlJc w:val="left"/>
      <w:lvlText w:val="☐"/>
      <w:numFmt w:val="bullet"/>
      <w:start w:val="1"/>
    </w:lvl>
  </w:abstractNum>
  <w:abstractNum w:abstractNumId="1">
    <w:nsid w:val="60B6DF70"/>
    <w:multiLevelType w:val="hybridMultilevel"/>
    <w:lvl w:ilvl="0">
      <w:lvlJc w:val="left"/>
      <w:lvlText w:val="†"/>
      <w:numFmt w:val="bullet"/>
      <w:start w:val="1"/>
    </w:lvl>
    <w:lvl w:ilvl="1">
      <w:lvlJc w:val="left"/>
      <w:lvlText w:val="%2"/>
      <w:numFmt w:val="decimal"/>
      <w:start w:val="104"/>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decimal"/>
      <w:start w:val="1"/>
    </w:lvl>
  </w:abstractNum>
  <w:abstractNum w:abstractNumId="4">
    <w:nsid w:val="7FFFCA11"/>
    <w:multiLevelType w:val="hybridMultilevel"/>
    <w:lvl w:ilvl="0">
      <w:lvlJc w:val="left"/>
      <w:lvlText w:val="(%1)"/>
      <w:numFmt w:val="lowerLetter"/>
      <w:start w:val="1"/>
    </w:lvl>
  </w:abstractNum>
  <w:abstractNum w:abstractNumId="5">
    <w:nsid w:val="1A27709E"/>
    <w:multiLevelType w:val="hybridMultilevel"/>
    <w:lvl w:ilvl="0">
      <w:lvlJc w:val="left"/>
      <w:lvlText w:val="(%1)"/>
      <w:numFmt w:val="lowerLetter"/>
      <w:start w:val="17"/>
    </w:lvl>
  </w:abstractNum>
  <w:abstractNum w:abstractNumId="6">
    <w:nsid w:val="71EA1109"/>
    <w:multiLevelType w:val="hybridMultilevel"/>
    <w:lvl w:ilvl="0">
      <w:lvlJc w:val="left"/>
      <w:lvlText w:val="(%1)"/>
      <w:numFmt w:val="lowerLetter"/>
      <w:start w:val="1"/>
    </w:lvl>
  </w:abstractNum>
  <w:abstractNum w:abstractNumId="7">
    <w:nsid w:val="100F59DC"/>
    <w:multiLevelType w:val="hybridMultilevel"/>
    <w:lvl w:ilvl="0">
      <w:lvlJc w:val="left"/>
      <w:lvlText w:val="(%1)"/>
      <w:numFmt w:val="lowerLetter"/>
      <w:start w:val="5"/>
    </w:lvl>
  </w:abstractNum>
  <w:abstractNum w:abstractNumId="8">
    <w:nsid w:val="7FB7E0AA"/>
    <w:multiLevelType w:val="hybridMultilevel"/>
    <w:lvl w:ilvl="0">
      <w:lvlJc w:val="left"/>
      <w:lvlText w:val="(%1)"/>
      <w:numFmt w:val="lowerLetter"/>
      <w:start w:val="1"/>
    </w:lvl>
  </w:abstractNum>
  <w:abstractNum w:abstractNumId="9">
    <w:nsid w:val="6EB5BD4"/>
    <w:multiLevelType w:val="hybridMultilevel"/>
    <w:lvl w:ilvl="0">
      <w:lvlJc w:val="left"/>
      <w:lvlText w:val="(%1)"/>
      <w:numFmt w:val="lowerLetter"/>
      <w:start w:val="3"/>
    </w:lvl>
  </w:abstractNum>
  <w:abstractNum w:abstractNumId="10">
    <w:nsid w:val="6F6DD9AC"/>
    <w:multiLevelType w:val="hybridMultilevel"/>
    <w:lvl w:ilvl="0">
      <w:lvlJc w:val="left"/>
      <w:lvlText w:val="(%1)"/>
      <w:numFmt w:val="lowerLetter"/>
      <w:start w:val="1"/>
    </w:lvl>
    <w:lvl w:ilvl="1">
      <w:lvlJc w:val="left"/>
      <w:lvlText w:val="(%2)"/>
      <w:numFmt w:val="lowerRoman"/>
      <w:start w:val="1"/>
    </w:lvl>
  </w:abstractNum>
  <w:abstractNum w:abstractNumId="11">
    <w:nsid w:val="94211F2"/>
    <w:multiLevelType w:val="hybridMultilevel"/>
    <w:lvl w:ilvl="0">
      <w:lvlJc w:val="left"/>
      <w:lvlText w:val="(%1)"/>
      <w:numFmt w:val="lowerRoman"/>
      <w:start w:val="3"/>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
    <w:nsid w:val="1716703B"/>
    <w:multiLevelType w:val="hybridMultilevel"/>
    <w:lvl w:ilvl="0">
      <w:lvlJc w:val="left"/>
      <w:lvlText w:val="%1"/>
      <w:numFmt w:val="lowerLetter"/>
      <w:start w:val="1"/>
    </w:lvl>
    <w:lvl w:ilvl="1">
      <w:lvlJc w:val="left"/>
      <w:lvlText w:val="(%2)"/>
      <w:numFmt w:val="lowerRoman"/>
      <w:start w:val="5"/>
    </w:lvl>
  </w:abstractNum>
  <w:abstractNum w:abstractNumId="16">
    <w:nsid w:val="14E17E33"/>
    <w:multiLevelType w:val="hybridMultilevel"/>
    <w:lvl w:ilvl="0">
      <w:lvlJc w:val="left"/>
      <w:lvlText w:val="(%1)"/>
      <w:numFmt w:val="lowerLetter"/>
      <w:start w:val="10"/>
    </w:lvl>
    <w:lvl w:ilvl="1">
      <w:lvlJc w:val="left"/>
      <w:lvlText w:val="%2"/>
      <w:numFmt w:val="lowerRoman"/>
      <w:start w:val="1"/>
    </w:lvl>
  </w:abstractNum>
  <w:abstractNum w:abstractNumId="17">
    <w:nsid w:val="3222E7CD"/>
    <w:multiLevelType w:val="hybridMultilevel"/>
    <w:lvl w:ilvl="0">
      <w:lvlJc w:val="left"/>
      <w:lvlText w:val="(%1)"/>
      <w:numFmt w:val="lowerLetter"/>
      <w:start w:val="11"/>
    </w:lvl>
    <w:lvl w:ilvl="1">
      <w:lvlJc w:val="left"/>
      <w:lvlText w:val="(%2)"/>
      <w:numFmt w:val="lowerRoman"/>
      <w:start w:val="1"/>
    </w:lvl>
  </w:abstractNum>
  <w:abstractNum w:abstractNumId="18">
    <w:nsid w:val="74DE0EE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9">
    <w:nsid w:val="68EBC550"/>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20">
    <w:nsid w:val="2DF6D648"/>
    <w:multiLevelType w:val="hybridMultilevel"/>
    <w:lvl w:ilvl="0">
      <w:lvlJc w:val="left"/>
      <w:lvlText w:val="%1"/>
      <w:numFmt w:val="lowerLetter"/>
      <w:start w:val="1"/>
    </w:lvl>
    <w:lvl w:ilvl="1">
      <w:lvlJc w:val="left"/>
      <w:lvlText w:val="(%2)"/>
      <w:numFmt w:val="lowerRoman"/>
      <w:start w:val="3"/>
    </w:lvl>
  </w:abstractNum>
  <w:abstractNum w:abstractNumId="21">
    <w:nsid w:val="46B7D447"/>
    <w:multiLevelType w:val="hybridMultilevel"/>
    <w:lvl w:ilvl="0">
      <w:lvlJc w:val="left"/>
      <w:lvlText w:val="(%1)"/>
      <w:numFmt w:val="lowerLetter"/>
      <w:start w:val="14"/>
    </w:lvl>
    <w:lvl w:ilvl="1">
      <w:lvlJc w:val="left"/>
      <w:lvlText w:val="(%2)"/>
      <w:numFmt w:val="lowerRoman"/>
      <w:start w:val="1"/>
    </w:lvl>
  </w:abstractNum>
  <w:abstractNum w:abstractNumId="22">
    <w:nsid w:val="4A2AC315"/>
    <w:multiLevelType w:val="hybridMultilevel"/>
    <w:lvl w:ilvl="0">
      <w:lvlJc w:val="left"/>
      <w:lvlText w:val="(%1)"/>
      <w:numFmt w:val="lowerLetter"/>
      <w:start w:val="16"/>
    </w:lvl>
    <w:lvl w:ilvl="1">
      <w:lvlJc w:val="left"/>
      <w:lvlText w:val="(%2)"/>
      <w:numFmt w:val="lowerRoman"/>
      <w:start w:val="1"/>
    </w:lvl>
  </w:abstractNum>
  <w:abstractNum w:abstractNumId="23">
    <w:nsid w:val="39EE015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4">
    <w:nsid w:val="57FC4FBB"/>
    <w:multiLevelType w:val="hybridMultilevel"/>
    <w:lvl w:ilvl="0">
      <w:lvlJc w:val="left"/>
      <w:lvlText w:val="(%1)"/>
      <w:numFmt w:val="lowerRoman"/>
      <w:start w:val="2"/>
    </w:lvl>
    <w:lvl w:ilvl="1">
      <w:lvlJc w:val="left"/>
      <w:lvlText w:val="(%2)"/>
      <w:numFmt w:val="lowerLetter"/>
      <w:start w:val="17"/>
    </w:lvl>
    <w:lvl w:ilvl="2">
      <w:lvlJc w:val="left"/>
      <w:lvlText w:val="(%3)"/>
      <w:numFmt w:val="lowerLetter"/>
      <w:start w:val="61"/>
    </w:lvl>
  </w:abstractNum>
  <w:abstractNum w:abstractNumId="25">
    <w:nsid w:val="CC1016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26">
    <w:nsid w:val="43F18422"/>
    <w:multiLevelType w:val="hybridMultilevel"/>
    <w:lvl w:ilvl="0">
      <w:lvlJc w:val="left"/>
      <w:lvlText w:val="(%1)"/>
      <w:numFmt w:val="lowerRoman"/>
      <w:start w:val="2"/>
    </w:lvl>
  </w:abstractNum>
  <w:abstractNum w:abstractNumId="27">
    <w:nsid w:val="60EF0119"/>
    <w:multiLevelType w:val="hybridMultilevel"/>
    <w:lvl w:ilvl="0">
      <w:lvlJc w:val="left"/>
      <w:lvlText w:val="(%1)"/>
      <w:numFmt w:val="lowerLetter"/>
      <w:start w:val="20"/>
    </w:lvl>
    <w:lvl w:ilvl="1">
      <w:lvlJc w:val="left"/>
      <w:lvlText w:val="(%2)"/>
      <w:numFmt w:val="lowerRoman"/>
      <w:start w:val="1"/>
    </w:lvl>
  </w:abstractNum>
  <w:abstractNum w:abstractNumId="28">
    <w:nsid w:val="26F324BA"/>
    <w:multiLevelType w:val="hybridMultilevel"/>
    <w:lvl w:ilvl="0">
      <w:lvlJc w:val="left"/>
      <w:lvlText w:val="%1"/>
      <w:numFmt w:val="lowerLetter"/>
      <w:start w:val="1"/>
    </w:lvl>
    <w:lvl w:ilvl="1">
      <w:lvlJc w:val="left"/>
      <w:lvlText w:val="(%2)"/>
      <w:numFmt w:val="lowerRoman"/>
      <w:start w:val="3"/>
    </w:lvl>
  </w:abstractNum>
  <w:abstractNum w:abstractNumId="29">
    <w:nsid w:val="7F01579B"/>
    <w:multiLevelType w:val="hybridMultilevel"/>
    <w:lvl w:ilvl="0">
      <w:lvlJc w:val="left"/>
      <w:lvlText w:val="(%1)"/>
      <w:numFmt w:val="lowerLetter"/>
      <w:start w:val="23"/>
    </w:lvl>
    <w:lvl w:ilvl="1">
      <w:lvlJc w:val="left"/>
      <w:lvlText w:val="(%2)"/>
      <w:numFmt w:val="lowerRoman"/>
      <w:start w:val="1"/>
    </w:lvl>
  </w:abstractNum>
  <w:abstractNum w:abstractNumId="30">
    <w:nsid w:val="49DA307D"/>
    <w:multiLevelType w:val="hybridMultilevel"/>
    <w:lvl w:ilvl="0">
      <w:lvlJc w:val="left"/>
      <w:lvlText w:val="%1"/>
      <w:numFmt w:val="lowerLetter"/>
      <w:start w:val="1"/>
    </w:lvl>
    <w:lvl w:ilvl="1">
      <w:lvlJc w:val="left"/>
      <w:lvlText w:val="(%2)"/>
      <w:numFmt w:val="lowerRoman"/>
      <w:start w:val="3"/>
    </w:lvl>
  </w:abstractNum>
  <w:abstractNum w:abstractNumId="31">
    <w:nsid w:val="7055A5F5"/>
    <w:multiLevelType w:val="hybridMultilevel"/>
    <w:lvl w:ilvl="0">
      <w:lvlJc w:val="left"/>
      <w:lvlText w:val="(%1)"/>
      <w:numFmt w:val="lowerLetter"/>
      <w:start w:val="25"/>
    </w:lvl>
    <w:lvl w:ilvl="1">
      <w:lvlJc w:val="left"/>
      <w:lvlText w:val="%2"/>
      <w:numFmt w:val="lowerRoman"/>
      <w:start w:val="1"/>
    </w:lvl>
  </w:abstractNum>
  <w:abstractNum w:abstractNumId="32">
    <w:nsid w:val="5FB8370B"/>
    <w:multiLevelType w:val="hybridMultilevel"/>
    <w:lvl w:ilvl="0">
      <w:lvlJc w:val="left"/>
      <w:lvlText w:val="(%1)"/>
      <w:numFmt w:val="lowerLetter"/>
      <w:start w:val="27"/>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6"/>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8"/>
    </w:lvl>
    <w:lvl w:ilvl="1">
      <w:lvlJc w:val="left"/>
      <w:lvlText w:val="(%2)"/>
      <w:numFmt w:val="lowerRoman"/>
      <w:start w:val="1"/>
    </w:lvl>
  </w:abstractNum>
  <w:abstractNum w:abstractNumId="37">
    <w:nsid w:val="7672BD23"/>
    <w:multiLevelType w:val="hybridMultilevel"/>
    <w:lvl w:ilvl="0">
      <w:lvlJc w:val="left"/>
      <w:lvlText w:val="(%1)"/>
      <w:numFmt w:val="lowerLetter"/>
      <w:start w:val="2"/>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1"/>
    </w:lvl>
  </w:abstractNum>
  <w:abstractNum w:abstractNumId="40">
    <w:nsid w:val="7D5E18F8"/>
    <w:multiLevelType w:val="hybridMultilevel"/>
    <w:lvl w:ilvl="0">
      <w:lvlJc w:val="left"/>
      <w:lvlText w:val="(%1)"/>
      <w:numFmt w:val="lowerLetter"/>
      <w:start w:val="2"/>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lowerLetter"/>
      <w:start w:val="1"/>
    </w:lvl>
    <w:lvl w:ilvl="1">
      <w:lvlJc w:val="left"/>
      <w:lvlText w:val="(%2)"/>
      <w:numFmt w:val="lowerRoman"/>
      <w:start w:val="1"/>
    </w:lvl>
  </w:abstractNum>
  <w:abstractNum w:abstractNumId="45">
    <w:nsid w:val="3FA62ACA"/>
    <w:multiLevelType w:val="hybridMultilevel"/>
    <w:lvl w:ilvl="0">
      <w:lvlJc w:val="left"/>
      <w:lvlText w:val="%1."/>
      <w:numFmt w:val="decimal"/>
      <w:start w:val="1"/>
    </w:lvl>
  </w:abstractNum>
  <w:abstractNum w:abstractNumId="46">
    <w:nsid w:val="14FCE74E"/>
    <w:multiLevelType w:val="hybridMultilevel"/>
    <w:lvl w:ilvl="0">
      <w:lvlJc w:val="left"/>
      <w:lvlText w:val="(%1)"/>
      <w:numFmt w:val="lowerLetter"/>
      <w:start w:val="1"/>
    </w:lvl>
  </w:abstractNum>
  <w:abstractNum w:abstractNumId="47">
    <w:nsid w:val="6A3DD3E8"/>
    <w:multiLevelType w:val="hybridMultilevel"/>
    <w:lvl w:ilvl="0">
      <w:lvlJc w:val="left"/>
      <w:lvlText w:val="(%1)"/>
      <w:numFmt w:val="lowerRoman"/>
      <w:start w:val="2"/>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Letter"/>
      <w:start w:val="5"/>
    </w:lvl>
  </w:abstractNum>
  <w:abstractNum w:abstractNumId="50">
    <w:nsid w:val="53299938"/>
    <w:multiLevelType w:val="hybridMultilevel"/>
    <w:lvl w:ilvl="0">
      <w:lvlJc w:val="left"/>
      <w:lvlText w:val="(%1)"/>
      <w:numFmt w:val="lowerLetter"/>
      <w:start w:val="1"/>
    </w:lvl>
  </w:abstractNum>
  <w:abstractNum w:abstractNumId="51">
    <w:nsid w:val="1FBFE8E0"/>
    <w:multiLevelType w:val="hybridMultilevel"/>
    <w:lvl w:ilvl="0">
      <w:lvlJc w:val="left"/>
      <w:lvlText w:val="(%1)"/>
      <w:numFmt w:val="lowerLetter"/>
      <w:start w:val="1"/>
    </w:lvl>
    <w:lvl w:ilvl="1">
      <w:lvlJc w:val="left"/>
      <w:lvlText w:val="(%2)"/>
      <w:numFmt w:val="lowerRoman"/>
      <w:start w:val="1"/>
    </w:lvl>
  </w:abstractNum>
  <w:abstractNum w:abstractNumId="52">
    <w:nsid w:val="5092CA79"/>
    <w:multiLevelType w:val="hybridMultilevel"/>
    <w:lvl w:ilvl="0">
      <w:lvlJc w:val="left"/>
      <w:lvlText w:val="(%1)"/>
      <w:numFmt w:val="lowerLetter"/>
      <w:start w:val="1"/>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1"/>
    </w:lvl>
    <w:lvl w:ilvl="1">
      <w:lvlJc w:val="left"/>
      <w:lvlText w:val="(%2)"/>
      <w:numFmt w:val="lowerRoman"/>
      <w:start w:val="1"/>
    </w:lvl>
  </w:abstractNum>
  <w:abstractNum w:abstractNumId="55">
    <w:nsid w:val="288F1A34"/>
    <w:multiLevelType w:val="hybridMultilevel"/>
    <w:lvl w:ilvl="0">
      <w:lvlJc w:val="left"/>
      <w:lvlText w:val="(%1)"/>
      <w:numFmt w:val="lowerLetter"/>
      <w:start w:val="3"/>
    </w:lvl>
    <w:lvl w:ilvl="1">
      <w:lvlJc w:val="left"/>
      <w:lvlText w:val="%2"/>
      <w:numFmt w:val="lowerRoman"/>
      <w:start w:val="1"/>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lowerLetter"/>
      <w:start w:val="4"/>
    </w:lvl>
    <w:lvl w:ilvl="1">
      <w:lvlJc w:val="left"/>
      <w:lvlText w:val="(%2)"/>
      <w:numFmt w:val="lowerLetter"/>
      <w:start w:val="9"/>
    </w:lvl>
  </w:abstractNum>
  <w:abstractNum w:abstractNumId="58">
    <w:nsid w:val="97E1B4E"/>
    <w:multiLevelType w:val="hybridMultilevel"/>
    <w:lvl w:ilvl="0">
      <w:lvlJc w:val="left"/>
      <w:lvlText w:val="(%1)"/>
      <w:numFmt w:val="lowerRoman"/>
      <w:start w:val="2"/>
    </w:lvl>
  </w:abstractNum>
  <w:abstractNum w:abstractNumId="59">
    <w:nsid w:val="51088277"/>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60">
    <w:nsid w:val="1CA0C5FA"/>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3"/>
    </w:lvl>
  </w:abstractNum>
  <w:abstractNum w:abstractNumId="61">
    <w:nsid w:val="53584BC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2">
    <w:nsid w:val="415E286C"/>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63">
    <w:nsid w:val="7C58FD05"/>
    <w:multiLevelType w:val="hybridMultilevel"/>
    <w:lvl w:ilvl="0">
      <w:lvlJc w:val="left"/>
      <w:lvlText w:val="%1"/>
      <w:numFmt w:val="lowerLetter"/>
      <w:start w:val="1"/>
    </w:lvl>
    <w:lvl w:ilvl="1">
      <w:lvlJc w:val="left"/>
      <w:lvlText w:val="(%2)"/>
      <w:numFmt w:val="lowerRoman"/>
      <w:start w:val="4"/>
    </w:lvl>
  </w:abstractNum>
  <w:abstractNum w:abstractNumId="64">
    <w:nsid w:val="23D86AAC"/>
    <w:multiLevelType w:val="hybridMultilevel"/>
    <w:lvl w:ilvl="0">
      <w:lvlJc w:val="left"/>
      <w:lvlText w:val="(%1)"/>
      <w:numFmt w:val="lowerLetter"/>
      <w:start w:val="14"/>
    </w:lvl>
    <w:lvl w:ilvl="1">
      <w:lvlJc w:val="left"/>
      <w:lvlText w:val="(%2)"/>
      <w:numFmt w:val="lowerRoman"/>
      <w:start w:val="1"/>
    </w:lvl>
  </w:abstractNum>
  <w:abstractNum w:abstractNumId="65">
    <w:nsid w:val="45E6D4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6">
    <w:nsid w:val="5C10FE21"/>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67">
    <w:nsid w:val="E7FFA2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68">
    <w:nsid w:val="3C5991AA"/>
    <w:multiLevelType w:val="hybridMultilevel"/>
    <w:lvl w:ilvl="0">
      <w:lvlJc w:val="left"/>
      <w:lvlText w:val="%1"/>
      <w:numFmt w:val="lowerLetter"/>
      <w:start w:val="1"/>
    </w:lvl>
    <w:lvl w:ilvl="1">
      <w:lvlJc w:val="left"/>
      <w:lvlText w:val="(%2)"/>
      <w:numFmt w:val="lowerLetter"/>
      <w:start w:val="61"/>
    </w:lvl>
  </w:abstractNum>
  <w:abstractNum w:abstractNumId="69">
    <w:nsid w:val="4BD8591A"/>
    <w:multiLevelType w:val="hybridMultilevel"/>
    <w:lvl w:ilvl="0">
      <w:lvlJc w:val="left"/>
      <w:lvlText w:val="(%1)"/>
      <w:numFmt w:val="lowerLetter"/>
      <w:start w:val="18"/>
    </w:lvl>
    <w:lvl w:ilvl="1">
      <w:lvlJc w:val="left"/>
      <w:lvlText w:val="(%2)"/>
      <w:numFmt w:val="lowerLetter"/>
      <w:start w:val="9"/>
    </w:lvl>
  </w:abstractNum>
  <w:abstractNum w:abstractNumId="70">
    <w:nsid w:val="78DF6A55"/>
    <w:multiLevelType w:val="hybridMultilevel"/>
    <w:lvl w:ilvl="0">
      <w:lvlJc w:val="left"/>
      <w:lvlText w:val="%1"/>
      <w:numFmt w:val="lowerLetter"/>
      <w:start w:val="1"/>
    </w:lvl>
    <w:lvl w:ilvl="1">
      <w:lvlJc w:val="left"/>
      <w:lvlText w:val="(%2)"/>
      <w:numFmt w:val="lowerRoman"/>
      <w:start w:val="2"/>
    </w:lvl>
  </w:abstractNum>
  <w:abstractNum w:abstractNumId="71">
    <w:nsid w:val="39B7AAA2"/>
    <w:multiLevelType w:val="hybridMultilevel"/>
    <w:lvl w:ilvl="0">
      <w:lvlJc w:val="left"/>
      <w:lvlText w:val="(%1)"/>
      <w:numFmt w:val="lowerLetter"/>
      <w:start w:val="20"/>
    </w:lvl>
    <w:lvl w:ilvl="1">
      <w:lvlJc w:val="left"/>
      <w:lvlText w:val="%2"/>
      <w:numFmt w:val="lowerRoman"/>
      <w:start w:val="1"/>
    </w:lvl>
  </w:abstractNum>
  <w:abstractNum w:abstractNumId="72">
    <w:nsid w:val="2B0D8DBE"/>
    <w:multiLevelType w:val="hybridMultilevel"/>
    <w:lvl w:ilvl="0">
      <w:lvlJc w:val="left"/>
      <w:lvlText w:val="(%1)"/>
      <w:numFmt w:val="lowerLetter"/>
      <w:start w:val="21"/>
    </w:lvl>
    <w:lvl w:ilvl="1">
      <w:lvlJc w:val="left"/>
      <w:lvlText w:val="(%2)"/>
      <w:numFmt w:val="lowerRoman"/>
      <w:start w:val="1"/>
    </w:lvl>
  </w:abstractNum>
  <w:abstractNum w:abstractNumId="73">
    <w:nsid w:val="6C80EC70"/>
    <w:multiLevelType w:val="hybridMultilevel"/>
    <w:lvl w:ilvl="0">
      <w:lvlJc w:val="left"/>
      <w:lvlText w:val="%1"/>
      <w:numFmt w:val="lowerLetter"/>
      <w:start w:val="1"/>
    </w:lvl>
    <w:lvl w:ilvl="1">
      <w:lvlJc w:val="left"/>
      <w:lvlText w:val="(%2)"/>
      <w:numFmt w:val="lowerRoman"/>
      <w:start w:val="7"/>
    </w:lvl>
  </w:abstractNum>
  <w:abstractNum w:abstractNumId="74">
    <w:nsid w:val="379E21B5"/>
    <w:multiLevelType w:val="hybridMultilevel"/>
    <w:lvl w:ilvl="0">
      <w:lvlJc w:val="left"/>
      <w:lvlText w:val="(%1)"/>
      <w:numFmt w:val="lowerLetter"/>
      <w:start w:val="23"/>
    </w:lvl>
    <w:lvl w:ilvl="1">
      <w:lvlJc w:val="left"/>
      <w:lvlText w:val="(%2)"/>
      <w:numFmt w:val="lowerRoman"/>
      <w:start w:val="1"/>
    </w:lvl>
  </w:abstractNum>
  <w:abstractNum w:abstractNumId="75">
    <w:nsid w:val="69E373"/>
    <w:multiLevelType w:val="hybridMultilevel"/>
    <w:lvl w:ilvl="0">
      <w:lvlJc w:val="left"/>
      <w:lvlText w:val="(%1)"/>
      <w:numFmt w:val="lowerLetter"/>
      <w:start w:val="27"/>
    </w:lvl>
  </w:abstractNum>
  <w:abstractNum w:abstractNumId="76">
    <w:nsid w:val="2C27173B"/>
    <w:multiLevelType w:val="hybridMultilevel"/>
    <w:lvl w:ilvl="0">
      <w:lvlJc w:val="left"/>
      <w:lvlText w:val="(%1)"/>
      <w:numFmt w:val="lowerLetter"/>
      <w:start w:val="29"/>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Letter"/>
      <w:start w:val="5"/>
    </w:lvl>
  </w:abstractNum>
  <w:abstractNum w:abstractNumId="79">
    <w:nsid w:val="1DF029D3"/>
    <w:multiLevelType w:val="hybridMultilevel"/>
    <w:lvl w:ilvl="0">
      <w:lvlJc w:val="left"/>
      <w:lvlText w:val="(%1)"/>
      <w:numFmt w:val="lowerLetter"/>
      <w:start w:val="1"/>
    </w:lvl>
  </w:abstractNum>
  <w:abstractNum w:abstractNumId="80">
    <w:nsid w:val="5675FF36"/>
    <w:multiLevelType w:val="hybridMultilevel"/>
    <w:lvl w:ilvl="0">
      <w:lvlJc w:val="left"/>
      <w:lvlText w:val="(%1)"/>
      <w:numFmt w:val="lowerLetter"/>
      <w:start w:val="10"/>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2"/>
    </w:lvl>
    <w:lvl w:ilvl="1">
      <w:lvlJc w:val="left"/>
      <w:lvlText w:val="(%2)"/>
      <w:numFmt w:val="lowerRoman"/>
      <w:start w:val="1"/>
    </w:lvl>
  </w:abstractNum>
  <w:abstractNum w:abstractNumId="84">
    <w:nsid w:val="5B25ACE2"/>
    <w:multiLevelType w:val="hybridMultilevel"/>
    <w:lvl w:ilvl="0">
      <w:lvlJc w:val="left"/>
      <w:lvlText w:val="(%1)"/>
      <w:numFmt w:val="lowerRoman"/>
      <w:start w:val="10"/>
    </w:lvl>
  </w:abstractNum>
  <w:abstractNum w:abstractNumId="85">
    <w:nsid w:val="175DFCF0"/>
    <w:multiLevelType w:val="hybridMultilevel"/>
    <w:lvl w:ilvl="0">
      <w:lvlJc w:val="left"/>
      <w:lvlText w:val="(%1)"/>
      <w:numFmt w:val="lowerRoman"/>
      <w:start w:val="23"/>
    </w:lvl>
  </w:abstractNum>
  <w:abstractNum w:abstractNumId="86">
    <w:nsid w:val="4F97E3E4"/>
    <w:multiLevelType w:val="hybridMultilevel"/>
    <w:lvl w:ilvl="0">
      <w:lvlJc w:val="left"/>
      <w:lvlText w:val="(%1)"/>
      <w:numFmt w:val="lowerLetter"/>
      <w:start w:val="3"/>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3"/>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3"/>
    </w:lvl>
  </w:abstractNum>
  <w:abstractNum w:abstractNumId="91">
    <w:nsid w:val="519E3149"/>
    <w:multiLevelType w:val="hybridMultilevel"/>
    <w:lvl w:ilvl="0">
      <w:lvlJc w:val="left"/>
      <w:lvlText w:val="(%1)"/>
      <w:numFmt w:val="lowerLetter"/>
      <w:start w:val="1"/>
    </w:lvl>
    <w:lvl w:ilvl="1">
      <w:lvlJc w:val="left"/>
      <w:lvlText w:val="(%2)"/>
      <w:numFmt w:val="lowerRoman"/>
      <w:start w:val="1"/>
    </w:lvl>
  </w:abstractNum>
  <w:abstractNum w:abstractNumId="92">
    <w:nsid w:val="2C6E4AFD"/>
    <w:multiLevelType w:val="hybridMultilevel"/>
    <w:lvl w:ilvl="0">
      <w:lvlJc w:val="left"/>
      <w:lvlText w:val="(%1)"/>
      <w:numFmt w:val="decimal"/>
      <w:start w:val="30"/>
    </w:lvl>
  </w:abstractNum>
  <w:abstractNum w:abstractNumId="93">
    <w:nsid w:val="17A1B582"/>
    <w:multiLevelType w:val="hybridMultilevel"/>
    <w:lvl w:ilvl="0">
      <w:lvlJc w:val="left"/>
      <w:lvlText w:val="(%1)"/>
      <w:numFmt w:val="lowerLetter"/>
      <w:start w:val="1"/>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Letter"/>
      <w:start w:val="1"/>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2"/>
    </w:lvl>
  </w:abstractNum>
  <w:abstractNum w:abstractNumId="99">
    <w:nsid w:val="19E21BB2"/>
    <w:multiLevelType w:val="hybridMultilevel"/>
    <w:lvl w:ilvl="0">
      <w:lvlJc w:val="left"/>
      <w:lvlText w:val="(%1)"/>
      <w:numFmt w:val="lowerLetter"/>
      <w:start w:val="1"/>
    </w:lvl>
  </w:abstractNum>
  <w:abstractNum w:abstractNumId="100">
    <w:nsid w:val="75E0858A"/>
    <w:multiLevelType w:val="hybridMultilevel"/>
    <w:lvl w:ilvl="0">
      <w:lvlJc w:val="left"/>
      <w:lvlText w:val="(%1)"/>
      <w:numFmt w:val="lowerLetter"/>
      <w:start w:val="1"/>
    </w:lvl>
    <w:lvl w:ilvl="1">
      <w:lvlJc w:val="left"/>
      <w:lvlText w:val="(%2)"/>
      <w:numFmt w:val="lowerRoman"/>
      <w:start w:val="1"/>
    </w:lvl>
  </w:abstractNum>
  <w:abstractNum w:abstractNumId="101">
    <w:nsid w:val="57A61A29"/>
    <w:multiLevelType w:val="hybridMultilevel"/>
    <w:lvl w:ilvl="0">
      <w:lvlJc w:val="left"/>
      <w:lvlText w:val="%1."/>
      <w:numFmt w:val="decimal"/>
      <w:start w:val="1"/>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lowerRoman"/>
      <w:start w:val="2"/>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8"/>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Roman"/>
      <w:start w:val="1"/>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lvl w:ilvl="1">
      <w:lvlJc w:val="left"/>
      <w:lvlText w:val="(%2)"/>
      <w:numFmt w:val="lowerRoman"/>
      <w:start w:val="1"/>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6"/>
    </w:lvl>
    <w:lvl w:ilvl="1">
      <w:lvlJc w:val="left"/>
      <w:lvlText w:val="(%2)"/>
      <w:numFmt w:val="lowerRoman"/>
      <w:start w:val="1"/>
    </w:lvl>
  </w:abstractNum>
  <w:abstractNum w:abstractNumId="113">
    <w:nsid w:val="4BEE5A5B"/>
    <w:multiLevelType w:val="hybridMultilevel"/>
    <w:lvl w:ilvl="0">
      <w:lvlJc w:val="left"/>
      <w:lvlText w:val="%1"/>
      <w:numFmt w:val="lowerLetter"/>
      <w:start w:val="1"/>
    </w:lvl>
    <w:lvl w:ilvl="1">
      <w:lvlJc w:val="left"/>
      <w:lvlText w:val="(%2)"/>
      <w:numFmt w:val="lowerRoman"/>
      <w:start w:val="3"/>
    </w:lvl>
  </w:abstractNum>
  <w:abstractNum w:abstractNumId="114">
    <w:nsid w:val="5551B9F3"/>
    <w:multiLevelType w:val="hybridMultilevel"/>
    <w:lvl w:ilvl="0">
      <w:lvlJc w:val="left"/>
      <w:lvlText w:val="(%1)"/>
      <w:numFmt w:val="lowerLetter"/>
      <w:start w:val="10"/>
    </w:lvl>
    <w:lvl w:ilvl="1">
      <w:lvlJc w:val="left"/>
      <w:lvlText w:val="%2"/>
      <w:numFmt w:val="lowerRoman"/>
      <w:start w:val="1"/>
    </w:lvl>
  </w:abstractNum>
  <w:abstractNum w:abstractNumId="115">
    <w:nsid w:val="24F6AB8E"/>
    <w:multiLevelType w:val="hybridMultilevel"/>
    <w:lvl w:ilvl="0">
      <w:lvlJc w:val="left"/>
      <w:lvlText w:val="%1"/>
      <w:numFmt w:val="lowerLetter"/>
      <w:start w:val="1"/>
    </w:lvl>
    <w:lvl w:ilvl="1">
      <w:lvlJc w:val="left"/>
      <w:lvlText w:val="(%2)"/>
      <w:numFmt w:val="lowerRoman"/>
      <w:start w:val="1"/>
    </w:lvl>
  </w:abstractNum>
  <w:abstractNum w:abstractNumId="116">
    <w:nsid w:val="634C574C"/>
    <w:multiLevelType w:val="hybridMultilevel"/>
    <w:lvl w:ilvl="0">
      <w:lvlJc w:val="left"/>
      <w:lvlText w:val="(%1)"/>
      <w:numFmt w:val="lowerLetter"/>
      <w:start w:val="12"/>
    </w:lvl>
    <w:lvl w:ilvl="1">
      <w:lvlJc w:val="left"/>
      <w:lvlText w:val="%2"/>
      <w:numFmt w:val="lowerRoman"/>
      <w:start w:val="1"/>
    </w:lvl>
  </w:abstractNum>
  <w:abstractNum w:abstractNumId="117">
    <w:nsid w:val="24E99DD7"/>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18">
    <w:nsid w:val="2A31B62D"/>
    <w:multiLevelType w:val="hybridMultilevel"/>
    <w:lvl w:ilvl="0">
      <w:lvlJc w:val="left"/>
      <w:lvlText w:val="%1"/>
      <w:numFmt w:val="lowerLetter"/>
      <w:start w:val="1"/>
    </w:lvl>
    <w:lvl w:ilvl="1">
      <w:lvlJc w:val="left"/>
      <w:lvlText w:val="(%2)"/>
      <w:numFmt w:val="lowerRoman"/>
      <w:start w:val="2"/>
    </w:lvl>
  </w:abstractNum>
  <w:abstractNum w:abstractNumId="119">
    <w:nsid w:val="1849C29B"/>
    <w:multiLevelType w:val="hybridMultilevel"/>
    <w:lvl w:ilvl="0">
      <w:lvlJc w:val="left"/>
      <w:lvlText w:val="(%1)"/>
      <w:numFmt w:val="lowerLetter"/>
      <w:start w:val="15"/>
    </w:lvl>
    <w:lvl w:ilvl="1">
      <w:lvlJc w:val="left"/>
      <w:lvlText w:val="(%2)"/>
      <w:numFmt w:val="lowerRoman"/>
      <w:start w:val="1"/>
    </w:lvl>
  </w:abstractNum>
  <w:abstractNum w:abstractNumId="120">
    <w:nsid w:val="7DFF9D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21">
    <w:nsid w:val="754342"/>
    <w:multiLevelType w:val="hybridMultilevel"/>
    <w:lvl w:ilvl="0">
      <w:lvlJc w:val="left"/>
      <w:lvlText w:val="%1"/>
      <w:numFmt w:val="lowerRoman"/>
      <w:start w:val="1"/>
    </w:lvl>
    <w:lvl w:ilvl="1">
      <w:lvlJc w:val="left"/>
      <w:lvlText w:val="(%2)"/>
      <w:numFmt w:val="lowerLetter"/>
      <w:start w:val="17"/>
    </w:lvl>
    <w:lvl w:ilvl="2">
      <w:lvlJc w:val="left"/>
      <w:lvlText w:val="(%3)"/>
      <w:numFmt w:val="lowerRoman"/>
      <w:start w:val="1"/>
    </w:lvl>
  </w:abstractNum>
  <w:abstractNum w:abstractNumId="122">
    <w:nsid w:val="69E7F3E5"/>
    <w:multiLevelType w:val="hybridMultilevel"/>
    <w:lvl w:ilvl="0">
      <w:lvlJc w:val="left"/>
      <w:lvlText w:val="(%1)"/>
      <w:numFmt w:val="lowerRoman"/>
      <w:start w:val="2"/>
    </w:lvl>
    <w:lvl w:ilvl="1">
      <w:lvlJc w:val="left"/>
      <w:lvlText w:val="(%2)"/>
      <w:numFmt w:val="lowerLetter"/>
      <w:start w:val="17"/>
    </w:lvl>
    <w:lvl w:ilvl="2">
      <w:lvlJc w:val="left"/>
      <w:lvlText w:val="(%3)"/>
      <w:numFmt w:val="lowerRoman"/>
      <w:start w:val="3"/>
    </w:lvl>
  </w:abstractNum>
  <w:abstractNum w:abstractNumId="123">
    <w:nsid w:val="2A6DE806"/>
    <w:multiLevelType w:val="hybridMultilevel"/>
    <w:lvl w:ilvl="0">
      <w:lvlJc w:val="left"/>
      <w:lvlText w:val="(%1)"/>
      <w:numFmt w:val="lowerLetter"/>
      <w:start w:val="19"/>
    </w:lvl>
    <w:lvl w:ilvl="1">
      <w:lvlJc w:val="left"/>
      <w:lvlText w:val="(%2)"/>
      <w:numFmt w:val="lowerRoman"/>
      <w:start w:val="1"/>
    </w:lvl>
  </w:abstractNum>
  <w:abstractNum w:abstractNumId="124">
    <w:nsid w:val="1816F8C4"/>
    <w:multiLevelType w:val="hybridMultilevel"/>
    <w:lvl w:ilvl="0">
      <w:lvlJc w:val="left"/>
      <w:lvlText w:val="(%1)"/>
      <w:numFmt w:val="lowerRoman"/>
      <w:start w:val="5"/>
    </w:lvl>
    <w:lvl w:ilvl="1">
      <w:lvlJc w:val="left"/>
      <w:lvlText w:val="(%2)"/>
      <w:numFmt w:val="lowerRoman"/>
      <w:start w:val="1"/>
    </w:lvl>
  </w:abstractNum>
  <w:abstractNum w:abstractNumId="125">
    <w:nsid w:val="37DF2233"/>
    <w:multiLevelType w:val="hybridMultilevel"/>
    <w:lvl w:ilvl="0">
      <w:lvlJc w:val="left"/>
      <w:lvlText w:val="(%1)"/>
      <w:numFmt w:val="lowerLetter"/>
      <w:start w:val="23"/>
    </w:lvl>
  </w:abstractNum>
  <w:abstractNum w:abstractNumId="126">
    <w:nsid w:val="7AB49DAF"/>
    <w:multiLevelType w:val="hybridMultilevel"/>
    <w:lvl w:ilvl="0">
      <w:lvlJc w:val="left"/>
      <w:lvlText w:val="(%1)"/>
      <w:numFmt w:val="lowerRoman"/>
      <w:start w:val="10"/>
    </w:lvl>
    <w:lvl w:ilvl="1">
      <w:lvlJc w:val="left"/>
      <w:lvlText w:val="(%2)"/>
      <w:numFmt w:val="lowerRoman"/>
      <w:start w:val="1"/>
    </w:lvl>
  </w:abstractNum>
  <w:abstractNum w:abstractNumId="127">
    <w:nsid w:val="759F82CD"/>
    <w:multiLevelType w:val="hybridMultilevel"/>
    <w:lvl w:ilvl="0">
      <w:lvlJc w:val="left"/>
      <w:lvlText w:val="(%1)"/>
      <w:numFmt w:val="lowerLetter"/>
      <w:start w:val="26"/>
    </w:lvl>
  </w:abstractNum>
  <w:abstractNum w:abstractNumId="128">
    <w:nsid w:val="61E74EA3"/>
    <w:multiLevelType w:val="hybridMultilevel"/>
    <w:lvl w:ilvl="0">
      <w:lvlJc w:val="left"/>
      <w:lvlText w:val="(%1)"/>
      <w:numFmt w:val="lowerLetter"/>
      <w:start w:val="27"/>
    </w:lvl>
  </w:abstractNum>
  <w:abstractNum w:abstractNumId="129">
    <w:nsid w:val="597B4D84"/>
    <w:multiLevelType w:val="hybridMultilevel"/>
    <w:lvl w:ilvl="0">
      <w:lvlJc w:val="left"/>
      <w:lvlText w:val="."/>
      <w:numFmt w:val="bullet"/>
      <w:start w:val="1"/>
    </w:lvl>
    <w:lvl w:ilvl="1">
      <w:lvlJc w:val="left"/>
      <w:lvlText w:val="(%2)"/>
      <w:numFmt w:val="lowerLetter"/>
      <w:start w:val="1"/>
    </w:lvl>
  </w:abstractNum>
  <w:abstractNum w:abstractNumId="130">
    <w:nsid w:val="F819E7F"/>
    <w:multiLevelType w:val="hybridMultilevel"/>
    <w:lvl w:ilvl="0">
      <w:lvlJc w:val="left"/>
      <w:lvlText w:val="(%1)"/>
      <w:numFmt w:val="lowerLetter"/>
      <w:start w:val="7"/>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3"/>
    </w:lvl>
  </w:abstractNum>
  <w:abstractNum w:abstractNumId="133">
    <w:nsid w:val="631B64D4"/>
    <w:multiLevelType w:val="hybridMultilevel"/>
    <w:lvl w:ilvl="0">
      <w:lvlJc w:val="left"/>
      <w:lvlText w:val="(%1)"/>
      <w:numFmt w:val="lowerLetter"/>
      <w:start w:val="15"/>
    </w:lvl>
  </w:abstractNum>
  <w:abstractNum w:abstractNumId="134">
    <w:nsid w:val="78B5E776"/>
    <w:multiLevelType w:val="hybridMultilevel"/>
    <w:lvl w:ilvl="0">
      <w:lvlJc w:val="left"/>
      <w:lvlText w:val="(%1)"/>
      <w:numFmt w:val="decimal"/>
      <w:start w:val="10"/>
    </w:lvl>
  </w:abstractNum>
  <w:abstractNum w:abstractNumId="135">
    <w:nsid w:val="75486E47"/>
    <w:multiLevelType w:val="hybridMultilevel"/>
    <w:lvl w:ilvl="0">
      <w:lvlJc w:val="left"/>
      <w:lvlText w:val="(%1)"/>
      <w:numFmt w:val="lowerLetter"/>
      <w:start w:val="1"/>
    </w:lvl>
    <w:lvl w:ilvl="1">
      <w:lvlJc w:val="left"/>
      <w:lvlText w:val="(%2)"/>
      <w:numFmt w:val="lowerRoman"/>
      <w:start w:val="1"/>
    </w:lvl>
  </w:abstractNum>
  <w:abstractNum w:abstractNumId="136">
    <w:nsid w:val="6E534CDE"/>
    <w:multiLevelType w:val="hybridMultilevel"/>
    <w:lvl w:ilvl="0">
      <w:lvlJc w:val="left"/>
      <w:lvlText w:val="(%1)"/>
      <w:numFmt w:val="lowerRoman"/>
      <w:start w:val="3"/>
    </w:lvl>
  </w:abstractNum>
  <w:abstractNum w:abstractNumId="137">
    <w:nsid w:val="1A0DDE32"/>
    <w:multiLevelType w:val="hybridMultilevel"/>
    <w:lvl w:ilvl="0">
      <w:lvlJc w:val="left"/>
      <w:lvlText w:val="(%1)"/>
      <w:numFmt w:val="lowerRoman"/>
      <w:start w:val="14"/>
    </w:lvl>
  </w:abstractNum>
  <w:abstractNum w:abstractNumId="138">
    <w:nsid w:val="65968C1C"/>
    <w:multiLevelType w:val="hybridMultilevel"/>
    <w:lvl w:ilvl="0">
      <w:lvlJc w:val="left"/>
      <w:lvlText w:val="(%1)"/>
      <w:numFmt w:val="lowerLetter"/>
      <w:start w:val="3"/>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lowerLetter"/>
      <w:start w:val="4"/>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3"/>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1)"/>
      <w:numFmt w:val="lowerLetter"/>
      <w:start w:val="1"/>
    </w:lvl>
  </w:abstractNum>
  <w:abstractNum w:abstractNumId="145">
    <w:nsid w:val="49C0E823"/>
    <w:multiLevelType w:val="hybridMultilevel"/>
    <w:lvl w:ilvl="0">
      <w:lvlJc w:val="left"/>
      <w:lvlText w:val="(%1)"/>
      <w:numFmt w:val="lowerRoman"/>
      <w:start w:val="1"/>
    </w:lvl>
  </w:abstractNum>
  <w:abstractNum w:abstractNumId="146">
    <w:nsid w:val="14D53685"/>
    <w:multiLevelType w:val="hybridMultilevel"/>
    <w:lvl w:ilvl="0">
      <w:lvlJc w:val="left"/>
      <w:lvlText w:val="(%1)"/>
      <w:numFmt w:val="lowerLetter"/>
      <w:start w:val="2"/>
    </w:lvl>
  </w:abstractNum>
  <w:abstractNum w:abstractNumId="147">
    <w:nsid w:val="230F856C"/>
    <w:multiLevelType w:val="hybridMultilevel"/>
    <w:lvl w:ilvl="0">
      <w:lvlJc w:val="left"/>
      <w:lvlText w:val="(%1)"/>
      <w:numFmt w:val="decimal"/>
      <w:start w:val="30"/>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2"/>
    </w:lvl>
  </w:abstractNum>
  <w:abstractNum w:abstractNumId="151">
    <w:nsid w:val="6CAA2304"/>
    <w:multiLevelType w:val="hybridMultilevel"/>
    <w:lvl w:ilvl="0">
      <w:lvlJc w:val="left"/>
      <w:lvlText w:val="(%1)"/>
      <w:numFmt w:val="lowerLetter"/>
      <w:start w:val="1"/>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Letter"/>
      <w:start w:val="4"/>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lowerLetter"/>
      <w:start w:val="1"/>
    </w:lvl>
    <w:lvl w:ilvl="1">
      <w:lvlJc w:val="left"/>
      <w:lvlText w:val="(%2)"/>
      <w:numFmt w:val="lowerRoman"/>
      <w:start w:val="1"/>
    </w:lvl>
  </w:abstractNum>
  <w:abstractNum w:abstractNumId="157">
    <w:nsid w:val="11CCA8BA"/>
    <w:multiLevelType w:val="hybridMultilevel"/>
    <w:lvl w:ilvl="0">
      <w:lvlJc w:val="left"/>
      <w:lvlText w:val="1"/>
      <w:numFmt w:val="bullet"/>
      <w:start w:val="1"/>
    </w:lvl>
  </w:abstractNum>
  <w:abstractNum w:abstractNumId="158">
    <w:nsid w:val="4D32AB86"/>
    <w:multiLevelType w:val="hybridMultilevel"/>
    <w:lvl w:ilvl="0">
      <w:lvlJc w:val="left"/>
      <w:lvlText w:val="2"/>
      <w:numFmt w:val="bullet"/>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2020-12-22T16:04:04Z</dcterms:created>
  <dcterms:modified xsi:type="dcterms:W3CDTF">2020-12-22T16:04:04Z</dcterms:modified>
</cp:coreProperties>
</file>