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7048500" cy="8782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87820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Malcarney Kevin P.</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140" w:type="dxa"/>
            <w:vAlign w:val="bottom"/>
          </w:tcPr>
          <w:p>
            <w:pPr>
              <w:ind w:left="160"/>
              <w:spacing w:after="0"/>
              <w:rPr>
                <w:sz w:val="20"/>
                <w:szCs w:val="20"/>
                <w:color w:val="auto"/>
              </w:rPr>
            </w:pPr>
            <w:r>
              <w:rPr>
                <w:rFonts w:ascii="Arial" w:cs="Arial" w:eastAsia="Arial" w:hAnsi="Arial"/>
                <w:sz w:val="13"/>
                <w:szCs w:val="13"/>
                <w:color w:val="auto"/>
              </w:rPr>
              <w:t>(First)</w:t>
            </w:r>
          </w:p>
        </w:tc>
        <w:tc>
          <w:tcPr>
            <w:tcW w:w="700" w:type="dxa"/>
            <w:vAlign w:val="bottom"/>
          </w:tcPr>
          <w:p>
            <w:pPr>
              <w:ind w:left="240"/>
              <w:spacing w:after="0"/>
              <w:rPr>
                <w:sz w:val="20"/>
                <w:szCs w:val="20"/>
                <w:color w:val="auto"/>
              </w:rPr>
            </w:pPr>
            <w:r>
              <w:rPr>
                <w:rFonts w:ascii="Arial" w:cs="Arial" w:eastAsia="Arial" w:hAnsi="Arial"/>
                <w:sz w:val="13"/>
                <w:szCs w:val="13"/>
                <w:color w:val="auto"/>
                <w:w w:val="93"/>
              </w:rPr>
              <w:t>(Middle)</w:t>
            </w:r>
          </w:p>
        </w:tc>
      </w:tr>
      <w:tr>
        <w:trPr>
          <w:trHeight w:val="259"/>
        </w:trPr>
        <w:tc>
          <w:tcPr>
            <w:tcW w:w="2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CLEARWAY ENERGY, INC.</w:t>
            </w:r>
          </w:p>
        </w:tc>
        <w:tc>
          <w:tcPr>
            <w:tcW w:w="700" w:type="dxa"/>
            <w:vAlign w:val="bottom"/>
          </w:tcPr>
          <w:p>
            <w:pPr>
              <w:spacing w:after="0"/>
              <w:rPr>
                <w:sz w:val="22"/>
                <w:szCs w:val="22"/>
                <w:color w:val="auto"/>
              </w:rPr>
            </w:pPr>
          </w:p>
        </w:tc>
      </w:tr>
      <w:tr>
        <w:trPr>
          <w:trHeight w:val="251"/>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300 CARNEGIE CENTER, SUITE 300</w:t>
            </w:r>
          </w:p>
        </w:tc>
      </w:tr>
      <w:tr>
        <w:trPr>
          <w:trHeight w:val="419"/>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1"/>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PRINCETON</w:t>
            </w:r>
          </w:p>
        </w:tc>
        <w:tc>
          <w:tcPr>
            <w:tcW w:w="11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08540</w:t>
            </w:r>
          </w:p>
        </w:tc>
      </w:tr>
      <w:tr>
        <w:trPr>
          <w:trHeight w:val="456"/>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140" w:type="dxa"/>
            <w:vAlign w:val="bottom"/>
          </w:tcPr>
          <w:p>
            <w:pPr>
              <w:ind w:left="160"/>
              <w:spacing w:after="0"/>
              <w:rPr>
                <w:sz w:val="20"/>
                <w:szCs w:val="20"/>
                <w:color w:val="auto"/>
              </w:rPr>
            </w:pPr>
            <w:r>
              <w:rPr>
                <w:rFonts w:ascii="Arial" w:cs="Arial" w:eastAsia="Arial" w:hAnsi="Arial"/>
                <w:sz w:val="13"/>
                <w:szCs w:val="13"/>
                <w:color w:val="auto"/>
              </w:rPr>
              <w:t>(State)</w:t>
            </w:r>
          </w:p>
        </w:tc>
        <w:tc>
          <w:tcPr>
            <w:tcW w:w="70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80" w:type="dxa"/>
            <w:vAlign w:val="bottom"/>
            <w:tcBorders>
              <w:top w:val="single" w:sz="8" w:color="0000EE"/>
            </w:tcBorders>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04/15/2023</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EVP, GEN COUNSEL AND CORP SECR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8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6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60"/>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60" w:type="dxa"/>
            <w:vAlign w:val="bottom"/>
            <w:gridSpan w:val="2"/>
          </w:tcPr>
          <w:p>
            <w:pPr>
              <w:ind w:left="26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line="126"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rPr>
              <w:t>894</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3"/>
              </w:rPr>
              <w:t>56,554</w:t>
            </w:r>
            <w:r>
              <w:rPr>
                <w:rFonts w:ascii="Times New Roman" w:cs="Times New Roman" w:eastAsia="Times New Roman" w:hAnsi="Times New Roman"/>
                <w:sz w:val="20"/>
                <w:szCs w:val="20"/>
                <w:color w:val="008000"/>
                <w:w w:val="93"/>
                <w:vertAlign w:val="superscript"/>
              </w:rPr>
              <w:t>(2)</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rPr>
              <w:t>667</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3"/>
              </w:rPr>
              <w:t>55,887</w:t>
            </w:r>
            <w:r>
              <w:rPr>
                <w:rFonts w:ascii="Times New Roman" w:cs="Times New Roman" w:eastAsia="Times New Roman" w:hAnsi="Times New Roman"/>
                <w:sz w:val="20"/>
                <w:szCs w:val="20"/>
                <w:color w:val="008000"/>
                <w:w w:val="93"/>
                <w:vertAlign w:val="superscript"/>
              </w:rPr>
              <w:t>(4)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rPr>
              <w:t>801</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3"/>
              </w:rPr>
              <w:t>55,086</w:t>
            </w:r>
            <w:r>
              <w:rPr>
                <w:rFonts w:ascii="Times New Roman" w:cs="Times New Roman" w:eastAsia="Times New Roman" w:hAnsi="Times New Roman"/>
                <w:sz w:val="20"/>
                <w:szCs w:val="20"/>
                <w:color w:val="008000"/>
                <w:w w:val="93"/>
                <w:vertAlign w:val="superscript"/>
              </w:rPr>
              <w:t>(6)</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rPr>
              <w:t>16,241</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(7)(8)</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71,327</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rPr>
              <w:t>742</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72,069</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rPr>
              <w:t>9,165</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62,904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rPr>
              <w:t>149</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62,755</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6"/>
                <w:szCs w:val="16"/>
                <w:color w:val="0000FF"/>
              </w:rPr>
              <w:t>04/15/2023</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30"/>
              <w:spacing w:after="0"/>
              <w:rPr>
                <w:sz w:val="20"/>
                <w:szCs w:val="20"/>
                <w:color w:val="auto"/>
              </w:rPr>
            </w:pPr>
            <w:r>
              <w:rPr>
                <w:rFonts w:ascii="Times New Roman" w:cs="Times New Roman" w:eastAsia="Times New Roman" w:hAnsi="Times New Roman"/>
                <w:sz w:val="16"/>
                <w:szCs w:val="16"/>
                <w:color w:val="0000FF"/>
                <w:w w:val="92"/>
              </w:rPr>
              <w:t>5,391</w:t>
            </w:r>
            <w:r>
              <w:rPr>
                <w:rFonts w:ascii="Times New Roman" w:cs="Times New Roman" w:eastAsia="Times New Roman" w:hAnsi="Times New Roman"/>
                <w:sz w:val="20"/>
                <w:szCs w:val="20"/>
                <w:color w:val="008000"/>
                <w:w w:val="92"/>
                <w:vertAlign w:val="superscript"/>
              </w:rPr>
              <w:t>(12)</w:t>
            </w:r>
          </w:p>
        </w:tc>
        <w:tc>
          <w:tcPr>
            <w:tcW w:w="64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60" w:type="dxa"/>
            <w:vAlign w:val="bottom"/>
          </w:tcPr>
          <w:p>
            <w:pPr>
              <w:spacing w:after="0"/>
              <w:rPr>
                <w:sz w:val="20"/>
                <w:szCs w:val="20"/>
                <w:color w:val="auto"/>
              </w:rPr>
            </w:pPr>
          </w:p>
        </w:tc>
        <w:tc>
          <w:tcPr>
            <w:tcW w:w="12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w w:val="93"/>
              </w:rPr>
              <w:t>68,146</w:t>
            </w:r>
            <w:r>
              <w:rPr>
                <w:rFonts w:ascii="Times New Roman" w:cs="Times New Roman" w:eastAsia="Times New Roman" w:hAnsi="Times New Roman"/>
                <w:sz w:val="20"/>
                <w:szCs w:val="20"/>
                <w:color w:val="008000"/>
                <w:w w:val="93"/>
                <w:vertAlign w:val="superscript"/>
              </w:rPr>
              <w:t>(14)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175"/>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0" w:type="dxa"/>
            <w:vAlign w:val="bottom"/>
            <w:gridSpan w:val="9"/>
          </w:tcPr>
          <w:p>
            <w:pPr>
              <w:jc w:val="center"/>
              <w:ind w:righ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5"/>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5"/>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5)</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15"/>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ind w:left="120"/>
              <w:spacing w:after="0" w:line="215" w:lineRule="exact"/>
              <w:rPr>
                <w:sz w:val="20"/>
                <w:szCs w:val="20"/>
                <w:color w:val="auto"/>
              </w:rPr>
            </w:pPr>
            <w:r>
              <w:rPr>
                <w:rFonts w:ascii="Times New Roman" w:cs="Times New Roman" w:eastAsia="Times New Roman" w:hAnsi="Times New Roman"/>
                <w:sz w:val="13"/>
                <w:szCs w:val="13"/>
                <w:color w:val="0000FF"/>
              </w:rPr>
              <w:t>10,968</w:t>
            </w:r>
            <w:r>
              <w:rPr>
                <w:rFonts w:ascii="Times New Roman" w:cs="Times New Roman" w:eastAsia="Times New Roman" w:hAnsi="Times New Roman"/>
                <w:sz w:val="20"/>
                <w:szCs w:val="20"/>
                <w:color w:val="008000"/>
                <w:vertAlign w:val="superscript"/>
              </w:rPr>
              <w:t>(15)</w:t>
            </w: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5"/>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rPr>
              <w:t>16,542</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215" w:lineRule="exact"/>
              <w:rPr>
                <w:sz w:val="20"/>
                <w:szCs w:val="20"/>
                <w:color w:val="auto"/>
              </w:rPr>
            </w:pPr>
            <w:r>
              <w:rPr>
                <w:rFonts w:ascii="Times New Roman" w:cs="Times New Roman" w:eastAsia="Times New Roman" w:hAnsi="Times New Roman"/>
                <w:sz w:val="13"/>
                <w:szCs w:val="13"/>
                <w:color w:val="0000FF"/>
                <w:w w:val="89"/>
              </w:rPr>
              <w:t>10,968</w:t>
            </w:r>
            <w:r>
              <w:rPr>
                <w:rFonts w:ascii="Times New Roman" w:cs="Times New Roman" w:eastAsia="Times New Roman" w:hAnsi="Times New Roman"/>
                <w:sz w:val="20"/>
                <w:szCs w:val="20"/>
                <w:color w:val="008000"/>
                <w:w w:val="89"/>
                <w:vertAlign w:val="superscript"/>
              </w:rPr>
              <w:t>(16)</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04/15/2023</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04/15/2026</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04/15/2026</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tcPr>
          <w:p>
            <w:pPr>
              <w:jc w:val="center"/>
              <w:ind w:right="35"/>
              <w:spacing w:after="0" w:line="77"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3"/>
              </w:rPr>
              <w:t>$.01 per</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15"/>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tcPr>
          <w:p>
            <w:pPr>
              <w:spacing w:after="0"/>
              <w:rPr>
                <w:sz w:val="5"/>
                <w:szCs w:val="5"/>
                <w:color w:val="auto"/>
              </w:rPr>
            </w:pPr>
          </w:p>
        </w:tc>
        <w:tc>
          <w:tcPr>
            <w:tcW w:w="640" w:type="dxa"/>
            <w:vAlign w:val="bottom"/>
            <w:vMerge w:val="restart"/>
          </w:tcPr>
          <w:p>
            <w:pPr>
              <w:jc w:val="center"/>
              <w:ind w:right="15"/>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color w:val="0000FF"/>
                <w:w w:val="99"/>
              </w:rPr>
              <w:t>742</w:t>
            </w:r>
          </w:p>
        </w:tc>
        <w:tc>
          <w:tcPr>
            <w:tcW w:w="60" w:type="dxa"/>
            <w:vAlign w:val="bottom"/>
          </w:tcPr>
          <w:p>
            <w:pPr>
              <w:spacing w:after="0"/>
              <w:rPr>
                <w:sz w:val="5"/>
                <w:szCs w:val="5"/>
                <w:color w:val="auto"/>
              </w:rPr>
            </w:pPr>
          </w:p>
        </w:tc>
        <w:tc>
          <w:tcPr>
            <w:tcW w:w="640" w:type="dxa"/>
            <w:vAlign w:val="bottom"/>
            <w:vMerge w:val="restart"/>
          </w:tcPr>
          <w:p>
            <w:pPr>
              <w:jc w:val="center"/>
              <w:ind w:right="15"/>
              <w:spacing w:after="0"/>
              <w:rPr>
                <w:sz w:val="20"/>
                <w:szCs w:val="20"/>
                <w:color w:val="auto"/>
              </w:rPr>
            </w:pPr>
            <w:r>
              <w:rPr>
                <w:rFonts w:ascii="Times New Roman" w:cs="Times New Roman" w:eastAsia="Times New Roman" w:hAnsi="Times New Roman"/>
                <w:sz w:val="10"/>
                <w:szCs w:val="10"/>
                <w:color w:val="008000"/>
              </w:rPr>
              <w:t>(9)</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04/15/2023</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restart"/>
          </w:tcPr>
          <w:p>
            <w:pPr>
              <w:jc w:val="center"/>
              <w:ind w:right="26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00"/>
              <w:spacing w:after="0" w:line="138" w:lineRule="exact"/>
              <w:rPr>
                <w:sz w:val="20"/>
                <w:szCs w:val="20"/>
                <w:color w:val="auto"/>
              </w:rPr>
            </w:pPr>
            <w:r>
              <w:rPr>
                <w:rFonts w:ascii="Times New Roman" w:cs="Times New Roman" w:eastAsia="Times New Roman" w:hAnsi="Times New Roman"/>
                <w:sz w:val="13"/>
                <w:szCs w:val="13"/>
                <w:color w:val="0000FF"/>
              </w:rPr>
              <w:t>742</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04/15/2023</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2"/>
              </w:rPr>
              <w:t>742</w:t>
            </w:r>
          </w:p>
        </w:tc>
        <w:tc>
          <w:tcPr>
            <w:tcW w:w="280" w:type="dxa"/>
            <w:vAlign w:val="bottom"/>
          </w:tcPr>
          <w:p>
            <w:pPr>
              <w:spacing w:after="0"/>
              <w:rPr>
                <w:sz w:val="6"/>
                <w:szCs w:val="6"/>
                <w:color w:val="auto"/>
              </w:rPr>
            </w:pPr>
          </w:p>
        </w:tc>
        <w:tc>
          <w:tcPr>
            <w:tcW w:w="64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restart"/>
          </w:tcPr>
          <w:p>
            <w:pPr>
              <w:jc w:val="center"/>
              <w:ind w:right="35"/>
              <w:spacing w:after="0" w:line="138" w:lineRule="exact"/>
              <w:rPr>
                <w:sz w:val="20"/>
                <w:szCs w:val="20"/>
                <w:color w:val="auto"/>
              </w:rPr>
            </w:pPr>
            <w:r>
              <w:rPr>
                <w:rFonts w:ascii="Times New Roman" w:cs="Times New Roman" w:eastAsia="Times New Roman" w:hAnsi="Times New Roman"/>
                <w:sz w:val="13"/>
                <w:szCs w:val="13"/>
                <w:color w:val="0000FF"/>
                <w:w w:val="95"/>
              </w:rPr>
              <w:t>par value</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5"/>
              <w:spacing w:after="0" w:line="138" w:lineRule="exact"/>
              <w:rPr>
                <w:sz w:val="20"/>
                <w:szCs w:val="20"/>
                <w:color w:val="auto"/>
              </w:rPr>
            </w:pPr>
            <w:r>
              <w:rPr>
                <w:rFonts w:ascii="Times New Roman" w:cs="Times New Roman" w:eastAsia="Times New Roman" w:hAnsi="Times New Roman"/>
                <w:sz w:val="13"/>
                <w:szCs w:val="13"/>
                <w:color w:val="0000FF"/>
                <w:w w:val="93"/>
              </w:rPr>
              <w:t>$.01 per</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15"/>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tcPr>
          <w:p>
            <w:pPr>
              <w:spacing w:after="0"/>
              <w:rPr>
                <w:sz w:val="5"/>
                <w:szCs w:val="5"/>
                <w:color w:val="auto"/>
              </w:rPr>
            </w:pPr>
          </w:p>
        </w:tc>
        <w:tc>
          <w:tcPr>
            <w:tcW w:w="640" w:type="dxa"/>
            <w:vAlign w:val="bottom"/>
            <w:vMerge w:val="restart"/>
          </w:tcPr>
          <w:p>
            <w:pPr>
              <w:jc w:val="center"/>
              <w:ind w:right="15"/>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color w:val="0000FF"/>
                <w:w w:val="99"/>
              </w:rPr>
              <w:t>742</w:t>
            </w:r>
          </w:p>
        </w:tc>
        <w:tc>
          <w:tcPr>
            <w:tcW w:w="60" w:type="dxa"/>
            <w:vAlign w:val="bottom"/>
          </w:tcPr>
          <w:p>
            <w:pPr>
              <w:spacing w:after="0"/>
              <w:rPr>
                <w:sz w:val="5"/>
                <w:szCs w:val="5"/>
                <w:color w:val="auto"/>
              </w:rPr>
            </w:pPr>
          </w:p>
        </w:tc>
        <w:tc>
          <w:tcPr>
            <w:tcW w:w="640" w:type="dxa"/>
            <w:vAlign w:val="bottom"/>
            <w:vMerge w:val="restart"/>
          </w:tcPr>
          <w:p>
            <w:pPr>
              <w:jc w:val="center"/>
              <w:ind w:right="15"/>
              <w:spacing w:after="0"/>
              <w:rPr>
                <w:sz w:val="20"/>
                <w:szCs w:val="20"/>
                <w:color w:val="auto"/>
              </w:rPr>
            </w:pPr>
            <w:r>
              <w:rPr>
                <w:rFonts w:ascii="Times New Roman" w:cs="Times New Roman" w:eastAsia="Times New Roman" w:hAnsi="Times New Roman"/>
                <w:sz w:val="10"/>
                <w:szCs w:val="10"/>
                <w:color w:val="008000"/>
              </w:rPr>
              <w:t>(9)</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04/15/2023</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restart"/>
          </w:tcPr>
          <w:p>
            <w:pPr>
              <w:jc w:val="center"/>
              <w:ind w:right="26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spacing w:after="0"/>
              <w:rPr>
                <w:sz w:val="6"/>
                <w:szCs w:val="6"/>
                <w:color w:val="auto"/>
              </w:rPr>
            </w:pPr>
          </w:p>
        </w:tc>
        <w:tc>
          <w:tcPr>
            <w:tcW w:w="300" w:type="dxa"/>
            <w:vAlign w:val="bottom"/>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0000FF"/>
              </w:rPr>
              <w:t>742</w:t>
            </w:r>
          </w:p>
        </w:tc>
        <w:tc>
          <w:tcPr>
            <w:tcW w:w="760" w:type="dxa"/>
            <w:vAlign w:val="bottom"/>
            <w:vMerge w:val="continue"/>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04/15/2023</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6"/>
                <w:szCs w:val="6"/>
                <w:color w:val="auto"/>
              </w:rPr>
            </w:pPr>
          </w:p>
        </w:tc>
        <w:tc>
          <w:tcPr>
            <w:tcW w:w="64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restart"/>
          </w:tcPr>
          <w:p>
            <w:pPr>
              <w:jc w:val="center"/>
              <w:ind w:right="35"/>
              <w:spacing w:after="0" w:line="138" w:lineRule="exact"/>
              <w:rPr>
                <w:sz w:val="20"/>
                <w:szCs w:val="20"/>
                <w:color w:val="auto"/>
              </w:rPr>
            </w:pPr>
            <w:r>
              <w:rPr>
                <w:rFonts w:ascii="Times New Roman" w:cs="Times New Roman" w:eastAsia="Times New Roman" w:hAnsi="Times New Roman"/>
                <w:sz w:val="13"/>
                <w:szCs w:val="13"/>
                <w:color w:val="0000FF"/>
                <w:w w:val="95"/>
              </w:rPr>
              <w:t>par value</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3"/>
              </w:rPr>
              <w:t>$.01 per</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040"/>
        <w:spacing w:after="0"/>
        <w:rPr>
          <w:sz w:val="20"/>
          <w:szCs w:val="20"/>
          <w:color w:val="auto"/>
        </w:rPr>
      </w:pPr>
      <w:r>
        <w:rPr>
          <w:rFonts w:ascii="Times New Roman" w:cs="Times New Roman" w:eastAsia="Times New Roman" w:hAnsi="Times New Roman"/>
          <w:sz w:val="13"/>
          <w:szCs w:val="13"/>
          <w:color w:val="0000FF"/>
        </w:rPr>
        <w:t>share</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31"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2020, Mr. Malcarney was issued 5,341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2,028 shares vested. Mr. Malcarney elected to satisfy his tax obligation upon the exchange of common stock for RSUs having a value on the date of the exchange equal to the withholding obligation. This form reflects the surrender of 894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RSUs described above, 244 DERs converted to Class C Common Stock, resulting in the reporting person holding 3,192 dividend equivalent rights that may only be settled in</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right="280"/>
        <w:spacing w:after="0" w:line="244" w:lineRule="auto"/>
        <w:rPr>
          <w:sz w:val="20"/>
          <w:szCs w:val="20"/>
          <w:color w:val="auto"/>
        </w:rPr>
      </w:pPr>
      <w:r>
        <w:rPr>
          <w:rFonts w:ascii="Times New Roman" w:cs="Times New Roman" w:eastAsia="Times New Roman" w:hAnsi="Times New Roman"/>
          <w:sz w:val="13"/>
          <w:szCs w:val="13"/>
          <w:color w:val="008000"/>
        </w:rPr>
        <w:t>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2" w:lineRule="exact"/>
        <w:rPr>
          <w:sz w:val="20"/>
          <w:szCs w:val="20"/>
          <w:color w:val="auto"/>
        </w:rPr>
      </w:pPr>
    </w:p>
    <w:p>
      <w:pPr>
        <w:ind w:left="2" w:right="120" w:hanging="2"/>
        <w:spacing w:after="0" w:line="231"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Mr. Malcarney was issued 4,597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1,512 shares vested. Mr. Malcarney elected to satisfy his tax obligation upon the exchange of common stock for RSUs having a value on the date of the exchange equal to the withholding obligation. This form reflects the surrender of 667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2" w:right="200" w:hanging="2"/>
        <w:spacing w:after="0" w:line="235"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122 DERs converted to Class C Common Stock, resulting in the reporting person holding 3,070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5" w:lineRule="exact"/>
        <w:rPr>
          <w:rFonts w:ascii="Times New Roman" w:cs="Times New Roman" w:eastAsia="Times New Roman" w:hAnsi="Times New Roman"/>
          <w:sz w:val="13"/>
          <w:szCs w:val="13"/>
          <w:color w:val="008000"/>
        </w:rPr>
      </w:pPr>
    </w:p>
    <w:p>
      <w:pPr>
        <w:ind w:left="2" w:right="120" w:hanging="2"/>
        <w:spacing w:after="0" w:line="231"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Mr. Malcarney was issued 4,819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1,673 shares vested. Mr. Malcarney elected to satisfy his tax obligation upon the exchange of common stock for RSUs having a value on the date of the exchange equal to the withholding obligation. This form reflects the surrender of 801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jc w:val="both"/>
        <w:ind w:left="2" w:right="260" w:hanging="2"/>
        <w:spacing w:after="0" w:line="235"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69 DERs converted to Class C Common Stock, resulting in the reporting person holding 3,001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5" w:lineRule="exact"/>
        <w:rPr>
          <w:rFonts w:ascii="Times New Roman" w:cs="Times New Roman" w:eastAsia="Times New Roman" w:hAnsi="Times New Roman"/>
          <w:sz w:val="13"/>
          <w:szCs w:val="13"/>
          <w:color w:val="008000"/>
        </w:rPr>
      </w:pPr>
    </w:p>
    <w:p>
      <w:pPr>
        <w:ind w:left="2" w:right="420" w:hanging="2"/>
        <w:spacing w:after="0" w:line="244"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issued 10,827 Relative Performance Stock Units ("RPSUs") by Clearway Energy, Inc. (f/k/a NRG Yield, Inc.) (the "Company") under the Company's Amended and Restated 2013 Equity Incentive Plan (the "LTIP") on April 15, 2020. Based on the Company reaching a certain level of total shareholder return ("TSR"), 16,241 RPSUs vested on April 15, 2023.</w:t>
      </w:r>
    </w:p>
    <w:p>
      <w:pPr>
        <w:spacing w:after="0" w:line="22" w:lineRule="exact"/>
        <w:rPr>
          <w:rFonts w:ascii="Times New Roman" w:cs="Times New Roman" w:eastAsia="Times New Roman" w:hAnsi="Times New Roman"/>
          <w:sz w:val="13"/>
          <w:szCs w:val="13"/>
          <w:color w:val="008000"/>
        </w:rPr>
      </w:pPr>
    </w:p>
    <w:p>
      <w:pPr>
        <w:ind w:left="2" w:hanging="2"/>
        <w:spacing w:after="0" w:line="229"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entitled to receive (i) a maximum of 16,241 shares of Class C Common Stock if Company's TSR ranked at or above the 75th percentile relative to a peer group of companies approved by the Company's Compensation Committee (the "Peer Group") for the performance period (the "Maximum"); (ii) 10,827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2,706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7" w:lineRule="exact"/>
        <w:rPr>
          <w:rFonts w:ascii="Times New Roman" w:cs="Times New Roman" w:eastAsia="Times New Roman" w:hAnsi="Times New Roman"/>
          <w:sz w:val="13"/>
          <w:szCs w:val="13"/>
          <w:color w:val="008000"/>
        </w:rPr>
      </w:pPr>
    </w:p>
    <w:p>
      <w:pPr>
        <w:ind w:left="2" w:right="100" w:hanging="2"/>
        <w:spacing w:after="0" w:line="231"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RPSUs described above, a previously accrued 1,485 dividend equivalent rights ("DERs") and an incremental 742 DERs vested and converted to Class C Common Stock resulting in the reporting person holding 1,516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2" w:right="120" w:hanging="2"/>
        <w:spacing w:after="0" w:line="244"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elected to satisfy his tax obligation upon the exchange of common stock for RPSUs having a value on the date of the exchange equal to the withholding obligation. This form reflects the surrender of 9,165 shares of Class C Common Stock to satisfy the grantee's tax withholding obligation.</w:t>
      </w:r>
    </w:p>
    <w:p>
      <w:pPr>
        <w:spacing w:after="0" w:line="22" w:lineRule="exact"/>
        <w:rPr>
          <w:rFonts w:ascii="Times New Roman" w:cs="Times New Roman" w:eastAsia="Times New Roman" w:hAnsi="Times New Roman"/>
          <w:sz w:val="13"/>
          <w:szCs w:val="13"/>
          <w:color w:val="008000"/>
        </w:rPr>
      </w:pPr>
    </w:p>
    <w:p>
      <w:pPr>
        <w:ind w:left="2" w:right="120" w:hanging="2"/>
        <w:spacing w:after="0" w:line="255" w:lineRule="auto"/>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 (RSU) awards become eligible for continued vesting after a participant's Retirement, as defined in Clearway Energy, Inc.'s Amended and Restated 2013 Equity Incentive Plan (the "LTIP"), provided the award has been outstanding for one year. On April 15, 2023, Mr. Malcarney's RSUs granted on April 15, 2022 became eligible for continued vesting pursuant to the award agreement in the event Mr. Malcarney retires. Mr. Malcarney elected to satisfy his tax obligation upon the exchange of common stock for RSUs having a value on the date of the exchange equal to the withholding obligation associated with his eligibility for continued vesting of outstanding RSUs. This form reflects the surrender of 149 shares of Class C Common Stock to satisfy the grantee's tax withholding obligation.</w:t>
      </w:r>
    </w:p>
    <w:p>
      <w:pPr>
        <w:spacing w:after="0" w:line="15" w:lineRule="exact"/>
        <w:rPr>
          <w:rFonts w:ascii="Times New Roman" w:cs="Times New Roman" w:eastAsia="Times New Roman" w:hAnsi="Times New Roman"/>
          <w:sz w:val="12"/>
          <w:szCs w:val="12"/>
          <w:color w:val="008000"/>
        </w:rPr>
      </w:pPr>
    </w:p>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Malcarney under the LTIP.</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38" w:lineRule="exact"/>
        <w:rPr>
          <w:rFonts w:ascii="Times New Roman" w:cs="Times New Roman" w:eastAsia="Times New Roman" w:hAnsi="Times New Roman"/>
          <w:sz w:val="13"/>
          <w:szCs w:val="13"/>
          <w:color w:val="008000"/>
        </w:rPr>
      </w:pPr>
    </w:p>
    <w:p>
      <w:pPr>
        <w:ind w:left="2" w:hanging="2"/>
        <w:spacing w:after="0" w:line="244"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2" w:lineRule="exact"/>
        <w:rPr>
          <w:rFonts w:ascii="Times New Roman" w:cs="Times New Roman" w:eastAsia="Times New Roman" w:hAnsi="Times New Roman"/>
          <w:sz w:val="13"/>
          <w:szCs w:val="13"/>
          <w:color w:val="008000"/>
        </w:rPr>
      </w:pPr>
    </w:p>
    <w:p>
      <w:pPr>
        <w:jc w:val="both"/>
        <w:ind w:left="2" w:right="280" w:hanging="2"/>
        <w:spacing w:after="0" w:line="26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10,968 Relative Performance Stock Units ("RPSUs") by Clearway Energy, Inc. under the LTIP on April 15, 2023. The RPSUs will convert to shares of Clearway Energy, Inc. Class C Common Stock on April 15, 2026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2" w:lineRule="exact"/>
        <w:rPr>
          <w:rFonts w:ascii="Times New Roman" w:cs="Times New Roman" w:eastAsia="Times New Roman" w:hAnsi="Times New Roman"/>
          <w:sz w:val="12"/>
          <w:szCs w:val="12"/>
          <w:color w:val="008000"/>
        </w:rPr>
      </w:pPr>
    </w:p>
    <w:p>
      <w:pPr>
        <w:ind w:left="2" w:right="80" w:hanging="2"/>
        <w:spacing w:after="0" w:line="229"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16,452 shares of Class C Common Stock if Company's TSR is ranked at or above the 75th percentile relative to a peer group of companies approved by the Company's Compensation Committee (the "Peer Group") for the performance period ("Maximum"); (ii) 10,968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2,742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44"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Kevin P. Malcarney</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04/18/2023</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60" w:hanging="2"/>
        <w:spacing w:after="0" w:line="327"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2023-04-18T17:59:12Z</dcterms:created>
  <dcterms:modified xsi:type="dcterms:W3CDTF">2023-04-18T17:59:12Z</dcterms:modified>
</cp:coreProperties>
</file>