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31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317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513"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364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BlackRock Portfolio Management LLC</w:t>
              </w:r>
            </w:hyperlink>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Clearway Energy,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CWEN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364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780" w:type="dxa"/>
            <w:vAlign w:val="bottom"/>
            <w:tcBorders>
              <w:top w:val="single" w:sz="8" w:color="0000EE"/>
            </w:tcBorders>
          </w:tcPr>
          <w:p>
            <w:pPr>
              <w:spacing w:after="0"/>
              <w:rPr>
                <w:sz w:val="5"/>
                <w:szCs w:val="5"/>
                <w:color w:val="auto"/>
              </w:rPr>
            </w:pPr>
          </w:p>
        </w:tc>
        <w:tc>
          <w:tcPr>
            <w:tcW w:w="1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1220" w:type="dxa"/>
            <w:vAlign w:val="bottom"/>
            <w:tcBorders>
              <w:top w:val="single" w:sz="8" w:color="0000EE"/>
              <w:bottom w:val="single" w:sz="8" w:color="9A9A9A"/>
            </w:tcBorders>
          </w:tcPr>
          <w:p>
            <w:pPr>
              <w:spacing w:after="0"/>
              <w:rPr>
                <w:sz w:val="16"/>
                <w:szCs w:val="16"/>
                <w:color w:val="auto"/>
              </w:rPr>
            </w:pPr>
          </w:p>
        </w:tc>
        <w:tc>
          <w:tcPr>
            <w:tcW w:w="1380" w:type="dxa"/>
            <w:vAlign w:val="bottom"/>
            <w:tcBorders>
              <w:top w:val="single" w:sz="8" w:color="0000EE"/>
              <w:bottom w:val="single" w:sz="8" w:color="9A9A9A"/>
            </w:tcBorders>
          </w:tcPr>
          <w:p>
            <w:pPr>
              <w:spacing w:after="0"/>
              <w:rPr>
                <w:sz w:val="16"/>
                <w:szCs w:val="16"/>
                <w:color w:val="auto"/>
              </w:rPr>
            </w:pPr>
          </w:p>
        </w:tc>
        <w:tc>
          <w:tcPr>
            <w:tcW w:w="26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1780" w:type="dxa"/>
            <w:vAlign w:val="bottom"/>
            <w:tcBorders>
              <w:bottom w:val="single" w:sz="8" w:color="2C2C2C"/>
            </w:tcBorders>
          </w:tcPr>
          <w:p>
            <w:pPr>
              <w:spacing w:after="0"/>
              <w:rPr>
                <w:sz w:val="16"/>
                <w:szCs w:val="16"/>
                <w:color w:val="auto"/>
              </w:rPr>
            </w:pPr>
          </w:p>
        </w:tc>
        <w:tc>
          <w:tcPr>
            <w:tcW w:w="1840" w:type="dxa"/>
            <w:vAlign w:val="bottom"/>
            <w:tcBorders>
              <w:bottom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40" w:type="dxa"/>
            <w:vAlign w:val="bottom"/>
          </w:tcPr>
          <w:p>
            <w:pPr>
              <w:spacing w:after="0"/>
              <w:rPr>
                <w:sz w:val="12"/>
                <w:szCs w:val="12"/>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tcBorders>
              <w:top w:val="single" w:sz="8" w:color="EEEEEE"/>
            </w:tcBorders>
            <w:gridSpan w:val="2"/>
            <w:vMerge w:val="restart"/>
          </w:tcPr>
          <w:p>
            <w:pPr>
              <w:ind w:left="440"/>
              <w:spacing w:after="0"/>
              <w:rPr>
                <w:sz w:val="20"/>
                <w:szCs w:val="20"/>
                <w:color w:val="auto"/>
              </w:rPr>
            </w:pPr>
            <w:r>
              <w:rPr>
                <w:rFonts w:ascii="Arial" w:cs="Arial" w:eastAsia="Arial" w:hAnsi="Arial"/>
                <w:sz w:val="13"/>
                <w:szCs w:val="13"/>
                <w:color w:val="auto"/>
              </w:rPr>
              <w:t>(Middle)</w:t>
            </w:r>
          </w:p>
        </w:tc>
        <w:tc>
          <w:tcPr>
            <w:tcW w:w="280" w:type="dxa"/>
            <w:vAlign w:val="bottom"/>
            <w:gridSpan w:val="3"/>
          </w:tcPr>
          <w:p>
            <w:pPr>
              <w:ind w:left="160"/>
              <w:spacing w:after="0" w:line="146" w:lineRule="exact"/>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line="146" w:lineRule="exact"/>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1220" w:type="dxa"/>
            <w:vAlign w:val="bottom"/>
            <w:vMerge w:val="continue"/>
          </w:tcPr>
          <w:p>
            <w:pPr>
              <w:spacing w:after="0"/>
              <w:rPr>
                <w:sz w:val="19"/>
                <w:szCs w:val="19"/>
                <w:color w:val="auto"/>
              </w:rPr>
            </w:pPr>
          </w:p>
        </w:tc>
        <w:tc>
          <w:tcPr>
            <w:tcW w:w="1640" w:type="dxa"/>
            <w:vAlign w:val="bottom"/>
            <w:gridSpan w:val="2"/>
            <w:vMerge w:val="continue"/>
          </w:tcPr>
          <w:p>
            <w:pPr>
              <w:spacing w:after="0"/>
              <w:rPr>
                <w:sz w:val="19"/>
                <w:szCs w:val="19"/>
                <w:color w:val="auto"/>
              </w:rPr>
            </w:pPr>
          </w:p>
        </w:tc>
        <w:tc>
          <w:tcPr>
            <w:tcW w:w="206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10/01/2025</w:t>
            </w: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50 HUDSON YARDS</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0"/>
          <w:szCs w:val="20"/>
          <w:color w:val="auto"/>
        </w:rPr>
      </w:pPr>
    </w:p>
    <w:p>
      <w:pPr>
        <w:sectPr>
          <w:pgSz w:w="11900" w:h="16838" w:orient="portrait"/>
          <w:cols w:equalWidth="0" w:num="2">
            <w:col w:w="7660" w:space="75"/>
            <w:col w:w="3345"/>
          </w:cols>
          <w:pgMar w:left="460" w:top="219" w:right="359" w:bottom="513" w:gutter="0" w:footer="0" w:header="0"/>
          <w:type w:val="continuous"/>
        </w:sectPr>
      </w:pPr>
    </w:p>
    <w:p>
      <w:pPr>
        <w:spacing w:after="0" w:line="240"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10001</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0"/>
          <w:szCs w:val="20"/>
          <w:color w:val="auto"/>
        </w:rPr>
      </w:pPr>
    </w:p>
    <w:p>
      <w:pPr>
        <w:sectPr>
          <w:pgSz w:w="11900" w:h="16838" w:orient="portrait"/>
          <w:cols w:equalWidth="0" w:num="2">
            <w:col w:w="3760" w:space="160"/>
            <w:col w:w="7160"/>
          </w:cols>
          <w:pgMar w:left="460" w:top="219" w:right="359" w:bottom="513"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20" w:type="dxa"/>
            <w:vAlign w:val="bottom"/>
          </w:tcPr>
          <w:p>
            <w:pPr>
              <w:ind w:left="220"/>
              <w:spacing w:after="0"/>
              <w:rPr>
                <w:sz w:val="20"/>
                <w:szCs w:val="20"/>
                <w:color w:val="auto"/>
              </w:rPr>
            </w:pPr>
            <w:r>
              <w:rPr>
                <w:rFonts w:ascii="Arial" w:cs="Arial" w:eastAsia="Arial" w:hAnsi="Arial"/>
                <w:sz w:val="12"/>
                <w:szCs w:val="12"/>
                <w:b w:val="1"/>
                <w:bCs w:val="1"/>
                <w:color w:val="auto"/>
              </w:rPr>
              <w:t>2. Transaction</w:t>
            </w:r>
          </w:p>
        </w:tc>
        <w:tc>
          <w:tcPr>
            <w:tcW w:w="1260" w:type="dxa"/>
            <w:vAlign w:val="bottom"/>
            <w:gridSpan w:val="2"/>
          </w:tcPr>
          <w:p>
            <w:pPr>
              <w:ind w:left="220"/>
              <w:spacing w:after="0"/>
              <w:rPr>
                <w:sz w:val="20"/>
                <w:szCs w:val="20"/>
                <w:color w:val="auto"/>
              </w:rPr>
            </w:pPr>
            <w:r>
              <w:rPr>
                <w:rFonts w:ascii="Arial" w:cs="Arial" w:eastAsia="Arial" w:hAnsi="Arial"/>
                <w:sz w:val="12"/>
                <w:szCs w:val="12"/>
                <w:b w:val="1"/>
                <w:bCs w:val="1"/>
                <w:color w:val="auto"/>
              </w:rPr>
              <w:t>2A. Deemed</w:t>
            </w:r>
          </w:p>
        </w:tc>
        <w:tc>
          <w:tcPr>
            <w:tcW w:w="340" w:type="dxa"/>
            <w:vAlign w:val="bottom"/>
            <w:gridSpan w:val="2"/>
          </w:tcPr>
          <w:p>
            <w:pPr>
              <w:ind w:left="80"/>
              <w:spacing w:after="0"/>
              <w:rPr>
                <w:sz w:val="20"/>
                <w:szCs w:val="20"/>
                <w:color w:val="auto"/>
              </w:rPr>
            </w:pPr>
            <w:r>
              <w:rPr>
                <w:rFonts w:ascii="Arial" w:cs="Arial" w:eastAsia="Arial" w:hAnsi="Arial"/>
                <w:sz w:val="12"/>
                <w:szCs w:val="12"/>
                <w:b w:val="1"/>
                <w:bCs w:val="1"/>
                <w:color w:val="auto"/>
              </w:rPr>
              <w:t>3.</w:t>
            </w:r>
          </w:p>
        </w:tc>
        <w:tc>
          <w:tcPr>
            <w:tcW w:w="480" w:type="dxa"/>
            <w:vAlign w:val="bottom"/>
          </w:tcPr>
          <w:p>
            <w:pPr>
              <w:spacing w:after="0"/>
              <w:rPr>
                <w:sz w:val="13"/>
                <w:szCs w:val="13"/>
                <w:color w:val="auto"/>
              </w:rPr>
            </w:pPr>
          </w:p>
        </w:tc>
        <w:tc>
          <w:tcPr>
            <w:tcW w:w="19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1160" w:type="dxa"/>
            <w:vAlign w:val="bottom"/>
            <w:gridSpan w:val="2"/>
          </w:tcPr>
          <w:p>
            <w:pPr>
              <w:ind w:left="280"/>
              <w:spacing w:after="0"/>
              <w:rPr>
                <w:sz w:val="20"/>
                <w:szCs w:val="20"/>
                <w:color w:val="auto"/>
              </w:rPr>
            </w:pPr>
            <w:r>
              <w:rPr>
                <w:rFonts w:ascii="Arial" w:cs="Arial" w:eastAsia="Arial" w:hAnsi="Arial"/>
                <w:sz w:val="12"/>
                <w:szCs w:val="12"/>
                <w:b w:val="1"/>
                <w:bCs w:val="1"/>
                <w:color w:val="auto"/>
              </w:rPr>
              <w:t>6. Ownership</w:t>
            </w:r>
          </w:p>
        </w:tc>
        <w:tc>
          <w:tcPr>
            <w:tcW w:w="12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116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Form: Direct</w:t>
            </w:r>
          </w:p>
        </w:tc>
        <w:tc>
          <w:tcPr>
            <w:tcW w:w="12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 or</w:t>
            </w:r>
          </w:p>
        </w:tc>
        <w:tc>
          <w:tcPr>
            <w:tcW w:w="240" w:type="dxa"/>
            <w:vAlign w:val="bottom"/>
          </w:tcPr>
          <w:p>
            <w:pPr>
              <w:spacing w:after="0"/>
              <w:rPr>
                <w:sz w:val="11"/>
                <w:szCs w:val="11"/>
                <w:color w:val="auto"/>
              </w:rPr>
            </w:pPr>
          </w:p>
        </w:tc>
        <w:tc>
          <w:tcPr>
            <w:tcW w:w="12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6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Indirect (I)</w:t>
            </w:r>
          </w:p>
        </w:tc>
        <w:tc>
          <w:tcPr>
            <w:tcW w:w="240" w:type="dxa"/>
            <w:vAlign w:val="bottom"/>
          </w:tcPr>
          <w:p>
            <w:pPr>
              <w:spacing w:after="0"/>
              <w:rPr>
                <w:sz w:val="11"/>
                <w:szCs w:val="11"/>
                <w:color w:val="auto"/>
              </w:rPr>
            </w:pPr>
          </w:p>
        </w:tc>
        <w:tc>
          <w:tcPr>
            <w:tcW w:w="4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Borders>
              <w:bottom w:val="single" w:sz="8" w:color="808080"/>
            </w:tcBorders>
          </w:tcPr>
          <w:p>
            <w:pPr>
              <w:spacing w:after="0"/>
              <w:rPr>
                <w:sz w:val="13"/>
                <w:szCs w:val="13"/>
                <w:color w:val="auto"/>
              </w:rPr>
            </w:pPr>
          </w:p>
        </w:tc>
        <w:tc>
          <w:tcPr>
            <w:tcW w:w="480" w:type="dxa"/>
            <w:vAlign w:val="bottom"/>
            <w:tcBorders>
              <w:bottom w:val="single" w:sz="8" w:color="808080"/>
            </w:tcBorders>
          </w:tcPr>
          <w:p>
            <w:pPr>
              <w:spacing w:after="0"/>
              <w:rPr>
                <w:sz w:val="13"/>
                <w:szCs w:val="13"/>
                <w:color w:val="auto"/>
              </w:rPr>
            </w:pPr>
          </w:p>
        </w:tc>
        <w:tc>
          <w:tcPr>
            <w:tcW w:w="740" w:type="dxa"/>
            <w:vAlign w:val="bottom"/>
            <w:tcBorders>
              <w:bottom w:val="single" w:sz="8" w:color="808080"/>
            </w:tcBorders>
          </w:tcPr>
          <w:p>
            <w:pPr>
              <w:spacing w:after="0"/>
              <w:rPr>
                <w:sz w:val="13"/>
                <w:szCs w:val="13"/>
                <w:color w:val="auto"/>
              </w:rPr>
            </w:pPr>
          </w:p>
        </w:tc>
        <w:tc>
          <w:tcPr>
            <w:tcW w:w="340" w:type="dxa"/>
            <w:vAlign w:val="bottom"/>
            <w:tcBorders>
              <w:bottom w:val="single" w:sz="8" w:color="808080"/>
            </w:tcBorders>
          </w:tcPr>
          <w:p>
            <w:pPr>
              <w:spacing w:after="0"/>
              <w:rPr>
                <w:sz w:val="13"/>
                <w:szCs w:val="13"/>
                <w:color w:val="auto"/>
              </w:rPr>
            </w:pPr>
          </w:p>
        </w:tc>
        <w:tc>
          <w:tcPr>
            <w:tcW w:w="820" w:type="dxa"/>
            <w:vAlign w:val="bottom"/>
            <w:tcBorders>
              <w:bottom w:val="single" w:sz="8" w:color="808080"/>
            </w:tcBorders>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tcBorders>
              <w:top w:val="single" w:sz="8" w:color="2C2C2C"/>
            </w:tcBorders>
          </w:tcPr>
          <w:p>
            <w:pPr>
              <w:spacing w:after="0"/>
              <w:rPr>
                <w:sz w:val="7"/>
                <w:szCs w:val="7"/>
                <w:color w:val="auto"/>
              </w:rPr>
            </w:pPr>
          </w:p>
        </w:tc>
        <w:tc>
          <w:tcPr>
            <w:tcW w:w="48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1160" w:type="dxa"/>
            <w:vAlign w:val="bottom"/>
            <w:tcBorders>
              <w:top w:val="single" w:sz="8" w:color="2C2C2C"/>
            </w:tcBorders>
            <w:gridSpan w:val="2"/>
            <w:vMerge w:val="restart"/>
          </w:tcPr>
          <w:p>
            <w:pPr>
              <w:ind w:left="100"/>
              <w:spacing w:after="0" w:line="246" w:lineRule="exact"/>
              <w:rPr>
                <w:sz w:val="20"/>
                <w:szCs w:val="20"/>
                <w:color w:val="auto"/>
              </w:rPr>
            </w:pPr>
            <w:r>
              <w:rPr>
                <w:rFonts w:ascii="Arial" w:cs="Arial" w:eastAsia="Arial" w:hAnsi="Arial"/>
                <w:sz w:val="12"/>
                <w:szCs w:val="12"/>
                <w:b w:val="1"/>
                <w:bCs w:val="1"/>
                <w:color w:val="auto"/>
              </w:rPr>
              <w:t xml:space="preserve">(A) or  </w:t>
            </w:r>
            <w:r>
              <w:rPr>
                <w:rFonts w:ascii="Arial" w:cs="Arial" w:eastAsia="Arial" w:hAnsi="Arial"/>
                <w:sz w:val="23"/>
                <w:szCs w:val="23"/>
                <w:b w:val="1"/>
                <w:bCs w:val="1"/>
                <w:color w:val="auto"/>
                <w:vertAlign w:val="subscript"/>
              </w:rPr>
              <w:t>Price</w:t>
            </w:r>
          </w:p>
        </w:tc>
        <w:tc>
          <w:tcPr>
            <w:tcW w:w="40" w:type="dxa"/>
            <w:vAlign w:val="bottom"/>
            <w:vMerge w:val="restart"/>
          </w:tcPr>
          <w:p>
            <w:pPr>
              <w:spacing w:after="0"/>
              <w:rPr>
                <w:sz w:val="7"/>
                <w:szCs w:val="7"/>
                <w:color w:val="auto"/>
              </w:rPr>
            </w:pPr>
          </w:p>
        </w:tc>
        <w:tc>
          <w:tcPr>
            <w:tcW w:w="860" w:type="dxa"/>
            <w:vAlign w:val="bottom"/>
            <w:gridSpan w:val="2"/>
          </w:tcPr>
          <w:p>
            <w:pPr>
              <w:ind w:left="20"/>
              <w:spacing w:after="0" w:line="86" w:lineRule="exact"/>
              <w:rPr>
                <w:sz w:val="20"/>
                <w:szCs w:val="20"/>
                <w:color w:val="auto"/>
              </w:rPr>
            </w:pPr>
            <w:r>
              <w:rPr>
                <w:rFonts w:ascii="Arial" w:cs="Arial" w:eastAsia="Arial" w:hAnsi="Arial"/>
                <w:sz w:val="8"/>
                <w:szCs w:val="8"/>
                <w:b w:val="1"/>
                <w:bCs w:val="1"/>
                <w:color w:val="auto"/>
              </w:rPr>
              <w:t>Reported</w:t>
            </w:r>
          </w:p>
        </w:tc>
        <w:tc>
          <w:tcPr>
            <w:tcW w:w="9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1160" w:type="dxa"/>
            <w:vAlign w:val="bottom"/>
            <w:gridSpan w:val="2"/>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w w:val="99"/>
              </w:rPr>
              <w:t>Transaction(s)</w:t>
            </w: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ind w:left="100"/>
              <w:spacing w:after="0"/>
              <w:rPr>
                <w:sz w:val="20"/>
                <w:szCs w:val="20"/>
                <w:color w:val="auto"/>
              </w:rPr>
            </w:pPr>
            <w:r>
              <w:rPr>
                <w:rFonts w:ascii="Arial" w:cs="Arial" w:eastAsia="Arial" w:hAnsi="Arial"/>
                <w:sz w:val="12"/>
                <w:szCs w:val="12"/>
                <w:b w:val="1"/>
                <w:bCs w:val="1"/>
                <w:color w:val="auto"/>
              </w:rPr>
              <w:t>(D)</w:t>
            </w:r>
          </w:p>
        </w:tc>
        <w:tc>
          <w:tcPr>
            <w:tcW w:w="8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860" w:type="dxa"/>
            <w:vAlign w:val="bottom"/>
            <w:tcBorders>
              <w:bottom w:val="single" w:sz="8" w:color="2C2C2C"/>
            </w:tcBorders>
            <w:gridSpan w:val="2"/>
          </w:tcPr>
          <w:p>
            <w:pPr>
              <w:ind w:left="20"/>
              <w:spacing w:after="0"/>
              <w:rPr>
                <w:sz w:val="20"/>
                <w:szCs w:val="20"/>
                <w:color w:val="auto"/>
              </w:rPr>
            </w:pPr>
            <w:r>
              <w:rPr>
                <w:rFonts w:ascii="Arial" w:cs="Arial" w:eastAsia="Arial" w:hAnsi="Arial"/>
                <w:sz w:val="12"/>
                <w:szCs w:val="12"/>
                <w:b w:val="1"/>
                <w:bCs w:val="1"/>
                <w:color w:val="auto"/>
                <w:w w:val="99"/>
              </w:rPr>
              <w:t>(Instr. 3 and 4)</w:t>
            </w:r>
          </w:p>
        </w:tc>
        <w:tc>
          <w:tcPr>
            <w:tcW w:w="92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12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10/01/2025</w:t>
            </w:r>
          </w:p>
        </w:tc>
        <w:tc>
          <w:tcPr>
            <w:tcW w:w="8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vMerge w:val="restart"/>
          </w:tcPr>
          <w:p>
            <w:pPr>
              <w:ind w:left="140"/>
              <w:spacing w:after="0"/>
              <w:rPr>
                <w:sz w:val="20"/>
                <w:szCs w:val="20"/>
                <w:color w:val="auto"/>
              </w:rPr>
            </w:pPr>
            <w:r>
              <w:rPr>
                <w:rFonts w:ascii="Times New Roman" w:cs="Times New Roman" w:eastAsia="Times New Roman" w:hAnsi="Times New Roman"/>
                <w:sz w:val="26"/>
                <w:szCs w:val="26"/>
                <w:color w:val="0000FF"/>
                <w:w w:val="81"/>
                <w:vertAlign w:val="subscript"/>
              </w:rPr>
              <w:t>J</w:t>
            </w:r>
            <w:r>
              <w:rPr>
                <w:rFonts w:ascii="Times New Roman" w:cs="Times New Roman" w:eastAsia="Times New Roman" w:hAnsi="Times New Roman"/>
                <w:sz w:val="11"/>
                <w:szCs w:val="11"/>
                <w:color w:val="008000"/>
                <w:w w:val="81"/>
              </w:rPr>
              <w:t>(1)</w:t>
            </w:r>
          </w:p>
        </w:tc>
        <w:tc>
          <w:tcPr>
            <w:tcW w:w="480" w:type="dxa"/>
            <w:vAlign w:val="bottom"/>
          </w:tcPr>
          <w:p>
            <w:pPr>
              <w:spacing w:after="0"/>
              <w:rPr>
                <w:sz w:val="21"/>
                <w:szCs w:val="21"/>
                <w:color w:val="auto"/>
              </w:rPr>
            </w:pPr>
          </w:p>
        </w:tc>
        <w:tc>
          <w:tcPr>
            <w:tcW w:w="74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63,475</w:t>
            </w:r>
          </w:p>
        </w:tc>
        <w:tc>
          <w:tcPr>
            <w:tcW w:w="34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0000FF"/>
                <w:w w:val="81"/>
              </w:rPr>
              <w:t>A</w:t>
            </w:r>
          </w:p>
        </w:tc>
        <w:tc>
          <w:tcPr>
            <w:tcW w:w="820" w:type="dxa"/>
            <w:vAlign w:val="bottom"/>
            <w:vMerge w:val="restart"/>
          </w:tcPr>
          <w:p>
            <w:pPr>
              <w:ind w:left="2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29.84</w:t>
            </w:r>
          </w:p>
        </w:tc>
        <w:tc>
          <w:tcPr>
            <w:tcW w:w="40" w:type="dxa"/>
            <w:vAlign w:val="bottom"/>
          </w:tcPr>
          <w:p>
            <w:pPr>
              <w:spacing w:after="0"/>
              <w:rPr>
                <w:sz w:val="21"/>
                <w:szCs w:val="21"/>
                <w:color w:val="auto"/>
              </w:rPr>
            </w:pPr>
          </w:p>
        </w:tc>
        <w:tc>
          <w:tcPr>
            <w:tcW w:w="8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7"/>
                <w:szCs w:val="17"/>
                <w:color w:val="0000FF"/>
              </w:rPr>
              <w:t>163,198</w:t>
            </w:r>
          </w:p>
        </w:tc>
        <w:tc>
          <w:tcPr>
            <w:tcW w:w="920" w:type="dxa"/>
            <w:vAlign w:val="bottom"/>
            <w:vMerge w:val="restart"/>
          </w:tcPr>
          <w:p>
            <w:pPr>
              <w:ind w:left="640"/>
              <w:spacing w:after="0"/>
              <w:rPr>
                <w:sz w:val="20"/>
                <w:szCs w:val="20"/>
                <w:color w:val="auto"/>
              </w:rPr>
            </w:pPr>
            <w:r>
              <w:rPr>
                <w:rFonts w:ascii="Times New Roman" w:cs="Times New Roman" w:eastAsia="Times New Roman" w:hAnsi="Times New Roman"/>
                <w:sz w:val="17"/>
                <w:szCs w:val="17"/>
                <w:color w:val="0000FF"/>
              </w:rPr>
              <w:t>I</w:t>
            </w:r>
          </w:p>
        </w:tc>
        <w:tc>
          <w:tcPr>
            <w:tcW w:w="240" w:type="dxa"/>
            <w:vAlign w:val="bottom"/>
          </w:tcPr>
          <w:p>
            <w:pPr>
              <w:spacing w:after="0"/>
              <w:rPr>
                <w:sz w:val="21"/>
                <w:szCs w:val="21"/>
                <w:color w:val="auto"/>
              </w:rPr>
            </w:pPr>
          </w:p>
        </w:tc>
        <w:tc>
          <w:tcPr>
            <w:tcW w:w="4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vMerge w:val="continue"/>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34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gridSpan w:val="4"/>
            <w:vMerge w:val="restart"/>
          </w:tcPr>
          <w:p>
            <w:pPr>
              <w:ind w:left="4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(2)(3)(4)</w:t>
            </w:r>
          </w:p>
        </w:tc>
        <w:tc>
          <w:tcPr>
            <w:tcW w:w="0" w:type="dxa"/>
            <w:vAlign w:val="bottom"/>
          </w:tcPr>
          <w:p>
            <w:pPr>
              <w:spacing w:after="0"/>
              <w:rPr>
                <w:sz w:val="1"/>
                <w:szCs w:val="1"/>
                <w:color w:val="auto"/>
              </w:rPr>
            </w:pPr>
          </w:p>
        </w:tc>
      </w:tr>
      <w:tr>
        <w:trPr>
          <w:trHeight w:val="204"/>
        </w:trPr>
        <w:tc>
          <w:tcPr>
            <w:tcW w:w="2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800" w:type="dxa"/>
            <w:vAlign w:val="bottom"/>
            <w:tcBorders>
              <w:bottom w:val="single" w:sz="8" w:color="2C2C2C"/>
            </w:tcBorders>
          </w:tcPr>
          <w:p>
            <w:pPr>
              <w:spacing w:after="0"/>
              <w:rPr>
                <w:sz w:val="17"/>
                <w:szCs w:val="17"/>
                <w:color w:val="auto"/>
              </w:rPr>
            </w:pPr>
          </w:p>
        </w:tc>
        <w:tc>
          <w:tcPr>
            <w:tcW w:w="1120" w:type="dxa"/>
            <w:vAlign w:val="bottom"/>
            <w:tcBorders>
              <w:bottom w:val="single" w:sz="8" w:color="2C2C2C"/>
            </w:tcBorders>
          </w:tcPr>
          <w:p>
            <w:pPr>
              <w:spacing w:after="0"/>
              <w:rPr>
                <w:sz w:val="17"/>
                <w:szCs w:val="17"/>
                <w:color w:val="auto"/>
              </w:rPr>
            </w:pPr>
          </w:p>
        </w:tc>
        <w:tc>
          <w:tcPr>
            <w:tcW w:w="112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tcPr>
          <w:p>
            <w:pPr>
              <w:spacing w:after="0"/>
              <w:rPr>
                <w:sz w:val="17"/>
                <w:szCs w:val="17"/>
                <w:color w:val="auto"/>
              </w:rPr>
            </w:pPr>
          </w:p>
        </w:tc>
        <w:tc>
          <w:tcPr>
            <w:tcW w:w="44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320" w:type="dxa"/>
            <w:vAlign w:val="bottom"/>
            <w:tcBorders>
              <w:bottom w:val="single" w:sz="8" w:color="2C2C2C"/>
            </w:tcBorders>
          </w:tcPr>
          <w:p>
            <w:pPr>
              <w:spacing w:after="0"/>
              <w:rPr>
                <w:sz w:val="17"/>
                <w:szCs w:val="17"/>
                <w:color w:val="auto"/>
              </w:rPr>
            </w:pPr>
          </w:p>
        </w:tc>
        <w:tc>
          <w:tcPr>
            <w:tcW w:w="48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34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800" w:type="dxa"/>
            <w:vAlign w:val="bottom"/>
            <w:tcBorders>
              <w:bottom w:val="single" w:sz="8" w:color="2C2C2C"/>
            </w:tcBorders>
          </w:tcPr>
          <w:p>
            <w:pPr>
              <w:spacing w:after="0"/>
              <w:rPr>
                <w:sz w:val="17"/>
                <w:szCs w:val="17"/>
                <w:color w:val="auto"/>
              </w:rPr>
            </w:pPr>
          </w:p>
        </w:tc>
        <w:tc>
          <w:tcPr>
            <w:tcW w:w="920" w:type="dxa"/>
            <w:vAlign w:val="bottom"/>
            <w:tcBorders>
              <w:bottom w:val="single" w:sz="8" w:color="2C2C2C"/>
            </w:tcBorders>
          </w:tcPr>
          <w:p>
            <w:pPr>
              <w:spacing w:after="0"/>
              <w:rPr>
                <w:sz w:val="17"/>
                <w:szCs w:val="17"/>
                <w:color w:val="auto"/>
              </w:rPr>
            </w:pPr>
          </w:p>
        </w:tc>
        <w:tc>
          <w:tcPr>
            <w:tcW w:w="240" w:type="dxa"/>
            <w:vAlign w:val="bottom"/>
            <w:tcBorders>
              <w:bottom w:val="single" w:sz="8" w:color="2C2C2C"/>
            </w:tcBorders>
          </w:tcPr>
          <w:p>
            <w:pPr>
              <w:spacing w:after="0"/>
              <w:rPr>
                <w:sz w:val="17"/>
                <w:szCs w:val="17"/>
                <w:color w:val="auto"/>
              </w:rPr>
            </w:pPr>
          </w:p>
        </w:tc>
        <w:tc>
          <w:tcPr>
            <w:tcW w:w="126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4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00" w:type="dxa"/>
            <w:vAlign w:val="bottom"/>
            <w:gridSpan w:val="12"/>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7. Title and</w:t>
            </w:r>
          </w:p>
        </w:tc>
        <w:tc>
          <w:tcPr>
            <w:tcW w:w="60" w:type="dxa"/>
            <w:vAlign w:val="bottom"/>
          </w:tcPr>
          <w:p>
            <w:pPr>
              <w:spacing w:after="0"/>
              <w:rPr>
                <w:sz w:val="15"/>
                <w:szCs w:val="15"/>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9. Number of</w:t>
            </w:r>
          </w:p>
        </w:tc>
        <w:tc>
          <w:tcPr>
            <w:tcW w:w="24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48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34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2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9"/>
              </w:rPr>
              <w:t>Security (Instr.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Pr>
          <w:p>
            <w:pPr>
              <w:spacing w:after="0"/>
              <w:rPr>
                <w:sz w:val="3"/>
                <w:szCs w:val="3"/>
                <w:color w:val="auto"/>
              </w:rPr>
            </w:pPr>
          </w:p>
        </w:tc>
        <w:tc>
          <w:tcPr>
            <w:tcW w:w="9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gridSpan w:val="2"/>
          </w:tcPr>
          <w:p>
            <w:pPr>
              <w:ind w:left="400"/>
              <w:spacing w:after="0"/>
              <w:rPr>
                <w:sz w:val="20"/>
                <w:szCs w:val="20"/>
                <w:color w:val="auto"/>
              </w:rPr>
            </w:pPr>
            <w:r>
              <w:rPr>
                <w:rFonts w:ascii="Arial" w:cs="Arial" w:eastAsia="Arial" w:hAnsi="Arial"/>
                <w:sz w:val="12"/>
                <w:szCs w:val="12"/>
                <w:b w:val="1"/>
                <w:bCs w:val="1"/>
                <w:color w:val="auto"/>
                <w:w w:val="96"/>
              </w:rPr>
              <w:t>Amount</w:t>
            </w: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w w:val="96"/>
              </w:rPr>
              <w:t>Number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080" w:type="dxa"/>
            <w:vAlign w:val="bottom"/>
            <w:gridSpan w:val="2"/>
          </w:tcPr>
          <w:p>
            <w:pPr>
              <w:ind w:left="360"/>
              <w:spacing w:after="0" w:line="133" w:lineRule="exact"/>
              <w:rPr>
                <w:sz w:val="20"/>
                <w:szCs w:val="20"/>
                <w:color w:val="auto"/>
              </w:rPr>
            </w:pPr>
            <w:r>
              <w:rPr>
                <w:rFonts w:ascii="Arial" w:cs="Arial" w:eastAsia="Arial" w:hAnsi="Arial"/>
                <w:sz w:val="12"/>
                <w:szCs w:val="12"/>
                <w:b w:val="1"/>
                <w:bCs w:val="1"/>
                <w:color w:val="auto"/>
              </w:rPr>
              <w:t>Expiration</w:t>
            </w:r>
          </w:p>
        </w:tc>
        <w:tc>
          <w:tcPr>
            <w:tcW w:w="86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4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2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340" w:type="dxa"/>
            <w:vAlign w:val="bottom"/>
          </w:tcPr>
          <w:p>
            <w:pPr>
              <w:spacing w:after="0"/>
              <w:rPr>
                <w:sz w:val="14"/>
                <w:szCs w:val="14"/>
                <w:color w:val="auto"/>
              </w:rPr>
            </w:pP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Title  Shares</w:t>
            </w: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withholding of shares to satisfy tax withholding obligations in connection with the vesting of restricted stock of the Issuer previously granted by Clearway Energy Group LLC ("Clearway Energy Group") under its Long Term Equity Incentive Program to one or more of its employees</w:t>
      </w:r>
    </w:p>
    <w:p>
      <w:pPr>
        <w:spacing w:after="0" w:line="7" w:lineRule="exact"/>
        <w:rPr>
          <w:rFonts w:ascii="Times New Roman" w:cs="Times New Roman" w:eastAsia="Times New Roman" w:hAnsi="Times New Roman"/>
          <w:sz w:val="13"/>
          <w:szCs w:val="13"/>
          <w:color w:val="008000"/>
        </w:rPr>
      </w:pPr>
    </w:p>
    <w:p>
      <w:pPr>
        <w:ind w:left="40" w:right="22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securities held directly by Clearway Energy Group. Zephyr Holdings GP, LLC ("Zephyr GP") is the general partner of GIP III Zephyr Acquisition Partners, L.P. ("Zephyr") which is the sole member of Clearway Energy Group. Zephyr GP is owned by GIP III Zephyr Midco Holdings, L.P. ("Midco") and TotalEnergies Renewables USA, LLC. Global Infrastructure Investors III, LLC ("Global Investors") is the sole general partner of Global Infrastructure GP III, L.P. ("Global GP"), which is the general partner of Midco. As a result, each of Zephyr GP, Zephyr, Midco, Global GP and Global Investors (the "GIP Entities") may be deemed to share beneficial ownership of the securities owned by Clearway Energy Group.</w:t>
      </w:r>
    </w:p>
    <w:p>
      <w:pPr>
        <w:spacing w:after="0" w:line="24"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Adebayo Ogunlesi, Michael McGhee, Rajaram Rao, Deepak Agrawal, Julie Ashworth, Jonathan Bram, William Brilliant, Matthew Harris, Tom Horton, Sugam Mehta and Salim Samaha, as the voting members of the Investment Committee of Global Investors, may be deemed to share beneficial ownership of the Issuer securities beneficially owned by Global Investors. Such individuals expressly disclaim any such beneficial ownership.</w:t>
      </w:r>
    </w:p>
    <w:p>
      <w:pPr>
        <w:spacing w:after="0" w:line="2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BlackRock Portfolio Management LLC and the GIP Entities disclaim beneficial ownership of the securities reported herein, except to the extent of their respective pecuniary interest therein, if any, and, pursuant to Rule 16a-1(a)(4) under the Securities Exchange Act of 1934, as amended, BlackRock Portfolio Management LLC and the GIP Entities state that the inclusion of these securities in this report shall not be deemed an admission of beneficial ownership of the securities reported herein for purposes of Section 16 or for any other purpose.</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jc w:val="both"/>
        <w:ind w:left="40" w:right="160"/>
        <w:spacing w:after="0" w:line="253" w:lineRule="auto"/>
        <w:rPr>
          <w:sz w:val="20"/>
          <w:szCs w:val="20"/>
          <w:color w:val="auto"/>
        </w:rPr>
      </w:pPr>
      <w:r>
        <w:rPr>
          <w:rFonts w:ascii="Times New Roman" w:cs="Times New Roman" w:eastAsia="Times New Roman" w:hAnsi="Times New Roman"/>
          <w:sz w:val="13"/>
          <w:szCs w:val="13"/>
          <w:color w:val="008000"/>
        </w:rPr>
        <w:t>In accordance with SEC Release No. 34-39538 (January 12, 1998), BlackRock Portfolio Management LLC is reporting Issuer securities beneficially owned, or deemed to be beneficially owned, by certain business units (collectively, the "Reporting Business Units") of BlackRock, Inc. and its subsidiaries and affiliates. This filing does not include Issuer securities, if any, beneficially owned by other business units whose beneficial ownership of securities is disaggregated from that of the Reporting Business Units in accordance with such release.</w:t>
      </w:r>
    </w:p>
    <w:p>
      <w:pPr>
        <w:spacing w:after="0" w:line="4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BlackRock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074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907415" cy="8255"/>
                    </a:xfrm>
                    <a:prstGeom prst="rect">
                      <a:avLst/>
                    </a:prstGeom>
                    <a:noFill/>
                  </pic:spPr>
                </pic:pic>
              </a:graphicData>
            </a:graphic>
          </wp:anchor>
        </w:drawing>
      </w:r>
    </w:p>
    <w:p>
      <w:pPr>
        <w:ind w:left="6580"/>
        <w:spacing w:after="0" w:line="201" w:lineRule="auto"/>
        <w:tabs>
          <w:tab w:leader="none" w:pos="8760" w:val="left"/>
        </w:tabs>
        <w:rPr>
          <w:sz w:val="20"/>
          <w:szCs w:val="20"/>
          <w:color w:val="auto"/>
        </w:rPr>
      </w:pPr>
      <w:r>
        <w:rPr>
          <w:rFonts w:ascii="Times New Roman" w:cs="Times New Roman" w:eastAsia="Times New Roman" w:hAnsi="Times New Roman"/>
          <w:sz w:val="17"/>
          <w:szCs w:val="17"/>
          <w:color w:val="0000FF"/>
        </w:rPr>
        <w:t>Management LLC By: /s/</w:t>
      </w:r>
      <w:r>
        <w:rPr>
          <w:sz w:val="20"/>
          <w:szCs w:val="20"/>
          <w:color w:val="auto"/>
        </w:rPr>
        <w:tab/>
      </w:r>
      <w:r>
        <w:rPr>
          <w:rFonts w:ascii="Times New Roman" w:cs="Times New Roman" w:eastAsia="Times New Roman" w:hAnsi="Times New Roman"/>
          <w:sz w:val="26"/>
          <w:szCs w:val="26"/>
          <w:color w:val="0000FF"/>
          <w:vertAlign w:val="subscript"/>
        </w:rPr>
        <w:t>10/03/2025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1271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12712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Julie Ashworth,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21856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21856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279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51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13" Type="http://schemas.openxmlformats.org/officeDocument/2006/relationships/hyperlink" Target="http://www.sec.gov/cgi-bin/browse-edgar?action=getcompany&amp;CIK=0002052113" TargetMode="External"/><Relationship Id="rId14"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2025-10-03T15:35:02Z</dcterms:created>
  <dcterms:modified xsi:type="dcterms:W3CDTF">2025-10-03T15:35:02Z</dcterms:modified>
</cp:coreProperties>
</file>