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30,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20" w:space="720"/>
            <w:col w:w="306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422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4220" w:type="dxa"/>
            <w:vAlign w:val="bottom"/>
          </w:tcPr>
          <w:p>
            <w:pPr>
              <w:jc w:val="center"/>
              <w:ind w:righ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60"/>
        <w:spacing w:after="0"/>
        <w:tabs>
          <w:tab w:leader="none" w:pos="9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described below under Item 5.07 of this Current Report on Form 8-K, at the Annual Meeting of Stockholders of Clearway Energy,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held on April 30, 2020, the Company’s stockholders, upon the recommendation of the Company’s Board of Directors, approved the Amended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Restated Certificate of Incorporation of Clearway Energy, Inc. (the “</w:t>
      </w:r>
      <w:r>
        <w:rPr>
          <w:rFonts w:ascii="Arial" w:cs="Arial" w:eastAsia="Arial" w:hAnsi="Arial"/>
          <w:sz w:val="17"/>
          <w:szCs w:val="17"/>
          <w:u w:val="single" w:color="auto"/>
          <w:color w:val="auto"/>
        </w:rPr>
        <w:t>Amended and Restated Charter</w:t>
      </w:r>
      <w:r>
        <w:rPr>
          <w:rFonts w:ascii="Arial" w:cs="Arial" w:eastAsia="Arial" w:hAnsi="Arial"/>
          <w:sz w:val="17"/>
          <w:szCs w:val="17"/>
          <w:color w:val="auto"/>
        </w:rPr>
        <w:t>”). On May 1, 2020, the Company filed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Charter with the Secretary of State of the State of Delaware.</w:t>
      </w:r>
    </w:p>
    <w:p>
      <w:pPr>
        <w:spacing w:after="0" w:line="2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Amended and Restated Charter amends references to the Federal Energy Regulatory Commission and related matters to reflect the Company’s current corporate structure in light of the change in Company sponsorship in August 2018. The Amended and Restated Charter makes further non-substantive updates to replace references to NRG Energy, Inc., the Company’s former sponsor, with references to Clearway Energy Group LLC or Global Infrastructure Investors III, LLC, the Company’s new sponsor entities, where appropriate.</w:t>
      </w:r>
    </w:p>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foregoing description of the Amended and Restated Charter does not purport to be complete and is subject to, and qualified in its entirety by, the full text of the Amended and Restated Charter attached hereto as Exhibit 3.1, which is incorporated herein by reference.</w:t>
      </w:r>
    </w:p>
    <w:p>
      <w:pPr>
        <w:spacing w:after="0" w:line="16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Company held its Annual Meeting of Stockholders on April 30, 2020. Set forth below are the final voting results for each of the proposals submitted to a vote of the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(a) Proposal 1 – Election of nine directors</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23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6"/>
              </w:rPr>
              <w:t>Votes For</w:t>
            </w:r>
          </w:p>
        </w:tc>
        <w:tc>
          <w:tcPr>
            <w:tcW w:w="2900" w:type="dxa"/>
            <w:vAlign w:val="bottom"/>
            <w:gridSpan w:val="2"/>
          </w:tcPr>
          <w:p>
            <w:pPr>
              <w:ind w:left="980"/>
              <w:spacing w:after="0"/>
              <w:rPr>
                <w:sz w:val="20"/>
                <w:szCs w:val="20"/>
                <w:color w:val="auto"/>
              </w:rPr>
            </w:pPr>
            <w:r>
              <w:rPr>
                <w:rFonts w:ascii="Arial" w:cs="Arial" w:eastAsia="Arial" w:hAnsi="Arial"/>
                <w:sz w:val="18"/>
                <w:szCs w:val="18"/>
                <w:b w:val="1"/>
                <w:bCs w:val="1"/>
                <w:color w:val="auto"/>
              </w:rPr>
              <w:t>Withheld</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Bram</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88"/>
              </w:rPr>
              <w:t>59,395,562</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10,085,253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Brian R. Ford</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65,097,515</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4,383,300</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Nathanial Anschuetz</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59,850,873</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9,629,942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Bruce MacLennan</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59,852,704</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9,628,111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Ferrell P. McClean</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63,459,473</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6,021,342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Daniel B. More</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65,098,947</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4,381,868</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68,185,343</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1,295,472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Christopher S. Sotos</w:t>
            </w:r>
          </w:p>
        </w:tc>
        <w:tc>
          <w:tcPr>
            <w:tcW w:w="2120" w:type="dxa"/>
            <w:vAlign w:val="bottom"/>
          </w:tcPr>
          <w:p>
            <w:pPr>
              <w:jc w:val="center"/>
              <w:ind w:right="470"/>
              <w:spacing w:after="0"/>
              <w:rPr>
                <w:sz w:val="20"/>
                <w:szCs w:val="20"/>
                <w:color w:val="auto"/>
              </w:rPr>
            </w:pPr>
            <w:r>
              <w:rPr>
                <w:rFonts w:ascii="Arial" w:cs="Arial" w:eastAsia="Arial" w:hAnsi="Arial"/>
                <w:sz w:val="18"/>
                <w:szCs w:val="18"/>
                <w:color w:val="auto"/>
                <w:w w:val="88"/>
              </w:rPr>
              <w:t>60,932,357</w:t>
            </w:r>
          </w:p>
        </w:tc>
        <w:tc>
          <w:tcPr>
            <w:tcW w:w="2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8,548,458</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Scott Stanley</w:t>
            </w:r>
          </w:p>
        </w:tc>
        <w:tc>
          <w:tcPr>
            <w:tcW w:w="212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88"/>
              </w:rPr>
              <w:t>59,853,816</w:t>
            </w: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9,626,999</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the foregoing Proposal 1, all nine directors were elected and each received a plurality of the votes cast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14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Proposal 2 — Approval of the Amended and Restated Certificate of Incorporation, as described above under Item 5.03 of this Current Report on Form 8-K.</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Votes For</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Abstentions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69,329,744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78,179</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72,892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3,009,970</w:t>
            </w: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color w:val="auto"/>
              </w:rPr>
              <w:t>The foregoing Proposal 2 was approved.</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 Proposal 3 – Advisory vote on the Company’s executive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Votes For</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Abstentions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68,918,154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398,343</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164,317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3,009,971</w:t>
            </w: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color w:val="auto"/>
              </w:rPr>
              <w:t>The foregoing Proposal 3 was approved.</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 Proposal 4 – Ratification of the Appointment of KPMG LLP as the Company’s Independent Registered Public Accounting Firm for the 2020 fiscal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9"/>
              </w:rPr>
              <w:t>Votes For</w:t>
            </w:r>
          </w:p>
        </w:tc>
        <w:tc>
          <w:tcPr>
            <w:tcW w:w="24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6"/>
              </w:rPr>
              <w:t>Votes Against</w:t>
            </w: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Abstentions</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72,284,272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161,538</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44,975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0</w:t>
            </w:r>
          </w:p>
        </w:tc>
      </w:tr>
      <w:tr>
        <w:trPr>
          <w:trHeight w:val="432"/>
        </w:trPr>
        <w:tc>
          <w:tcPr>
            <w:tcW w:w="3300" w:type="dxa"/>
            <w:vAlign w:val="bottom"/>
            <w:gridSpan w:val="3"/>
          </w:tcPr>
          <w:p>
            <w:pPr>
              <w:spacing w:after="0"/>
              <w:rPr>
                <w:sz w:val="20"/>
                <w:szCs w:val="20"/>
                <w:color w:val="auto"/>
              </w:rPr>
            </w:pPr>
            <w:r>
              <w:rPr>
                <w:rFonts w:ascii="Arial" w:cs="Arial" w:eastAsia="Arial" w:hAnsi="Arial"/>
                <w:sz w:val="18"/>
                <w:szCs w:val="18"/>
                <w:color w:val="auto"/>
              </w:rPr>
              <w:t>The foregoing Proposal 4 was approved.</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9500" w:type="dxa"/>
            <w:vAlign w:val="bottom"/>
          </w:tcPr>
          <w:p>
            <w:pPr>
              <w:ind w:left="43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3.1</w:t>
              </w:r>
            </w:hyperlink>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0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Amended and Restated Certificate of Incorporation of Clearway Energy, Inc.</w:t>
              </w:r>
            </w:hyperlink>
          </w:p>
        </w:tc>
        <w:tc>
          <w:tcPr>
            <w:tcW w:w="2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580" w:type="dxa"/>
            <w:vAlign w:val="bottom"/>
            <w:gridSpan w:val="2"/>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 w:type="dxa"/>
            <w:vAlign w:val="bottom"/>
          </w:tcPr>
          <w:p>
            <w:pPr>
              <w:spacing w:after="0"/>
              <w:rPr>
                <w:sz w:val="20"/>
                <w:szCs w:val="20"/>
                <w:color w:val="auto"/>
              </w:rPr>
            </w:pPr>
          </w:p>
        </w:tc>
      </w:tr>
      <w:tr>
        <w:trPr>
          <w:trHeight w:val="675"/>
        </w:trPr>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Clearway Energy, Inc., a corporation organized and existing under the General Corporation Law of the State of Delaware, hereby certifies as follows:</w:t>
      </w:r>
    </w:p>
    <w:p>
      <w:pPr>
        <w:spacing w:after="0" w:line="237" w:lineRule="exact"/>
        <w:rPr>
          <w:sz w:val="20"/>
          <w:szCs w:val="20"/>
          <w:color w:val="auto"/>
        </w:rPr>
      </w:pPr>
    </w:p>
    <w:p>
      <w:pPr>
        <w:ind w:left="980" w:right="10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name of the corporation is Clearway Energy, Inc. The date of filing of its original Certificate of Incorporation with the Secretary of State was December 20, 2012 and the name under which the corporation was originally incorporated is NRG YIELDCO, INC. The name of the corporation was changed to Clearway Energy, Inc. pursuant to a Certificate of Amendment filed on August 31, 2018.</w:t>
      </w:r>
    </w:p>
    <w:p>
      <w:pPr>
        <w:spacing w:after="0" w:line="165"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Certificate of Clearway Energy, Inc. in the form attached hereto as Exhibit A has been duly adopted in accordance with the provisions of Sections 242 and 245 of the General Corporation Law of the State of Delaware by the directors and stockholders of the corporation.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the Certificate of Incorporation is amended and restated to read in full as set forth in Exhibit A attached hereto.</w:t>
      </w:r>
    </w:p>
    <w:p>
      <w:pPr>
        <w:spacing w:after="0" w:line="225" w:lineRule="exact"/>
        <w:rPr>
          <w:sz w:val="20"/>
          <w:szCs w:val="20"/>
          <w:color w:val="auto"/>
        </w:rPr>
      </w:pPr>
    </w:p>
    <w:p>
      <w:pPr>
        <w:ind w:right="300" w:firstLine="648"/>
        <w:spacing w:after="0" w:line="289"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the undersigned authorized officer this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May, 2020.</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ONE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Clearway Energy, Inc. (the “</w:t>
      </w:r>
      <w:r>
        <w:rPr>
          <w:rFonts w:ascii="Arial" w:cs="Arial" w:eastAsia="Arial" w:hAnsi="Arial"/>
          <w:sz w:val="18"/>
          <w:szCs w:val="18"/>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THREE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8"/>
          <w:szCs w:val="18"/>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Authorized Shares.</w:t>
      </w:r>
      <w:r>
        <w:rPr>
          <w:rFonts w:ascii="Arial" w:cs="Arial" w:eastAsia="Arial" w:hAnsi="Arial"/>
          <w:sz w:val="18"/>
          <w:szCs w:val="18"/>
          <w:color w:val="auto"/>
        </w:rPr>
        <w:t xml:space="preserve"> The total number of shares of capital stock which the Corporation has authority to issue is 3,010,000,000 shares, consisting of:</w:t>
      </w:r>
    </w:p>
    <w:p>
      <w:pPr>
        <w:spacing w:after="0" w:line="170" w:lineRule="exact"/>
        <w:rPr>
          <w:sz w:val="20"/>
          <w:szCs w:val="20"/>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500,000,000 shares of Class A Common Stock, par value $0.01 per share (“</w:t>
      </w:r>
      <w:r>
        <w:rPr>
          <w:rFonts w:ascii="Arial" w:cs="Arial" w:eastAsia="Arial" w:hAnsi="Arial"/>
          <w:sz w:val="18"/>
          <w:szCs w:val="18"/>
          <w:i w:val="1"/>
          <w:iCs w:val="1"/>
          <w:color w:val="auto"/>
        </w:rPr>
        <w:t>Class A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500,000,000 shares of Class B Common Stock, par value $0.01 per share (“</w:t>
      </w:r>
      <w:r>
        <w:rPr>
          <w:rFonts w:ascii="Arial" w:cs="Arial" w:eastAsia="Arial" w:hAnsi="Arial"/>
          <w:sz w:val="18"/>
          <w:szCs w:val="18"/>
          <w:i w:val="1"/>
          <w:iCs w:val="1"/>
          <w:color w:val="auto"/>
        </w:rPr>
        <w:t>Class B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1,000,000,000 shares of Class C Common Stock, par value $0.01 per share (“</w:t>
      </w:r>
      <w:r>
        <w:rPr>
          <w:rFonts w:ascii="Arial" w:cs="Arial" w:eastAsia="Arial" w:hAnsi="Arial"/>
          <w:sz w:val="18"/>
          <w:szCs w:val="18"/>
          <w:i w:val="1"/>
          <w:iCs w:val="1"/>
          <w:color w:val="auto"/>
        </w:rPr>
        <w:t>Class C Common Stock</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937"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1,000,000,000 shares of Class D Common Stock, par value $0.01 per share (“</w:t>
      </w:r>
      <w:r>
        <w:rPr>
          <w:rFonts w:ascii="Arial" w:cs="Arial" w:eastAsia="Arial" w:hAnsi="Arial"/>
          <w:sz w:val="18"/>
          <w:szCs w:val="18"/>
          <w:i w:val="1"/>
          <w:iCs w:val="1"/>
          <w:color w:val="auto"/>
        </w:rPr>
        <w:t>Class D Common Stock</w:t>
      </w:r>
      <w:r>
        <w:rPr>
          <w:rFonts w:ascii="Arial" w:cs="Arial" w:eastAsia="Arial" w:hAnsi="Arial"/>
          <w:sz w:val="18"/>
          <w:szCs w:val="18"/>
          <w:color w:val="auto"/>
        </w:rPr>
        <w:t>” and, together with the Class A Common Stock, the Class B Common Stock, and the Class C Common Stock, the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Preferred Stock.</w:t>
      </w:r>
      <w:r>
        <w:rPr>
          <w:rFonts w:ascii="Arial" w:cs="Arial" w:eastAsia="Arial" w:hAnsi="Arial"/>
          <w:sz w:val="16"/>
          <w:szCs w:val="16"/>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6"/>
          <w:szCs w:val="16"/>
          <w:i w:val="1"/>
          <w:iCs w:val="1"/>
          <w:color w:val="auto"/>
        </w:rPr>
        <w:t>Board of Directors</w:t>
      </w:r>
      <w:r>
        <w:rPr>
          <w:rFonts w:ascii="Arial" w:cs="Arial" w:eastAsia="Arial" w:hAnsi="Arial"/>
          <w:sz w:val="16"/>
          <w:szCs w:val="16"/>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12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i w:val="1"/>
          <w:iCs w:val="1"/>
          <w:color w:val="auto"/>
        </w:rPr>
        <w:t>Common Stock.</w:t>
      </w:r>
    </w:p>
    <w:p>
      <w:pPr>
        <w:spacing w:after="0" w:line="225" w:lineRule="exact"/>
        <w:rPr>
          <w:sz w:val="20"/>
          <w:szCs w:val="20"/>
          <w:color w:val="auto"/>
        </w:rPr>
      </w:pPr>
    </w:p>
    <w:p>
      <w:pPr>
        <w:ind w:right="140" w:firstLine="644"/>
        <w:spacing w:after="0" w:line="285" w:lineRule="auto"/>
        <w:tabs>
          <w:tab w:leader="none" w:pos="116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Except as otherwise provided by the DGCL or this Certificate, and subject to the rights of holders of any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all of the voting power of the stockholders of the Corporation shall be vested 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 Each holder of</w:t>
      </w:r>
    </w:p>
    <w:p>
      <w:pPr>
        <w:spacing w:after="0" w:line="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Class C Common Stock and Class D Common Stock shall have 1/100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one vote for each share held by such holder on all matters voted upon by the stockholders of the Corporation.</w:t>
      </w:r>
    </w:p>
    <w:p>
      <w:pPr>
        <w:spacing w:after="0" w:line="204" w:lineRule="exact"/>
        <w:rPr>
          <w:sz w:val="20"/>
          <w:szCs w:val="20"/>
          <w:color w:val="auto"/>
        </w:rPr>
      </w:pPr>
    </w:p>
    <w:p>
      <w:pPr>
        <w:ind w:left="1160" w:hanging="516"/>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Distributions.</w:t>
      </w:r>
    </w:p>
    <w:p>
      <w:pPr>
        <w:spacing w:after="0" w:line="225" w:lineRule="exact"/>
        <w:rPr>
          <w:sz w:val="20"/>
          <w:szCs w:val="20"/>
          <w:color w:val="auto"/>
        </w:rPr>
      </w:pPr>
    </w:p>
    <w:p>
      <w:pPr>
        <w:ind w:right="40" w:firstLine="644"/>
        <w:spacing w:after="0" w:line="259" w:lineRule="auto"/>
        <w:tabs>
          <w:tab w:leader="none" w:pos="1223"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186" w:lineRule="exact"/>
        <w:rPr>
          <w:rFonts w:ascii="Arial" w:cs="Arial" w:eastAsia="Arial" w:hAnsi="Arial"/>
          <w:sz w:val="18"/>
          <w:szCs w:val="18"/>
          <w:color w:val="auto"/>
        </w:rPr>
      </w:pPr>
    </w:p>
    <w:p>
      <w:pPr>
        <w:ind w:right="160" w:firstLine="644"/>
        <w:spacing w:after="0" w:line="277" w:lineRule="auto"/>
        <w:tabs>
          <w:tab w:leader="none" w:pos="1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provided in clause (b)(iii) below with respect to stock dividends, dividends and other distributions of cash or property may not be declared or paid on the Class B Common Stock or Class D Common Stock.</w:t>
      </w:r>
    </w:p>
    <w:p>
      <w:pPr>
        <w:spacing w:after="0" w:line="170" w:lineRule="exact"/>
        <w:rPr>
          <w:rFonts w:ascii="Arial" w:cs="Arial" w:eastAsia="Arial" w:hAnsi="Arial"/>
          <w:sz w:val="18"/>
          <w:szCs w:val="18"/>
          <w:color w:val="auto"/>
        </w:rPr>
      </w:pPr>
    </w:p>
    <w:p>
      <w:pPr>
        <w:ind w:right="40" w:firstLine="644"/>
        <w:spacing w:after="0" w:line="255" w:lineRule="auto"/>
        <w:tabs>
          <w:tab w:leader="none" w:pos="123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92" w:lineRule="exact"/>
        <w:rPr>
          <w:sz w:val="20"/>
          <w:szCs w:val="20"/>
          <w:color w:val="auto"/>
        </w:rPr>
      </w:pPr>
    </w:p>
    <w:p>
      <w:pPr>
        <w:ind w:right="20" w:firstLine="644"/>
        <w:spacing w:after="0" w:line="290" w:lineRule="auto"/>
        <w:tabs>
          <w:tab w:leader="none" w:pos="120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Liquidation, Dissolution or Winding Up. </w:t>
      </w:r>
      <w:r>
        <w:rPr>
          <w:rFonts w:ascii="Arial" w:cs="Arial" w:eastAsia="Arial" w:hAnsi="Arial"/>
          <w:sz w:val="16"/>
          <w:szCs w:val="16"/>
          <w:color w:val="auto"/>
        </w:rPr>
        <w:t>In the event of any voluntary or involuntary liquidation, dissolution or winding up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affairs of the Corporation, after payment or provision for payment of the debts and other 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65" w:lineRule="exact"/>
        <w:rPr>
          <w:rFonts w:ascii="Arial" w:cs="Arial" w:eastAsia="Arial" w:hAnsi="Arial"/>
          <w:sz w:val="16"/>
          <w:szCs w:val="16"/>
          <w:color w:val="auto"/>
        </w:rPr>
      </w:pPr>
    </w:p>
    <w:p>
      <w:pPr>
        <w:ind w:firstLine="644"/>
        <w:spacing w:after="0" w:line="270" w:lineRule="auto"/>
        <w:tabs>
          <w:tab w:leader="none" w:pos="1173"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Retirement of Class B Common Stock and Class D Common Stock. </w:t>
      </w:r>
      <w:r>
        <w:rPr>
          <w:rFonts w:ascii="Arial" w:cs="Arial" w:eastAsia="Arial" w:hAnsi="Arial"/>
          <w:sz w:val="17"/>
          <w:szCs w:val="17"/>
          <w:color w:val="auto"/>
        </w:rPr>
        <w:t>In the event that, pursuant to that certain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Exchange Agreement, dated as of May 14, 2015, and as assigned on August 31, 2018 (the “</w:t>
      </w:r>
      <w:r>
        <w:rPr>
          <w:rFonts w:ascii="Arial" w:cs="Arial" w:eastAsia="Arial" w:hAnsi="Arial"/>
          <w:sz w:val="17"/>
          <w:szCs w:val="17"/>
          <w:i w:val="1"/>
          <w:iCs w:val="1"/>
          <w:color w:val="auto"/>
        </w:rPr>
        <w:t>Exchange Agreement</w:t>
      </w:r>
      <w:r>
        <w:rPr>
          <w:rFonts w:ascii="Arial" w:cs="Arial" w:eastAsia="Arial" w:hAnsi="Arial"/>
          <w:sz w:val="17"/>
          <w:szCs w:val="17"/>
          <w:color w:val="auto"/>
        </w:rPr>
        <w:t>”), by and among Clearway Energy Group LLC (formerly Zephyr Renewables LLC), a Delaware limited liability company (“</w:t>
      </w:r>
      <w:r>
        <w:rPr>
          <w:rFonts w:ascii="Arial" w:cs="Arial" w:eastAsia="Arial" w:hAnsi="Arial"/>
          <w:sz w:val="17"/>
          <w:szCs w:val="17"/>
          <w:i w:val="1"/>
          <w:iCs w:val="1"/>
          <w:color w:val="auto"/>
        </w:rPr>
        <w:t>CEG</w:t>
      </w:r>
      <w:r>
        <w:rPr>
          <w:rFonts w:ascii="Arial" w:cs="Arial" w:eastAsia="Arial" w:hAnsi="Arial"/>
          <w:sz w:val="17"/>
          <w:szCs w:val="17"/>
          <w:color w:val="auto"/>
        </w:rPr>
        <w:t>”), Clearway Energy LLC (formerly NRG Yield LLC), a Delaware limited liability company (“</w:t>
      </w:r>
      <w:r>
        <w:rPr>
          <w:rFonts w:ascii="Arial" w:cs="Arial" w:eastAsia="Arial" w:hAnsi="Arial"/>
          <w:sz w:val="17"/>
          <w:szCs w:val="17"/>
          <w:i w:val="1"/>
          <w:iCs w:val="1"/>
          <w:color w:val="auto"/>
        </w:rPr>
        <w:t>Clearway LLC</w:t>
      </w:r>
      <w:r>
        <w:rPr>
          <w:rFonts w:ascii="Arial" w:cs="Arial" w:eastAsia="Arial" w:hAnsi="Arial"/>
          <w:sz w:val="17"/>
          <w:szCs w:val="17"/>
          <w:color w:val="auto"/>
        </w:rPr>
        <w:t>”) and the Corporation, CEG or its permitted transferees or assignees exchange a Class B unit of Clearway LLC for a share of Class A Common Stock or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ind w:left="660" w:right="20" w:firstLine="644"/>
        <w:spacing w:after="0" w:line="286" w:lineRule="auto"/>
        <w:tabs>
          <w:tab w:leader="none" w:pos="182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Preemptive Rights. </w:t>
      </w:r>
      <w:r>
        <w:rPr>
          <w:rFonts w:ascii="Arial" w:cs="Arial" w:eastAsia="Arial" w:hAnsi="Arial"/>
          <w:sz w:val="17"/>
          <w:szCs w:val="17"/>
          <w:color w:val="auto"/>
        </w:rPr>
        <w:t>Except as otherwise provided in this Article FOUR, no holder of Common Stock shall have any preemptive,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or other rights to subscribe for additional shares with respect to the Common Stock or any other securities of the Corporation, or to any obligations convertible (directly or indirectly) into securities of the Corporation, whether now or hereafter authorized.</w:t>
      </w:r>
    </w:p>
    <w:p>
      <w:pPr>
        <w:spacing w:after="0" w:line="165" w:lineRule="exact"/>
        <w:rPr>
          <w:rFonts w:ascii="Arial" w:cs="Arial" w:eastAsia="Arial" w:hAnsi="Arial"/>
          <w:sz w:val="17"/>
          <w:szCs w:val="17"/>
          <w:color w:val="auto"/>
        </w:rPr>
      </w:pPr>
    </w:p>
    <w:p>
      <w:pPr>
        <w:ind w:left="660" w:firstLine="644"/>
        <w:spacing w:after="0" w:line="286" w:lineRule="auto"/>
        <w:tabs>
          <w:tab w:leader="none" w:pos="184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Equal Status. </w:t>
      </w:r>
      <w:r>
        <w:rPr>
          <w:rFonts w:ascii="Arial" w:cs="Arial" w:eastAsia="Arial" w:hAnsi="Arial"/>
          <w:sz w:val="16"/>
          <w:szCs w:val="16"/>
          <w:color w:val="auto"/>
        </w:rPr>
        <w:t>Except as expressly provided in this Article FOUR, Class C Common Stock shall have the same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privileges and rank equally, share ratably and be identical in all respects to the Class A Common Stock 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16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i w:val="1"/>
          <w:iCs w:val="1"/>
          <w:color w:val="auto"/>
        </w:rPr>
        <w:t>Restrictions on Transfer.</w:t>
      </w:r>
    </w:p>
    <w:p>
      <w:pPr>
        <w:spacing w:after="0" w:line="225" w:lineRule="exact"/>
        <w:rPr>
          <w:sz w:val="20"/>
          <w:szCs w:val="20"/>
          <w:color w:val="auto"/>
        </w:rPr>
      </w:pPr>
    </w:p>
    <w:p>
      <w:pPr>
        <w:ind w:left="660" w:right="60" w:firstLine="644"/>
        <w:spacing w:after="0" w:line="296" w:lineRule="auto"/>
        <w:tabs>
          <w:tab w:leader="none" w:pos="1822"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Restricted Transfers. </w:t>
      </w:r>
      <w:r>
        <w:rPr>
          <w:rFonts w:ascii="Arial" w:cs="Arial" w:eastAsia="Arial" w:hAnsi="Arial"/>
          <w:sz w:val="16"/>
          <w:szCs w:val="16"/>
          <w:color w:val="auto"/>
        </w:rPr>
        <w:t>Except through a Secondary Market Transaction, no person shall purchase or otherwise acquire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conversion or exchange of securities 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6"/>
          <w:szCs w:val="16"/>
          <w:i w:val="1"/>
          <w:iCs w:val="1"/>
          <w:color w:val="auto"/>
        </w:rPr>
        <w:t>Restricted Transfer</w:t>
      </w:r>
      <w:r>
        <w:rPr>
          <w:rFonts w:ascii="Arial" w:cs="Arial" w:eastAsia="Arial" w:hAnsi="Arial"/>
          <w:sz w:val="16"/>
          <w:szCs w:val="16"/>
          <w:color w:val="auto"/>
        </w:rPr>
        <w:t>”), the holdings of the transferee, together with those of its FERC Affiliates, would equal or exceed the Utility Control Threshold without the prior written consent of the Board of Directors.</w:t>
      </w:r>
    </w:p>
    <w:p>
      <w:pPr>
        <w:spacing w:after="0" w:line="161" w:lineRule="exact"/>
        <w:rPr>
          <w:rFonts w:ascii="Arial" w:cs="Arial" w:eastAsia="Arial" w:hAnsi="Arial"/>
          <w:sz w:val="16"/>
          <w:szCs w:val="16"/>
          <w:color w:val="auto"/>
        </w:rPr>
      </w:pPr>
    </w:p>
    <w:p>
      <w:pPr>
        <w:ind w:left="660" w:right="220" w:firstLine="644"/>
        <w:spacing w:after="0" w:line="257" w:lineRule="auto"/>
        <w:tabs>
          <w:tab w:leader="none" w:pos="178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Purported Transfer in Violation of Restrictions. </w:t>
      </w:r>
      <w:r>
        <w:rPr>
          <w:rFonts w:ascii="Arial" w:cs="Arial" w:eastAsia="Arial" w:hAnsi="Arial"/>
          <w:sz w:val="18"/>
          <w:szCs w:val="18"/>
          <w:color w:val="auto"/>
        </w:rPr>
        <w:t>Unless the approval of the Board of Directors is obtained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Transfer, such purported Restricted Transfer shall not be effective to transfer record, 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87" w:lineRule="exact"/>
        <w:rPr>
          <w:rFonts w:ascii="Arial" w:cs="Arial" w:eastAsia="Arial" w:hAnsi="Arial"/>
          <w:sz w:val="18"/>
          <w:szCs w:val="18"/>
          <w:color w:val="auto"/>
        </w:rPr>
      </w:pPr>
    </w:p>
    <w:p>
      <w:pPr>
        <w:ind w:left="1680" w:hanging="376"/>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Certain Definitions. </w:t>
      </w:r>
      <w:r>
        <w:rPr>
          <w:rFonts w:ascii="Arial" w:cs="Arial" w:eastAsia="Arial" w:hAnsi="Arial"/>
          <w:sz w:val="18"/>
          <w:szCs w:val="18"/>
          <w:color w:val="auto"/>
        </w:rPr>
        <w:t>For purposes of this Section 4 of Article FOUR:</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Clearway Public Utility</w:t>
      </w:r>
      <w:r>
        <w:rPr>
          <w:rFonts w:ascii="Arial" w:cs="Arial" w:eastAsia="Arial" w:hAnsi="Arial"/>
          <w:sz w:val="18"/>
          <w:szCs w:val="18"/>
          <w:color w:val="auto"/>
        </w:rPr>
        <w:t>” means any direct or indirect subsidiary of Clearway Energy LLC that is a “public utility” (as that term is defined in the Federal Power Act).</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“FERC Affiliate</w:t>
      </w:r>
      <w:r>
        <w:rPr>
          <w:rFonts w:ascii="Arial" w:cs="Arial" w:eastAsia="Arial" w:hAnsi="Arial"/>
          <w:sz w:val="18"/>
          <w:szCs w:val="18"/>
          <w:color w:val="auto"/>
        </w:rPr>
        <w:t>” means any person that is an “affiliate” (as such term is defined in 18 C.F.R. § 35.36(a)(9)) of another person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of the Restricted Transfer.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Secondary Market Transaction</w:t>
      </w:r>
      <w:r>
        <w:rPr>
          <w:rFonts w:ascii="Arial" w:cs="Arial" w:eastAsia="Arial" w:hAnsi="Arial"/>
          <w:sz w:val="18"/>
          <w:szCs w:val="18"/>
          <w:color w:val="auto"/>
        </w:rPr>
        <w:t>” means a purchase or sale of Class A Common Stock or Class C Common Stock by a third-party investor</w:t>
      </w:r>
    </w:p>
    <w:p>
      <w:pPr>
        <w:spacing w:after="0" w:line="23" w:lineRule="exact"/>
        <w:rPr>
          <w:sz w:val="20"/>
          <w:szCs w:val="20"/>
          <w:color w:val="auto"/>
        </w:rPr>
      </w:pPr>
    </w:p>
    <w:p>
      <w:pPr>
        <w:ind w:firstLine="8"/>
        <w:spacing w:after="0" w:line="25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9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Utility Control Threshold</w:t>
      </w:r>
      <w:r>
        <w:rPr>
          <w:rFonts w:ascii="Arial" w:cs="Arial" w:eastAsia="Arial" w:hAnsi="Arial"/>
          <w:sz w:val="18"/>
          <w:szCs w:val="18"/>
          <w:color w:val="auto"/>
        </w:rPr>
        <w:t>” means holdings such that: (i) a person, collectively with its FERC Affiliates, directly and/or indirectly owns, controls and/or holds with power to vote 10% of the Corporation’s outstanding voting securities; or (ii) 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ARTICLE FIVE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is to have perpetual existence.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Board of Directors.</w:t>
      </w:r>
      <w:r>
        <w:rPr>
          <w:rFonts w:ascii="Arial" w:cs="Arial" w:eastAsia="Arial" w:hAnsi="Arial"/>
          <w:sz w:val="18"/>
          <w:szCs w:val="18"/>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8"/>
          <w:szCs w:val="18"/>
          <w:i w:val="1"/>
          <w:iCs w:val="1"/>
          <w:color w:val="auto"/>
        </w:rPr>
        <w:t>Bylaws</w:t>
      </w:r>
      <w:r>
        <w:rPr>
          <w:rFonts w:ascii="Arial" w:cs="Arial" w:eastAsia="Arial" w:hAnsi="Arial"/>
          <w:sz w:val="18"/>
          <w:szCs w:val="18"/>
          <w:color w:val="auto"/>
        </w:rPr>
        <w:t>”), the directors are hereby empowered to exercise all such powers and do all such acts and things as may be exercised or done by the Corporation.</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Number of Directors.</w:t>
      </w:r>
      <w:r>
        <w:rPr>
          <w:rFonts w:ascii="Arial" w:cs="Arial" w:eastAsia="Arial" w:hAnsi="Arial"/>
          <w:sz w:val="17"/>
          <w:szCs w:val="17"/>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Each director shall hold office until the next annual meeting of stockholders of the Corporation and until his or her successor is duly elected and qualified or until his or her earlier death, resignation or removal. Nothing in this Certificate shall preclude a director from serving consecutive terms. Elections of directors need not be by written ballot unless the Bylaws shall so provide.</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i w:val="1"/>
          <w:iCs w:val="1"/>
          <w:color w:val="auto"/>
        </w:rPr>
        <w:t>Removal of Directors.</w:t>
      </w:r>
      <w:r>
        <w:rPr>
          <w:rFonts w:ascii="Arial" w:cs="Arial" w:eastAsia="Arial" w:hAnsi="Arial"/>
          <w:sz w:val="17"/>
          <w:szCs w:val="17"/>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no director may be removed from office with or without cause except by the affirmative vote of the holders of a majority of the votes entitled to be cast by all shares of Common Stock then outstanding voting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Vacancies in the Board of Directors.</w:t>
      </w:r>
      <w:r>
        <w:rPr>
          <w:rFonts w:ascii="Arial" w:cs="Arial" w:eastAsia="Arial" w:hAnsi="Arial"/>
          <w:sz w:val="18"/>
          <w:szCs w:val="18"/>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2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i w:val="1"/>
          <w:iCs w:val="1"/>
          <w:color w:val="auto"/>
        </w:rPr>
        <w:t>Indemnification; Limitation of Liability.</w:t>
      </w:r>
    </w:p>
    <w:p>
      <w:pPr>
        <w:spacing w:after="0" w:line="225" w:lineRule="exact"/>
        <w:rPr>
          <w:sz w:val="20"/>
          <w:szCs w:val="20"/>
          <w:color w:val="auto"/>
        </w:rPr>
      </w:pPr>
    </w:p>
    <w:p>
      <w:pPr>
        <w:ind w:left="660" w:firstLine="644"/>
        <w:spacing w:after="0" w:line="286" w:lineRule="auto"/>
        <w:tabs>
          <w:tab w:leader="none" w:pos="18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65" w:lineRule="exact"/>
        <w:rPr>
          <w:rFonts w:ascii="Arial" w:cs="Arial" w:eastAsia="Arial" w:hAnsi="Arial"/>
          <w:sz w:val="17"/>
          <w:szCs w:val="17"/>
          <w:color w:val="auto"/>
        </w:rPr>
      </w:pPr>
    </w:p>
    <w:p>
      <w:pPr>
        <w:jc w:val="both"/>
        <w:ind w:left="660" w:right="140" w:firstLine="644"/>
        <w:spacing w:after="0" w:line="263" w:lineRule="auto"/>
        <w:tabs>
          <w:tab w:leader="none" w:pos="18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For purposes of this Amended and Restated Certificate of Incorporation, “</w:t>
      </w:r>
      <w:r>
        <w:rPr>
          <w:rFonts w:ascii="Arial" w:cs="Arial" w:eastAsia="Arial" w:hAnsi="Arial"/>
          <w:sz w:val="16"/>
          <w:szCs w:val="16"/>
          <w:i w:val="1"/>
          <w:iCs w:val="1"/>
          <w:color w:val="auto"/>
        </w:rPr>
        <w:t>Affiliated Company</w:t>
      </w:r>
      <w:r>
        <w:rPr>
          <w:rFonts w:ascii="Arial" w:cs="Arial" w:eastAsia="Arial" w:hAnsi="Arial"/>
          <w:sz w:val="16"/>
          <w:szCs w:val="16"/>
          <w:color w:val="auto"/>
        </w:rPr>
        <w:t>” means (i) Global Infrastructure Investors III, LLC (“</w:t>
      </w:r>
      <w:r>
        <w:rPr>
          <w:rFonts w:ascii="Arial" w:cs="Arial" w:eastAsia="Arial" w:hAnsi="Arial"/>
          <w:sz w:val="16"/>
          <w:szCs w:val="16"/>
          <w:i w:val="1"/>
          <w:iCs w:val="1"/>
          <w:color w:val="auto"/>
        </w:rPr>
        <w:t>GIP</w:t>
      </w:r>
      <w:r>
        <w:rPr>
          <w:rFonts w:ascii="Arial" w:cs="Arial" w:eastAsia="Arial" w:hAnsi="Arial"/>
          <w:sz w:val="16"/>
          <w:szCs w:val="16"/>
          <w:color w:val="auto"/>
        </w:rPr>
        <w:t>”)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ELEVEN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Competition and Corporate Opportunities.</w:t>
      </w:r>
      <w:r>
        <w:rPr>
          <w:rFonts w:ascii="Arial" w:cs="Arial" w:eastAsia="Arial" w:hAnsi="Arial"/>
          <w:sz w:val="18"/>
          <w:szCs w:val="18"/>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84" w:lineRule="exact"/>
        <w:rPr>
          <w:sz w:val="20"/>
          <w:szCs w:val="20"/>
          <w:color w:val="auto"/>
        </w:rPr>
      </w:pPr>
    </w:p>
    <w:p>
      <w:pPr>
        <w:ind w:left="660" w:right="340" w:firstLine="644"/>
        <w:spacing w:after="0" w:line="257" w:lineRule="auto"/>
        <w:tabs>
          <w:tab w:leader="none" w:pos="18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Affiliated Company acquires knowledge of a potential transaction or matter which may be a Dual Opportunity, the Corporation and any Controlled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87" w:lineRule="exact"/>
        <w:rPr>
          <w:rFonts w:ascii="Arial" w:cs="Arial" w:eastAsia="Arial" w:hAnsi="Arial"/>
          <w:sz w:val="18"/>
          <w:szCs w:val="18"/>
          <w:color w:val="auto"/>
        </w:rPr>
      </w:pPr>
    </w:p>
    <w:p>
      <w:pPr>
        <w:ind w:left="660" w:right="80" w:firstLine="644"/>
        <w:spacing w:after="0" w:line="291" w:lineRule="auto"/>
        <w:tabs>
          <w:tab w:leader="none" w:pos="18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Dual Role Person (i) shall have no duty to communicate or offer to the Corporation or any Controlled Company any Dual Opportunity that such Dual Role Person has communicated or offered to the Affiliated Company, (ii) 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20" w:firstLine="648"/>
        <w:spacing w:after="0" w:line="28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i w:val="1"/>
          <w:iCs w:val="1"/>
          <w:color w:val="auto"/>
        </w:rPr>
        <w:t>Certain Matters Deemed not Corporate Opportunities.</w:t>
      </w:r>
      <w:r>
        <w:rPr>
          <w:rFonts w:ascii="Arial" w:cs="Arial" w:eastAsia="Arial" w:hAnsi="Arial"/>
          <w:sz w:val="16"/>
          <w:szCs w:val="16"/>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w:t>
      </w:r>
    </w:p>
    <w:p>
      <w:pPr>
        <w:spacing w:after="0" w:line="2"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 not in the Corporation’s line of business, (iii) is of no practical advantage to the Corporation, and (iv) in which the Corporation has no interest or</w:t>
      </w:r>
    </w:p>
    <w:p>
      <w:pPr>
        <w:spacing w:after="0" w:line="20" w:lineRule="exact"/>
        <w:rPr>
          <w:rFonts w:ascii="Arial" w:cs="Arial" w:eastAsia="Arial" w:hAnsi="Arial"/>
          <w:sz w:val="17"/>
          <w:szCs w:val="17"/>
          <w:color w:val="auto"/>
        </w:rPr>
      </w:pPr>
    </w:p>
    <w:p>
      <w:pPr>
        <w:ind w:right="100"/>
        <w:spacing w:after="0" w:line="260" w:lineRule="auto"/>
        <w:rPr>
          <w:rFonts w:ascii="Arial" w:cs="Arial" w:eastAsia="Arial" w:hAnsi="Arial"/>
          <w:sz w:val="17"/>
          <w:szCs w:val="17"/>
          <w:color w:val="auto"/>
        </w:rPr>
      </w:pPr>
      <w:r>
        <w:rPr>
          <w:rFonts w:ascii="Arial" w:cs="Arial" w:eastAsia="Arial" w:hAnsi="Arial"/>
          <w:sz w:val="18"/>
          <w:szCs w:val="18"/>
          <w:color w:val="auto"/>
        </w:rPr>
        <w:t>reasonable expectancy. Moreover, nothing in this Article THIRTEEN shall amend or modify in any respect any written contractual agreement between the Affiliated Company, on the one hand, and the Corporation or any of its Affiliated Companies, on the other hand.</w:t>
      </w:r>
    </w:p>
    <w:p>
      <w:pPr>
        <w:spacing w:after="0" w:line="18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this Article THIRTEEN and Article FIFTEEN:</w:t>
      </w:r>
    </w:p>
    <w:p>
      <w:pPr>
        <w:spacing w:after="0" w:line="225"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Company</w:t>
      </w:r>
      <w:r>
        <w:rPr>
          <w:rFonts w:ascii="Arial" w:cs="Arial" w:eastAsia="Arial" w:hAnsi="Arial"/>
          <w:sz w:val="16"/>
          <w:szCs w:val="16"/>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Dual Opportunity</w:t>
      </w:r>
      <w:r>
        <w:rPr>
          <w:rFonts w:ascii="Arial" w:cs="Arial" w:eastAsia="Arial" w:hAnsi="Arial"/>
          <w:sz w:val="18"/>
          <w:szCs w:val="18"/>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Dual Role Person</w:t>
      </w:r>
      <w:r>
        <w:rPr>
          <w:rFonts w:ascii="Arial" w:cs="Arial" w:eastAsia="Arial" w:hAnsi="Arial"/>
          <w:sz w:val="18"/>
          <w:szCs w:val="18"/>
          <w:color w:val="auto"/>
        </w:rPr>
        <w:t>” means any individual who is an officer or director of both the Corporation and the Affiliated Company.</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The provisions of this Article THIRTEEN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termination shall not terminate the effect of such provisions with respect to any agreement, arrangement or other 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Deemed Notice.</w:t>
      </w:r>
      <w:r>
        <w:rPr>
          <w:rFonts w:ascii="Arial" w:cs="Arial" w:eastAsia="Arial" w:hAnsi="Arial"/>
          <w:sz w:val="18"/>
          <w:szCs w:val="18"/>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170"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29" w:lineRule="exact"/>
        <w:rPr>
          <w:sz w:val="20"/>
          <w:szCs w:val="20"/>
          <w:color w:val="auto"/>
        </w:rPr>
      </w:pPr>
    </w:p>
    <w:p>
      <w:pPr>
        <w:ind w:right="320" w:firstLine="648"/>
        <w:spacing w:after="0" w:line="291" w:lineRule="auto"/>
        <w:rPr>
          <w:sz w:val="20"/>
          <w:szCs w:val="20"/>
          <w:color w:val="auto"/>
        </w:rPr>
      </w:pPr>
      <w:r>
        <w:rPr>
          <w:rFonts w:ascii="Arial" w:cs="Arial" w:eastAsia="Arial" w:hAnsi="Arial"/>
          <w:sz w:val="16"/>
          <w:szCs w:val="16"/>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w:t>
      </w:r>
    </w:p>
    <w:p>
      <w:pPr>
        <w:ind w:right="300"/>
        <w:spacing w:after="0" w:line="243" w:lineRule="auto"/>
        <w:rPr>
          <w:sz w:val="20"/>
          <w:szCs w:val="20"/>
          <w:color w:val="auto"/>
        </w:rPr>
      </w:pPr>
      <w:r>
        <w:rPr>
          <w:rFonts w:ascii="Arial" w:cs="Arial" w:eastAsia="Arial" w:hAnsi="Arial"/>
          <w:sz w:val="17"/>
          <w:szCs w:val="17"/>
          <w:color w:val="auto"/>
        </w:rPr>
        <w:t>designation of any series of Preferred Stock), the affirmative 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4 of ARTICLE SEVEN hereof, ARTICLES TWELVE and THIRTEEN hereof, this ARTICLE FOURTEEN, or ARTICLE FIFTEEN hereof or any provision thereof or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ARTICLE FIFTEEN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SIXTEEN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w:t>
      </w:r>
    </w:p>
    <w:p>
      <w:pPr>
        <w:spacing w:after="0" w:line="2" w:lineRule="exact"/>
        <w:rPr>
          <w:sz w:val="20"/>
          <w:szCs w:val="20"/>
          <w:color w:val="auto"/>
        </w:rPr>
      </w:pPr>
    </w:p>
    <w:p>
      <w:pPr>
        <w:ind w:right="40" w:firstLine="8"/>
        <w:spacing w:after="0" w:line="285"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SEVENTEEN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2"/>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2020-05-04T16:17:07Z</dcterms:created>
  <dcterms:modified xsi:type="dcterms:W3CDTF">2020-05-04T16:17:07Z</dcterms:modified>
</cp:coreProperties>
</file>