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Malcarney Kevin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6"/>
          <w:szCs w:val="16"/>
          <w:color w:val="0000FF"/>
        </w:rPr>
        <w:t>SVP, Gen Counsel and Corp Secr</w:t>
      </w:r>
    </w:p>
    <w:p>
      <w:pPr>
        <w:spacing w:after="0" w:line="41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403</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45,638</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3,390 dividend equivalent rights that may only be settled in Class C Common Stock. There has been a de minimus adjustment of 1 share to the number of dividend equivalent rights as a result of rounding fractional shares.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Kevin P. Malcarney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12/03/2021</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2021-12-03T15:46:57Z</dcterms:created>
  <dcterms:modified xsi:type="dcterms:W3CDTF">2021-12-03T15:46:57Z</dcterms:modified>
</cp:coreProperties>
</file>