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SCHEDULE 13G</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3)*</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16510</wp:posOffset>
            </wp:positionV>
            <wp:extent cx="2588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Class A Common Stock, par value $0.01 per share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Class C Common Stock, par value $0.01 per share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18539C105 (Class A Common Stock)</w:t>
      </w:r>
    </w:p>
    <w:p>
      <w:pPr>
        <w:spacing w:after="0" w:line="23"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18539C204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5715</wp:posOffset>
            </wp:positionV>
            <wp:extent cx="25888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December 31, 2021 (for Class A Common Stock)</w:t>
      </w:r>
    </w:p>
    <w:p>
      <w:pPr>
        <w:spacing w:after="0" w:line="23"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December 31, 2021 (for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5715</wp:posOffset>
            </wp:positionV>
            <wp:extent cx="2588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00" w:right="9520" w:firstLine="5"/>
        <w:spacing w:after="0" w:line="224" w:lineRule="exact"/>
        <w:tabs>
          <w:tab w:leader="none" w:pos="66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680" w:hanging="575"/>
        <w:spacing w:after="0"/>
        <w:tabs>
          <w:tab w:leader="none" w:pos="6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2" w:lineRule="exact"/>
        <w:rPr>
          <w:rFonts w:ascii="MS PGothic" w:cs="MS PGothic" w:eastAsia="MS PGothic" w:hAnsi="MS PGothic"/>
          <w:sz w:val="18"/>
          <w:szCs w:val="18"/>
          <w:color w:val="auto"/>
        </w:rPr>
      </w:pPr>
    </w:p>
    <w:p>
      <w:pPr>
        <w:spacing w:after="0" w:line="214" w:lineRule="auto"/>
        <w:rPr>
          <w:rFonts w:ascii="MS PGothic" w:cs="MS PGothic" w:eastAsia="MS PGothic" w:hAnsi="MS PGothic"/>
          <w:sz w:val="18"/>
          <w:szCs w:val="18"/>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1"/>
        </w:trPr>
        <w:tc>
          <w:tcPr>
            <w:tcW w:w="2220" w:type="dxa"/>
            <w:vAlign w:val="bottom"/>
            <w:tcBorders>
              <w:top w:val="single" w:sz="8" w:color="auto"/>
              <w:lef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CUSIP No. 18539C105</w:t>
            </w:r>
          </w:p>
        </w:tc>
        <w:tc>
          <w:tcPr>
            <w:tcW w:w="74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18539C204</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PPF Credit Strategies,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86,792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86,792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86,792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3"/>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0.3%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1"/>
        </w:trPr>
        <w:tc>
          <w:tcPr>
            <w:tcW w:w="2000" w:type="dxa"/>
            <w:vAlign w:val="bottom"/>
            <w:tcBorders>
              <w:top w:val="single" w:sz="8" w:color="auto"/>
              <w:left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7"/>
              </w:rPr>
              <w:t>CUSIP No. 18539C105</w:t>
            </w:r>
          </w:p>
        </w:tc>
        <w:tc>
          <w:tcPr>
            <w:tcW w:w="96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18539C204</w:t>
            </w:r>
          </w:p>
        </w:tc>
        <w:tc>
          <w:tcPr>
            <w:tcW w:w="9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Apollo Credit Strategies Master Fund Ltd.</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Cayman Islands</w:t>
            </w: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96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96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96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1,037,098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5"/>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3.0%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1"/>
        </w:trPr>
        <w:tc>
          <w:tcPr>
            <w:tcW w:w="2220" w:type="dxa"/>
            <w:vAlign w:val="bottom"/>
            <w:tcBorders>
              <w:top w:val="single" w:sz="8" w:color="auto"/>
              <w:lef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CUSIP No. 18539C105</w:t>
            </w:r>
          </w:p>
        </w:tc>
        <w:tc>
          <w:tcPr>
            <w:tcW w:w="74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18539C204</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ST Fund Management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1,037,098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7"/>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3.0%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1"/>
        </w:trPr>
        <w:tc>
          <w:tcPr>
            <w:tcW w:w="2220" w:type="dxa"/>
            <w:vAlign w:val="bottom"/>
            <w:tcBorders>
              <w:top w:val="single" w:sz="8" w:color="auto"/>
              <w:lef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CUSIP No. 18539C105</w:t>
            </w:r>
          </w:p>
        </w:tc>
        <w:tc>
          <w:tcPr>
            <w:tcW w:w="74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18539C204</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ST Operating 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1,037,098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9"/>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3.0%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1"/>
        </w:trPr>
        <w:tc>
          <w:tcPr>
            <w:tcW w:w="2220" w:type="dxa"/>
            <w:vAlign w:val="bottom"/>
            <w:tcBorders>
              <w:top w:val="single" w:sz="8" w:color="auto"/>
              <w:lef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CUSIP No. 18539C105</w:t>
            </w: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18539C204</w:t>
            </w: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6"/>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6"/>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800" w:type="dxa"/>
            <w:vAlign w:val="bottom"/>
            <w:gridSpan w:val="4"/>
          </w:tcPr>
          <w:p>
            <w:pPr>
              <w:ind w:left="100"/>
              <w:spacing w:after="0"/>
              <w:rPr>
                <w:sz w:val="20"/>
                <w:szCs w:val="20"/>
                <w:color w:val="auto"/>
              </w:rPr>
            </w:pPr>
            <w:r>
              <w:rPr>
                <w:rFonts w:ascii="Arial" w:cs="Arial" w:eastAsia="Arial" w:hAnsi="Arial"/>
                <w:sz w:val="18"/>
                <w:szCs w:val="18"/>
                <w:color w:val="auto"/>
                <w:w w:val="94"/>
              </w:rPr>
              <w:t>Apollo ST Capital LLC</w:t>
            </w:r>
          </w:p>
        </w:tc>
        <w:tc>
          <w:tcPr>
            <w:tcW w:w="12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80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12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6"/>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4"/>
                <w:szCs w:val="14"/>
                <w:color w:val="auto"/>
              </w:rPr>
            </w:pPr>
          </w:p>
        </w:tc>
        <w:tc>
          <w:tcPr>
            <w:tcW w:w="8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22"/>
                <w:szCs w:val="22"/>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1,037,098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11"/>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3.0%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1"/>
        </w:trPr>
        <w:tc>
          <w:tcPr>
            <w:tcW w:w="2000" w:type="dxa"/>
            <w:vAlign w:val="bottom"/>
            <w:tcBorders>
              <w:top w:val="single" w:sz="8" w:color="auto"/>
              <w:left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7"/>
              </w:rPr>
              <w:t>CUSIP No. 18539C105</w:t>
            </w:r>
          </w:p>
        </w:tc>
        <w:tc>
          <w:tcPr>
            <w:tcW w:w="96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18539C204</w:t>
            </w:r>
          </w:p>
        </w:tc>
        <w:tc>
          <w:tcPr>
            <w:tcW w:w="9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ST Management Holdings,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Cayman Islands</w:t>
            </w: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96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96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96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1,037,098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1,037,098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13"/>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3.0%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1"/>
        </w:trPr>
        <w:tc>
          <w:tcPr>
            <w:tcW w:w="2220" w:type="dxa"/>
            <w:vAlign w:val="bottom"/>
            <w:tcBorders>
              <w:top w:val="single" w:sz="8" w:color="auto"/>
              <w:lef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CUSIP No. 18539C105</w:t>
            </w:r>
          </w:p>
        </w:tc>
        <w:tc>
          <w:tcPr>
            <w:tcW w:w="74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18539C204</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A-N Credit Fund (Delaware), 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49,064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49,064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-3677285</wp:posOffset>
            </wp:positionV>
            <wp:extent cx="7132320" cy="5871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49,064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15"/>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0.1%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1"/>
        </w:trPr>
        <w:tc>
          <w:tcPr>
            <w:tcW w:w="2220" w:type="dxa"/>
            <w:vAlign w:val="bottom"/>
            <w:tcBorders>
              <w:top w:val="single" w:sz="8" w:color="auto"/>
              <w:lef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CUSIP No. 18539C105</w:t>
            </w:r>
          </w:p>
        </w:tc>
        <w:tc>
          <w:tcPr>
            <w:tcW w:w="74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18539C204</w:t>
            </w:r>
          </w:p>
        </w:tc>
        <w:tc>
          <w:tcPr>
            <w:tcW w:w="74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A-N Credit Management,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49,064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49,064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-3677285</wp:posOffset>
            </wp:positionV>
            <wp:extent cx="7132320" cy="5871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49,064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17"/>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0.1%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11"/>
        </w:trPr>
        <w:tc>
          <w:tcPr>
            <w:tcW w:w="2000" w:type="dxa"/>
            <w:vAlign w:val="bottom"/>
            <w:tcBorders>
              <w:top w:val="single" w:sz="8" w:color="auto"/>
              <w:left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w w:val="97"/>
              </w:rPr>
              <w:t>CUSIP No. 18539C105</w:t>
            </w:r>
          </w:p>
        </w:tc>
        <w:tc>
          <w:tcPr>
            <w:tcW w:w="96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6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18539C204</w:t>
            </w:r>
          </w:p>
        </w:tc>
        <w:tc>
          <w:tcPr>
            <w:tcW w:w="9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AP Kent Credit Master Fund, 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40" w:type="dxa"/>
            <w:vAlign w:val="bottom"/>
          </w:tcPr>
          <w:p>
            <w:pPr>
              <w:ind w:left="54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54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13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Cayman Islands</w:t>
            </w:r>
          </w:p>
        </w:tc>
        <w:tc>
          <w:tcPr>
            <w:tcW w:w="13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6,537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96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96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1340" w:type="dxa"/>
            <w:vAlign w:val="bottom"/>
          </w:tcPr>
          <w:p>
            <w:pPr>
              <w:spacing w:after="0"/>
              <w:rPr>
                <w:sz w:val="4"/>
                <w:szCs w:val="4"/>
                <w:color w:val="auto"/>
              </w:rPr>
            </w:pPr>
          </w:p>
        </w:tc>
        <w:tc>
          <w:tcPr>
            <w:tcW w:w="6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960" w:type="dxa"/>
            <w:vAlign w:val="bottom"/>
            <w:tcBorders>
              <w:right w:val="single" w:sz="8" w:color="auto"/>
            </w:tcBorders>
            <w:vMerge w:val="continue"/>
          </w:tcPr>
          <w:p>
            <w:pPr>
              <w:spacing w:after="0"/>
              <w:rPr>
                <w:sz w:val="7"/>
                <w:szCs w:val="7"/>
                <w:color w:val="auto"/>
              </w:rPr>
            </w:pPr>
          </w:p>
        </w:tc>
        <w:tc>
          <w:tcPr>
            <w:tcW w:w="1340" w:type="dxa"/>
            <w:vAlign w:val="bottom"/>
          </w:tcPr>
          <w:p>
            <w:pPr>
              <w:spacing w:after="0"/>
              <w:rPr>
                <w:sz w:val="7"/>
                <w:szCs w:val="7"/>
                <w:color w:val="auto"/>
              </w:rPr>
            </w:pPr>
          </w:p>
        </w:tc>
        <w:tc>
          <w:tcPr>
            <w:tcW w:w="6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6,537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-3677285</wp:posOffset>
            </wp:positionV>
            <wp:extent cx="7132320" cy="5871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6,537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19"/>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Rounds to less than 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243459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 Kent Management, LLC</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6,537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6,537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6,537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Rounds to less than 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1" w:name="page12"/>
    <w:bookmarkEnd w:id="11"/>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Apollo Atlas Master Fund, LLC</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6"/>
              </w:rPr>
              <w:t>Cayman Islands</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0.1%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12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2" w:name="page13"/>
    <w:bookmarkEnd w:id="12"/>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Apollo Atlas Management, LLC</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0.1%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13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3" w:name="page14"/>
    <w:bookmarkEnd w:id="13"/>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Apollo TR Enhanced Levered Yield LLC</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14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4" w:name="page15"/>
    <w:bookmarkEnd w:id="14"/>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Apollo TR Opportunistic Ltd.</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6"/>
              </w:rPr>
              <w:t>Cayman Islands</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0.3%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15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5" w:name="page16"/>
    <w:bookmarkEnd w:id="15"/>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Apollo Total Return Master Fund LP</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6"/>
              </w:rPr>
              <w:t>Cayman Islands</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0.3%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PN</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16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6" w:name="page17"/>
    <w:bookmarkEnd w:id="16"/>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13</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Apollo Total Return Management LLC</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14</w:t>
            </w:r>
          </w:p>
        </w:tc>
        <w:tc>
          <w:tcPr>
            <w:tcW w:w="160" w:type="dxa"/>
            <w:vAlign w:val="bottom"/>
            <w:tcBorders>
              <w:right w:val="single" w:sz="8" w:color="auto"/>
            </w:tcBorders>
          </w:tcPr>
          <w:p>
            <w:pPr>
              <w:spacing w:after="0"/>
              <w:rPr>
                <w:sz w:val="24"/>
                <w:szCs w:val="24"/>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15</w:t>
            </w:r>
          </w:p>
        </w:tc>
        <w:tc>
          <w:tcPr>
            <w:tcW w:w="160" w:type="dxa"/>
            <w:vAlign w:val="bottom"/>
            <w:tcBorders>
              <w:right w:val="single" w:sz="8" w:color="auto"/>
            </w:tcBorders>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16</w:t>
            </w:r>
          </w:p>
        </w:tc>
        <w:tc>
          <w:tcPr>
            <w:tcW w:w="160" w:type="dxa"/>
            <w:vAlign w:val="bottom"/>
            <w:tcBorders>
              <w:right w:val="single" w:sz="8" w:color="auto"/>
            </w:tcBorders>
          </w:tcPr>
          <w:p>
            <w:pPr>
              <w:spacing w:after="0"/>
              <w:rPr>
                <w:sz w:val="20"/>
                <w:szCs w:val="20"/>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Delaware</w:t>
            </w:r>
          </w:p>
        </w:tc>
        <w:tc>
          <w:tcPr>
            <w:tcW w:w="5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ind w:left="200"/>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5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56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rPr>
              <w:t>19</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21</w:t>
            </w:r>
          </w:p>
        </w:tc>
        <w:tc>
          <w:tcPr>
            <w:tcW w:w="160" w:type="dxa"/>
            <w:vAlign w:val="bottom"/>
            <w:tcBorders>
              <w:right w:val="single" w:sz="8" w:color="auto"/>
            </w:tcBorders>
          </w:tcPr>
          <w:p>
            <w:pPr>
              <w:spacing w:after="0"/>
              <w:rPr>
                <w:sz w:val="20"/>
                <w:szCs w:val="20"/>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22</w:t>
            </w:r>
          </w:p>
        </w:tc>
        <w:tc>
          <w:tcPr>
            <w:tcW w:w="160" w:type="dxa"/>
            <w:vAlign w:val="bottom"/>
            <w:tcBorders>
              <w:right w:val="single" w:sz="8" w:color="auto"/>
            </w:tcBorders>
          </w:tcPr>
          <w:p>
            <w:pPr>
              <w:spacing w:after="0"/>
              <w:rPr>
                <w:sz w:val="24"/>
                <w:szCs w:val="24"/>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3"/>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23</w:t>
            </w:r>
          </w:p>
        </w:tc>
        <w:tc>
          <w:tcPr>
            <w:tcW w:w="160" w:type="dxa"/>
            <w:vAlign w:val="bottom"/>
            <w:tcBorders>
              <w:right w:val="single" w:sz="8" w:color="auto"/>
            </w:tcBorders>
          </w:tcPr>
          <w:p>
            <w:pPr>
              <w:spacing w:after="0"/>
              <w:rPr>
                <w:sz w:val="20"/>
                <w:szCs w:val="20"/>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0.3%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24</w:t>
            </w:r>
          </w:p>
        </w:tc>
        <w:tc>
          <w:tcPr>
            <w:tcW w:w="160" w:type="dxa"/>
            <w:vAlign w:val="bottom"/>
            <w:tcBorders>
              <w:right w:val="single" w:sz="8" w:color="auto"/>
            </w:tcBorders>
          </w:tcPr>
          <w:p>
            <w:pPr>
              <w:spacing w:after="0"/>
              <w:rPr>
                <w:sz w:val="20"/>
                <w:szCs w:val="20"/>
                <w:color w:val="auto"/>
              </w:rPr>
            </w:pPr>
          </w:p>
        </w:tc>
        <w:tc>
          <w:tcPr>
            <w:tcW w:w="924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17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7" w:name="page18"/>
    <w:bookmarkEnd w:id="17"/>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Apollo Total Return Master Fund Enhanced LP</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6"/>
              </w:rPr>
              <w:t>Cayman Islands</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0.3%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PN</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18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8" w:name="page19"/>
    <w:bookmarkEnd w:id="18"/>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Apollo Total Return Enhanced Management LLC</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109,782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0.3%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19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9" w:name="page20"/>
    <w:bookmarkEnd w:id="19"/>
    <w:p>
      <w:pPr>
        <w:jc w:val="right"/>
        <w:ind w:right="93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43459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34590" cy="411480"/>
                    </a:xfrm>
                    <a:prstGeom prst="rect">
                      <a:avLst/>
                    </a:prstGeom>
                    <a:noFill/>
                  </pic:spPr>
                </pic:pic>
              </a:graphicData>
            </a:graphic>
          </wp:anchor>
        </w:drawing>
        <w:t>CUSIP No. 18539C105</w:t>
      </w:r>
    </w:p>
    <w:p>
      <w:pPr>
        <w:spacing w:after="0" w:line="39" w:lineRule="exact"/>
        <w:rPr>
          <w:sz w:val="20"/>
          <w:szCs w:val="20"/>
          <w:color w:val="auto"/>
        </w:rPr>
      </w:pPr>
    </w:p>
    <w:p>
      <w:pPr>
        <w:jc w:val="right"/>
        <w:ind w:right="9380"/>
        <w:spacing w:after="0"/>
        <w:rPr>
          <w:sz w:val="20"/>
          <w:szCs w:val="20"/>
          <w:color w:val="auto"/>
        </w:rPr>
      </w:pPr>
      <w:r>
        <w:rPr>
          <w:rFonts w:ascii="Arial" w:cs="Arial" w:eastAsia="Arial" w:hAnsi="Arial"/>
          <w:sz w:val="18"/>
          <w:szCs w:val="18"/>
          <w:b w:val="1"/>
          <w:bCs w:val="1"/>
          <w:color w:val="auto"/>
        </w:rPr>
        <w:t>18539C204</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440" w:type="dxa"/>
            <w:vAlign w:val="bottom"/>
            <w:tcBorders>
              <w:top w:val="single" w:sz="8" w:color="auto"/>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1</w:t>
            </w:r>
          </w:p>
        </w:tc>
        <w:tc>
          <w:tcPr>
            <w:tcW w:w="160" w:type="dxa"/>
            <w:vAlign w:val="bottom"/>
            <w:tcBorders>
              <w:top w:val="single" w:sz="8" w:color="auto"/>
              <w:right w:val="single" w:sz="8" w:color="auto"/>
            </w:tcBorders>
          </w:tcPr>
          <w:p>
            <w:pPr>
              <w:spacing w:after="0"/>
              <w:rPr>
                <w:sz w:val="21"/>
                <w:szCs w:val="21"/>
                <w:color w:val="auto"/>
              </w:rPr>
            </w:pPr>
          </w:p>
        </w:tc>
        <w:tc>
          <w:tcPr>
            <w:tcW w:w="9240" w:type="dxa"/>
            <w:vAlign w:val="bottom"/>
            <w:tcBorders>
              <w:top w:val="single" w:sz="8" w:color="auto"/>
            </w:tcBorders>
            <w:gridSpan w:val="4"/>
          </w:tcPr>
          <w:p>
            <w:pPr>
              <w:ind w:left="60"/>
              <w:spacing w:after="0"/>
              <w:rPr>
                <w:sz w:val="20"/>
                <w:szCs w:val="20"/>
                <w:color w:val="auto"/>
              </w:rPr>
            </w:pPr>
            <w:r>
              <w:rPr>
                <w:rFonts w:ascii="Arial" w:cs="Arial" w:eastAsia="Arial" w:hAnsi="Arial"/>
                <w:sz w:val="18"/>
                <w:szCs w:val="18"/>
                <w:color w:val="auto"/>
              </w:rPr>
              <w:t>NAME OF REPORTING PERSONS</w:t>
            </w:r>
          </w:p>
        </w:tc>
        <w:tc>
          <w:tcPr>
            <w:tcW w:w="14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I.R.S. IDENTIFICATION NOS. OF ABOVE PERSONS (ENTITIES ONLY)</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Apollo Credit Management, LLC</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2</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1400" w:type="dxa"/>
            <w:vAlign w:val="bottom"/>
            <w:tcBorders>
              <w:right w:val="single" w:sz="8" w:color="auto"/>
            </w:tcBorders>
          </w:tcPr>
          <w:p>
            <w:pPr>
              <w:jc w:val="center"/>
              <w:ind w:left="510"/>
              <w:spacing w:after="0" w:line="207" w:lineRule="exact"/>
              <w:rPr>
                <w:sz w:val="20"/>
                <w:szCs w:val="20"/>
                <w:color w:val="auto"/>
              </w:rPr>
            </w:pPr>
            <w:r>
              <w:rPr>
                <w:rFonts w:ascii="Arial" w:cs="Arial" w:eastAsia="Arial" w:hAnsi="Arial"/>
                <w:sz w:val="18"/>
                <w:szCs w:val="18"/>
                <w:color w:val="auto"/>
                <w:w w:val="88"/>
              </w:rPr>
              <w:t xml:space="preserve">(a) </w:t>
            </w: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6"/>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ind w:left="490"/>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40"/>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3</w:t>
            </w:r>
          </w:p>
        </w:tc>
        <w:tc>
          <w:tcPr>
            <w:tcW w:w="160" w:type="dxa"/>
            <w:vAlign w:val="bottom"/>
            <w:tcBorders>
              <w:right w:val="single" w:sz="8" w:color="auto"/>
            </w:tcBorders>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3"/>
              </w:rPr>
              <w:t>SEC USE ONLY</w:t>
            </w:r>
          </w:p>
        </w:tc>
        <w:tc>
          <w:tcPr>
            <w:tcW w:w="36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0" w:type="dxa"/>
            <w:vAlign w:val="bottom"/>
            <w:tcBorders>
              <w:left w:val="single" w:sz="8" w:color="auto"/>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CITIZENSHIP OR PLACE OF ORGANIZATION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5</w:t>
            </w:r>
          </w:p>
        </w:tc>
        <w:tc>
          <w:tcPr>
            <w:tcW w:w="756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6</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7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560" w:type="dxa"/>
            <w:vAlign w:val="bottom"/>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1"/>
              </w:rPr>
              <w:t>SHARES</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11,232 shares of Class A Common Stock</w:t>
            </w: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7560" w:type="dxa"/>
            <w:vAlign w:val="bottom"/>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20" w:type="dxa"/>
            <w:vAlign w:val="bottom"/>
            <w:tcBorders>
              <w:left w:val="single" w:sz="8" w:color="auto"/>
              <w:right w:val="single" w:sz="8" w:color="auto"/>
            </w:tcBorders>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560" w:type="dxa"/>
            <w:vAlign w:val="bottom"/>
            <w:vMerge w:val="continue"/>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right w:val="single" w:sz="8" w:color="auto"/>
            </w:tcBorders>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170"/>
              <w:spacing w:after="0"/>
              <w:rPr>
                <w:sz w:val="20"/>
                <w:szCs w:val="20"/>
                <w:color w:val="auto"/>
              </w:rPr>
            </w:pPr>
            <w:r>
              <w:rPr>
                <w:rFonts w:ascii="Arial" w:cs="Arial" w:eastAsia="Arial" w:hAnsi="Arial"/>
                <w:sz w:val="18"/>
                <w:szCs w:val="18"/>
                <w:b w:val="1"/>
                <w:bCs w:val="1"/>
                <w:color w:val="auto"/>
                <w:w w:val="79"/>
              </w:rPr>
              <w:t>7</w:t>
            </w:r>
          </w:p>
        </w:tc>
        <w:tc>
          <w:tcPr>
            <w:tcW w:w="756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1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7560" w:type="dxa"/>
            <w:vAlign w:val="bottom"/>
            <w:vMerge w:val="continue"/>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720" w:type="dxa"/>
            <w:vAlign w:val="bottom"/>
            <w:tcBorders>
              <w:left w:val="single" w:sz="8" w:color="auto"/>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7560" w:type="dxa"/>
            <w:vAlign w:val="bottom"/>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7560" w:type="dxa"/>
            <w:vAlign w:val="bottom"/>
            <w:tcBorders>
              <w:bottom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8</w:t>
            </w:r>
          </w:p>
        </w:tc>
        <w:tc>
          <w:tcPr>
            <w:tcW w:w="756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11,232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7560" w:type="dxa"/>
            <w:vAlign w:val="bottom"/>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11,232 shares of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 shares of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400" w:type="dxa"/>
            <w:vAlign w:val="bottom"/>
            <w:tcBorders>
              <w:right w:val="single" w:sz="8" w:color="auto"/>
            </w:tcBorders>
          </w:tcPr>
          <w:p>
            <w:pPr>
              <w:jc w:val="center"/>
              <w:ind w:left="5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9240" w:type="dxa"/>
            <w:vAlign w:val="bottom"/>
            <w:tcBorders>
              <w:bottom w:val="single" w:sz="8" w:color="auto"/>
            </w:tcBorders>
            <w:gridSpan w:val="4"/>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11</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0.1% of outstanding Class A Common Stock</w:t>
            </w: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0.0% of outstanding Class C Common Stock</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12</w:t>
            </w:r>
          </w:p>
        </w:tc>
        <w:tc>
          <w:tcPr>
            <w:tcW w:w="160" w:type="dxa"/>
            <w:vAlign w:val="bottom"/>
            <w:tcBorders>
              <w:right w:val="single" w:sz="8" w:color="auto"/>
            </w:tcBorders>
          </w:tcPr>
          <w:p>
            <w:pPr>
              <w:spacing w:after="0"/>
              <w:rPr>
                <w:sz w:val="20"/>
                <w:szCs w:val="20"/>
                <w:color w:val="auto"/>
              </w:rPr>
            </w:pPr>
          </w:p>
        </w:tc>
        <w:tc>
          <w:tcPr>
            <w:tcW w:w="9240" w:type="dxa"/>
            <w:vAlign w:val="bottom"/>
            <w:gridSpan w:val="4"/>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OO</w:t>
            </w:r>
          </w:p>
        </w:tc>
        <w:tc>
          <w:tcPr>
            <w:tcW w:w="3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2840"/>
              <w:spacing w:after="0"/>
              <w:rPr>
                <w:sz w:val="20"/>
                <w:szCs w:val="20"/>
                <w:color w:val="auto"/>
              </w:rPr>
            </w:pPr>
            <w:r>
              <w:rPr>
                <w:rFonts w:ascii="Arial" w:cs="Arial" w:eastAsia="Arial" w:hAnsi="Arial"/>
                <w:sz w:val="18"/>
                <w:szCs w:val="18"/>
                <w:color w:val="auto"/>
              </w:rPr>
              <w:t>Page 20 of 51</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Capital Credit Management,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11,232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11,232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11,232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21"/>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Rounds to less than 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SA Management,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23"/>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Rounds to less than 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346"/>
        </w:trPr>
        <w:tc>
          <w:tcPr>
            <w:tcW w:w="2000" w:type="dxa"/>
            <w:vAlign w:val="bottom"/>
            <w:tcBorders>
              <w:top w:val="single" w:sz="8" w:color="auto"/>
              <w:lef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CUSIP No.  18539C105</w:t>
            </w:r>
          </w:p>
        </w:tc>
        <w:tc>
          <w:tcPr>
            <w:tcW w:w="96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b w:val="1"/>
                <w:bCs w:val="1"/>
                <w:color w:val="auto"/>
                <w:w w:val="94"/>
              </w:rPr>
              <w:t>18539C204</w:t>
            </w:r>
          </w:p>
        </w:tc>
        <w:tc>
          <w:tcPr>
            <w:tcW w:w="9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Apollo Chiron Credit Fund, 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Cayman Islands</w:t>
            </w: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96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96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96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-3677285</wp:posOffset>
            </wp:positionV>
            <wp:extent cx="7132320" cy="5871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25"/>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Chiron Management,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-3677285</wp:posOffset>
            </wp:positionV>
            <wp:extent cx="7132320" cy="5871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27"/>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tbl>
      <w:tblPr>
        <w:tblLayout w:type="fixed"/>
        <w:tblInd w:w="10" w:type="dxa"/>
        <w:tblCellMar>
          <w:top w:w="0" w:type="dxa"/>
          <w:left w:w="0" w:type="dxa"/>
          <w:bottom w:w="0" w:type="dxa"/>
          <w:right w:w="0" w:type="dxa"/>
        </w:tblCellMar>
      </w:tblPr>
      <w:tr>
        <w:trPr>
          <w:trHeight w:val="346"/>
        </w:trPr>
        <w:tc>
          <w:tcPr>
            <w:tcW w:w="2000" w:type="dxa"/>
            <w:vAlign w:val="bottom"/>
            <w:tcBorders>
              <w:top w:val="single" w:sz="8" w:color="auto"/>
              <w:lef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CUSIP No.  18539C105</w:t>
            </w:r>
          </w:p>
        </w:tc>
        <w:tc>
          <w:tcPr>
            <w:tcW w:w="96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b w:val="1"/>
                <w:bCs w:val="1"/>
                <w:color w:val="auto"/>
                <w:w w:val="94"/>
              </w:rPr>
              <w:t>18539C204</w:t>
            </w:r>
          </w:p>
        </w:tc>
        <w:tc>
          <w:tcPr>
            <w:tcW w:w="9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Apollo Oasis Partners, 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Cayman Islands</w:t>
            </w: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96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96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96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-3677285</wp:posOffset>
            </wp:positionV>
            <wp:extent cx="7132320" cy="5871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29"/>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Oasis Management,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-3677285</wp:posOffset>
            </wp:positionV>
            <wp:extent cx="7132320" cy="5872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58724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31"/>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26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Arrowhead Management,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-3677285</wp:posOffset>
            </wp:positionV>
            <wp:extent cx="7132320" cy="5872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58724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33"/>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346"/>
        </w:trPr>
        <w:tc>
          <w:tcPr>
            <w:tcW w:w="2000" w:type="dxa"/>
            <w:vAlign w:val="bottom"/>
            <w:tcBorders>
              <w:top w:val="single" w:sz="8" w:color="auto"/>
              <w:lef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CUSIP No.  18539C105</w:t>
            </w:r>
          </w:p>
        </w:tc>
        <w:tc>
          <w:tcPr>
            <w:tcW w:w="96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b w:val="1"/>
                <w:bCs w:val="1"/>
                <w:color w:val="auto"/>
                <w:w w:val="94"/>
              </w:rPr>
              <w:t>18539C204</w:t>
            </w:r>
          </w:p>
        </w:tc>
        <w:tc>
          <w:tcPr>
            <w:tcW w:w="96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Apollo Management International LLP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United Kingdom</w:t>
            </w: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96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96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96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96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96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96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2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58724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35"/>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w w:val="97"/>
              </w:rPr>
              <w:t>AMI (Holdings), LLC</w:t>
            </w:r>
          </w:p>
        </w:tc>
        <w:tc>
          <w:tcPr>
            <w:tcW w:w="90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2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58724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37"/>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International Management, 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2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58724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39"/>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International Management GP,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0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41"/>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0.0%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Capital Management, 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1,332,524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1,332,524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1,332,524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43"/>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3.9%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Capital Management GP,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1,332,524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1,332,524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1,332,524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45"/>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3.9%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Management Holdings, L.P.</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1,332,524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1,332,524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1,332,524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47"/>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3.9%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34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346"/>
        </w:trPr>
        <w:tc>
          <w:tcPr>
            <w:tcW w:w="2220" w:type="dxa"/>
            <w:vAlign w:val="bottom"/>
            <w:tcBorders>
              <w:top w:val="single" w:sz="8" w:color="auto"/>
              <w:left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6"/>
              </w:rPr>
              <w:t>CUSIP No.  18539C105</w:t>
            </w:r>
          </w:p>
        </w:tc>
        <w:tc>
          <w:tcPr>
            <w:tcW w:w="740" w:type="dxa"/>
            <w:vAlign w:val="bottom"/>
            <w:tcBorders>
              <w:top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7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00" w:type="dxa"/>
            <w:vAlign w:val="bottom"/>
            <w:tcBorders>
              <w:left w:val="single" w:sz="8" w:color="auto"/>
            </w:tcBorders>
          </w:tcPr>
          <w:p>
            <w:pPr>
              <w:spacing w:after="0"/>
              <w:rPr>
                <w:sz w:val="20"/>
                <w:szCs w:val="20"/>
                <w:color w:val="auto"/>
              </w:rPr>
            </w:pPr>
          </w:p>
        </w:tc>
        <w:tc>
          <w:tcPr>
            <w:tcW w:w="1520" w:type="dxa"/>
            <w:vAlign w:val="bottom"/>
            <w:gridSpan w:val="3"/>
          </w:tcPr>
          <w:p>
            <w:pPr>
              <w:ind w:left="380"/>
              <w:spacing w:after="0"/>
              <w:rPr>
                <w:sz w:val="20"/>
                <w:szCs w:val="20"/>
                <w:color w:val="auto"/>
              </w:rPr>
            </w:pPr>
            <w:r>
              <w:rPr>
                <w:rFonts w:ascii="Arial" w:cs="Arial" w:eastAsia="Arial" w:hAnsi="Arial"/>
                <w:sz w:val="18"/>
                <w:szCs w:val="18"/>
                <w:b w:val="1"/>
                <w:bCs w:val="1"/>
                <w:color w:val="auto"/>
              </w:rPr>
              <w:t>18539C204</w:t>
            </w:r>
          </w:p>
        </w:tc>
        <w:tc>
          <w:tcPr>
            <w:tcW w:w="74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0" w:type="dxa"/>
            <w:vAlign w:val="bottom"/>
            <w:tcBorders>
              <w:bottom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70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Apollo Management Holdings GP, LLC</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7"/>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4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80" w:type="dxa"/>
            <w:vAlign w:val="bottom"/>
          </w:tcPr>
          <w:p>
            <w:pPr>
              <w:ind w:left="59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7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59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540" w:type="dxa"/>
            <w:vAlign w:val="bottom"/>
            <w:tcBorders>
              <w:right w:val="single" w:sz="8" w:color="auto"/>
            </w:tcBorders>
          </w:tcPr>
          <w:p>
            <w:pPr>
              <w:spacing w:after="0"/>
              <w:rPr>
                <w:sz w:val="20"/>
                <w:szCs w:val="20"/>
                <w:color w:val="auto"/>
              </w:rPr>
            </w:pP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700" w:type="dxa"/>
            <w:vAlign w:val="bottom"/>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10000" w:type="dxa"/>
            <w:vAlign w:val="bottom"/>
            <w:tcBorders>
              <w:bottom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43"/>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40" w:type="dxa"/>
            <w:vAlign w:val="bottom"/>
            <w:tcBorders>
              <w:righ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Borders>
              <w:right w:val="single" w:sz="8" w:color="auto"/>
            </w:tcBorders>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5</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90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000" w:type="dxa"/>
            <w:vAlign w:val="bottom"/>
            <w:tcBorders>
              <w:right w:val="single" w:sz="8" w:color="auto"/>
            </w:tcBorders>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1,332,524 shares of Class A Common Stock</w:t>
            </w:r>
          </w:p>
        </w:tc>
        <w:tc>
          <w:tcPr>
            <w:tcW w:w="0" w:type="dxa"/>
            <w:vAlign w:val="bottom"/>
          </w:tcPr>
          <w:p>
            <w:pPr>
              <w:spacing w:after="0"/>
              <w:rPr>
                <w:sz w:val="1"/>
                <w:szCs w:val="1"/>
                <w:color w:val="auto"/>
              </w:rPr>
            </w:pPr>
          </w:p>
        </w:tc>
      </w:tr>
      <w:tr>
        <w:trPr>
          <w:trHeight w:val="175"/>
        </w:trPr>
        <w:tc>
          <w:tcPr>
            <w:tcW w:w="2000" w:type="dxa"/>
            <w:vAlign w:val="bottom"/>
            <w:tcBorders>
              <w:right w:val="single" w:sz="8" w:color="auto"/>
            </w:tcBorders>
            <w:gridSpan w:val="3"/>
          </w:tcPr>
          <w:p>
            <w:pPr>
              <w:jc w:val="center"/>
              <w:spacing w:after="0" w:line="175" w:lineRule="exact"/>
              <w:rPr>
                <w:sz w:val="20"/>
                <w:szCs w:val="20"/>
                <w:color w:val="auto"/>
              </w:rPr>
            </w:pPr>
            <w:r>
              <w:rPr>
                <w:rFonts w:ascii="Arial" w:cs="Arial" w:eastAsia="Arial" w:hAnsi="Arial"/>
                <w:sz w:val="18"/>
                <w:szCs w:val="18"/>
                <w:color w:val="auto"/>
              </w:rPr>
              <w:t>BENEFICIALLY</w:t>
            </w:r>
          </w:p>
        </w:tc>
        <w:tc>
          <w:tcPr>
            <w:tcW w:w="2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95"/>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 EACH</w:t>
            </w:r>
          </w:p>
        </w:tc>
        <w:tc>
          <w:tcPr>
            <w:tcW w:w="2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8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00" w:type="dxa"/>
            <w:vAlign w:val="bottom"/>
            <w:tcBorders>
              <w:right w:val="single" w:sz="8" w:color="auto"/>
            </w:tcBorders>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00" w:type="dxa"/>
            <w:vAlign w:val="bottom"/>
            <w:tcBorders>
              <w:right w:val="single" w:sz="8" w:color="auto"/>
            </w:tcBorders>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28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200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1"/>
              </w:rPr>
              <w:t>REPORTING PERSON</w:t>
            </w:r>
          </w:p>
        </w:tc>
        <w:tc>
          <w:tcPr>
            <w:tcW w:w="220" w:type="dxa"/>
            <w:vAlign w:val="bottom"/>
          </w:tcPr>
          <w:p>
            <w:pPr>
              <w:spacing w:after="0"/>
              <w:rPr>
                <w:sz w:val="14"/>
                <w:szCs w:val="14"/>
                <w:color w:val="auto"/>
              </w:rPr>
            </w:pPr>
          </w:p>
        </w:tc>
        <w:tc>
          <w:tcPr>
            <w:tcW w:w="740" w:type="dxa"/>
            <w:vAlign w:val="bottom"/>
            <w:tcBorders>
              <w:right w:val="single" w:sz="8" w:color="auto"/>
            </w:tcBorders>
            <w:vMerge w:val="restart"/>
          </w:tcPr>
          <w:p>
            <w:pPr>
              <w:jc w:val="right"/>
              <w:ind w:right="350"/>
              <w:spacing w:after="0"/>
              <w:rPr>
                <w:sz w:val="20"/>
                <w:szCs w:val="20"/>
                <w:color w:val="auto"/>
              </w:rPr>
            </w:pPr>
            <w:r>
              <w:rPr>
                <w:rFonts w:ascii="Arial" w:cs="Arial" w:eastAsia="Arial" w:hAnsi="Arial"/>
                <w:sz w:val="18"/>
                <w:szCs w:val="18"/>
                <w:b w:val="1"/>
                <w:bCs w:val="1"/>
                <w:color w:val="auto"/>
              </w:rPr>
              <w:t>7</w:t>
            </w:r>
          </w:p>
        </w:tc>
        <w:tc>
          <w:tcPr>
            <w:tcW w:w="8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000" w:type="dxa"/>
            <w:vAlign w:val="bottom"/>
            <w:tcBorders>
              <w:right w:val="single" w:sz="8" w:color="auto"/>
            </w:tcBorders>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900" w:type="dxa"/>
            <w:vAlign w:val="bottom"/>
          </w:tcPr>
          <w:p>
            <w:pPr>
              <w:spacing w:after="0"/>
              <w:rPr>
                <w:sz w:val="4"/>
                <w:szCs w:val="4"/>
                <w:color w:val="auto"/>
              </w:rPr>
            </w:pPr>
          </w:p>
        </w:tc>
        <w:tc>
          <w:tcPr>
            <w:tcW w:w="7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700" w:type="dxa"/>
            <w:vAlign w:val="bottom"/>
          </w:tcPr>
          <w:p>
            <w:pPr>
              <w:spacing w:after="0"/>
              <w:rPr>
                <w:sz w:val="7"/>
                <w:szCs w:val="7"/>
                <w:color w:val="auto"/>
              </w:rPr>
            </w:pPr>
          </w:p>
        </w:tc>
        <w:tc>
          <w:tcPr>
            <w:tcW w:w="1300" w:type="dxa"/>
            <w:vAlign w:val="bottom"/>
            <w:tcBorders>
              <w:right w:val="single" w:sz="8" w:color="auto"/>
            </w:tcBorders>
            <w:gridSpan w:val="2"/>
            <w:vMerge w:val="restart"/>
          </w:tcPr>
          <w:p>
            <w:pPr>
              <w:jc w:val="center"/>
              <w:ind w:right="610"/>
              <w:spacing w:after="0"/>
              <w:rPr>
                <w:sz w:val="20"/>
                <w:szCs w:val="20"/>
                <w:color w:val="auto"/>
              </w:rPr>
            </w:pPr>
            <w:r>
              <w:rPr>
                <w:rFonts w:ascii="Arial" w:cs="Arial" w:eastAsia="Arial" w:hAnsi="Arial"/>
                <w:sz w:val="18"/>
                <w:szCs w:val="18"/>
                <w:color w:val="auto"/>
              </w:rPr>
              <w:t>WITH:</w:t>
            </w:r>
          </w:p>
        </w:tc>
        <w:tc>
          <w:tcPr>
            <w:tcW w:w="220" w:type="dxa"/>
            <w:vAlign w:val="bottom"/>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7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56"/>
        </w:trPr>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Borders>
              <w:right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8</w:t>
            </w: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1,332,524 shares of Class A Common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8280" w:type="dxa"/>
            <w:vAlign w:val="bottom"/>
            <w:gridSpan w:val="2"/>
          </w:tcPr>
          <w:p>
            <w:pPr>
              <w:ind w:left="80"/>
              <w:spacing w:after="0"/>
              <w:rPr>
                <w:sz w:val="20"/>
                <w:szCs w:val="20"/>
                <w:color w:val="auto"/>
              </w:rPr>
            </w:pPr>
            <w:r>
              <w:rPr>
                <w:rFonts w:ascii="Arial" w:cs="Arial" w:eastAsia="Arial" w:hAnsi="Arial"/>
                <w:sz w:val="18"/>
                <w:szCs w:val="18"/>
                <w:color w:val="auto"/>
              </w:rPr>
              <w:t>0 shares of Class C Common Stock</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5871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63" w:lineRule="exact"/>
        <w:rPr>
          <w:sz w:val="20"/>
          <w:szCs w:val="20"/>
          <w:color w:val="auto"/>
        </w:rPr>
      </w:pPr>
    </w:p>
    <w:p>
      <w:pPr>
        <w:ind w:left="1340" w:hanging="763"/>
        <w:spacing w:after="0"/>
        <w:tabs>
          <w:tab w:leader="none" w:pos="134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1,332,524 shares of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 shares of Class C Common Stock</w:t>
      </w:r>
    </w:p>
    <w:p>
      <w:pPr>
        <w:spacing w:after="0" w:line="30" w:lineRule="exact"/>
        <w:rPr>
          <w:sz w:val="20"/>
          <w:szCs w:val="20"/>
          <w:color w:val="auto"/>
        </w:rPr>
      </w:pPr>
    </w:p>
    <w:p>
      <w:pPr>
        <w:ind w:left="1340"/>
        <w:spacing w:after="0" w:line="207" w:lineRule="exact"/>
        <w:tabs>
          <w:tab w:leader="none" w:pos="976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MS PGothic" w:cs="MS PGothic" w:eastAsia="MS PGothic" w:hAnsi="MS PGothic"/>
          <w:sz w:val="16"/>
          <w:szCs w:val="16"/>
          <w:color w:val="auto"/>
        </w:rPr>
        <w:t>☐</w:t>
      </w:r>
    </w:p>
    <w:p>
      <w:pPr>
        <w:ind w:left="1340" w:hanging="808"/>
        <w:spacing w:after="0" w:line="183" w:lineRule="auto"/>
        <w:tabs>
          <w:tab w:leader="none" w:pos="1340" w:val="left"/>
        </w:tabs>
        <w:numPr>
          <w:ilvl w:val="0"/>
          <w:numId w:val="49"/>
        </w:numPr>
        <w:rPr>
          <w:rFonts w:ascii="Arial" w:cs="Arial" w:eastAsia="Arial" w:hAnsi="Arial"/>
          <w:sz w:val="31"/>
          <w:szCs w:val="31"/>
          <w:b w:val="1"/>
          <w:bCs w:val="1"/>
          <w:color w:val="auto"/>
          <w:vertAlign w:val="subscript"/>
        </w:rPr>
      </w:pPr>
      <w:r>
        <w:rPr>
          <w:rFonts w:ascii="Arial" w:cs="Arial" w:eastAsia="Arial" w:hAnsi="Arial"/>
          <w:sz w:val="16"/>
          <w:szCs w:val="16"/>
          <w:color w:val="auto"/>
        </w:rPr>
        <w:t>Instructions)</w:t>
      </w:r>
    </w:p>
    <w:p>
      <w:pPr>
        <w:spacing w:after="0" w:line="200" w:lineRule="exact"/>
        <w:rPr>
          <w:rFonts w:ascii="Arial" w:cs="Arial" w:eastAsia="Arial" w:hAnsi="Arial"/>
          <w:sz w:val="31"/>
          <w:szCs w:val="31"/>
          <w:b w:val="1"/>
          <w:bCs w:val="1"/>
          <w:color w:val="auto"/>
          <w:vertAlign w:val="subscript"/>
        </w:rPr>
      </w:pPr>
    </w:p>
    <w:p>
      <w:pPr>
        <w:spacing w:after="0" w:line="285" w:lineRule="exact"/>
        <w:rPr>
          <w:rFonts w:ascii="Arial" w:cs="Arial" w:eastAsia="Arial" w:hAnsi="Arial"/>
          <w:sz w:val="31"/>
          <w:szCs w:val="31"/>
          <w:b w:val="1"/>
          <w:bCs w:val="1"/>
          <w:color w:val="auto"/>
          <w:vertAlign w:val="subscript"/>
        </w:rPr>
      </w:pPr>
    </w:p>
    <w:p>
      <w:pPr>
        <w:ind w:left="1340"/>
        <w:spacing w:after="0"/>
        <w:rPr>
          <w:rFonts w:ascii="Arial" w:cs="Arial" w:eastAsia="Arial" w:hAnsi="Arial"/>
          <w:sz w:val="31"/>
          <w:szCs w:val="31"/>
          <w:b w:val="1"/>
          <w:bCs w:val="1"/>
          <w:color w:val="auto"/>
          <w:vertAlign w:val="subscript"/>
        </w:rPr>
      </w:pPr>
      <w:r>
        <w:rPr>
          <w:rFonts w:ascii="Arial" w:cs="Arial" w:eastAsia="Arial" w:hAnsi="Arial"/>
          <w:sz w:val="18"/>
          <w:szCs w:val="18"/>
          <w:color w:val="auto"/>
        </w:rPr>
        <w:t>PERCENT OF CLASS REPRESENTED BY AMOUNT IN ROW (9)</w:t>
      </w:r>
    </w:p>
    <w:p>
      <w:pPr>
        <w:spacing w:after="0" w:line="63" w:lineRule="exact"/>
        <w:rPr>
          <w:rFonts w:ascii="Arial" w:cs="Arial" w:eastAsia="Arial" w:hAnsi="Arial"/>
          <w:sz w:val="31"/>
          <w:szCs w:val="31"/>
          <w:b w:val="1"/>
          <w:bCs w:val="1"/>
          <w:color w:val="auto"/>
          <w:vertAlign w:val="subscript"/>
        </w:rPr>
      </w:pPr>
    </w:p>
    <w:p>
      <w:pPr>
        <w:ind w:left="1340" w:hanging="803"/>
        <w:spacing w:after="0"/>
        <w:tabs>
          <w:tab w:leader="none" w:pos="13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3.9% of outstanding Class A Common Stock</w:t>
      </w:r>
    </w:p>
    <w:p>
      <w:pPr>
        <w:spacing w:after="0" w:line="2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0.0% of outstanding Class C Common Stock</w:t>
      </w:r>
    </w:p>
    <w:p>
      <w:pPr>
        <w:spacing w:after="0" w:line="62"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12</w:t>
      </w:r>
    </w:p>
    <w:p>
      <w:pPr>
        <w:ind w:left="1340"/>
        <w:spacing w:after="0"/>
        <w:rPr>
          <w:sz w:val="20"/>
          <w:szCs w:val="20"/>
          <w:color w:val="auto"/>
        </w:rPr>
      </w:pPr>
      <w:r>
        <w:rPr>
          <w:rFonts w:ascii="Arial" w:cs="Arial" w:eastAsia="Arial" w:hAnsi="Arial"/>
          <w:sz w:val="18"/>
          <w:szCs w:val="18"/>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tabs>
          <w:tab w:leader="none" w:pos="64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50" w:lineRule="exact"/>
        <w:rPr>
          <w:sz w:val="20"/>
          <w:szCs w:val="20"/>
          <w:color w:val="auto"/>
        </w:rPr>
      </w:pPr>
    </w:p>
    <w:p>
      <w:pPr>
        <w:sectPr>
          <w:pgSz w:w="11900" w:h="16838" w:orient="portrait"/>
          <w:cols w:equalWidth="0" w:num="2">
            <w:col w:w="580" w:space="720"/>
            <w:col w:w="9940"/>
          </w:cols>
          <w:pgMar w:left="320" w:top="904" w:right="339" w:bottom="1440" w:gutter="0" w:footer="0" w:header="0"/>
        </w:sectPr>
      </w:pPr>
    </w:p>
    <w:p>
      <w:pPr>
        <w:ind w:left="1960"/>
        <w:spacing w:after="0"/>
        <w:rPr>
          <w:sz w:val="20"/>
          <w:szCs w:val="20"/>
          <w:color w:val="auto"/>
        </w:rPr>
      </w:pPr>
      <w:r>
        <w:rPr>
          <w:rFonts w:ascii="Arial" w:cs="Arial" w:eastAsia="Arial" w:hAnsi="Arial"/>
          <w:sz w:val="18"/>
          <w:szCs w:val="18"/>
          <w:color w:val="auto"/>
        </w:rPr>
        <w:t>Clearway Energy, Inc.</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5"/>
          <w:szCs w:val="15"/>
          <w:b w:val="1"/>
          <w:bCs w:val="1"/>
          <w:color w:val="auto"/>
        </w:rPr>
        <w:t>(b)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804 Carnegie Center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Princeton, New Jersey 08540</w:t>
      </w:r>
    </w:p>
    <w:p>
      <w:pPr>
        <w:sectPr>
          <w:pgSz w:w="11900" w:h="16838" w:orient="portrait"/>
          <w:cols w:equalWidth="0" w:num="1">
            <w:col w:w="11240"/>
          </w:cols>
          <w:pgMar w:left="320" w:top="904" w:right="339"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Name of Person Filing</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statement is filed by (i) Apollo PPF Credit Strategies, LLC (“PPF Credit Strategies”), (ii) Apollo Credit Strategies Master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Fund Ltd. (“Credit Strategies”), (iii) Apollo ST Fund Management LLC (“ST Management”), (iv) Apollo ST Operating LP (“ST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Operating”), (v) Apollo ST Capital LLC (“ST Capital”), (vi) ST Management Holdings, LLC (“ST Management Holdings”),</w:t>
      </w:r>
    </w:p>
    <w:p>
      <w:pPr>
        <w:spacing w:after="0" w:line="2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jc w:val="both"/>
        <w:ind w:left="1960" w:hanging="8"/>
        <w:spacing w:after="0" w:line="265" w:lineRule="auto"/>
        <w:tabs>
          <w:tab w:leader="none" w:pos="2339"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Apollo A-N Credit Fund (Delaware), L.P. (“A-N Credit”), (viii) Apollo A-N Credit Management, LLC (“A-N Credit Management”), (ix) AP Kent Credit Master Fund, L.P. (“Kent Credit”), (x) AP Kent Management LLC (“Kent Management”),</w:t>
      </w:r>
    </w:p>
    <w:p>
      <w:pPr>
        <w:jc w:val="both"/>
        <w:ind w:left="1960" w:hanging="8"/>
        <w:spacing w:after="0" w:line="265" w:lineRule="auto"/>
        <w:tabs>
          <w:tab w:leader="none" w:pos="227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Apollo Atlas Master Fund, LLC (“Atlas”), (xii) Apollo Atlas Management, LLC (“Atlas Management”), (xiii) Apollo TR Enhanced Levered Yield LLC (“TR Levered Yield”), (xiv) Apollo TR Opportunistic Ltd. (“TR Opportunistic”), (xv) Apollo Total Return Master Fund LP (“TR Master Fund”), (xvi) Apollo Total Return Management LLC (“TR Management”),</w:t>
      </w:r>
    </w:p>
    <w:p>
      <w:pPr>
        <w:jc w:val="both"/>
        <w:ind w:left="1960" w:hanging="8"/>
        <w:spacing w:after="0" w:line="265" w:lineRule="auto"/>
        <w:tabs>
          <w:tab w:leader="none" w:pos="2419"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Apollo Total Return Master Fund Enhanced LP (“TR Enhanced”), (xviii) Apollo Total Return Enhanced Management LLC (“TR Enhanced Management”), (xix) Apollo Credit Management, LLC (“ACM LLC”), (xx) Apollo Capital Credit Management, LLC (“ACCM LLC”), (xxi) Apollo SA Management, LLC (“SA Management”), (xxii) Apollo Chiron Credit Fund, L.P. (“Chiron Credit”), (xxiii) Apollo Chiron Management, LLC (“Chiron Management”), (xxiv) Apollo Oasis Partners, L.P. (“Oasis Partners”), (xxv) Apollo Oasis Management, LLC (“Oasis Management”), (xxvi) Apollo Arrowhead Management, LLC (“Arrowhead Management”), (xxvii) Apollo Management International LLP (“AMI”), (xxviii) AMI (Holdings), LLC (“AMI Holdings”), (xxix) Apollo International Management, L.P. (“International Management”), (xxx) Apollo International Management GP, LLC (“International Management GP”), (xxxi) Apollo Capital Management, L.P. (“Capital Management”),</w:t>
      </w:r>
    </w:p>
    <w:p>
      <w:pPr>
        <w:spacing w:after="0" w:line="1" w:lineRule="exact"/>
        <w:rPr>
          <w:rFonts w:ascii="Arial" w:cs="Arial" w:eastAsia="Arial" w:hAnsi="Arial"/>
          <w:sz w:val="17"/>
          <w:szCs w:val="17"/>
          <w:color w:val="auto"/>
        </w:rPr>
      </w:pPr>
    </w:p>
    <w:p>
      <w:pPr>
        <w:jc w:val="both"/>
        <w:ind w:left="1960" w:hanging="8"/>
        <w:spacing w:after="0" w:line="255" w:lineRule="auto"/>
        <w:tabs>
          <w:tab w:leader="none" w:pos="25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Apollo Capital Management GP, LLC (“Capital Management GP”), (xxxiii) Apollo Management Holdings, L.P. (“Management Holdings”), and (xxxiv) Apollo Management Holdings GP, LLC (“Management Holdings GP”). The foregoing are collectively referred to herein as the “Reporting Persons.”</w:t>
      </w:r>
    </w:p>
    <w:p>
      <w:pPr>
        <w:spacing w:after="0" w:line="190" w:lineRule="exact"/>
        <w:rPr>
          <w:sz w:val="20"/>
          <w:szCs w:val="20"/>
          <w:color w:val="auto"/>
        </w:rPr>
      </w:pPr>
    </w:p>
    <w:p>
      <w:pPr>
        <w:jc w:val="both"/>
        <w:ind w:left="1960"/>
        <w:spacing w:after="0" w:line="255" w:lineRule="auto"/>
        <w:rPr>
          <w:sz w:val="20"/>
          <w:szCs w:val="20"/>
          <w:color w:val="auto"/>
        </w:rPr>
      </w:pPr>
      <w:r>
        <w:rPr>
          <w:rFonts w:ascii="Arial" w:cs="Arial" w:eastAsia="Arial" w:hAnsi="Arial"/>
          <w:sz w:val="18"/>
          <w:szCs w:val="18"/>
          <w:color w:val="auto"/>
        </w:rPr>
        <w:t>PPF Credit Strategies, Credit Strategies, A-N Credit, Kent Credit, Atlas, TR Opportunistic, Chiron Credit and Oasis Partners each hold shares of Class A Common Stock of the Issuer. ST Management serves as the investment manager for Credit Strategies. ST Operating is the sole member of ST Management. The general partner of ST Operating is ST Capital. ST Management Holdings is the sole member of ST Capital. A-N Credit Management serves as the investment manager for A-N Credit. Kent Management serves as the investment manager of Kent Credit. Atlas Management serves as the investment manager of Atlas.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36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6" w:name="page37"/>
    <w:bookmarkEnd w:id="36"/>
    <w:p>
      <w:pPr>
        <w:jc w:val="both"/>
        <w:ind w:left="840"/>
        <w:spacing w:after="0" w:line="263" w:lineRule="auto"/>
        <w:rPr>
          <w:sz w:val="20"/>
          <w:szCs w:val="20"/>
          <w:color w:val="auto"/>
        </w:rPr>
      </w:pPr>
      <w:r>
        <w:rPr>
          <w:rFonts w:ascii="Arial" w:cs="Arial" w:eastAsia="Arial" w:hAnsi="Arial"/>
          <w:sz w:val="18"/>
          <w:szCs w:val="18"/>
          <w:color w:val="auto"/>
        </w:rPr>
        <w:t>TR Master Fund and TR Enhanced are the shareholders of TR Opportunistic. TR Management serves as the investment manager for TR Master Fund and TR Enhanced Management serves as the investment manager for TR Enhanced as well as for TR Levered Yield.</w:t>
      </w:r>
    </w:p>
    <w:p>
      <w:pPr>
        <w:spacing w:after="0" w:line="184" w:lineRule="exact"/>
        <w:rPr>
          <w:sz w:val="20"/>
          <w:szCs w:val="20"/>
          <w:color w:val="auto"/>
        </w:rPr>
      </w:pPr>
    </w:p>
    <w:p>
      <w:pPr>
        <w:jc w:val="both"/>
        <w:ind w:left="840"/>
        <w:spacing w:after="0" w:line="257" w:lineRule="auto"/>
        <w:rPr>
          <w:sz w:val="20"/>
          <w:szCs w:val="20"/>
          <w:color w:val="auto"/>
        </w:rPr>
      </w:pPr>
      <w:r>
        <w:rPr>
          <w:rFonts w:ascii="Arial" w:cs="Arial" w:eastAsia="Arial" w:hAnsi="Arial"/>
          <w:sz w:val="18"/>
          <w:szCs w:val="18"/>
          <w:color w:val="auto"/>
        </w:rPr>
        <w:t>ACM LLC provides investment management services for Franklin K2 Long Short Credit Fund (“Franklin K2”). ACCM LLC is the sole member of ACM LLC. SA Management provides investment management services for (i) Franklin Templeton Investment Funds (“FTIF Franklin”), (ii) Franklin K2 Alternative Strategies Fund (“FASF-Franklin K2”), and (iii) FTIF Franklin K2 Long/Short Credit Fund (“FTIF Franklin K2 Long/Short”). Arrowhead Management provides investment management services to San Bernardino County Employees’ Retirement Association (“SBCERA”).</w:t>
      </w:r>
    </w:p>
    <w:p>
      <w:pPr>
        <w:spacing w:after="0" w:line="188" w:lineRule="exact"/>
        <w:rPr>
          <w:sz w:val="20"/>
          <w:szCs w:val="20"/>
          <w:color w:val="auto"/>
        </w:rPr>
      </w:pPr>
    </w:p>
    <w:p>
      <w:pPr>
        <w:jc w:val="both"/>
        <w:ind w:left="840"/>
        <w:spacing w:after="0" w:line="277" w:lineRule="auto"/>
        <w:rPr>
          <w:sz w:val="20"/>
          <w:szCs w:val="20"/>
          <w:color w:val="auto"/>
        </w:rPr>
      </w:pPr>
      <w:r>
        <w:rPr>
          <w:rFonts w:ascii="Arial" w:cs="Arial" w:eastAsia="Arial" w:hAnsi="Arial"/>
          <w:sz w:val="18"/>
          <w:szCs w:val="18"/>
          <w:color w:val="auto"/>
        </w:rPr>
        <w:t>Chiron Management serves as the investment manager of Chiron Credit. Oasis Management serves as the investment manager of Oasis Partners.</w:t>
      </w:r>
    </w:p>
    <w:p>
      <w:pPr>
        <w:spacing w:after="0" w:line="170" w:lineRule="exact"/>
        <w:rPr>
          <w:sz w:val="20"/>
          <w:szCs w:val="20"/>
          <w:color w:val="auto"/>
        </w:rPr>
      </w:pPr>
    </w:p>
    <w:p>
      <w:pPr>
        <w:jc w:val="both"/>
        <w:ind w:left="840"/>
        <w:spacing w:after="0" w:line="286" w:lineRule="auto"/>
        <w:rPr>
          <w:sz w:val="20"/>
          <w:szCs w:val="20"/>
          <w:color w:val="auto"/>
        </w:rPr>
      </w:pPr>
      <w:r>
        <w:rPr>
          <w:rFonts w:ascii="Arial" w:cs="Arial" w:eastAsia="Arial" w:hAnsi="Arial"/>
          <w:sz w:val="17"/>
          <w:szCs w:val="17"/>
          <w:color w:val="auto"/>
        </w:rPr>
        <w:t>AMI provides investment management services for the Schlumberger UK Common Investment Fund (the “Schlumberger Fund”). AMI Holdings is the majority member of AMI. International Management is the sole member-manager of AMI Holdings. International Management GP serves as the general partner of International Management.</w:t>
      </w:r>
    </w:p>
    <w:p>
      <w:pPr>
        <w:spacing w:after="0" w:line="165" w:lineRule="exact"/>
        <w:rPr>
          <w:sz w:val="20"/>
          <w:szCs w:val="20"/>
          <w:color w:val="auto"/>
        </w:rPr>
      </w:pPr>
    </w:p>
    <w:p>
      <w:pPr>
        <w:jc w:val="both"/>
        <w:ind w:left="840"/>
        <w:spacing w:after="0" w:line="293" w:lineRule="auto"/>
        <w:rPr>
          <w:sz w:val="20"/>
          <w:szCs w:val="20"/>
          <w:color w:val="auto"/>
        </w:rPr>
      </w:pPr>
      <w:r>
        <w:rPr>
          <w:rFonts w:ascii="Arial" w:cs="Arial" w:eastAsia="Arial" w:hAnsi="Arial"/>
          <w:sz w:val="16"/>
          <w:szCs w:val="16"/>
          <w:color w:val="auto"/>
        </w:rPr>
        <w:t>Capital Management serves as the sole member of A-N Credit Management, Kent Management, Atlas Management, ACCM LLC, SA Management, Chiron Management, Oasis Management and Arrowhead Management, and the sole member and manager of ST Management Holdings, TR Management, TR Enhanced Management, and provides investment management services for K2 Apollo Liquid Credit Master Fund Ltd (“K2 Apollo”). Capital Management GP serves as the general partner of Capital Management. Management Holdings serves as the sole member and manager of International Management GP and Capital Management GP, and Management Holdings GP serves as the general partner of Management Holdings.</w:t>
      </w:r>
    </w:p>
    <w:p>
      <w:pPr>
        <w:spacing w:after="0" w:line="160" w:lineRule="exact"/>
        <w:rPr>
          <w:sz w:val="20"/>
          <w:szCs w:val="20"/>
          <w:color w:val="auto"/>
        </w:rPr>
      </w:pPr>
    </w:p>
    <w:p>
      <w:pPr>
        <w:ind w:left="840" w:hanging="656"/>
        <w:spacing w:after="0"/>
        <w:tabs>
          <w:tab w:leader="none" w:pos="8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7" w:lineRule="exact"/>
        <w:rPr>
          <w:rFonts w:ascii="Arial" w:cs="Arial" w:eastAsia="Arial" w:hAnsi="Arial"/>
          <w:sz w:val="18"/>
          <w:szCs w:val="18"/>
          <w:b w:val="1"/>
          <w:bCs w:val="1"/>
          <w:color w:val="auto"/>
        </w:rPr>
      </w:pPr>
    </w:p>
    <w:p>
      <w:pPr>
        <w:jc w:val="both"/>
        <w:ind w:left="8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Credit Strategies, TR Management, TR Opportunistic, TR Master Fund and TR Enhanced is c/o Walkers Corporate Limited, Cayman Corporate Centre, 27 Hospital Road, George Town, Grand Cayman, KY-9008, Cayman Islands.</w:t>
      </w:r>
    </w:p>
    <w:p>
      <w:pPr>
        <w:spacing w:after="0" w:line="189" w:lineRule="exact"/>
        <w:rPr>
          <w:rFonts w:ascii="Arial" w:cs="Arial" w:eastAsia="Arial" w:hAnsi="Arial"/>
          <w:sz w:val="18"/>
          <w:szCs w:val="18"/>
          <w:b w:val="1"/>
          <w:bCs w:val="1"/>
          <w:color w:val="auto"/>
        </w:rPr>
      </w:pPr>
    </w:p>
    <w:p>
      <w:pPr>
        <w:jc w:val="both"/>
        <w:ind w:left="8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PPF Credit Strategies, A-N Credit, Kent Credit, Atlas, TR Levered Yield, Chiron Credit, Chiron Management, Oasis Partners and Oasis Management is One Manhattanville Road, Suite 201, Purchase, New York 10577.</w:t>
      </w:r>
    </w:p>
    <w:p>
      <w:pPr>
        <w:spacing w:after="0" w:line="183" w:lineRule="exact"/>
        <w:rPr>
          <w:rFonts w:ascii="Arial" w:cs="Arial" w:eastAsia="Arial" w:hAnsi="Arial"/>
          <w:sz w:val="18"/>
          <w:szCs w:val="18"/>
          <w:b w:val="1"/>
          <w:bCs w:val="1"/>
          <w:color w:val="auto"/>
        </w:rPr>
      </w:pPr>
    </w:p>
    <w:p>
      <w:pPr>
        <w:jc w:val="both"/>
        <w:ind w:left="840"/>
        <w:spacing w:after="0" w:line="234"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ST Management, ST Operating, ST Capital, ST Management Holdings, A-N Credit Management, Kent Management, Atlas Management, TR Enhanced Management, ACM LLC, ACCM LLC, SA Management, Arrowhead Management, AMI Holdings, International Management, International Management GP, Capital Management, Capital Management GP, Management Holdings and Management Holdings GP is 9 W. 57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43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 New York, New York 10019.</w:t>
      </w:r>
    </w:p>
    <w:p>
      <w:pPr>
        <w:spacing w:after="0" w:line="200" w:lineRule="exact"/>
        <w:rPr>
          <w:sz w:val="20"/>
          <w:szCs w:val="20"/>
          <w:color w:val="auto"/>
        </w:rPr>
      </w:pPr>
    </w:p>
    <w:p>
      <w:pPr>
        <w:spacing w:after="0" w:line="220"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37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 w:name="page38"/>
    <w:bookmarkEnd w:id="37"/>
    <w:p>
      <w:pPr>
        <w:ind w:left="1960"/>
        <w:spacing w:after="0"/>
        <w:rPr>
          <w:sz w:val="20"/>
          <w:szCs w:val="20"/>
          <w:color w:val="auto"/>
        </w:rPr>
      </w:pPr>
      <w:r>
        <w:rPr>
          <w:rFonts w:ascii="Arial" w:cs="Arial" w:eastAsia="Arial" w:hAnsi="Arial"/>
          <w:sz w:val="18"/>
          <w:szCs w:val="18"/>
          <w:color w:val="auto"/>
        </w:rPr>
        <w:t>The address of the principal business office of AMI is 25 St George St, Mayfair, London W1S 1FS, United Kingdom.</w:t>
      </w:r>
    </w:p>
    <w:p>
      <w:pPr>
        <w:spacing w:after="0" w:line="221" w:lineRule="exact"/>
        <w:rPr>
          <w:sz w:val="20"/>
          <w:szCs w:val="20"/>
          <w:color w:val="auto"/>
        </w:rPr>
      </w:pPr>
    </w:p>
    <w:p>
      <w:pPr>
        <w:ind w:left="1960" w:hanging="656"/>
        <w:spacing w:after="0"/>
        <w:tabs>
          <w:tab w:leader="none" w:pos="1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7" w:lineRule="exact"/>
        <w:rPr>
          <w:rFonts w:ascii="Arial" w:cs="Arial" w:eastAsia="Arial" w:hAnsi="Arial"/>
          <w:sz w:val="18"/>
          <w:szCs w:val="18"/>
          <w:b w:val="1"/>
          <w:bCs w:val="1"/>
          <w:color w:val="auto"/>
        </w:rPr>
      </w:pPr>
    </w:p>
    <w:p>
      <w:pPr>
        <w:jc w:val="both"/>
        <w:ind w:left="19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Credit Strategies, ST Management Holdings and TR Opportunistic are exempted companies incorporated in the Cayman Islands with limited liability. ST Operating, A-N Credit, International Management, Capital Management and Management Holdings are each Delaware limited partnerships. Kent Credit, Atlas, TR Master Fund, TR Enhanced, Chiron Credit and Oasis Partners are each exempted limited partnerships registered in the Cayman Islands. PPF Credit Strategies, TR Levered Yield, ST Management, ST Capital, A-N Credit Management, TR Management, TR Enhanced Management, ACM LLC, ACCM LLC, SA Management, Arrowhead Management, Kent Management, Atlas Management, Chiron Management, Oasis Management, AMI Holdings, International Management GP, Capital Management GP, and Management Holdings GP are each Delaware limited liability companies. AMI is a limited liability partnership incorporated in England.</w:t>
      </w:r>
    </w:p>
    <w:p>
      <w:pPr>
        <w:spacing w:after="0" w:line="179" w:lineRule="exact"/>
        <w:rPr>
          <w:rFonts w:ascii="Arial" w:cs="Arial" w:eastAsia="Arial" w:hAnsi="Arial"/>
          <w:sz w:val="18"/>
          <w:szCs w:val="18"/>
          <w:b w:val="1"/>
          <w:bCs w:val="1"/>
          <w:color w:val="auto"/>
        </w:rPr>
      </w:pPr>
    </w:p>
    <w:p>
      <w:pPr>
        <w:ind w:left="1960" w:hanging="656"/>
        <w:spacing w:after="0"/>
        <w:tabs>
          <w:tab w:leader="none" w:pos="1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7" w:lineRule="exact"/>
        <w:rPr>
          <w:rFonts w:ascii="Arial" w:cs="Arial" w:eastAsia="Arial" w:hAnsi="Arial"/>
          <w:sz w:val="18"/>
          <w:szCs w:val="18"/>
          <w:b w:val="1"/>
          <w:bCs w:val="1"/>
          <w:color w:val="auto"/>
        </w:rPr>
      </w:pPr>
    </w:p>
    <w:p>
      <w:pPr>
        <w:ind w:left="196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Class A Common Stock, par value $0.01 per share (the “Class A Common Stock”) Class C Common Stock, par value $0.01 per share (the “Class C Common Stock,” and together with Class A Common Stock, the “Common Stock”)</w:t>
      </w:r>
    </w:p>
    <w:p>
      <w:pPr>
        <w:spacing w:after="0" w:line="157" w:lineRule="exact"/>
        <w:rPr>
          <w:rFonts w:ascii="Arial" w:cs="Arial" w:eastAsia="Arial" w:hAnsi="Arial"/>
          <w:sz w:val="18"/>
          <w:szCs w:val="18"/>
          <w:b w:val="1"/>
          <w:bCs w:val="1"/>
          <w:color w:val="auto"/>
        </w:rPr>
      </w:pPr>
    </w:p>
    <w:p>
      <w:pPr>
        <w:ind w:left="1960" w:hanging="656"/>
        <w:spacing w:after="0"/>
        <w:tabs>
          <w:tab w:leader="none" w:pos="1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7"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18539C105 (Class A Common Stock)</w:t>
      </w:r>
    </w:p>
    <w:p>
      <w:pPr>
        <w:spacing w:after="0" w:line="9" w:lineRule="exact"/>
        <w:rPr>
          <w:rFonts w:ascii="Arial" w:cs="Arial" w:eastAsia="Arial" w:hAnsi="Arial"/>
          <w:sz w:val="18"/>
          <w:szCs w:val="18"/>
          <w:b w:val="1"/>
          <w:bCs w:val="1"/>
          <w:color w:val="auto"/>
        </w:rPr>
      </w:pPr>
    </w:p>
    <w:p>
      <w:pPr>
        <w:ind w:left="1960"/>
        <w:spacing w:after="0"/>
        <w:rPr>
          <w:rFonts w:ascii="Arial" w:cs="Arial" w:eastAsia="Arial" w:hAnsi="Arial"/>
          <w:sz w:val="18"/>
          <w:szCs w:val="18"/>
          <w:b w:val="1"/>
          <w:bCs w:val="1"/>
          <w:color w:val="auto"/>
        </w:rPr>
      </w:pPr>
      <w:r>
        <w:rPr>
          <w:rFonts w:ascii="Arial" w:cs="Arial" w:eastAsia="Arial" w:hAnsi="Arial"/>
          <w:sz w:val="18"/>
          <w:szCs w:val="18"/>
          <w:color w:val="auto"/>
        </w:rPr>
        <w:t>18539C204 (Class C Common Stock)</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1960" w:hanging="656"/>
        <w:spacing w:after="0"/>
        <w:tabs>
          <w:tab w:leader="none" w:pos="19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29"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Class A</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Class C</w:t>
            </w:r>
          </w:p>
        </w:tc>
      </w:tr>
      <w:tr>
        <w:trPr>
          <w:trHeight w:val="230"/>
        </w:trPr>
        <w:tc>
          <w:tcPr>
            <w:tcW w:w="398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Common Stock</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86,792</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Credit Strategies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 Operating</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A-N Credit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49,064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A-N Credit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49,064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38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tbl>
      <w:tblPr>
        <w:tblLayout w:type="fixed"/>
        <w:tblInd w:w="84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Kent Management</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6,537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Atlas</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Atlas Management</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 Levered Yield</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 Opportunistic</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109,782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 Master Fund</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109,782</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 Management</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109,782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TR Enhanced</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109,782</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 Enhanced Management</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109,782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ACM LLC</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11,232</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ACCM LLC</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11,232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SA Management</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Chiron Credit</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Chiron Management</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Oasis Partners</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Oasis Management</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Arrowhead Management</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AMI</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AMI Holdings</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International Management</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Management GP</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Capital Management</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1,332,524</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 GP</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1,332,524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Management Holdings</w:t>
            </w:r>
          </w:p>
        </w:tc>
        <w:tc>
          <w:tcPr>
            <w:tcW w:w="2560" w:type="dxa"/>
            <w:vAlign w:val="bottom"/>
          </w:tcPr>
          <w:p>
            <w:pPr>
              <w:jc w:val="right"/>
              <w:ind w:right="570"/>
              <w:spacing w:after="0"/>
              <w:rPr>
                <w:sz w:val="20"/>
                <w:szCs w:val="20"/>
                <w:color w:val="auto"/>
              </w:rPr>
            </w:pPr>
            <w:r>
              <w:rPr>
                <w:rFonts w:ascii="Arial" w:cs="Arial" w:eastAsia="Arial" w:hAnsi="Arial"/>
                <w:sz w:val="18"/>
                <w:szCs w:val="18"/>
                <w:color w:val="auto"/>
              </w:rPr>
              <w:t>1,332,524</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 GP</w:t>
            </w:r>
          </w:p>
        </w:tc>
        <w:tc>
          <w:tcPr>
            <w:tcW w:w="25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1,332,524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ind w:left="840"/>
        <w:spacing w:after="0" w:line="287" w:lineRule="auto"/>
        <w:rPr>
          <w:sz w:val="20"/>
          <w:szCs w:val="20"/>
          <w:color w:val="auto"/>
        </w:rPr>
      </w:pPr>
      <w:r>
        <w:rPr>
          <w:rFonts w:ascii="Arial" w:cs="Arial" w:eastAsia="Arial" w:hAnsi="Arial"/>
          <w:sz w:val="16"/>
          <w:szCs w:val="16"/>
          <w:color w:val="auto"/>
        </w:rPr>
        <w:t>The number of shares of Common Stock reported as beneficially owned in this Schedule 13G is as of December 31, 2021. The number of shares of Common Stock reported as beneficially owned by ACM LLC and ACCM LLC are held by Franklin K2, for which ACM LLC has the authority to vote and to make investment decisions. The number of shares of Common Stock reported as beneficially owned by SA Management are held by FTIF-Franklin K2, FASF-Franklin K2, and FTIF Franklin K2 Long/Short, for which SA Management has the authority to vote and to make investment decisions. The number of shares reported as beneficially owned by AMI are held by Schlumberger Fund, for which AMI has the authority to vote and to make investment decisions. The number of shares reported as beneficially owned by Capital Management include, among others, 79,119 shares of Class A Common Stock held by K2 Apollo, for which Capital Management has the authority to vote and to make investment decisions. The shares of Common Stock reported as beneficially owned by A-N Credit Management, Kent Management, Atlas Management, ACCM LLC, SA Management, Chiron Management, Oasis Management, Arrowhead Management, ST Management Holdings, TR Management, TR Enhanced Management, are also included in the shares reported as beneficially owned by Capital Management, Capital Management GP, Management Holdings and Management Holdings GP.</w:t>
      </w:r>
    </w:p>
    <w:p>
      <w:pPr>
        <w:spacing w:after="0" w:line="168" w:lineRule="exact"/>
        <w:rPr>
          <w:sz w:val="20"/>
          <w:szCs w:val="20"/>
          <w:color w:val="auto"/>
        </w:rPr>
      </w:pPr>
    </w:p>
    <w:p>
      <w:pPr>
        <w:jc w:val="both"/>
        <w:ind w:left="840"/>
        <w:spacing w:after="0" w:line="289" w:lineRule="auto"/>
        <w:rPr>
          <w:sz w:val="20"/>
          <w:szCs w:val="20"/>
          <w:color w:val="auto"/>
        </w:rPr>
      </w:pPr>
      <w:r>
        <w:rPr>
          <w:rFonts w:ascii="Arial" w:cs="Arial" w:eastAsia="Arial" w:hAnsi="Arial"/>
          <w:sz w:val="16"/>
          <w:szCs w:val="16"/>
          <w:color w:val="auto"/>
        </w:rPr>
        <w:t>PPF Credit Strategies, Credit Strategies, A-N Credit, Kent Credit, Atlas, TR Levered Yield, TR Opportunistic, Chiron Credit and Oasis Partners each disclaims beneficial ownership of all shares of the Common Stock included in this report other than the shares of Common Stock held of record by such Reporting Person, and the filing of this report shall not be construed as an admission that any such person or entity is the beneficial owner of any such securities for purposes of Section 13(d) or 13(g) of the Securities Exchange Act of 1934, as amended, or for any other purpose. The other Reporting Persons, and Messrs. Marc Rowan, Scott Kleinman and James Zelter,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38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39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23" w:right="339" w:bottom="1440" w:gutter="0" w:footer="0" w:header="0"/>
        </w:sectPr>
      </w:pPr>
    </w:p>
    <w:bookmarkStart w:id="39" w:name="page40"/>
    <w:bookmarkEnd w:id="39"/>
    <w:tbl>
      <w:tblPr>
        <w:tblLayout w:type="fixed"/>
        <w:tblInd w:w="18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(b) Percent of class: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Class A</w:t>
            </w: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Class C</w:t>
            </w:r>
          </w:p>
        </w:tc>
      </w:tr>
      <w:tr>
        <w:trPr>
          <w:trHeight w:val="230"/>
        </w:trPr>
        <w:tc>
          <w:tcPr>
            <w:tcW w:w="660" w:type="dxa"/>
            <w:vAlign w:val="bottom"/>
          </w:tcPr>
          <w:p>
            <w:pPr>
              <w:spacing w:after="0"/>
              <w:rPr>
                <w:sz w:val="20"/>
                <w:szCs w:val="20"/>
                <w:color w:val="auto"/>
              </w:rPr>
            </w:pPr>
          </w:p>
        </w:tc>
        <w:tc>
          <w:tcPr>
            <w:tcW w:w="38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5"/>
              </w:rPr>
              <w:t>Common Stock</w:t>
            </w:r>
          </w:p>
        </w:tc>
        <w:tc>
          <w:tcPr>
            <w:tcW w:w="40" w:type="dxa"/>
            <w:vAlign w:val="bottom"/>
            <w:tcBorders>
              <w:bottom w:val="single" w:sz="8" w:color="CCEEFF"/>
            </w:tcBorders>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Credit Strategies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 Operating</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 Management Holdings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A-N Credit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A-N Credit Management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Kent Management</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Atlas Management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 Levered Yield</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TR Opportunistic</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 Master Fund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TR Management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TR Enhanced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TR Enhanced Management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ACM LLC</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ACCM LLC</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SA Management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Chiron Credit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Chiron Management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Oasis Partners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Oasis Management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Arrowhead Management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AMI</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AMI Holdings</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Management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International Management GP</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Capital Management GP</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Management Holdings GP</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ind w:left="108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0" w:name="page41"/>
    <w:bookmarkEnd w:id="40"/>
    <w:p>
      <w:pPr>
        <w:ind w:left="1304"/>
        <w:spacing w:after="0"/>
        <w:rPr>
          <w:sz w:val="20"/>
          <w:szCs w:val="20"/>
          <w:color w:val="auto"/>
        </w:rPr>
      </w:pPr>
      <w:r>
        <w:rPr>
          <w:rFonts w:ascii="Arial" w:cs="Arial" w:eastAsia="Arial" w:hAnsi="Arial"/>
          <w:sz w:val="18"/>
          <w:szCs w:val="18"/>
          <w:color w:val="auto"/>
        </w:rPr>
        <w:t>* Percentage amounts to less than one-tenth of a percent of the outstanding class of common stock.</w:t>
      </w:r>
    </w:p>
    <w:p>
      <w:pPr>
        <w:spacing w:after="0" w:line="225" w:lineRule="exact"/>
        <w:rPr>
          <w:sz w:val="20"/>
          <w:szCs w:val="20"/>
          <w:color w:val="auto"/>
        </w:rPr>
      </w:pPr>
    </w:p>
    <w:p>
      <w:pPr>
        <w:jc w:val="both"/>
        <w:ind w:left="1304"/>
        <w:spacing w:after="0" w:line="263" w:lineRule="auto"/>
        <w:rPr>
          <w:sz w:val="20"/>
          <w:szCs w:val="20"/>
          <w:color w:val="auto"/>
        </w:rPr>
      </w:pPr>
      <w:r>
        <w:rPr>
          <w:rFonts w:ascii="Arial" w:cs="Arial" w:eastAsia="Arial" w:hAnsi="Arial"/>
          <w:sz w:val="18"/>
          <w:szCs w:val="18"/>
          <w:color w:val="auto"/>
        </w:rPr>
        <w:t>The percentages are based on 34,599,645 shares of Class A Common Stock and 81,777,798 shares of Class C Common Stock outstanding as of October 31, 2021, as reported in the Issuer’s Form 10-Q filed with the Securities and Exchange Commission on November 4, 2021.</w:t>
      </w:r>
    </w:p>
    <w:p>
      <w:pPr>
        <w:spacing w:after="0" w:line="180" w:lineRule="exact"/>
        <w:rPr>
          <w:sz w:val="20"/>
          <w:szCs w:val="20"/>
          <w:color w:val="auto"/>
        </w:rPr>
      </w:pPr>
    </w:p>
    <w:p>
      <w:pPr>
        <w:ind w:left="744" w:hanging="744"/>
        <w:spacing w:after="0"/>
        <w:tabs>
          <w:tab w:leader="none" w:pos="74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29" w:lineRule="exact"/>
        <w:rPr>
          <w:rFonts w:ascii="Arial" w:cs="Arial" w:eastAsia="Arial" w:hAnsi="Arial"/>
          <w:sz w:val="18"/>
          <w:szCs w:val="18"/>
          <w:b w:val="1"/>
          <w:bCs w:val="1"/>
          <w:color w:val="auto"/>
        </w:rPr>
      </w:pPr>
    </w:p>
    <w:p>
      <w:pPr>
        <w:ind w:left="1944" w:right="5980" w:hanging="648"/>
        <w:spacing w:after="0" w:line="277" w:lineRule="auto"/>
        <w:tabs>
          <w:tab w:leader="none" w:pos="1736" w:val="left"/>
        </w:tabs>
        <w:numPr>
          <w:ilvl w:val="1"/>
          <w:numId w:val="57"/>
        </w:numPr>
        <w:rPr>
          <w:rFonts w:ascii="Arial" w:cs="Arial" w:eastAsia="Arial" w:hAnsi="Arial"/>
          <w:sz w:val="18"/>
          <w:szCs w:val="18"/>
          <w:color w:val="auto"/>
        </w:rPr>
      </w:pPr>
      <w:r>
        <w:rPr>
          <w:rFonts w:ascii="Arial" w:cs="Arial" w:eastAsia="Arial" w:hAnsi="Arial"/>
          <w:sz w:val="18"/>
          <w:szCs w:val="18"/>
          <w:color w:val="auto"/>
        </w:rPr>
        <w:t>Sole power to vote or to direct the vote: 0 for all Reporting Persons</w:t>
      </w:r>
    </w:p>
    <w:p>
      <w:pPr>
        <w:spacing w:after="0" w:line="170" w:lineRule="exact"/>
        <w:rPr>
          <w:rFonts w:ascii="Arial" w:cs="Arial" w:eastAsia="Arial" w:hAnsi="Arial"/>
          <w:sz w:val="18"/>
          <w:szCs w:val="18"/>
          <w:color w:val="auto"/>
        </w:rPr>
      </w:pPr>
    </w:p>
    <w:p>
      <w:pPr>
        <w:ind w:left="1764" w:hanging="468"/>
        <w:spacing w:after="0"/>
        <w:tabs>
          <w:tab w:leader="none" w:pos="1764" w:val="left"/>
        </w:tabs>
        <w:numPr>
          <w:ilvl w:val="1"/>
          <w:numId w:val="57"/>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tbl>
      <w:tblPr>
        <w:tblLayout w:type="fixed"/>
        <w:tblInd w:w="1304"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Class A</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Class C</w:t>
            </w:r>
          </w:p>
        </w:tc>
      </w:tr>
      <w:tr>
        <w:trPr>
          <w:trHeight w:val="230"/>
        </w:trPr>
        <w:tc>
          <w:tcPr>
            <w:tcW w:w="398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Common Stock</w:t>
            </w: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86,792</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Credit Strategies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 Operating</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A-N Credit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49,064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A-N Credit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49,064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Kent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6,537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Atlas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 Levered Yield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 Opportunistic</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 Master Fund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 Enhanced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 Enhanced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ACM LLC</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ACCM LLC</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11,232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Chiron Credit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Chiron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Oasis Partners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Oasis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Arrowhead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AMI</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AMI Holdings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International Management GP</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1,332,524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Capital Management GP</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1,332,524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1,332,524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Management Holdings GP</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1,332,524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30" w:lineRule="exact"/>
        <w:rPr>
          <w:sz w:val="20"/>
          <w:szCs w:val="20"/>
          <w:color w:val="auto"/>
        </w:rPr>
      </w:pPr>
    </w:p>
    <w:p>
      <w:pPr>
        <w:ind w:left="4464"/>
        <w:spacing w:after="0"/>
        <w:rPr>
          <w:sz w:val="20"/>
          <w:szCs w:val="20"/>
          <w:color w:val="auto"/>
        </w:rPr>
      </w:pPr>
      <w:r>
        <w:rPr>
          <w:rFonts w:ascii="Arial" w:cs="Arial" w:eastAsia="Arial" w:hAnsi="Arial"/>
          <w:sz w:val="18"/>
          <w:szCs w:val="18"/>
          <w:color w:val="auto"/>
        </w:rPr>
        <w:t>Page 41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1124" w:right="339" w:bottom="1440" w:gutter="0" w:footer="0" w:header="0"/>
        </w:sectPr>
      </w:pPr>
    </w:p>
    <w:bookmarkStart w:id="41" w:name="page42"/>
    <w:bookmarkEnd w:id="41"/>
    <w:p>
      <w:pPr>
        <w:ind w:left="2600" w:right="5020" w:hanging="648"/>
        <w:spacing w:after="0" w:line="277" w:lineRule="auto"/>
        <w:tabs>
          <w:tab w:leader="none" w:pos="24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 for all Reporting Persons</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Class A</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Class C</w:t>
            </w:r>
          </w:p>
        </w:tc>
      </w:tr>
      <w:tr>
        <w:trPr>
          <w:trHeight w:val="230"/>
        </w:trPr>
        <w:tc>
          <w:tcPr>
            <w:tcW w:w="398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Common Stock</w:t>
            </w: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PPF Credit Strategies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86,792</w:t>
            </w:r>
          </w:p>
        </w:tc>
        <w:tc>
          <w:tcPr>
            <w:tcW w:w="1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Credit Strategies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 Operating</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 Capital</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 Management Holdings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1,037,098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A-N Credit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49,064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A-N Credit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49,064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Kent Credit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Kent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6,537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Atlas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Atlas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 Levered Yield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 Opportunistic</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 Master Fund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 Enhanced</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 Enhanced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109,782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ACM LLC</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ACCM LLC</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11,232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SA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Chiron Credit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Chiron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Oasis Partners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Oasis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Arrowhead Management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AMI</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AMI Holdings</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International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International Management GP</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 Management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1,332,524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Capital Management GP</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1,332,524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Management Holdings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1,332,524</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Management Holdings GP</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1,332,524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7" w:lineRule="exact"/>
        <w:rPr>
          <w:sz w:val="20"/>
          <w:szCs w:val="20"/>
          <w:color w:val="auto"/>
        </w:rPr>
      </w:pPr>
    </w:p>
    <w:p>
      <w:pPr>
        <w:ind w:left="13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980" w:type="dxa"/>
            <w:vAlign w:val="bottom"/>
          </w:tcPr>
          <w:p>
            <w:pPr>
              <w:spacing w:after="0"/>
              <w:rPr>
                <w:sz w:val="19"/>
                <w:szCs w:val="19"/>
                <w:color w:val="auto"/>
              </w:rPr>
            </w:pP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18"/>
        </w:trPr>
        <w:tc>
          <w:tcPr>
            <w:tcW w:w="9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260" w:type="dxa"/>
            <w:vAlign w:val="bottom"/>
          </w:tcPr>
          <w:p>
            <w:pPr>
              <w:ind w:left="32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not acquired and are not</w:t>
            </w:r>
          </w:p>
        </w:tc>
      </w:tr>
      <w:tr>
        <w:trPr>
          <w:trHeight w:val="216"/>
        </w:trPr>
        <w:tc>
          <w:tcPr>
            <w:tcW w:w="980" w:type="dxa"/>
            <w:vAlign w:val="bottom"/>
          </w:tcPr>
          <w:p>
            <w:pPr>
              <w:spacing w:after="0"/>
              <w:rPr>
                <w:sz w:val="18"/>
                <w:szCs w:val="18"/>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80" w:type="dxa"/>
            <w:vAlign w:val="bottom"/>
          </w:tcPr>
          <w:p>
            <w:pPr>
              <w:spacing w:after="0"/>
              <w:rPr>
                <w:sz w:val="20"/>
                <w:szCs w:val="20"/>
                <w:color w:val="auto"/>
              </w:rPr>
            </w:pPr>
          </w:p>
        </w:tc>
        <w:tc>
          <w:tcPr>
            <w:tcW w:w="10260" w:type="dxa"/>
            <w:vAlign w:val="bottom"/>
          </w:tcPr>
          <w:p>
            <w:pPr>
              <w:ind w:left="32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432"/>
        </w:trPr>
        <w:tc>
          <w:tcPr>
            <w:tcW w:w="980" w:type="dxa"/>
            <w:vAlign w:val="bottom"/>
          </w:tcPr>
          <w:p>
            <w:pPr>
              <w:spacing w:after="0"/>
              <w:rPr>
                <w:sz w:val="24"/>
                <w:szCs w:val="24"/>
                <w:color w:val="auto"/>
              </w:rPr>
            </w:pPr>
          </w:p>
        </w:tc>
        <w:tc>
          <w:tcPr>
            <w:tcW w:w="10260" w:type="dxa"/>
            <w:vAlign w:val="bottom"/>
          </w:tcPr>
          <w:p>
            <w:pPr>
              <w:ind w:left="2760"/>
              <w:spacing w:after="0"/>
              <w:rPr>
                <w:sz w:val="20"/>
                <w:szCs w:val="20"/>
                <w:color w:val="auto"/>
              </w:rPr>
            </w:pPr>
            <w:r>
              <w:rPr>
                <w:rFonts w:ascii="Arial" w:cs="Arial" w:eastAsia="Arial" w:hAnsi="Arial"/>
                <w:sz w:val="18"/>
                <w:szCs w:val="18"/>
                <w:color w:val="auto"/>
              </w:rPr>
              <w:t>[The remainder of this page intentionally left blank.]</w:t>
            </w:r>
          </w:p>
        </w:tc>
      </w:tr>
      <w:tr>
        <w:trPr>
          <w:trHeight w:val="648"/>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140"/>
              <w:spacing w:after="0"/>
              <w:rPr>
                <w:sz w:val="20"/>
                <w:szCs w:val="20"/>
                <w:color w:val="auto"/>
              </w:rPr>
            </w:pPr>
            <w:r>
              <w:rPr>
                <w:rFonts w:ascii="Arial" w:cs="Arial" w:eastAsia="Arial" w:hAnsi="Arial"/>
                <w:sz w:val="18"/>
                <w:szCs w:val="18"/>
                <w:color w:val="auto"/>
              </w:rPr>
              <w:t>Page 43 of 51</w:t>
            </w:r>
          </w:p>
        </w:tc>
      </w:tr>
    </w:tbl>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2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APOLLO PPF CREDIT STRATEGIES, LLC</w:t>
      </w:r>
    </w:p>
    <w:p>
      <w:pPr>
        <w:spacing w:after="0" w:line="216"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Apollo PPF Credit Strategies Management, LLC,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its investment manager</w:t>
      </w:r>
    </w:p>
    <w:p>
      <w:pPr>
        <w:spacing w:after="0" w:line="197"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 Vice President</w:t>
      </w:r>
    </w:p>
    <w:p>
      <w:pPr>
        <w:spacing w:after="0" w:line="39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APOLLO CREDIT STRATEGIES MASTER FUND LTD.</w:t>
      </w:r>
    </w:p>
    <w:p>
      <w:pPr>
        <w:spacing w:after="0" w:line="216"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Apollo ST Fund Management LLC,</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its investment manager</w:t>
      </w:r>
    </w:p>
    <w:p>
      <w:pPr>
        <w:spacing w:after="0" w:line="197"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 Vice President</w:t>
      </w:r>
    </w:p>
    <w:p>
      <w:pPr>
        <w:spacing w:after="0" w:line="39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APOLLO ST FUND MANAGEMENT LLC</w:t>
      </w:r>
    </w:p>
    <w:p>
      <w:pPr>
        <w:spacing w:after="0" w:line="216"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APOLLO ST OPERATING LP</w:t>
      </w:r>
    </w:p>
    <w:p>
      <w:pPr>
        <w:spacing w:after="0" w:line="216" w:lineRule="exact"/>
        <w:rPr>
          <w:sz w:val="20"/>
          <w:szCs w:val="20"/>
          <w:color w:val="auto"/>
        </w:rPr>
      </w:pPr>
    </w:p>
    <w:p>
      <w:pPr>
        <w:jc w:val="center"/>
        <w:ind w:left="5760"/>
        <w:spacing w:after="0"/>
        <w:tabs>
          <w:tab w:leader="none" w:pos="200" w:val="left"/>
        </w:tabs>
        <w:rPr>
          <w:sz w:val="20"/>
          <w:szCs w:val="20"/>
          <w:color w:val="auto"/>
        </w:rPr>
      </w:pPr>
      <w:r>
        <w:rPr>
          <w:rFonts w:ascii="Arial" w:cs="Arial" w:eastAsia="Arial" w:hAnsi="Arial"/>
          <w:sz w:val="18"/>
          <w:szCs w:val="18"/>
          <w:color w:val="auto"/>
        </w:rPr>
        <w:t>By:</w:t>
        <w:tab/>
        <w:t>Apollo ST Capital LLC,</w:t>
      </w:r>
    </w:p>
    <w:p>
      <w:pPr>
        <w:spacing w:after="0" w:line="23" w:lineRule="exact"/>
        <w:rPr>
          <w:sz w:val="20"/>
          <w:szCs w:val="20"/>
          <w:color w:val="auto"/>
        </w:rPr>
      </w:pPr>
    </w:p>
    <w:p>
      <w:pPr>
        <w:jc w:val="center"/>
        <w:ind w:left="256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6260"/>
        <w:spacing w:after="0"/>
        <w:tabs>
          <w:tab w:leader="none" w:pos="672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54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4400"/>
        <w:spacing w:after="0"/>
        <w:rPr>
          <w:sz w:val="20"/>
          <w:szCs w:val="20"/>
          <w:color w:val="auto"/>
        </w:rPr>
      </w:pPr>
      <w:r>
        <w:rPr>
          <w:rFonts w:ascii="Arial" w:cs="Arial" w:eastAsia="Arial" w:hAnsi="Arial"/>
          <w:sz w:val="18"/>
          <w:szCs w:val="18"/>
          <w:b w:val="1"/>
          <w:bCs w:val="1"/>
          <w:color w:val="auto"/>
        </w:rPr>
        <w:t>APOLLO ST CAPITAL LLC</w:t>
      </w:r>
    </w:p>
    <w:p>
      <w:pPr>
        <w:spacing w:after="0" w:line="216"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40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ST MANAGEMENT HOLDINGS, LLC</w:t>
      </w:r>
    </w:p>
    <w:p>
      <w:pPr>
        <w:spacing w:after="0" w:line="216"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40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APOLLO A-N CREDIT FUND (DELAWARE), L.P.</w:t>
      </w:r>
    </w:p>
    <w:p>
      <w:pPr>
        <w:spacing w:after="0" w:line="216" w:lineRule="exact"/>
        <w:rPr>
          <w:sz w:val="20"/>
          <w:szCs w:val="20"/>
          <w:color w:val="auto"/>
        </w:rPr>
      </w:pPr>
    </w:p>
    <w:p>
      <w:pPr>
        <w:ind w:left="4400"/>
        <w:spacing w:after="0"/>
        <w:tabs>
          <w:tab w:leader="none" w:pos="4860" w:val="left"/>
        </w:tabs>
        <w:rPr>
          <w:sz w:val="20"/>
          <w:szCs w:val="20"/>
          <w:color w:val="auto"/>
        </w:rPr>
      </w:pPr>
      <w:r>
        <w:rPr>
          <w:rFonts w:ascii="Arial" w:cs="Arial" w:eastAsia="Arial" w:hAnsi="Arial"/>
          <w:sz w:val="18"/>
          <w:szCs w:val="18"/>
          <w:color w:val="auto"/>
        </w:rPr>
        <w:t>By:</w:t>
        <w:tab/>
        <w:t>Apollo A-N Credit Advisors (APO FC Delaware), L.P.,</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Apollo A-N Credit Advisors (APO FC-GP), LLC,</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28117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APOLLO A-N CREDIT MANAGEMENT, LLC</w:t>
      </w:r>
    </w:p>
    <w:p>
      <w:pPr>
        <w:spacing w:after="0" w:line="216"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8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40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AP KENT CREDIT MASTER FUND, L.P.</w:t>
      </w:r>
    </w:p>
    <w:p>
      <w:pPr>
        <w:spacing w:after="0" w:line="216" w:lineRule="exact"/>
        <w:rPr>
          <w:sz w:val="20"/>
          <w:szCs w:val="20"/>
          <w:color w:val="auto"/>
        </w:rPr>
      </w:pPr>
    </w:p>
    <w:p>
      <w:pPr>
        <w:ind w:left="4400"/>
        <w:spacing w:after="0"/>
        <w:tabs>
          <w:tab w:leader="none" w:pos="4860" w:val="left"/>
        </w:tabs>
        <w:rPr>
          <w:sz w:val="20"/>
          <w:szCs w:val="20"/>
          <w:color w:val="auto"/>
        </w:rPr>
      </w:pPr>
      <w:r>
        <w:rPr>
          <w:rFonts w:ascii="Arial" w:cs="Arial" w:eastAsia="Arial" w:hAnsi="Arial"/>
          <w:sz w:val="18"/>
          <w:szCs w:val="18"/>
          <w:color w:val="auto"/>
        </w:rPr>
        <w:t>By:</w:t>
        <w:tab/>
        <w:t>AP Kent Advisors, L.P.,</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AP Kent Advisors GP, LLC,</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5200"/>
        <w:spacing w:after="0"/>
        <w:tabs>
          <w:tab w:leader="none" w:pos="568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14605</wp:posOffset>
            </wp:positionV>
            <wp:extent cx="28117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5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45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5" w:name="page46"/>
    <w:bookmarkEnd w:id="45"/>
    <w:p>
      <w:pPr>
        <w:ind w:left="4300"/>
        <w:spacing w:after="0"/>
        <w:rPr>
          <w:sz w:val="20"/>
          <w:szCs w:val="20"/>
          <w:color w:val="auto"/>
        </w:rPr>
      </w:pPr>
      <w:r>
        <w:rPr>
          <w:rFonts w:ascii="Arial" w:cs="Arial" w:eastAsia="Arial" w:hAnsi="Arial"/>
          <w:sz w:val="18"/>
          <w:szCs w:val="18"/>
          <w:b w:val="1"/>
          <w:bCs w:val="1"/>
          <w:color w:val="auto"/>
        </w:rPr>
        <w:t>AP KENT MANAGEMENT, LLC</w:t>
      </w:r>
    </w:p>
    <w:p>
      <w:pPr>
        <w:spacing w:after="0" w:line="216"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 and Secretary</w:t>
            </w:r>
          </w:p>
        </w:tc>
      </w:tr>
    </w:tbl>
    <w:p>
      <w:pPr>
        <w:spacing w:after="0" w:line="38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APOLLO ATLAS MASTER FUND, LLC</w:t>
      </w:r>
    </w:p>
    <w:p>
      <w:pPr>
        <w:spacing w:after="0" w:line="216"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18"/>
          <w:szCs w:val="18"/>
          <w:color w:val="auto"/>
        </w:rPr>
        <w:t>By:</w:t>
        <w:tab/>
        <w:t>Apollo Atlas Management, LLC,</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its investment manager</w:t>
      </w:r>
    </w:p>
    <w:p>
      <w:pPr>
        <w:spacing w:after="0" w:line="197" w:lineRule="exact"/>
        <w:rPr>
          <w:sz w:val="20"/>
          <w:szCs w:val="20"/>
          <w:color w:val="auto"/>
        </w:rPr>
      </w:pPr>
    </w:p>
    <w:tbl>
      <w:tblPr>
        <w:tblLayout w:type="fixed"/>
        <w:tblInd w:w="478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8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APOLLO ATLAS MANAGEMENT, LLC</w:t>
      </w:r>
    </w:p>
    <w:p>
      <w:pPr>
        <w:spacing w:after="0" w:line="216"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18"/>
          <w:szCs w:val="18"/>
          <w:color w:val="auto"/>
        </w:rPr>
        <w:t>By:</w:t>
        <w:tab/>
        <w:t>Apollo Capital Management, L.P.,</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its sole member</w:t>
      </w:r>
    </w:p>
    <w:p>
      <w:pPr>
        <w:spacing w:after="0" w:line="197" w:lineRule="exact"/>
        <w:rPr>
          <w:sz w:val="20"/>
          <w:szCs w:val="20"/>
          <w:color w:val="auto"/>
        </w:rPr>
      </w:pPr>
    </w:p>
    <w:p>
      <w:pPr>
        <w:ind w:left="4780"/>
        <w:spacing w:after="0"/>
        <w:tabs>
          <w:tab w:leader="none" w:pos="5260" w:val="left"/>
        </w:tabs>
        <w:rPr>
          <w:sz w:val="20"/>
          <w:szCs w:val="20"/>
          <w:color w:val="auto"/>
        </w:rPr>
      </w:pPr>
      <w:r>
        <w:rPr>
          <w:rFonts w:ascii="Arial" w:cs="Arial" w:eastAsia="Arial" w:hAnsi="Arial"/>
          <w:sz w:val="18"/>
          <w:szCs w:val="18"/>
          <w:color w:val="auto"/>
        </w:rPr>
        <w:t>By:</w:t>
        <w:tab/>
        <w:t>Apollo Capital Management GP, LLC,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5280"/>
        <w:spacing w:after="0"/>
        <w:tabs>
          <w:tab w:leader="none" w:pos="574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27686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 Vice President</w:t>
      </w:r>
    </w:p>
    <w:p>
      <w:pPr>
        <w:spacing w:after="0" w:line="39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APOLLO TR ENHANCED LEVERED YIELD LLC</w:t>
      </w:r>
    </w:p>
    <w:p>
      <w:pPr>
        <w:spacing w:after="0" w:line="216"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18"/>
          <w:szCs w:val="18"/>
          <w:color w:val="auto"/>
        </w:rPr>
        <w:t>By:</w:t>
        <w:tab/>
        <w:t>Apollo Total Return Enhanced Management LLC,</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its investment manager</w:t>
      </w:r>
    </w:p>
    <w:p>
      <w:pPr>
        <w:spacing w:after="0" w:line="197" w:lineRule="exact"/>
        <w:rPr>
          <w:sz w:val="20"/>
          <w:szCs w:val="20"/>
          <w:color w:val="auto"/>
        </w:rPr>
      </w:pPr>
    </w:p>
    <w:p>
      <w:pPr>
        <w:ind w:left="4780"/>
        <w:spacing w:after="0"/>
        <w:tabs>
          <w:tab w:leader="none" w:pos="526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077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Vice President and Secretary</w:t>
      </w:r>
    </w:p>
    <w:p>
      <w:pPr>
        <w:spacing w:after="0" w:line="200" w:lineRule="exact"/>
        <w:rPr>
          <w:sz w:val="20"/>
          <w:szCs w:val="20"/>
          <w:color w:val="auto"/>
        </w:rPr>
      </w:pPr>
    </w:p>
    <w:p>
      <w:pPr>
        <w:spacing w:after="0" w:line="25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46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6" w:name="page47"/>
    <w:bookmarkEnd w:id="46"/>
    <w:p>
      <w:pPr>
        <w:ind w:left="5480"/>
        <w:spacing w:after="0"/>
        <w:rPr>
          <w:sz w:val="20"/>
          <w:szCs w:val="20"/>
          <w:color w:val="auto"/>
        </w:rPr>
      </w:pPr>
      <w:r>
        <w:rPr>
          <w:rFonts w:ascii="Arial" w:cs="Arial" w:eastAsia="Arial" w:hAnsi="Arial"/>
          <w:sz w:val="18"/>
          <w:szCs w:val="18"/>
          <w:b w:val="1"/>
          <w:bCs w:val="1"/>
          <w:color w:val="auto"/>
        </w:rPr>
        <w:t>APOLLO TR OPPORTUNISTIC LTD.</w:t>
      </w:r>
    </w:p>
    <w:p>
      <w:pPr>
        <w:spacing w:after="0" w:line="216"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8"/>
          <w:szCs w:val="18"/>
          <w:color w:val="auto"/>
        </w:rPr>
        <w:t>By:</w:t>
        <w:tab/>
        <w:t>Apollo Total Return Master Fund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shareholder</w:t>
      </w:r>
    </w:p>
    <w:p>
      <w:pPr>
        <w:spacing w:after="0" w:line="19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Apollo Total Return Advisors LP,</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Apollo Total Return Advisors GP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5203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197"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8"/>
          <w:szCs w:val="18"/>
          <w:color w:val="auto"/>
        </w:rPr>
        <w:t>By:</w:t>
        <w:tab/>
        <w:t>Apollo Total Return Master Fund Enhanced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shareholder</w:t>
      </w:r>
    </w:p>
    <w:p>
      <w:pPr>
        <w:spacing w:after="0" w:line="19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Apollo Total Return Enhanced Advisors LP,</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Apollo Total Return Enhanced Advisors GP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5203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Vice President</w:t>
      </w:r>
    </w:p>
    <w:p>
      <w:pPr>
        <w:spacing w:after="0" w:line="39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APOLLO TOTAL RETURN MASTER FUND LP</w:t>
      </w:r>
    </w:p>
    <w:p>
      <w:pPr>
        <w:spacing w:after="0" w:line="216" w:lineRule="exact"/>
        <w:rPr>
          <w:sz w:val="20"/>
          <w:szCs w:val="20"/>
          <w:color w:val="auto"/>
        </w:rPr>
      </w:pPr>
    </w:p>
    <w:p>
      <w:pPr>
        <w:ind w:left="5480"/>
        <w:spacing w:after="0"/>
        <w:tabs>
          <w:tab w:leader="none" w:pos="5960" w:val="left"/>
        </w:tabs>
        <w:rPr>
          <w:sz w:val="20"/>
          <w:szCs w:val="20"/>
          <w:color w:val="auto"/>
        </w:rPr>
      </w:pPr>
      <w:r>
        <w:rPr>
          <w:rFonts w:ascii="Arial" w:cs="Arial" w:eastAsia="Arial" w:hAnsi="Arial"/>
          <w:sz w:val="18"/>
          <w:szCs w:val="18"/>
          <w:color w:val="auto"/>
        </w:rPr>
        <w:t>By:</w:t>
        <w:tab/>
        <w:t>Apollo Total Return Advisors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Apollo Total Return Advisors GP LLC,</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14605</wp:posOffset>
            </wp:positionV>
            <wp:extent cx="29317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Joseph D. Glatt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w:t>
      </w:r>
    </w:p>
    <w:p>
      <w:pPr>
        <w:spacing w:after="0" w:line="39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APOLLO TOTAL RETURN MANAGEMENT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54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6300" w:type="dxa"/>
            <w:vAlign w:val="bottom"/>
          </w:tcPr>
          <w:p>
            <w:pPr>
              <w:ind w:left="548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6300" w:type="dxa"/>
            <w:vAlign w:val="bottom"/>
          </w:tcPr>
          <w:p>
            <w:pPr>
              <w:ind w:left="548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75"/>
        </w:trPr>
        <w:tc>
          <w:tcPr>
            <w:tcW w:w="630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rPr>
              <w:t>Page 47 of 51</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7" w:name="page48"/>
    <w:bookmarkEnd w:id="47"/>
    <w:p>
      <w:pPr>
        <w:ind w:left="4380"/>
        <w:spacing w:after="0"/>
        <w:rPr>
          <w:sz w:val="20"/>
          <w:szCs w:val="20"/>
          <w:color w:val="auto"/>
        </w:rPr>
      </w:pPr>
      <w:r>
        <w:rPr>
          <w:rFonts w:ascii="Arial" w:cs="Arial" w:eastAsia="Arial" w:hAnsi="Arial"/>
          <w:sz w:val="18"/>
          <w:szCs w:val="18"/>
          <w:b w:val="1"/>
          <w:bCs w:val="1"/>
          <w:color w:val="auto"/>
        </w:rPr>
        <w:t>APOLLO TOTAL RETURN MASTER FUND ENHANCED LP</w:t>
      </w:r>
    </w:p>
    <w:p>
      <w:pPr>
        <w:spacing w:after="0" w:line="229" w:lineRule="exact"/>
        <w:rPr>
          <w:sz w:val="20"/>
          <w:szCs w:val="20"/>
          <w:color w:val="auto"/>
        </w:rPr>
      </w:pPr>
    </w:p>
    <w:p>
      <w:pPr>
        <w:ind w:left="4380"/>
        <w:spacing w:after="0"/>
        <w:tabs>
          <w:tab w:leader="none" w:pos="4840" w:val="left"/>
        </w:tabs>
        <w:rPr>
          <w:sz w:val="20"/>
          <w:szCs w:val="20"/>
          <w:color w:val="auto"/>
        </w:rPr>
      </w:pPr>
      <w:r>
        <w:rPr>
          <w:rFonts w:ascii="Arial" w:cs="Arial" w:eastAsia="Arial" w:hAnsi="Arial"/>
          <w:sz w:val="18"/>
          <w:szCs w:val="18"/>
          <w:color w:val="auto"/>
        </w:rPr>
        <w:t>By:</w:t>
        <w:tab/>
        <w:t>Apollo Total Return Enhanced Advisors LP,</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tabs>
          <w:tab w:leader="none" w:pos="5340" w:val="left"/>
        </w:tabs>
        <w:rPr>
          <w:sz w:val="20"/>
          <w:szCs w:val="20"/>
          <w:color w:val="auto"/>
        </w:rPr>
      </w:pPr>
      <w:r>
        <w:rPr>
          <w:rFonts w:ascii="Arial" w:cs="Arial" w:eastAsia="Arial" w:hAnsi="Arial"/>
          <w:sz w:val="18"/>
          <w:szCs w:val="18"/>
          <w:color w:val="auto"/>
        </w:rPr>
        <w:t>By:</w:t>
        <w:tab/>
        <w:t>Apollo Total Return Enhanced Advisors GP LLC,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APOLLO TOTAL RETURN ENHANCED MANAGEMENT LLC</w:t>
      </w:r>
    </w:p>
    <w:p>
      <w:pPr>
        <w:spacing w:after="0" w:line="229"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APOLLO CREDIT MANAGEMENT, LLC</w:t>
      </w:r>
    </w:p>
    <w:p>
      <w:pPr>
        <w:spacing w:after="0" w:line="229"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APOLLO CAPITAL CREDIT MANAGEMENT, LLC</w:t>
      </w:r>
    </w:p>
    <w:p>
      <w:pPr>
        <w:spacing w:after="0" w:line="229"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APOLLO SA MANAGEMENT, LLC</w:t>
      </w:r>
    </w:p>
    <w:p>
      <w:pPr>
        <w:spacing w:after="0" w:line="229" w:lineRule="exact"/>
        <w:rPr>
          <w:sz w:val="20"/>
          <w:szCs w:val="20"/>
          <w:color w:val="auto"/>
        </w:rPr>
      </w:pPr>
    </w:p>
    <w:tbl>
      <w:tblPr>
        <w:tblLayout w:type="fixed"/>
        <w:tblInd w:w="438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1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CHIRON CREDIT FUND, L.P.</w:t>
      </w:r>
    </w:p>
    <w:p>
      <w:pPr>
        <w:spacing w:after="0" w:line="229" w:lineRule="exact"/>
        <w:rPr>
          <w:sz w:val="20"/>
          <w:szCs w:val="20"/>
          <w:color w:val="auto"/>
        </w:rPr>
      </w:pPr>
    </w:p>
    <w:p>
      <w:pPr>
        <w:ind w:left="4380"/>
        <w:spacing w:after="0"/>
        <w:tabs>
          <w:tab w:leader="none" w:pos="4840" w:val="left"/>
        </w:tabs>
        <w:rPr>
          <w:sz w:val="20"/>
          <w:szCs w:val="20"/>
          <w:color w:val="auto"/>
        </w:rPr>
      </w:pPr>
      <w:r>
        <w:rPr>
          <w:rFonts w:ascii="Arial" w:cs="Arial" w:eastAsia="Arial" w:hAnsi="Arial"/>
          <w:sz w:val="18"/>
          <w:szCs w:val="18"/>
          <w:color w:val="auto"/>
        </w:rPr>
        <w:t>By:</w:t>
        <w:tab/>
        <w:t>Apollo Chiron Management, LLC,</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4860"/>
        <w:spacing w:after="0"/>
        <w:tabs>
          <w:tab w:leader="none" w:pos="534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0257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48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8" w:name="page49"/>
    <w:bookmarkEnd w:id="48"/>
    <w:p>
      <w:pPr>
        <w:ind w:left="4300"/>
        <w:spacing w:after="0"/>
        <w:rPr>
          <w:sz w:val="20"/>
          <w:szCs w:val="20"/>
          <w:color w:val="auto"/>
        </w:rPr>
      </w:pPr>
      <w:r>
        <w:rPr>
          <w:rFonts w:ascii="Arial" w:cs="Arial" w:eastAsia="Arial" w:hAnsi="Arial"/>
          <w:sz w:val="18"/>
          <w:szCs w:val="18"/>
          <w:b w:val="1"/>
          <w:bCs w:val="1"/>
          <w:color w:val="auto"/>
        </w:rPr>
        <w:t>APOLLO CHIRON MANAGEMENT, LLC</w:t>
      </w:r>
    </w:p>
    <w:p>
      <w:pPr>
        <w:spacing w:after="0" w:line="216"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8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APOLLO OASIS PARTNERS, LP.</w:t>
      </w:r>
    </w:p>
    <w:p>
      <w:pPr>
        <w:spacing w:after="0" w:line="216"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18"/>
          <w:szCs w:val="18"/>
          <w:color w:val="auto"/>
        </w:rPr>
        <w:t>By:</w:t>
        <w:tab/>
        <w:t>Apollo Oasis Management, LLC,</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its investment manager</w:t>
      </w:r>
    </w:p>
    <w:p>
      <w:pPr>
        <w:spacing w:after="0" w:line="197" w:lineRule="exact"/>
        <w:rPr>
          <w:sz w:val="20"/>
          <w:szCs w:val="20"/>
          <w:color w:val="auto"/>
        </w:rPr>
      </w:pPr>
    </w:p>
    <w:p>
      <w:pPr>
        <w:ind w:left="4780"/>
        <w:spacing w:after="0"/>
        <w:tabs>
          <w:tab w:leader="none" w:pos="526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14605</wp:posOffset>
            </wp:positionV>
            <wp:extent cx="3077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Title: Vice President</w:t>
      </w:r>
    </w:p>
    <w:p>
      <w:pPr>
        <w:spacing w:after="0" w:line="39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APOLLO OASIS MANAGEMENT, LLC</w:t>
      </w:r>
    </w:p>
    <w:p>
      <w:pPr>
        <w:spacing w:after="0" w:line="216"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8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APOLLO ARROWHEAD MANAGEMENT, LLC</w:t>
      </w:r>
    </w:p>
    <w:p>
      <w:pPr>
        <w:spacing w:after="0" w:line="216" w:lineRule="exact"/>
        <w:rPr>
          <w:sz w:val="20"/>
          <w:szCs w:val="20"/>
          <w:color w:val="auto"/>
        </w:rPr>
      </w:pPr>
    </w:p>
    <w:tbl>
      <w:tblPr>
        <w:tblLayout w:type="fixed"/>
        <w:tblInd w:w="430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8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APOLLO MANAGEMENT INTERNATIONAL LLP</w:t>
      </w:r>
    </w:p>
    <w:p>
      <w:pPr>
        <w:spacing w:after="0" w:line="216" w:lineRule="exact"/>
        <w:rPr>
          <w:sz w:val="20"/>
          <w:szCs w:val="20"/>
          <w:color w:val="auto"/>
        </w:rPr>
      </w:pPr>
    </w:p>
    <w:p>
      <w:pPr>
        <w:ind w:left="4300"/>
        <w:spacing w:after="0"/>
        <w:tabs>
          <w:tab w:leader="none" w:pos="4760" w:val="left"/>
        </w:tabs>
        <w:rPr>
          <w:sz w:val="20"/>
          <w:szCs w:val="20"/>
          <w:color w:val="auto"/>
        </w:rPr>
      </w:pPr>
      <w:r>
        <w:rPr>
          <w:rFonts w:ascii="Arial" w:cs="Arial" w:eastAsia="Arial" w:hAnsi="Arial"/>
          <w:sz w:val="18"/>
          <w:szCs w:val="18"/>
          <w:color w:val="auto"/>
        </w:rPr>
        <w:t>By:</w:t>
        <w:tab/>
        <w:t>AMI (Holdings), LLC,</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its member</w:t>
      </w:r>
    </w:p>
    <w:p>
      <w:pPr>
        <w:spacing w:after="0" w:line="197" w:lineRule="exact"/>
        <w:rPr>
          <w:sz w:val="20"/>
          <w:szCs w:val="20"/>
          <w:color w:val="auto"/>
        </w:rPr>
      </w:pPr>
    </w:p>
    <w:p>
      <w:pPr>
        <w:ind w:left="4780"/>
        <w:spacing w:after="0"/>
        <w:tabs>
          <w:tab w:leader="none" w:pos="5260" w:val="left"/>
        </w:tabs>
        <w:rPr>
          <w:sz w:val="20"/>
          <w:szCs w:val="20"/>
          <w:color w:val="auto"/>
        </w:rPr>
      </w:pPr>
      <w:r>
        <w:rPr>
          <w:rFonts w:ascii="Arial" w:cs="Arial" w:eastAsia="Arial" w:hAnsi="Arial"/>
          <w:sz w:val="18"/>
          <w:szCs w:val="18"/>
          <w:color w:val="auto"/>
        </w:rPr>
        <w:t>By:</w:t>
        <w:tab/>
        <w:t>Apollo International Management, L.P.,</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its sole member-manager</w:t>
      </w:r>
    </w:p>
    <w:p>
      <w:pPr>
        <w:spacing w:after="0" w:line="19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By: Apollo International Management GP,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5628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5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Page 49 of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49" w:name="page50"/>
    <w:bookmarkEnd w:id="49"/>
    <w:p>
      <w:pPr>
        <w:ind w:left="5520"/>
        <w:spacing w:after="0"/>
        <w:rPr>
          <w:sz w:val="20"/>
          <w:szCs w:val="20"/>
          <w:color w:val="auto"/>
        </w:rPr>
      </w:pPr>
      <w:r>
        <w:rPr>
          <w:rFonts w:ascii="Arial" w:cs="Arial" w:eastAsia="Arial" w:hAnsi="Arial"/>
          <w:sz w:val="18"/>
          <w:szCs w:val="18"/>
          <w:b w:val="1"/>
          <w:bCs w:val="1"/>
          <w:color w:val="auto"/>
        </w:rPr>
        <w:t>AMI (HOLDINGS), LLC</w:t>
      </w:r>
    </w:p>
    <w:p>
      <w:pPr>
        <w:spacing w:after="0" w:line="216"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Apollo International Management, L.P.,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sole member-manager</w:t>
      </w:r>
    </w:p>
    <w:p>
      <w:pPr>
        <w:spacing w:after="0" w:line="197" w:lineRule="exact"/>
        <w:rPr>
          <w:sz w:val="20"/>
          <w:szCs w:val="20"/>
          <w:color w:val="auto"/>
        </w:rPr>
      </w:pPr>
    </w:p>
    <w:p>
      <w:pPr>
        <w:ind w:left="6000"/>
        <w:spacing w:after="0"/>
        <w:tabs>
          <w:tab w:leader="none" w:pos="6460" w:val="left"/>
        </w:tabs>
        <w:rPr>
          <w:sz w:val="20"/>
          <w:szCs w:val="20"/>
          <w:color w:val="auto"/>
        </w:rPr>
      </w:pPr>
      <w:r>
        <w:rPr>
          <w:rFonts w:ascii="Arial" w:cs="Arial" w:eastAsia="Arial" w:hAnsi="Arial"/>
          <w:sz w:val="18"/>
          <w:szCs w:val="18"/>
          <w:color w:val="auto"/>
        </w:rPr>
        <w:t>By:</w:t>
        <w:tab/>
        <w:t>Apollo International Management GP, LLC,</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tbl>
      <w:tblPr>
        <w:tblLayout w:type="fixed"/>
        <w:tblInd w:w="64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APOLLO INTERNATIONAL MANAGEMENT, L.P.</w:t>
      </w:r>
    </w:p>
    <w:p>
      <w:pPr>
        <w:spacing w:after="0" w:line="216"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Apollo International Management GP, LLC,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6000"/>
        <w:spacing w:after="0"/>
        <w:tabs>
          <w:tab w:leader="none" w:pos="646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39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APOLLO INTERNATIONAL MANAGEMENT GP, LLC</w:t>
      </w:r>
    </w:p>
    <w:p>
      <w:pPr>
        <w:spacing w:after="0" w:line="216"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87"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APOLLO CAPITAL MANAGEMENT, L.P.</w:t>
      </w:r>
    </w:p>
    <w:p>
      <w:pPr>
        <w:spacing w:after="0" w:line="216" w:lineRule="exact"/>
        <w:rPr>
          <w:sz w:val="20"/>
          <w:szCs w:val="20"/>
          <w:color w:val="auto"/>
        </w:rPr>
      </w:pPr>
    </w:p>
    <w:p>
      <w:pPr>
        <w:ind w:left="5520"/>
        <w:spacing w:after="0"/>
        <w:tabs>
          <w:tab w:leader="none" w:pos="5980" w:val="left"/>
        </w:tabs>
        <w:rPr>
          <w:sz w:val="20"/>
          <w:szCs w:val="20"/>
          <w:color w:val="auto"/>
        </w:rPr>
      </w:pPr>
      <w:r>
        <w:rPr>
          <w:rFonts w:ascii="Arial" w:cs="Arial" w:eastAsia="Arial" w:hAnsi="Arial"/>
          <w:sz w:val="18"/>
          <w:szCs w:val="18"/>
          <w:color w:val="auto"/>
        </w:rPr>
        <w:t>By:</w:t>
        <w:tab/>
        <w:t>Apollo Capital Management GP, LLC,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p>
      <w:pPr>
        <w:ind w:left="6000"/>
        <w:spacing w:after="0"/>
        <w:tabs>
          <w:tab w:leader="none" w:pos="6460" w:val="left"/>
        </w:tabs>
        <w:rPr>
          <w:sz w:val="20"/>
          <w:szCs w:val="20"/>
          <w:color w:val="auto"/>
        </w:rPr>
      </w:pPr>
      <w:r>
        <w:rPr>
          <w:rFonts w:ascii="Arial" w:cs="Arial" w:eastAsia="Arial" w:hAnsi="Arial"/>
          <w:sz w:val="18"/>
          <w:szCs w:val="18"/>
          <w:color w:val="auto"/>
        </w:rPr>
        <w:t>By:</w:t>
        <w:tab/>
        <w:t>/s/ Joseph D.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Name:Joseph D. Glatt</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39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APOLLO CAPITAL MANAGEMENT GP,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52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6480" w:type="dxa"/>
            <w:vAlign w:val="bottom"/>
          </w:tcPr>
          <w:p>
            <w:pPr>
              <w:ind w:left="552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6480" w:type="dxa"/>
            <w:vAlign w:val="bottom"/>
          </w:tcPr>
          <w:p>
            <w:pPr>
              <w:ind w:left="552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75"/>
        </w:trPr>
        <w:tc>
          <w:tcPr>
            <w:tcW w:w="648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rPr>
              <w:t>Page 50 of 51</w:t>
            </w: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50" w:name="page51"/>
    <w:bookmarkEnd w:id="50"/>
    <w:p>
      <w:pPr>
        <w:ind w:left="5580"/>
        <w:spacing w:after="0"/>
        <w:rPr>
          <w:sz w:val="20"/>
          <w:szCs w:val="20"/>
          <w:color w:val="auto"/>
        </w:rPr>
      </w:pPr>
      <w:r>
        <w:rPr>
          <w:rFonts w:ascii="Arial" w:cs="Arial" w:eastAsia="Arial" w:hAnsi="Arial"/>
          <w:sz w:val="18"/>
          <w:szCs w:val="18"/>
          <w:b w:val="1"/>
          <w:bCs w:val="1"/>
          <w:color w:val="auto"/>
        </w:rPr>
        <w:t>APOLLO MANAGEMENT HOLDINGS, L.P.</w:t>
      </w:r>
    </w:p>
    <w:p>
      <w:pPr>
        <w:spacing w:after="0" w:line="216" w:lineRule="exact"/>
        <w:rPr>
          <w:sz w:val="20"/>
          <w:szCs w:val="20"/>
          <w:color w:val="auto"/>
        </w:rPr>
      </w:pPr>
    </w:p>
    <w:p>
      <w:pPr>
        <w:ind w:left="5580"/>
        <w:spacing w:after="0"/>
        <w:tabs>
          <w:tab w:leader="none" w:pos="6040" w:val="left"/>
        </w:tabs>
        <w:rPr>
          <w:sz w:val="20"/>
          <w:szCs w:val="20"/>
          <w:color w:val="auto"/>
        </w:rPr>
      </w:pPr>
      <w:r>
        <w:rPr>
          <w:rFonts w:ascii="Arial" w:cs="Arial" w:eastAsia="Arial" w:hAnsi="Arial"/>
          <w:sz w:val="18"/>
          <w:szCs w:val="18"/>
          <w:color w:val="auto"/>
        </w:rPr>
        <w:t>By:</w:t>
        <w:tab/>
        <w:t>Apollo Management Holdings GP, LLC,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its general partner</w:t>
      </w:r>
    </w:p>
    <w:p>
      <w:pPr>
        <w:spacing w:after="0" w:line="197" w:lineRule="exact"/>
        <w:rPr>
          <w:sz w:val="20"/>
          <w:szCs w:val="20"/>
          <w:color w:val="auto"/>
        </w:rPr>
      </w:pPr>
    </w:p>
    <w:tbl>
      <w:tblPr>
        <w:tblLayout w:type="fixed"/>
        <w:tblInd w:w="606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6"/>
              </w:rPr>
              <w:t>Name:</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436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880" w:type="dxa"/>
            <w:vAlign w:val="bottom"/>
            <w:gridSpan w:val="2"/>
          </w:tcPr>
          <w:p>
            <w:pPr>
              <w:ind w:left="40"/>
              <w:spacing w:after="0"/>
              <w:rPr>
                <w:sz w:val="20"/>
                <w:szCs w:val="20"/>
                <w:color w:val="auto"/>
              </w:rPr>
            </w:pPr>
            <w:r>
              <w:rPr>
                <w:rFonts w:ascii="Arial" w:cs="Arial" w:eastAsia="Arial" w:hAnsi="Arial"/>
                <w:sz w:val="18"/>
                <w:szCs w:val="18"/>
                <w:color w:val="auto"/>
              </w:rPr>
              <w:t>Title: Vice President</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APOLLO MANAGEMENT HOLDINGS GP, LLC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5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 Glatt</w:t>
            </w:r>
          </w:p>
        </w:tc>
      </w:tr>
      <w:tr>
        <w:trPr>
          <w:trHeight w:val="195"/>
        </w:trPr>
        <w:tc>
          <w:tcPr>
            <w:tcW w:w="6400" w:type="dxa"/>
            <w:vAlign w:val="bottom"/>
          </w:tcPr>
          <w:p>
            <w:pPr>
              <w:ind w:left="558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Joseph D. Glatt</w:t>
            </w:r>
          </w:p>
        </w:tc>
      </w:tr>
      <w:tr>
        <w:trPr>
          <w:trHeight w:val="230"/>
        </w:trPr>
        <w:tc>
          <w:tcPr>
            <w:tcW w:w="6400" w:type="dxa"/>
            <w:vAlign w:val="bottom"/>
          </w:tcPr>
          <w:p>
            <w:pPr>
              <w:ind w:left="558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675"/>
        </w:trPr>
        <w:tc>
          <w:tcPr>
            <w:tcW w:w="6400" w:type="dxa"/>
            <w:vAlign w:val="bottom"/>
            <w:tcBorders>
              <w:bottom w:val="single" w:sz="8" w:color="auto"/>
            </w:tcBorders>
          </w:tcPr>
          <w:p>
            <w:pPr>
              <w:ind w:left="5120"/>
              <w:spacing w:after="0"/>
              <w:rPr>
                <w:sz w:val="20"/>
                <w:szCs w:val="20"/>
                <w:color w:val="auto"/>
              </w:rPr>
            </w:pPr>
            <w:r>
              <w:rPr>
                <w:rFonts w:ascii="Arial" w:cs="Arial" w:eastAsia="Arial" w:hAnsi="Arial"/>
                <w:sz w:val="18"/>
                <w:szCs w:val="18"/>
                <w:color w:val="auto"/>
              </w:rPr>
              <w:t>Page 51 of 51</w:t>
            </w:r>
          </w:p>
        </w:tc>
        <w:tc>
          <w:tcPr>
            <w:tcW w:w="4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lvl w:ilvl="1">
      <w:lvlJc w:val="left"/>
      <w:lvlText w:val="☐"/>
      <w:numFmt w:val="bullet"/>
      <w:start w:val="1"/>
    </w:lvl>
  </w:abstractNum>
  <w:abstractNum w:abstractNumId="1">
    <w:nsid w:val="1E7FF521"/>
    <w:multiLevelType w:val="hybridMultilevel"/>
    <w:lvl w:ilvl="0">
      <w:lvlJc w:val="left"/>
      <w:lvlText w:val="9"/>
      <w:numFmt w:val="bullet"/>
      <w:start w:val="1"/>
    </w:lvl>
  </w:abstractNum>
  <w:abstractNum w:abstractNumId="2">
    <w:nsid w:val="7C3DBD3D"/>
    <w:multiLevelType w:val="hybridMultilevel"/>
    <w:lvl w:ilvl="0">
      <w:lvlJc w:val="left"/>
      <w:lvlText w:val="%1"/>
      <w:numFmt w:val="decimal"/>
      <w:start w:val="10"/>
    </w:lvl>
  </w:abstractNum>
  <w:abstractNum w:abstractNumId="3">
    <w:nsid w:val="737B8DDC"/>
    <w:multiLevelType w:val="hybridMultilevel"/>
    <w:lvl w:ilvl="0">
      <w:lvlJc w:val="left"/>
      <w:lvlText w:val="9"/>
      <w:numFmt w:val="bullet"/>
      <w:start w:val="1"/>
    </w:lvl>
  </w:abstractNum>
  <w:abstractNum w:abstractNumId="4">
    <w:nsid w:val="6CEAF087"/>
    <w:multiLevelType w:val="hybridMultilevel"/>
    <w:lvl w:ilvl="0">
      <w:lvlJc w:val="left"/>
      <w:lvlText w:val="%1"/>
      <w:numFmt w:val="decimal"/>
      <w:start w:val="10"/>
    </w:lvl>
  </w:abstractNum>
  <w:abstractNum w:abstractNumId="5">
    <w:nsid w:val="22221A70"/>
    <w:multiLevelType w:val="hybridMultilevel"/>
    <w:lvl w:ilvl="0">
      <w:lvlJc w:val="left"/>
      <w:lvlText w:val="9"/>
      <w:numFmt w:val="bullet"/>
      <w:start w:val="1"/>
    </w:lvl>
  </w:abstractNum>
  <w:abstractNum w:abstractNumId="6">
    <w:nsid w:val="4516DDE9"/>
    <w:multiLevelType w:val="hybridMultilevel"/>
    <w:lvl w:ilvl="0">
      <w:lvlJc w:val="left"/>
      <w:lvlText w:val="%1"/>
      <w:numFmt w:val="decimal"/>
      <w:start w:val="10"/>
    </w:lvl>
  </w:abstractNum>
  <w:abstractNum w:abstractNumId="7">
    <w:nsid w:val="3006C83E"/>
    <w:multiLevelType w:val="hybridMultilevel"/>
    <w:lvl w:ilvl="0">
      <w:lvlJc w:val="left"/>
      <w:lvlText w:val="9"/>
      <w:numFmt w:val="bullet"/>
      <w:start w:val="1"/>
    </w:lvl>
  </w:abstractNum>
  <w:abstractNum w:abstractNumId="8">
    <w:nsid w:val="614FD4A1"/>
    <w:multiLevelType w:val="hybridMultilevel"/>
    <w:lvl w:ilvl="0">
      <w:lvlJc w:val="left"/>
      <w:lvlText w:val="%1"/>
      <w:numFmt w:val="decimal"/>
      <w:start w:val="10"/>
    </w:lvl>
  </w:abstractNum>
  <w:abstractNum w:abstractNumId="9">
    <w:nsid w:val="419AC241"/>
    <w:multiLevelType w:val="hybridMultilevel"/>
    <w:lvl w:ilvl="0">
      <w:lvlJc w:val="left"/>
      <w:lvlText w:val="9"/>
      <w:numFmt w:val="bullet"/>
      <w:start w:val="1"/>
    </w:lvl>
  </w:abstractNum>
  <w:abstractNum w:abstractNumId="10">
    <w:nsid w:val="5577F8E1"/>
    <w:multiLevelType w:val="hybridMultilevel"/>
    <w:lvl w:ilvl="0">
      <w:lvlJc w:val="left"/>
      <w:lvlText w:val="%1"/>
      <w:numFmt w:val="decimal"/>
      <w:start w:val="10"/>
    </w:lvl>
  </w:abstractNum>
  <w:abstractNum w:abstractNumId="11">
    <w:nsid w:val="440BADFC"/>
    <w:multiLevelType w:val="hybridMultilevel"/>
    <w:lvl w:ilvl="0">
      <w:lvlJc w:val="left"/>
      <w:lvlText w:val="9"/>
      <w:numFmt w:val="bullet"/>
      <w:start w:val="1"/>
    </w:lvl>
  </w:abstractNum>
  <w:abstractNum w:abstractNumId="12">
    <w:nsid w:val="5072367"/>
    <w:multiLevelType w:val="hybridMultilevel"/>
    <w:lvl w:ilvl="0">
      <w:lvlJc w:val="left"/>
      <w:lvlText w:val="%1"/>
      <w:numFmt w:val="decimal"/>
      <w:start w:val="10"/>
    </w:lvl>
  </w:abstractNum>
  <w:abstractNum w:abstractNumId="13">
    <w:nsid w:val="3804823E"/>
    <w:multiLevelType w:val="hybridMultilevel"/>
    <w:lvl w:ilvl="0">
      <w:lvlJc w:val="left"/>
      <w:lvlText w:val="9"/>
      <w:numFmt w:val="bullet"/>
      <w:start w:val="1"/>
    </w:lvl>
  </w:abstractNum>
  <w:abstractNum w:abstractNumId="14">
    <w:nsid w:val="77465F01"/>
    <w:multiLevelType w:val="hybridMultilevel"/>
    <w:lvl w:ilvl="0">
      <w:lvlJc w:val="left"/>
      <w:lvlText w:val="%1"/>
      <w:numFmt w:val="decimal"/>
      <w:start w:val="10"/>
    </w:lvl>
  </w:abstractNum>
  <w:abstractNum w:abstractNumId="15">
    <w:nsid w:val="7724C67E"/>
    <w:multiLevelType w:val="hybridMultilevel"/>
    <w:lvl w:ilvl="0">
      <w:lvlJc w:val="left"/>
      <w:lvlText w:val="9"/>
      <w:numFmt w:val="bullet"/>
      <w:start w:val="1"/>
    </w:lvl>
  </w:abstractNum>
  <w:abstractNum w:abstractNumId="16">
    <w:nsid w:val="5C482A97"/>
    <w:multiLevelType w:val="hybridMultilevel"/>
    <w:lvl w:ilvl="0">
      <w:lvlJc w:val="left"/>
      <w:lvlText w:val="%1"/>
      <w:numFmt w:val="decimal"/>
      <w:start w:val="10"/>
    </w:lvl>
  </w:abstractNum>
  <w:abstractNum w:abstractNumId="17">
    <w:nsid w:val="2463B9EA"/>
    <w:multiLevelType w:val="hybridMultilevel"/>
    <w:lvl w:ilvl="0">
      <w:lvlJc w:val="left"/>
      <w:lvlText w:val="9"/>
      <w:numFmt w:val="bullet"/>
      <w:start w:val="1"/>
    </w:lvl>
  </w:abstractNum>
  <w:abstractNum w:abstractNumId="18">
    <w:nsid w:val="5E884ADC"/>
    <w:multiLevelType w:val="hybridMultilevel"/>
    <w:lvl w:ilvl="0">
      <w:lvlJc w:val="left"/>
      <w:lvlText w:val="%1"/>
      <w:numFmt w:val="decimal"/>
      <w:start w:val="10"/>
    </w:lvl>
  </w:abstractNum>
  <w:abstractNum w:abstractNumId="19">
    <w:nsid w:val="51EAD36B"/>
    <w:multiLevelType w:val="hybridMultilevel"/>
    <w:lvl w:ilvl="0">
      <w:lvlJc w:val="left"/>
      <w:lvlText w:val="9"/>
      <w:numFmt w:val="bullet"/>
      <w:start w:val="1"/>
    </w:lvl>
  </w:abstractNum>
  <w:abstractNum w:abstractNumId="20">
    <w:nsid w:val="2D517796"/>
    <w:multiLevelType w:val="hybridMultilevel"/>
    <w:lvl w:ilvl="0">
      <w:lvlJc w:val="left"/>
      <w:lvlText w:val="%1"/>
      <w:numFmt w:val="decimal"/>
      <w:start w:val="10"/>
    </w:lvl>
  </w:abstractNum>
  <w:abstractNum w:abstractNumId="21">
    <w:nsid w:val="580BD78F"/>
    <w:multiLevelType w:val="hybridMultilevel"/>
    <w:lvl w:ilvl="0">
      <w:lvlJc w:val="left"/>
      <w:lvlText w:val="9"/>
      <w:numFmt w:val="bullet"/>
      <w:start w:val="1"/>
    </w:lvl>
  </w:abstractNum>
  <w:abstractNum w:abstractNumId="22">
    <w:nsid w:val="153EA438"/>
    <w:multiLevelType w:val="hybridMultilevel"/>
    <w:lvl w:ilvl="0">
      <w:lvlJc w:val="left"/>
      <w:lvlText w:val="%1"/>
      <w:numFmt w:val="decimal"/>
      <w:start w:val="10"/>
    </w:lvl>
  </w:abstractNum>
  <w:abstractNum w:abstractNumId="23">
    <w:nsid w:val="3855585C"/>
    <w:multiLevelType w:val="hybridMultilevel"/>
    <w:lvl w:ilvl="0">
      <w:lvlJc w:val="left"/>
      <w:lvlText w:val="9"/>
      <w:numFmt w:val="bullet"/>
      <w:start w:val="1"/>
    </w:lvl>
  </w:abstractNum>
  <w:abstractNum w:abstractNumId="24">
    <w:nsid w:val="70A64E2A"/>
    <w:multiLevelType w:val="hybridMultilevel"/>
    <w:lvl w:ilvl="0">
      <w:lvlJc w:val="left"/>
      <w:lvlText w:val="%1"/>
      <w:numFmt w:val="decimal"/>
      <w:start w:val="10"/>
    </w:lvl>
  </w:abstractNum>
  <w:abstractNum w:abstractNumId="25">
    <w:nsid w:val="6A2342EC"/>
    <w:multiLevelType w:val="hybridMultilevel"/>
    <w:lvl w:ilvl="0">
      <w:lvlJc w:val="left"/>
      <w:lvlText w:val="9"/>
      <w:numFmt w:val="bullet"/>
      <w:start w:val="1"/>
    </w:lvl>
  </w:abstractNum>
  <w:abstractNum w:abstractNumId="26">
    <w:nsid w:val="2A487CB0"/>
    <w:multiLevelType w:val="hybridMultilevel"/>
    <w:lvl w:ilvl="0">
      <w:lvlJc w:val="left"/>
      <w:lvlText w:val="%1"/>
      <w:numFmt w:val="decimal"/>
      <w:start w:val="10"/>
    </w:lvl>
  </w:abstractNum>
  <w:abstractNum w:abstractNumId="27">
    <w:nsid w:val="1D4ED43B"/>
    <w:multiLevelType w:val="hybridMultilevel"/>
    <w:lvl w:ilvl="0">
      <w:lvlJc w:val="left"/>
      <w:lvlText w:val="9"/>
      <w:numFmt w:val="bullet"/>
      <w:start w:val="1"/>
    </w:lvl>
  </w:abstractNum>
  <w:abstractNum w:abstractNumId="28">
    <w:nsid w:val="725A06FB"/>
    <w:multiLevelType w:val="hybridMultilevel"/>
    <w:lvl w:ilvl="0">
      <w:lvlJc w:val="left"/>
      <w:lvlText w:val="%1"/>
      <w:numFmt w:val="decimal"/>
      <w:start w:val="10"/>
    </w:lvl>
  </w:abstractNum>
  <w:abstractNum w:abstractNumId="29">
    <w:nsid w:val="2CD89A32"/>
    <w:multiLevelType w:val="hybridMultilevel"/>
    <w:lvl w:ilvl="0">
      <w:lvlJc w:val="left"/>
      <w:lvlText w:val="9"/>
      <w:numFmt w:val="bullet"/>
      <w:start w:val="1"/>
    </w:lvl>
  </w:abstractNum>
  <w:abstractNum w:abstractNumId="30">
    <w:nsid w:val="57E4CCAF"/>
    <w:multiLevelType w:val="hybridMultilevel"/>
    <w:lvl w:ilvl="0">
      <w:lvlJc w:val="left"/>
      <w:lvlText w:val="%1"/>
      <w:numFmt w:val="decimal"/>
      <w:start w:val="10"/>
    </w:lvl>
  </w:abstractNum>
  <w:abstractNum w:abstractNumId="31">
    <w:nsid w:val="7A6D8D3C"/>
    <w:multiLevelType w:val="hybridMultilevel"/>
    <w:lvl w:ilvl="0">
      <w:lvlJc w:val="left"/>
      <w:lvlText w:val="9"/>
      <w:numFmt w:val="bullet"/>
      <w:start w:val="1"/>
    </w:lvl>
  </w:abstractNum>
  <w:abstractNum w:abstractNumId="32">
    <w:nsid w:val="4B588F54"/>
    <w:multiLevelType w:val="hybridMultilevel"/>
    <w:lvl w:ilvl="0">
      <w:lvlJc w:val="left"/>
      <w:lvlText w:val="%1"/>
      <w:numFmt w:val="decimal"/>
      <w:start w:val="10"/>
    </w:lvl>
  </w:abstractNum>
  <w:abstractNum w:abstractNumId="33">
    <w:nsid w:val="542289EC"/>
    <w:multiLevelType w:val="hybridMultilevel"/>
    <w:lvl w:ilvl="0">
      <w:lvlJc w:val="left"/>
      <w:lvlText w:val="9"/>
      <w:numFmt w:val="bullet"/>
      <w:start w:val="1"/>
    </w:lvl>
  </w:abstractNum>
  <w:abstractNum w:abstractNumId="34">
    <w:nsid w:val="6DE91B18"/>
    <w:multiLevelType w:val="hybridMultilevel"/>
    <w:lvl w:ilvl="0">
      <w:lvlJc w:val="left"/>
      <w:lvlText w:val="%1"/>
      <w:numFmt w:val="decimal"/>
      <w:start w:val="10"/>
    </w:lvl>
  </w:abstractNum>
  <w:abstractNum w:abstractNumId="35">
    <w:nsid w:val="38437FDB"/>
    <w:multiLevelType w:val="hybridMultilevel"/>
    <w:lvl w:ilvl="0">
      <w:lvlJc w:val="left"/>
      <w:lvlText w:val="9"/>
      <w:numFmt w:val="bullet"/>
      <w:start w:val="1"/>
    </w:lvl>
  </w:abstractNum>
  <w:abstractNum w:abstractNumId="36">
    <w:nsid w:val="7644A45C"/>
    <w:multiLevelType w:val="hybridMultilevel"/>
    <w:lvl w:ilvl="0">
      <w:lvlJc w:val="left"/>
      <w:lvlText w:val="%1"/>
      <w:numFmt w:val="decimal"/>
      <w:start w:val="10"/>
    </w:lvl>
  </w:abstractNum>
  <w:abstractNum w:abstractNumId="37">
    <w:nsid w:val="32FFF902"/>
    <w:multiLevelType w:val="hybridMultilevel"/>
    <w:lvl w:ilvl="0">
      <w:lvlJc w:val="left"/>
      <w:lvlText w:val="9"/>
      <w:numFmt w:val="bullet"/>
      <w:start w:val="1"/>
    </w:lvl>
  </w:abstractNum>
  <w:abstractNum w:abstractNumId="38">
    <w:nsid w:val="684A481A"/>
    <w:multiLevelType w:val="hybridMultilevel"/>
    <w:lvl w:ilvl="0">
      <w:lvlJc w:val="left"/>
      <w:lvlText w:val="%1"/>
      <w:numFmt w:val="decimal"/>
      <w:start w:val="10"/>
    </w:lvl>
  </w:abstractNum>
  <w:abstractNum w:abstractNumId="39">
    <w:nsid w:val="579478FE"/>
    <w:multiLevelType w:val="hybridMultilevel"/>
    <w:lvl w:ilvl="0">
      <w:lvlJc w:val="left"/>
      <w:lvlText w:val="9"/>
      <w:numFmt w:val="bullet"/>
      <w:start w:val="1"/>
    </w:lvl>
  </w:abstractNum>
  <w:abstractNum w:abstractNumId="40">
    <w:nsid w:val="749ABB43"/>
    <w:multiLevelType w:val="hybridMultilevel"/>
    <w:lvl w:ilvl="0">
      <w:lvlJc w:val="left"/>
      <w:lvlText w:val="%1"/>
      <w:numFmt w:val="decimal"/>
      <w:start w:val="10"/>
    </w:lvl>
  </w:abstractNum>
  <w:abstractNum w:abstractNumId="41">
    <w:nsid w:val="3DC240FB"/>
    <w:multiLevelType w:val="hybridMultilevel"/>
    <w:lvl w:ilvl="0">
      <w:lvlJc w:val="left"/>
      <w:lvlText w:val="9"/>
      <w:numFmt w:val="bullet"/>
      <w:start w:val="1"/>
    </w:lvl>
  </w:abstractNum>
  <w:abstractNum w:abstractNumId="42">
    <w:nsid w:val="1BA026FA"/>
    <w:multiLevelType w:val="hybridMultilevel"/>
    <w:lvl w:ilvl="0">
      <w:lvlJc w:val="left"/>
      <w:lvlText w:val="%1"/>
      <w:numFmt w:val="decimal"/>
      <w:start w:val="10"/>
    </w:lvl>
  </w:abstractNum>
  <w:abstractNum w:abstractNumId="43">
    <w:nsid w:val="79A1DEAA"/>
    <w:multiLevelType w:val="hybridMultilevel"/>
    <w:lvl w:ilvl="0">
      <w:lvlJc w:val="left"/>
      <w:lvlText w:val="9"/>
      <w:numFmt w:val="bullet"/>
      <w:start w:val="1"/>
    </w:lvl>
  </w:abstractNum>
  <w:abstractNum w:abstractNumId="44">
    <w:nsid w:val="75C6C33A"/>
    <w:multiLevelType w:val="hybridMultilevel"/>
    <w:lvl w:ilvl="0">
      <w:lvlJc w:val="left"/>
      <w:lvlText w:val="%1"/>
      <w:numFmt w:val="decimal"/>
      <w:start w:val="10"/>
    </w:lvl>
  </w:abstractNum>
  <w:abstractNum w:abstractNumId="45">
    <w:nsid w:val="12E685FB"/>
    <w:multiLevelType w:val="hybridMultilevel"/>
    <w:lvl w:ilvl="0">
      <w:lvlJc w:val="left"/>
      <w:lvlText w:val="9"/>
      <w:numFmt w:val="bullet"/>
      <w:start w:val="1"/>
    </w:lvl>
  </w:abstractNum>
  <w:abstractNum w:abstractNumId="46">
    <w:nsid w:val="70C6A529"/>
    <w:multiLevelType w:val="hybridMultilevel"/>
    <w:lvl w:ilvl="0">
      <w:lvlJc w:val="left"/>
      <w:lvlText w:val="%1"/>
      <w:numFmt w:val="decimal"/>
      <w:start w:val="10"/>
    </w:lvl>
  </w:abstractNum>
  <w:abstractNum w:abstractNumId="47">
    <w:nsid w:val="520EEDD1"/>
    <w:multiLevelType w:val="hybridMultilevel"/>
    <w:lvl w:ilvl="0">
      <w:lvlJc w:val="left"/>
      <w:lvlText w:val="9"/>
      <w:numFmt w:val="bullet"/>
      <w:start w:val="1"/>
    </w:lvl>
  </w:abstractNum>
  <w:abstractNum w:abstractNumId="48">
    <w:nsid w:val="374A3FE6"/>
    <w:multiLevelType w:val="hybridMultilevel"/>
    <w:lvl w:ilvl="0">
      <w:lvlJc w:val="left"/>
      <w:lvlText w:val="%1"/>
      <w:numFmt w:val="decimal"/>
      <w:start w:val="10"/>
    </w:lvl>
  </w:abstractNum>
  <w:abstractNum w:abstractNumId="49">
    <w:nsid w:val="4F4EF005"/>
    <w:multiLevelType w:val="hybridMultilevel"/>
    <w:lvl w:ilvl="0">
      <w:lvlJc w:val="left"/>
      <w:lvlText w:val="(%1)"/>
      <w:numFmt w:val="lowerRoman"/>
      <w:start w:val="7"/>
    </w:lvl>
  </w:abstractNum>
  <w:abstractNum w:abstractNumId="50">
    <w:nsid w:val="23F9C13C"/>
    <w:multiLevelType w:val="hybridMultilevel"/>
    <w:lvl w:ilvl="0">
      <w:lvlJc w:val="left"/>
      <w:lvlText w:val="(%1)"/>
      <w:numFmt w:val="lowerRoman"/>
      <w:start w:val="11"/>
    </w:lvl>
  </w:abstractNum>
  <w:abstractNum w:abstractNumId="51">
    <w:nsid w:val="649BB77C"/>
    <w:multiLevelType w:val="hybridMultilevel"/>
    <w:lvl w:ilvl="0">
      <w:lvlJc w:val="left"/>
      <w:lvlText w:val="(%1)"/>
      <w:numFmt w:val="lowerRoman"/>
      <w:start w:val="17"/>
    </w:lvl>
  </w:abstractNum>
  <w:abstractNum w:abstractNumId="52">
    <w:nsid w:val="275AC794"/>
    <w:multiLevelType w:val="hybridMultilevel"/>
    <w:lvl w:ilvl="0">
      <w:lvlJc w:val="left"/>
      <w:lvlText w:val="(%1)"/>
      <w:numFmt w:val="lowerRoman"/>
      <w:start w:val="32"/>
    </w:lvl>
  </w:abstractNum>
  <w:abstractNum w:abstractNumId="53">
    <w:nsid w:val="39386575"/>
    <w:multiLevelType w:val="hybridMultilevel"/>
    <w:lvl w:ilvl="0">
      <w:lvlJc w:val="left"/>
      <w:lvlText w:val="(%1)"/>
      <w:numFmt w:val="lowerLetter"/>
      <w:start w:val="2"/>
    </w:lvl>
  </w:abstractNum>
  <w:abstractNum w:abstractNumId="54">
    <w:nsid w:val="1CF10FD8"/>
    <w:multiLevelType w:val="hybridMultilevel"/>
    <w:lvl w:ilvl="0">
      <w:lvlJc w:val="left"/>
      <w:lvlText w:val="(%1)"/>
      <w:numFmt w:val="lowerLetter"/>
      <w:start w:val="3"/>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lowerLetter"/>
      <w:start w:val="3"/>
    </w:lvl>
    <w:lvl w:ilvl="1">
      <w:lvlJc w:val="left"/>
      <w:lvlText w:val="(%2)"/>
      <w:numFmt w:val="lowerRoman"/>
      <w:start w:val="1"/>
    </w:lvl>
  </w:abstractNum>
  <w:abstractNum w:abstractNumId="57">
    <w:nsid w:val="47398C89"/>
    <w:multiLevelType w:val="hybridMultilevel"/>
    <w:lvl w:ilvl="0">
      <w:lvlJc w:val="left"/>
      <w:lvlText w:val="%1"/>
      <w:numFmt w:val="lowerRoman"/>
      <w:start w:val="1"/>
    </w:lvl>
    <w:lvl w:ilvl="1">
      <w:lvlJc w:val="left"/>
      <w:lvlText w:val="(%2)"/>
      <w:numFmt w:val="lowerRoman"/>
      <w:start w:val="3"/>
    </w:lvl>
  </w:abstractNum>
  <w:abstractNum w:abstractNumId="58">
    <w:nsid w:val="354FE9F9"/>
    <w:multiLevelType w:val="hybridMultilevel"/>
    <w:lvl w:ilvl="0">
      <w:lvlJc w:val="left"/>
      <w:lvlText w:val="(%1)"/>
      <w:numFmt w:val="lowerRoman"/>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2022-02-12T03:19:38Z</dcterms:created>
  <dcterms:modified xsi:type="dcterms:W3CDTF">2022-02-12T03:19:38Z</dcterms:modified>
</cp:coreProperties>
</file>