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90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6"/>
          </w:tcPr>
          <w:p>
            <w:pPr>
              <w:ind w:left="80"/>
              <w:spacing w:after="0"/>
              <w:rPr>
                <w:sz w:val="20"/>
                <w:szCs w:val="20"/>
                <w:color w:val="auto"/>
              </w:rPr>
            </w:pPr>
            <w:r>
              <w:rPr>
                <w:rFonts w:ascii="Arial" w:cs="Arial" w:eastAsia="Arial" w:hAnsi="Arial"/>
                <w:sz w:val="17"/>
                <w:szCs w:val="17"/>
                <w:color w:val="0000FF"/>
              </w:rPr>
              <w:t>05/24/2021</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6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500" w:type="dxa"/>
            <w:vAlign w:val="bottom"/>
            <w:gridSpan w:val="7"/>
            <w:vMerge w:val="restart"/>
          </w:tcPr>
          <w:p>
            <w:pPr>
              <w:ind w:left="700"/>
              <w:spacing w:after="0"/>
              <w:rPr>
                <w:sz w:val="20"/>
                <w:szCs w:val="20"/>
                <w:color w:val="auto"/>
              </w:rPr>
            </w:pPr>
            <w:r>
              <w:rPr>
                <w:rFonts w:ascii="Arial" w:cs="Arial" w:eastAsia="Arial" w:hAnsi="Arial"/>
                <w:sz w:val="17"/>
                <w:szCs w:val="17"/>
                <w:color w:val="0000FF"/>
                <w:w w:val="91"/>
              </w:rPr>
              <w:t>05/24/2021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18,727</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340" w:type="dxa"/>
            <w:vAlign w:val="bottom"/>
            <w:vMerge w:val="restart"/>
          </w:tcPr>
          <w:p>
            <w:pPr>
              <w:ind w:left="1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29,318</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500" w:type="dxa"/>
            <w:vAlign w:val="bottom"/>
            <w:gridSpan w:val="7"/>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3"/>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19"/>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7"/>
                <w:szCs w:val="17"/>
                <w:color w:val="0000FF"/>
              </w:rPr>
              <w:t>1345 AVENUE OF THE AMERICAS, 30TH FLOOR</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7"/>
                <w:szCs w:val="17"/>
                <w:color w:val="0000FF"/>
              </w:rPr>
              <w:t>1345 AVENUE OF THE AMERICAS, 30TH FLOOR</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 grant of shares of restricted stock of the Issuer granted by Clearway Energy Group LLC ("Clearway Energy Group") under its Long Term Equity Incentive Program to one of its employees.</w:t>
      </w:r>
    </w:p>
    <w:p>
      <w:pPr>
        <w:spacing w:after="0" w:line="61" w:lineRule="exact"/>
        <w:rPr>
          <w:rFonts w:ascii="Arial" w:cs="Arial" w:eastAsia="Arial" w:hAnsi="Arial"/>
          <w:sz w:val="12"/>
          <w:szCs w:val="12"/>
          <w:color w:val="008000"/>
        </w:rPr>
      </w:pPr>
    </w:p>
    <w:p>
      <w:pPr>
        <w:jc w:val="both"/>
        <w:ind w:left="20" w:right="4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ectPr>
          <w:pgSz w:w="11900" w:h="16838" w:orient="portrait"/>
          <w:cols w:equalWidth="0" w:num="1">
            <w:col w:w="10860"/>
          </w:cols>
          <w:pgMar w:left="480" w:top="131" w:right="55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00"/>
          </w:cols>
          <w:pgMar w:left="480" w:top="131" w:right="55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2021-05-26T19:47:25Z</dcterms:created>
  <dcterms:modified xsi:type="dcterms:W3CDTF">2021-05-26T19:47:25Z</dcterms:modified>
</cp:coreProperties>
</file>