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Sotos Christopher S</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CLEARWAY ENERGY,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Clearway Energy,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CWEN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03/01/2023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05"/>
        <w:spacing w:after="0"/>
        <w:rPr>
          <w:sz w:val="20"/>
          <w:szCs w:val="20"/>
          <w:color w:val="auto"/>
        </w:rPr>
      </w:pPr>
      <w:r>
        <w:rPr>
          <w:rFonts w:ascii="Arial" w:cs="Arial" w:eastAsia="Arial" w:hAnsi="Arial"/>
          <w:sz w:val="17"/>
          <w:szCs w:val="17"/>
          <w:color w:val="0000FF"/>
        </w:rPr>
        <w:t>PRESIDENT AND CEO</w:t>
      </w:r>
    </w:p>
    <w:p>
      <w:pPr>
        <w:spacing w:after="0" w:line="42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PRINCETON</w:t>
            </w:r>
          </w:p>
        </w:tc>
        <w:tc>
          <w:tcPr>
            <w:tcW w:w="940" w:type="dxa"/>
            <w:vAlign w:val="bottom"/>
          </w:tcPr>
          <w:p>
            <w:pPr>
              <w:ind w:left="120"/>
              <w:spacing w:after="0"/>
              <w:rPr>
                <w:sz w:val="20"/>
                <w:szCs w:val="20"/>
                <w:color w:val="auto"/>
              </w:rPr>
            </w:pPr>
            <w:r>
              <w:rPr>
                <w:rFonts w:ascii="Arial" w:cs="Arial" w:eastAsia="Arial" w:hAnsi="Arial"/>
                <w:sz w:val="17"/>
                <w:szCs w:val="17"/>
                <w:color w:val="0000FF"/>
              </w:rPr>
              <w:t>NJ</w:t>
            </w:r>
          </w:p>
        </w:tc>
        <w:tc>
          <w:tcPr>
            <w:tcW w:w="1600" w:type="dxa"/>
            <w:vAlign w:val="bottom"/>
          </w:tcPr>
          <w:p>
            <w:pPr>
              <w:ind w:left="400"/>
              <w:spacing w:after="0"/>
              <w:rPr>
                <w:sz w:val="20"/>
                <w:szCs w:val="20"/>
                <w:color w:val="auto"/>
              </w:rPr>
            </w:pPr>
            <w:r>
              <w:rPr>
                <w:rFonts w:ascii="Arial" w:cs="Arial" w:eastAsia="Arial" w:hAnsi="Arial"/>
                <w:sz w:val="17"/>
                <w:szCs w:val="17"/>
                <w:color w:val="0000FF"/>
              </w:rPr>
              <w:t>08540</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4"/>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140" w:type="dxa"/>
            <w:vAlign w:val="bottom"/>
            <w:gridSpan w:val="2"/>
            <w:vMerge w:val="restart"/>
          </w:tcPr>
          <w:p>
            <w:pPr>
              <w:jc w:val="right"/>
              <w:ind w:right="60"/>
              <w:spacing w:after="0"/>
              <w:rPr>
                <w:sz w:val="20"/>
                <w:szCs w:val="20"/>
                <w:color w:val="auto"/>
              </w:rPr>
            </w:pPr>
            <w:r>
              <w:rPr>
                <w:rFonts w:ascii="Arial" w:cs="Arial" w:eastAsia="Arial" w:hAnsi="Arial"/>
                <w:sz w:val="17"/>
                <w:szCs w:val="17"/>
                <w:color w:val="0000FF"/>
              </w:rPr>
              <w:t>03/01/2023</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ind w:left="240"/>
              <w:spacing w:after="0"/>
              <w:rPr>
                <w:sz w:val="20"/>
                <w:szCs w:val="20"/>
                <w:color w:val="auto"/>
              </w:rPr>
            </w:pPr>
            <w:r>
              <w:rPr>
                <w:rFonts w:ascii="Arial" w:cs="Arial" w:eastAsia="Arial" w:hAnsi="Arial"/>
                <w:sz w:val="17"/>
                <w:szCs w:val="17"/>
                <w:color w:val="0000FF"/>
              </w:rPr>
              <w:t>2,369</w:t>
            </w:r>
          </w:p>
        </w:tc>
        <w:tc>
          <w:tcPr>
            <w:tcW w:w="46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1"/>
                <w:szCs w:val="11"/>
                <w:color w:val="008000"/>
              </w:rPr>
              <w:t>(1)</w:t>
            </w:r>
          </w:p>
        </w:tc>
        <w:tc>
          <w:tcPr>
            <w:tcW w:w="1380" w:type="dxa"/>
            <w:vAlign w:val="bottom"/>
            <w:gridSpan w:val="3"/>
            <w:vMerge w:val="restart"/>
          </w:tcPr>
          <w:p>
            <w:pPr>
              <w:ind w:left="400"/>
              <w:spacing w:after="0"/>
              <w:rPr>
                <w:sz w:val="20"/>
                <w:szCs w:val="20"/>
                <w:color w:val="auto"/>
              </w:rPr>
            </w:pPr>
            <w:r>
              <w:rPr>
                <w:rFonts w:ascii="Arial" w:cs="Arial" w:eastAsia="Arial" w:hAnsi="Arial"/>
                <w:sz w:val="17"/>
                <w:szCs w:val="17"/>
                <w:color w:val="0000FF"/>
              </w:rPr>
              <w:t>271,096</w:t>
            </w:r>
            <w:r>
              <w:rPr>
                <w:rFonts w:ascii="Arial" w:cs="Arial" w:eastAsia="Arial" w:hAnsi="Arial"/>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7"/>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16,508 dividend equivalent rights that may only be settled in Class C Common Stock.</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Kevin P. Malcarney,</w:t>
            </w:r>
          </w:p>
        </w:tc>
        <w:tc>
          <w:tcPr>
            <w:tcW w:w="4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03/03/2023</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78991"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2023-03-03T15:43:50Z</dcterms:created>
  <dcterms:modified xsi:type="dcterms:W3CDTF">2023-03-03T15:43:50Z</dcterms:modified>
</cp:coreProperties>
</file>