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345" w:before="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20" w:after="283"/>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November 2, 2023</w:t>
      </w:r>
      <w:r>
        <w:rPr>
          <w:color w:val="000000"/>
        </w:rPr>
        <w:t xml:space="preserve">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CLEARWAY ENERGY, INC. </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001-36002</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46-1777204</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Princeton, New Jersey 08540 </w:t>
      </w:r>
    </w:p>
    <w:p>
      <w:pPr>
        <w:pStyle w:val="TextBody"/>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(609) 608-1525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N/A</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CWEN.A</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On November 2, 2023, Clearway Energy, Inc. issued a press release announcing its financial results for the quarter ended September 30, 2023.  A copy of the press release is furnished as Exhibit 99.1 to this report on Form 8-K and is hereby incorporated by reference. </w:t>
      </w:r>
      <w:r>
        <w:rPr>
          <w:rFonts w:ascii="Times New Roman;sans-serif" w:hAnsi="Times New Roman;sans-serif"/>
          <w:b w:val="false"/>
          <w:color w:val="212529"/>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p>
      <w:pPr>
        <w:pStyle w:val="TextBody"/>
        <w:bidi w:val="0"/>
        <w:spacing w:before="0" w:after="0"/>
        <w:jc w:val="both"/>
        <w:rPr/>
      </w:pPr>
      <w:r>
        <w:rPr/>
      </w:r>
    </w:p>
    <w:p>
      <w:pPr>
        <w:pStyle w:val="TextBody"/>
        <w:bidi w:val="0"/>
        <w:spacing w:lineRule="auto" w:line="288" w:before="0" w:after="14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In accordance with General Instruction B.2 of Form 8-K, the information set forth in the attached exhibit is deemed to be furnished and shall not be deemed to be “filed” for purposes of Section 18 of the Exchange Act. </w:t>
      </w:r>
    </w:p>
    <w:tbl>
      <w:tblPr>
        <w:tblW w:w="859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179"/>
        <w:gridCol w:w="2179"/>
        <w:gridCol w:w="309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clearwayenergyi.htm">
              <w:r>
                <w:rPr>
                  <w:rStyle w:val="InternetLink"/>
                  <w:rFonts w:ascii="Times New Roman;sans-serif" w:hAnsi="Times New Roman;sans-serif"/>
                  <w:b w:val="false"/>
                  <w:color w:val="000080"/>
                  <w:sz w:val="20"/>
                  <w:u w:val="single"/>
                </w:rPr>
                <w:t xml:space="preserve">Press Release, dated </w:t>
              </w:r>
            </w:hyperlink>
            <w:hyperlink w:anchor="exhibit991-clearwayenergyi.htm">
              <w:r>
                <w:rPr>
                  <w:rStyle w:val="InternetLink"/>
                  <w:rFonts w:ascii="Times New Roman;sans-serif" w:hAnsi="Times New Roman;sans-serif"/>
                  <w:b w:val="false"/>
                  <w:color w:val="000080"/>
                  <w:sz w:val="20"/>
                  <w:u w:val="single"/>
                </w:rPr>
                <w:t>November 2</w:t>
              </w:r>
            </w:hyperlink>
            <w:hyperlink w:anchor="exhibit991-clearwayenergyi.htm">
              <w:r>
                <w:rPr>
                  <w:rStyle w:val="InternetLink"/>
                  <w:rFonts w:ascii="Times New Roman;sans-serif" w:hAnsi="Times New Roman;sans-serif"/>
                  <w:b w:val="false"/>
                  <w:color w:val="000080"/>
                  <w:sz w:val="20"/>
                  <w:u w:val="single"/>
                </w:rPr>
                <w:t>,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6599" w:type="dxa"/>
        <w:jc w:val="left"/>
        <w:tblInd w:w="0" w:type="dxa"/>
        <w:tblLayout w:type="fixed"/>
        <w:tblCellMar>
          <w:top w:w="28" w:type="dxa"/>
          <w:left w:w="28" w:type="dxa"/>
          <w:bottom w:w="28" w:type="dxa"/>
          <w:right w:w="28" w:type="dxa"/>
        </w:tblCellMar>
      </w:tblPr>
      <w:tblGrid>
        <w:gridCol w:w="797"/>
        <w:gridCol w:w="700"/>
        <w:gridCol w:w="707"/>
        <w:gridCol w:w="300"/>
        <w:gridCol w:w="300"/>
        <w:gridCol w:w="300"/>
        <w:gridCol w:w="1013"/>
        <w:gridCol w:w="1013"/>
        <w:gridCol w:w="1469"/>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P. Malcarney</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2, 2023</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00"/>
        <w:jc w:val="left"/>
        <w:rPr/>
      </w:pPr>
      <w:r>
        <w:rPr/>
      </w:r>
    </w:p>
    <w:p>
      <w:pPr>
        <w:pStyle w:val="TextBody"/>
        <w:bidi w:val="0"/>
        <w:spacing w:before="0" w:after="0"/>
        <w:ind w:left="0" w:right="0" w:firstLine="1440"/>
        <w:jc w:val="right"/>
        <w:rPr/>
      </w:pPr>
      <w:r>
        <w:rPr/>
      </w:r>
    </w:p>
    <w:p>
      <w:pPr>
        <w:pStyle w:val="TextBody"/>
        <w:bidi w:val="0"/>
        <w:spacing w:before="0" w:after="20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71462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olor w:val="000000"/>
        </w:rPr>
        <w:t xml:space="preserve">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Clearway Energy, Inc. Reports Third Quarter 2023 Financial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Signed agreement with Clearway Group to commit to invest in the 452 MW Texas Solar Nova solar projects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Received enhanced offer from Clearway Group to invest in Dan's Mountain Wind</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Received offer from Clearway Group to invest in 572 MW of solar plus storage projects </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Entered into new Resource Adequacy contracts for Marsh Landing and El Segundo</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Reiterating 2023 financial guidance range and initiating 2024 financial guidance</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Increasing the quarterly dividend by 2% to $0.3964</w:t>
      </w:r>
      <w:r>
        <w:rPr>
          <w:color w:val="000000"/>
        </w:rPr>
        <w:t xml:space="preserve"> </w:t>
      </w:r>
      <w:r>
        <w:rPr>
          <w:rFonts w:ascii="Times New Roman;sans-serif" w:hAnsi="Times New Roman;sans-serif"/>
          <w:b/>
          <w:color w:val="000000"/>
          <w:sz w:val="20"/>
        </w:rPr>
        <w:t>per share in the fourth quarter of 20</w:t>
      </w:r>
      <w:r>
        <w:rPr>
          <w:rFonts w:ascii="Times New Roman;sans-serif" w:hAnsi="Times New Roman;sans-serif"/>
          <w:b/>
          <w:color w:val="242424"/>
          <w:sz w:val="20"/>
        </w:rPr>
        <w:t>2</w:t>
      </w:r>
      <w:r>
        <w:rPr>
          <w:rFonts w:ascii="Times New Roman;sans-serif" w:hAnsi="Times New Roman;sans-serif"/>
          <w:b/>
          <w:color w:val="000000"/>
          <w:sz w:val="20"/>
        </w:rPr>
        <w:t>3, or $1.5856 per share annualized. Achieved 8% dividend per share growth in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Continue to target annual dividend per share growth in the upper range of 5% to 8% through 2026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PRINCETON, NJ </w:t>
      </w:r>
      <w:r>
        <w:rPr>
          <w:color w:val="000000"/>
        </w:rPr>
        <w:t xml:space="preserve">— </w:t>
      </w:r>
      <w:r>
        <w:rPr>
          <w:rFonts w:ascii="Times New Roman;sans-serif" w:hAnsi="Times New Roman;sans-serif"/>
          <w:b/>
          <w:color w:val="000000"/>
          <w:sz w:val="20"/>
        </w:rPr>
        <w:t>November 2, 2023</w:t>
      </w:r>
      <w:r>
        <w:rPr>
          <w:color w:val="000000"/>
        </w:rPr>
        <w:t xml:space="preserve">— </w:t>
      </w:r>
      <w:r>
        <w:rPr>
          <w:rFonts w:ascii="Times New Roman;sans-serif" w:hAnsi="Times New Roman;sans-serif"/>
          <w:b w:val="false"/>
          <w:color w:val="000000"/>
          <w:sz w:val="20"/>
        </w:rPr>
        <w:t>Clearway Energy, Inc. (NYSE: CWEN, CWEN.A) today reported third quarter 2023 financial results, including Net Income of $15 million, Adjusted EBITDA of $323 million, Cash from Operating Activities of $287 million, and Cash Available for Distribution (CAFD) of $156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"Clearway continues to expect 2023 full year results to be within the revised guidance range and has made further progress on executing toward its long-term objective to deliver at the upper range of its dividend growth target through 2026 without external debt or equity. With the commitment to invest in the Texas Solar Nova projects and the recent projects offered to CWEN, we now have full visibility into the deployment of the excess Thermal proceeds through commitments or offers. Importantly, the recent commitment and offers from our sponsor are at attractive economics and reflect the ability of the Clearway enterprise to adapt to the current capital markets environment,” said Christopher Sotos, Clearway Energy, Inc.’s President and Chief Executive Officer. “We are fortunate to have a sponsor who’s aligned with our disciplined capital allocation criteria. I remain confident that in partnership with our Board and sponsor, we can allocate capital to both drive CAFD per share growth and create long-term value creation for our investors.”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and Cash Available for Distribution used in this press release are non-GAAP measures and are explained in greater detail under “Non-GAAP Financial Information”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 of Financial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Segment Results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Table 1: Net Income/(Loss)</w:t>
      </w:r>
    </w:p>
    <w:tbl>
      <w:tblPr>
        <w:tblW w:w="6234"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234"/>
        <w:gridCol w:w="400"/>
        <w:gridCol w:w="121"/>
        <w:gridCol w:w="121"/>
        <w:gridCol w:w="121"/>
        <w:gridCol w:w="121"/>
        <w:gridCol w:w="234"/>
        <w:gridCol w:w="400"/>
        <w:gridCol w:w="121"/>
        <w:gridCol w:w="109"/>
        <w:gridCol w:w="109"/>
        <w:gridCol w:w="109"/>
        <w:gridCol w:w="232"/>
        <w:gridCol w:w="398"/>
        <w:gridCol w:w="120"/>
        <w:gridCol w:w="109"/>
        <w:gridCol w:w="109"/>
        <w:gridCol w:w="109"/>
        <w:gridCol w:w="211"/>
        <w:gridCol w:w="61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2: Adjusted EBITDA</w:t>
      </w:r>
    </w:p>
    <w:tbl>
      <w:tblPr>
        <w:tblW w:w="6146"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3: Cash from Operating Activities and Cash Available for Distribution (CAFD)</w:t>
      </w:r>
    </w:p>
    <w:tbl>
      <w:tblPr>
        <w:tblW w:w="7841" w:type="dxa"/>
        <w:jc w:val="left"/>
        <w:tblInd w:w="0" w:type="dxa"/>
        <w:tblLayout w:type="fixed"/>
        <w:tblCellMar>
          <w:top w:w="28" w:type="dxa"/>
          <w:left w:w="28" w:type="dxa"/>
          <w:bottom w:w="28" w:type="dxa"/>
          <w:right w:w="28" w:type="dxa"/>
        </w:tblCellMar>
      </w:tblPr>
      <w:tblGrid>
        <w:gridCol w:w="1210"/>
        <w:gridCol w:w="1064"/>
        <w:gridCol w:w="1070"/>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9/30/22</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Available for Distribution (CAFD)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third quarter of 2023, the Company reported Net Income of $15 million, Adjusted EBITDA of $323 million, Cash from Operating Activities of $287 million, and CAFD of $156 million. Net Income decreased versus 2022 primarily due to non-cash tax expenses from allocations of taxable earnings and losses from HLBV method accounting. Adjusted EBITDA results in the third quarter were in-line with 2022 as lower renewable production at certain sites and the expiration of certain tolling agreements in the Conventional fleet was offset by the contribution of growth investments. CAFD results in the third quarter of 2023 were in-line with 2022 as lower renewable production at certain sites was offset by the contribution of growth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Operational Performance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4: Selected Operating Results</w:t>
      </w:r>
      <w:r>
        <w:rPr>
          <w:rFonts w:ascii="Times New Roman;sans-serif" w:hAnsi="Times New Roman;sans-serif"/>
          <w:b/>
          <w:color w:val="000000"/>
          <w:sz w:val="13"/>
        </w:rPr>
        <w:t>1</w:t>
      </w:r>
      <w:r>
        <w:rPr>
          <w:color w:val="000000"/>
        </w:rPr>
        <w:t xml:space="preserve"> </w:t>
      </w:r>
    </w:p>
    <w:tbl>
      <w:tblPr>
        <w:tblW w:w="9100" w:type="dxa"/>
        <w:jc w:val="left"/>
        <w:tblInd w:w="0" w:type="dxa"/>
        <w:tblLayout w:type="fixed"/>
        <w:tblCellMar>
          <w:top w:w="28" w:type="dxa"/>
          <w:left w:w="28" w:type="dxa"/>
          <w:bottom w:w="28" w:type="dxa"/>
          <w:right w:w="28" w:type="dxa"/>
        </w:tblCellMar>
      </w:tblPr>
      <w:tblGrid>
        <w:gridCol w:w="1370"/>
        <w:gridCol w:w="1203"/>
        <w:gridCol w:w="1207"/>
        <w:gridCol w:w="109"/>
        <w:gridCol w:w="109"/>
        <w:gridCol w:w="109"/>
        <w:gridCol w:w="255"/>
        <w:gridCol w:w="256"/>
        <w:gridCol w:w="416"/>
        <w:gridCol w:w="156"/>
        <w:gridCol w:w="156"/>
        <w:gridCol w:w="156"/>
        <w:gridCol w:w="255"/>
        <w:gridCol w:w="256"/>
        <w:gridCol w:w="416"/>
        <w:gridCol w:w="109"/>
        <w:gridCol w:w="109"/>
        <w:gridCol w:w="109"/>
        <w:gridCol w:w="255"/>
        <w:gridCol w:w="256"/>
        <w:gridCol w:w="416"/>
        <w:gridCol w:w="145"/>
        <w:gridCol w:w="145"/>
        <w:gridCol w:w="145"/>
        <w:gridCol w:w="255"/>
        <w:gridCol w:w="256"/>
        <w:gridCol w:w="471"/>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(MWh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9/30/23</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9/30/23</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9/30/22</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Equivalent Availability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MWh generated/sold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MWh generated/sold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w:t>
            </w:r>
          </w:p>
        </w:tc>
      </w:tr>
      <w:tr>
        <w:trPr/>
        <w:tc>
          <w:tcPr>
            <w:tcW w:w="3780"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generated/sold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11,494</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2023, availability at the Conventional segment was higher than the third quarter of 2022 primarily due to forced outages in 2022. Generation in the Renewables segment during the third quarter of 2023 was 16% higher than the third quarter of 2022 primarily due to the contribution of growth investments.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Excludes equity method investments</w:t>
      </w:r>
    </w:p>
    <w:p>
      <w:pPr>
        <w:pStyle w:val="TextBody"/>
        <w:bidi w:val="0"/>
        <w:spacing w:lineRule="auto" w:line="288"/>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Generation sold excludes MWh that are reimbursable for economic curtailment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5: Liquidity</w:t>
      </w:r>
      <w:r>
        <w:rPr>
          <w:color w:val="000000"/>
        </w:rPr>
        <w:t xml:space="preserve"> </w:t>
      </w:r>
    </w:p>
    <w:tbl>
      <w:tblPr>
        <w:tblW w:w="9604" w:type="dxa"/>
        <w:jc w:val="left"/>
        <w:tblInd w:w="0" w:type="dxa"/>
        <w:tblLayout w:type="fixed"/>
        <w:tblCellMar>
          <w:top w:w="28" w:type="dxa"/>
          <w:left w:w="28" w:type="dxa"/>
          <w:bottom w:w="28" w:type="dxa"/>
          <w:right w:w="28" w:type="dxa"/>
        </w:tblCellMar>
      </w:tblPr>
      <w:tblGrid>
        <w:gridCol w:w="2372"/>
        <w:gridCol w:w="2084"/>
        <w:gridCol w:w="2098"/>
        <w:gridCol w:w="109"/>
        <w:gridCol w:w="109"/>
        <w:gridCol w:w="109"/>
        <w:gridCol w:w="216"/>
        <w:gridCol w:w="632"/>
        <w:gridCol w:w="111"/>
        <w:gridCol w:w="109"/>
        <w:gridCol w:w="109"/>
        <w:gridCol w:w="109"/>
        <w:gridCol w:w="240"/>
        <w:gridCol w:w="701"/>
        <w:gridCol w:w="124"/>
        <w:gridCol w:w="109"/>
        <w:gridCol w:w="109"/>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liquidity as of September 30, 2023, was $1,645 million, which was $279 million higher than as of December 31, 2022, primarily due to the refinancing of the revolving credit facility which increased its total capacity to $700 million from $495 million and additional project level restricted cash associated with growth investments, partially offset by the execution of growth investments.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September 30, 2023</w:t>
      </w:r>
      <w:r>
        <w:rPr>
          <w:rFonts w:ascii="Times New Roman;sans-serif" w:hAnsi="Times New Roman;sans-serif"/>
          <w:b w:val="false"/>
          <w:color w:val="231F20"/>
          <w:sz w:val="20"/>
        </w:rPr>
        <w:t xml:space="preserve">, the Company's liquidity included </w:t>
      </w:r>
      <w:r>
        <w:rPr>
          <w:rFonts w:ascii="Times New Roman;sans-serif" w:hAnsi="Times New Roman;sans-serif"/>
          <w:b w:val="false"/>
          <w:color w:val="000000"/>
          <w:sz w:val="20"/>
        </w:rPr>
        <w:t>$590 million</w:t>
      </w:r>
      <w:r>
        <w:rPr>
          <w:color w:val="231F20"/>
        </w:rPr>
        <w:t xml:space="preserve"> </w:t>
      </w:r>
      <w:r>
        <w:rPr>
          <w:rFonts w:ascii="Times New Roman;sans-serif" w:hAnsi="Times New Roman;sans-serif"/>
          <w:b w:val="false"/>
          <w:color w:val="231F20"/>
          <w:sz w:val="20"/>
        </w:rPr>
        <w:t xml:space="preserve">of restricted cash. Restricted cash consists primarily of funds to satisfy the requirements of certain debt arrangements and funds held within the Company's projects that are restricted in their use. As </w:t>
      </w:r>
      <w:r>
        <w:rPr>
          <w:rFonts w:ascii="Times New Roman;sans-serif" w:hAnsi="Times New Roman;sans-serif"/>
          <w:b w:val="false"/>
          <w:color w:val="000000"/>
          <w:sz w:val="20"/>
        </w:rPr>
        <w:t>of September 30, 2023, these restricted funds were comprised of $160 million designated to fund operating expenses, approximately $316 million designated for current debt service payments, and $85 million of reserves for debt service, performance obligations and other items including capital expenditures.</w:t>
      </w:r>
      <w:r>
        <w:rPr>
          <w:color w:val="FF0000"/>
        </w:rPr>
        <w:t xml:space="preserve"> </w:t>
      </w:r>
      <w:r>
        <w:rPr>
          <w:rFonts w:ascii="Times New Roman;sans-serif" w:hAnsi="Times New Roman;sans-serif"/>
          <w:b w:val="false"/>
          <w:color w:val="000000"/>
          <w:sz w:val="20"/>
        </w:rPr>
        <w:t xml:space="preserve">The remaining $29 million is held in distribution reserve accounts.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Potential future sources of liquidity include excess operating cash flow, availability under the revolving credit facility</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asset dispositions, and, subject to market conditions, new corporate debt and equity financings.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Growth Investments and Strategic Announcements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Texas Solar Nova 1 and Texas Solar Nova 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On August 30, 2023,</w:t>
      </w:r>
      <w:r>
        <w:rPr>
          <w:color w:val="000000"/>
        </w:rPr>
        <w:t xml:space="preserve"> </w:t>
      </w:r>
      <w:r>
        <w:rPr>
          <w:rFonts w:ascii="Times New Roman;sans-serif" w:hAnsi="Times New Roman;sans-serif"/>
          <w:b w:val="false"/>
          <w:color w:val="000000"/>
          <w:sz w:val="20"/>
        </w:rPr>
        <w:t>the Company, through an indirect subsidiary, entered into an agreement to acquire interests in Texas Solar Nova 1 and Texas Solar Nova 2, 452 MW of solar projects under construction in Kent County, Texas, upon the projects meeting certain milestones. Upon achieving commercial operations the projects are underpinned by power purchase agreements with creditworthy counterparties with a weighted average contract duration of approximately 18 years. The Company expects to invest approximately $40 million, subject to closing adjustments. Commercial operations of the facilities and the Company’s investment are expected to occur between the fourth quarter of 2023 and first half of 2024. The Company expects the projects to contribute asset CAFD on a five-year average annual basis of approximately $4 million beginning January 1, 2025.</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Enhanced Offer to Invest in Dan's Mountain Wind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16, 2023, Clearway Group provided an updated offer providing the Company the opportunity to own 100% cash equity interest in a 55 MW wind project located in Allegany County, Maryland that is expected to reach commercial operations in the first half of 2025. The potential corporate capital commitment for the investment is expected to be approximately $86 million. The investment is subject to negotiation, both with Clearway Group and the review and approval by the Company’s Independent Directors.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i/>
          <w:color w:val="000000"/>
          <w:sz w:val="20"/>
          <w:shd w:fill="FFFFFF" w:val="clear"/>
        </w:rPr>
        <w:t>Offer to Inves</w:t>
      </w:r>
      <w:r>
        <w:rPr>
          <w:rFonts w:ascii="Times New Roman;sans-serif" w:hAnsi="Times New Roman;sans-serif"/>
          <w:b/>
          <w:i/>
          <w:color w:val="000000"/>
          <w:sz w:val="20"/>
        </w:rPr>
        <w:t>t in 572 MW of Solar Plus Storage Projects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16, 2023, Clearway Group offered the Company opportunities to enter into partnership arrangements to own cash equity interests in 572 MW of solar plus storage projects that are expected to reach commercial operations in 2025.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potential corporate capital commitment for the investments are expected to be approximately $105 million. The investments are subject to negotiation both with Clearway Group, and the review and approval by the Company’s Independent Directors.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Resource Adequacy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the Company signed contracts with California Load Serving Entities to sell Resource Adequacy for the following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Marsh Landing: The Company contracted with a load serving entity to sell approximately 400 MW of Resource Adequacy commencing September 2026 and ending December 2027. As of the end of the third quarter, 100% of Marsh Landing's net qualifying capacity is contracted through 2026. 63% of the project’s net qualifying capacity is contracted in 2027 at terms providing for higher project level CAFD in 2027 relative to current run-rate expectations.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El Segundo: The Company contracted with a load serving entity to sell approximately 274 MW of Resource Adequacy commencing August 2026 and ending December 2027. As of the end of the third quarter, 100% of El Segundo's net qualifying capacity is contracted through 2026. Approximately 50% of the project’s net qualifying capacity is contracted in 2027 at terms providing for higher project level CAFD in 2027 relative to current run-rate expectations.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Quarterly Dividend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November 1, 2023, Clearway Energy, Inc.’s Board of Directors declared a quarterly dividend on Class A and Class C common stoc</w:t>
      </w:r>
      <w:r>
        <w:rPr>
          <w:rFonts w:ascii="Times New Roman;sans-serif" w:hAnsi="Times New Roman;sans-serif"/>
          <w:b w:val="false"/>
          <w:color w:val="242424"/>
          <w:sz w:val="20"/>
        </w:rPr>
        <w:t>k</w:t>
      </w:r>
      <w:r>
        <w:rPr>
          <w:color w:val="000000"/>
        </w:rPr>
        <w:t xml:space="preserve"> </w:t>
      </w:r>
      <w:r>
        <w:rPr>
          <w:rFonts w:ascii="Times New Roman;sans-serif" w:hAnsi="Times New Roman;sans-serif"/>
          <w:b w:val="false"/>
          <w:color w:val="000000"/>
          <w:sz w:val="20"/>
        </w:rPr>
        <w:t>of $0.3964 pe</w:t>
      </w:r>
      <w:r>
        <w:rPr>
          <w:rFonts w:ascii="Times New Roman;sans-serif" w:hAnsi="Times New Roman;sans-serif"/>
          <w:b w:val="false"/>
          <w:color w:val="242424"/>
          <w:sz w:val="20"/>
        </w:rPr>
        <w:t>r</w:t>
      </w:r>
      <w:r>
        <w:rPr>
          <w:color w:val="000000"/>
        </w:rPr>
        <w:t xml:space="preserve"> </w:t>
      </w:r>
      <w:r>
        <w:rPr>
          <w:rFonts w:ascii="Times New Roman;sans-serif" w:hAnsi="Times New Roman;sans-serif"/>
          <w:b w:val="false"/>
          <w:color w:val="000000"/>
          <w:sz w:val="20"/>
        </w:rPr>
        <w:t xml:space="preserve">share payable on December 15, 2023, to stockholders of record as of December 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anticipates that a portion of the dividends expected to be paid in 2023 and beyond may be treated as taxable for U.S. federal income tax purposes. The portion of dividends in future years that will be treated as taxable will depend upon a number of factors, including but not limited to, the Company’s overall performance and the gross amount of any dividends made to stockholders in 2023 and beyond.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Inc.’s quarterly operating results are impacted by seasonal factors, as well as weather variability which can impact renewable energy resource.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summer capacity and energy prices from conventional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Higher solar insolation during the summer months;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wind resources during the spring and summer months;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Debt service payments which are made either quarterly or semi-annually;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maintenance capital expenditures and the impact of both unforced and forced outages;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distributions from unconsolidated affiliates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takes into consideration the timing of these factors to ensure sufficient funds are available for distributions and operating activities on a quarterly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Guidance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reiterating its 2023 full year CAFD guidance range of $330 million to $360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initiating 2024 full year CAFD guidance of $395 million. The Company’s 2024 financial guidance factors in the contribution of committed growth investments based on current expected closing timelines. 2024 CAFD guidance does not factor in the timing of when CAFD is realized from new growth investments pursuant to 5-year averages beyond 2024. 2024 financial guidance is based on median renewable energy production estimates for the full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Earnings Conference Call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2023, Clearway Energy, Inc. will host a conference call at 8:00 a.m. Eastern to discuss these results. Investors, the news media and others may access the live webcast of the conference call and accompanying presentation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materials by logging on to Clearway Energy, Inc.’s website at http://www.clearwayenergy.com and clicking on “Presentations &amp; Webcasts” under “Investor Relations.”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Clearway Energy,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Clearway Energy, Inc. is one of the largest renewable energy owners in the US with over 5,500</w:t>
      </w:r>
      <w:r>
        <w:rPr>
          <w:color w:val="EE2724"/>
        </w:rPr>
        <w:t xml:space="preserve"> </w:t>
      </w:r>
      <w:r>
        <w:rPr>
          <w:rFonts w:ascii="Times New Roman;sans-serif" w:hAnsi="Times New Roman;sans-serif"/>
          <w:b w:val="false"/>
          <w:color w:val="000000"/>
          <w:sz w:val="20"/>
        </w:rPr>
        <w:t>net MW of installed wind and solar generation projects. The Company's over 8,000 net MW of assets also include approximately 2,500</w:t>
      </w:r>
      <w:r>
        <w:rPr>
          <w:color w:val="EE2724"/>
        </w:rPr>
        <w:t xml:space="preserve"> </w:t>
      </w:r>
      <w:r>
        <w:rPr>
          <w:rFonts w:ascii="Times New Roman;sans-serif" w:hAnsi="Times New Roman;sans-serif"/>
          <w:b w:val="false"/>
          <w:color w:val="000000"/>
          <w:sz w:val="20"/>
        </w:rPr>
        <w:t>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Safe Harbor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impacts related to COVID-19 (including any variant of the virus) or any other pandemic, statements regarding the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anticipated consummation of the transactions described above, the anticipated benefits, opportunities, and results with respect to the transactions, including the Company’s future relationship and arrangements with 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undertakes no obligation to update or revise any forward-looking statements, whether as a result of new information, future events or otherwise. The Cash Available for Distribution are estimates as of today’s date, November 2, 2023,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both"/>
        <w:rPr/>
      </w:pPr>
      <w:r>
        <w:rPr/>
      </w:r>
    </w:p>
    <w:p>
      <w:pPr>
        <w:pStyle w:val="TextBody"/>
        <w:bidi w:val="0"/>
        <w:spacing w:lineRule="auto" w:line="288"/>
        <w:jc w:val="both"/>
        <w:rPr>
          <w:rFonts w:ascii="Times New Roman;sans-serif" w:hAnsi="Times New Roman;sans-serif"/>
          <w:b/>
          <w:color w:val="000000"/>
          <w:sz w:val="20"/>
        </w:rPr>
      </w:pPr>
      <w:r>
        <w:rPr>
          <w:rFonts w:ascii="Times New Roman;sans-serif" w:hAnsi="Times New Roman;sans-serif"/>
          <w:b/>
          <w:color w:val="000000"/>
          <w:sz w:val="20"/>
        </w:rPr>
        <w:t>Investors:                Media:</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Akil Marsh                Zadie Oleksiw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investor.relations@clearwayenergy.com    media@clearwayenergy.com</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609-608-1500                202-836-5754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72"/>
        <w:gridCol w:w="1428"/>
        <w:gridCol w:w="1441"/>
        <w:gridCol w:w="220"/>
        <w:gridCol w:w="753"/>
        <w:gridCol w:w="113"/>
        <w:gridCol w:w="113"/>
        <w:gridCol w:w="113"/>
        <w:gridCol w:w="113"/>
        <w:gridCol w:w="220"/>
        <w:gridCol w:w="753"/>
        <w:gridCol w:w="113"/>
        <w:gridCol w:w="109"/>
        <w:gridCol w:w="109"/>
        <w:gridCol w:w="109"/>
        <w:gridCol w:w="216"/>
        <w:gridCol w:w="740"/>
        <w:gridCol w:w="111"/>
        <w:gridCol w:w="111"/>
        <w:gridCol w:w="111"/>
        <w:gridCol w:w="111"/>
        <w:gridCol w:w="216"/>
        <w:gridCol w:w="740"/>
        <w:gridCol w:w="170"/>
      </w:tblGrid>
      <w:tr>
        <w:trPr/>
        <w:tc>
          <w:tcPr>
            <w:tcW w:w="197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Income Before Income Taxes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 and redeemable noncontrolling interests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Inc.</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Clearway Energy, Inc. Class A and Class C Common Stockholders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 - basic and diluted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C common shares outstanding - basic and diluted</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Weighted Average Class A and Class C Common Share - Basic and Diluted</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A Common Share </w:t>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0.3604 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C Common Share </w:t>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0.3604 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1.0608 </w:t>
            </w:r>
          </w:p>
        </w:tc>
        <w:tc>
          <w:tcPr>
            <w:tcW w:w="1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54"/>
        <w:gridCol w:w="1602"/>
        <w:gridCol w:w="1610"/>
        <w:gridCol w:w="254"/>
        <w:gridCol w:w="429"/>
        <w:gridCol w:w="141"/>
        <w:gridCol w:w="141"/>
        <w:gridCol w:w="141"/>
        <w:gridCol w:w="141"/>
        <w:gridCol w:w="254"/>
        <w:gridCol w:w="429"/>
        <w:gridCol w:w="141"/>
        <w:gridCol w:w="109"/>
        <w:gridCol w:w="109"/>
        <w:gridCol w:w="109"/>
        <w:gridCol w:w="231"/>
        <w:gridCol w:w="390"/>
        <w:gridCol w:w="128"/>
        <w:gridCol w:w="128"/>
        <w:gridCol w:w="128"/>
        <w:gridCol w:w="128"/>
        <w:gridCol w:w="231"/>
        <w:gridCol w:w="657"/>
        <w:gridCol w:w="128"/>
        <w:gridCol w:w="109"/>
        <w:gridCol w:w="109"/>
        <w:gridCol w:w="109"/>
        <w:gridCol w:w="165"/>
      </w:tblGrid>
      <w:tr>
        <w:trPr/>
        <w:tc>
          <w:tcPr>
            <w:tcW w:w="195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383" w:type="dxa"/>
            <w:gridSpan w:val="3"/>
            <w:tcBorders/>
          </w:tcPr>
          <w:p>
            <w:pPr>
              <w:pStyle w:val="TableContents"/>
              <w:bidi w:val="0"/>
              <w:spacing w:before="0" w:after="283"/>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and changes in accumulated OCI/OCL, net of income tax expense, of $1, $3, $1 and $6</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w:t>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 and redeemable noncontrolling interests</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Attributable to Clearway Energy, Inc.</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313"/>
        <w:gridCol w:w="2199"/>
        <w:gridCol w:w="2218"/>
        <w:gridCol w:w="217"/>
        <w:gridCol w:w="716"/>
        <w:gridCol w:w="120"/>
        <w:gridCol w:w="109"/>
        <w:gridCol w:w="109"/>
        <w:gridCol w:w="109"/>
        <w:gridCol w:w="214"/>
        <w:gridCol w:w="708"/>
        <w:gridCol w:w="173"/>
      </w:tblGrid>
      <w:tr>
        <w:trPr/>
        <w:tc>
          <w:tcPr>
            <w:tcW w:w="331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shares)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affiliate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Property, plant and equipment, net </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intangible assets, net </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net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Redeemable noncontrolling interest in subsidiaries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10,000,000 shares authorized; none issued </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Class B, Class C and Class D common stock, $0.01 par value; 3,000,000,000 shares authorized (Class A 500,000,000, Class B 500,000,000, Class C 1,000,000,000, Class D 1,000,000,000); 202,075,237 shares issued and outstanding (Class A 34,613,853, Class B 42,738,750, Class C 82,385,884, Class D 42,336,750) at September 30, 2023 and 201,972,813 shares issued and outstanding (Class A 34,613,853, Class B 42,738,750, Class C 82,283,460, Class D 42,336,750) at December 31, 2022</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93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13,370 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240"/>
        <w:jc w:val="center"/>
        <w:rPr/>
      </w:pPr>
      <w:r>
        <w:rPr/>
      </w:r>
    </w:p>
    <w:tbl>
      <w:tblPr>
        <w:tblW w:w="8382" w:type="dxa"/>
        <w:jc w:val="center"/>
        <w:tblInd w:w="0" w:type="dxa"/>
        <w:tblLayout w:type="fixed"/>
        <w:tblCellMar>
          <w:top w:w="28" w:type="dxa"/>
          <w:left w:w="28" w:type="dxa"/>
          <w:bottom w:w="28" w:type="dxa"/>
          <w:right w:w="28" w:type="dxa"/>
        </w:tblCellMar>
      </w:tblPr>
      <w:tblGrid>
        <w:gridCol w:w="2100"/>
        <w:gridCol w:w="1842"/>
        <w:gridCol w:w="1848"/>
        <w:gridCol w:w="242"/>
        <w:gridCol w:w="689"/>
        <w:gridCol w:w="135"/>
        <w:gridCol w:w="135"/>
        <w:gridCol w:w="135"/>
        <w:gridCol w:w="135"/>
        <w:gridCol w:w="242"/>
        <w:gridCol w:w="689"/>
        <w:gridCol w:w="190"/>
      </w:tblGrid>
      <w:tr>
        <w:trPr/>
        <w:tc>
          <w:tcPr>
            <w:tcW w:w="2100"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 in earnings of unconsolidated affiliates </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affiliates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costs and debt discounts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business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carrying amount of right-of-use assets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deferred income taxes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derivative instruments and amortization of accumulated OCI/OCL</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changes in other working capital:</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Changes in prepaid and accrued liabilities for tolling agreements </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working capital</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Drop Down Assets, net of cash acquired</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Capistrano Wind Portfolio, net of cash acquired</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note receivable — affiliate</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unconsolidated affiliates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Investments in unconsolidated affiliates </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Investing Activities</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(distributions to) noncontrolling interests, net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dividends and distributions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of escrowed amounts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revolving credit facility</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the revolving credit facility</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issuance of long-term debt </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long-term debt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Nine Months Ended September 30, 2023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14"/>
        <w:gridCol w:w="587"/>
        <w:gridCol w:w="578"/>
        <w:gridCol w:w="212"/>
        <w:gridCol w:w="440"/>
        <w:gridCol w:w="118"/>
        <w:gridCol w:w="109"/>
        <w:gridCol w:w="109"/>
        <w:gridCol w:w="109"/>
        <w:gridCol w:w="250"/>
        <w:gridCol w:w="308"/>
        <w:gridCol w:w="141"/>
        <w:gridCol w:w="109"/>
        <w:gridCol w:w="109"/>
        <w:gridCol w:w="109"/>
        <w:gridCol w:w="196"/>
        <w:gridCol w:w="556"/>
        <w:gridCol w:w="109"/>
        <w:gridCol w:w="109"/>
        <w:gridCol w:w="109"/>
        <w:gridCol w:w="109"/>
        <w:gridCol w:w="221"/>
        <w:gridCol w:w="476"/>
        <w:gridCol w:w="123"/>
        <w:gridCol w:w="109"/>
        <w:gridCol w:w="109"/>
        <w:gridCol w:w="109"/>
        <w:gridCol w:w="341"/>
        <w:gridCol w:w="577"/>
        <w:gridCol w:w="191"/>
        <w:gridCol w:w="109"/>
        <w:gridCol w:w="109"/>
        <w:gridCol w:w="109"/>
        <w:gridCol w:w="232"/>
        <w:gridCol w:w="659"/>
        <w:gridCol w:w="130"/>
        <w:gridCol w:w="109"/>
        <w:gridCol w:w="109"/>
        <w:gridCol w:w="109"/>
        <w:gridCol w:w="211"/>
        <w:gridCol w:w="598"/>
        <w:gridCol w:w="175"/>
      </w:tblGrid>
      <w:tr>
        <w:trPr/>
        <w:tc>
          <w:tcPr>
            <w:tcW w:w="8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derivatives and changes in accumulated OCI, net of tax</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non-cash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of assets under common control</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2023</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Nine Months Ended September 30, 2022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21"/>
        <w:gridCol w:w="495"/>
        <w:gridCol w:w="484"/>
        <w:gridCol w:w="206"/>
        <w:gridCol w:w="428"/>
        <w:gridCol w:w="115"/>
        <w:gridCol w:w="109"/>
        <w:gridCol w:w="109"/>
        <w:gridCol w:w="109"/>
        <w:gridCol w:w="242"/>
        <w:gridCol w:w="298"/>
        <w:gridCol w:w="136"/>
        <w:gridCol w:w="109"/>
        <w:gridCol w:w="109"/>
        <w:gridCol w:w="109"/>
        <w:gridCol w:w="196"/>
        <w:gridCol w:w="556"/>
        <w:gridCol w:w="109"/>
        <w:gridCol w:w="109"/>
        <w:gridCol w:w="109"/>
        <w:gridCol w:w="109"/>
        <w:gridCol w:w="302"/>
        <w:gridCol w:w="650"/>
        <w:gridCol w:w="169"/>
        <w:gridCol w:w="109"/>
        <w:gridCol w:w="109"/>
        <w:gridCol w:w="109"/>
        <w:gridCol w:w="348"/>
        <w:gridCol w:w="589"/>
        <w:gridCol w:w="195"/>
        <w:gridCol w:w="109"/>
        <w:gridCol w:w="109"/>
        <w:gridCol w:w="109"/>
        <w:gridCol w:w="232"/>
        <w:gridCol w:w="659"/>
        <w:gridCol w:w="130"/>
        <w:gridCol w:w="109"/>
        <w:gridCol w:w="109"/>
        <w:gridCol w:w="109"/>
        <w:gridCol w:w="211"/>
        <w:gridCol w:w="598"/>
        <w:gridCol w:w="174"/>
      </w:tblGrid>
      <w:tr>
        <w:trPr/>
        <w:tc>
          <w:tcPr>
            <w:tcW w:w="72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cash</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2022</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non-cash</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distributions</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cash</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Capistrano Wind Portfolio Acquisition</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Kawailoa Sale to Clearway Renew LLC</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2022</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A-1: Three Months Ended September 30, 2023,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688"/>
        <w:gridCol w:w="1219"/>
        <w:gridCol w:w="1191"/>
        <w:gridCol w:w="109"/>
        <w:gridCol w:w="109"/>
        <w:gridCol w:w="109"/>
        <w:gridCol w:w="327"/>
        <w:gridCol w:w="583"/>
        <w:gridCol w:w="171"/>
        <w:gridCol w:w="109"/>
        <w:gridCol w:w="109"/>
        <w:gridCol w:w="109"/>
        <w:gridCol w:w="249"/>
        <w:gridCol w:w="568"/>
        <w:gridCol w:w="129"/>
        <w:gridCol w:w="109"/>
        <w:gridCol w:w="109"/>
        <w:gridCol w:w="109"/>
        <w:gridCol w:w="211"/>
        <w:gridCol w:w="406"/>
        <w:gridCol w:w="109"/>
        <w:gridCol w:w="109"/>
        <w:gridCol w:w="109"/>
        <w:gridCol w:w="109"/>
        <w:gridCol w:w="264"/>
        <w:gridCol w:w="470"/>
        <w:gridCol w:w="137"/>
        <w:gridCol w:w="109"/>
        <w:gridCol w:w="109"/>
        <w:gridCol w:w="109"/>
        <w:gridCol w:w="211"/>
        <w:gridCol w:w="481"/>
        <w:gridCol w:w="156"/>
      </w:tblGrid>
      <w:tr>
        <w:trPr/>
        <w:tc>
          <w:tcPr>
            <w:tcW w:w="168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A-2: Three Months Ended September 30, 2022, Segment Adjusted EBITDA Reconciliation</w:t>
      </w:r>
    </w:p>
    <w:p>
      <w:pPr>
        <w:pStyle w:val="TextBody"/>
        <w:bidi w:val="0"/>
        <w:spacing w:lineRule="auto" w:line="288" w:before="0" w:after="0"/>
        <w:jc w:val="left"/>
        <w:rPr/>
      </w:pPr>
      <w:r>
        <w:rPr>
          <w:rFonts w:ascii="Times New Roman;sans-serif" w:hAnsi="Times New Roman;sans-serif"/>
          <w:b w:val="false"/>
          <w:color w:val="000000"/>
          <w:sz w:val="22"/>
        </w:rPr>
        <w:t>The following table summarizes the calculation of Adjusted EBITDA and provides a reconciliation to Net Income/(Loss):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616"/>
        <w:gridCol w:w="1254"/>
        <w:gridCol w:w="1228"/>
        <w:gridCol w:w="109"/>
        <w:gridCol w:w="109"/>
        <w:gridCol w:w="109"/>
        <w:gridCol w:w="327"/>
        <w:gridCol w:w="583"/>
        <w:gridCol w:w="171"/>
        <w:gridCol w:w="109"/>
        <w:gridCol w:w="109"/>
        <w:gridCol w:w="109"/>
        <w:gridCol w:w="249"/>
        <w:gridCol w:w="568"/>
        <w:gridCol w:w="129"/>
        <w:gridCol w:w="109"/>
        <w:gridCol w:w="109"/>
        <w:gridCol w:w="109"/>
        <w:gridCol w:w="211"/>
        <w:gridCol w:w="406"/>
        <w:gridCol w:w="109"/>
        <w:gridCol w:w="109"/>
        <w:gridCol w:w="109"/>
        <w:gridCol w:w="109"/>
        <w:gridCol w:w="264"/>
        <w:gridCol w:w="470"/>
        <w:gridCol w:w="137"/>
        <w:gridCol w:w="109"/>
        <w:gridCol w:w="109"/>
        <w:gridCol w:w="109"/>
        <w:gridCol w:w="211"/>
        <w:gridCol w:w="481"/>
        <w:gridCol w:w="156"/>
      </w:tblGrid>
      <w:tr>
        <w:trPr/>
        <w:tc>
          <w:tcPr>
            <w:tcW w:w="161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322</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Appendix Table A-3: Nine Months Ended September 30, 2023, Segment Adjusted EBITDA Reconciliation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626"/>
        <w:gridCol w:w="1246"/>
        <w:gridCol w:w="1220"/>
        <w:gridCol w:w="109"/>
        <w:gridCol w:w="109"/>
        <w:gridCol w:w="109"/>
        <w:gridCol w:w="284"/>
        <w:gridCol w:w="649"/>
        <w:gridCol w:w="148"/>
        <w:gridCol w:w="109"/>
        <w:gridCol w:w="109"/>
        <w:gridCol w:w="109"/>
        <w:gridCol w:w="249"/>
        <w:gridCol w:w="568"/>
        <w:gridCol w:w="129"/>
        <w:gridCol w:w="109"/>
        <w:gridCol w:w="109"/>
        <w:gridCol w:w="109"/>
        <w:gridCol w:w="211"/>
        <w:gridCol w:w="406"/>
        <w:gridCol w:w="109"/>
        <w:gridCol w:w="109"/>
        <w:gridCol w:w="109"/>
        <w:gridCol w:w="109"/>
        <w:gridCol w:w="229"/>
        <w:gridCol w:w="530"/>
        <w:gridCol w:w="119"/>
        <w:gridCol w:w="109"/>
        <w:gridCol w:w="109"/>
        <w:gridCol w:w="109"/>
        <w:gridCol w:w="211"/>
        <w:gridCol w:w="481"/>
        <w:gridCol w:w="155"/>
      </w:tblGrid>
      <w:tr>
        <w:trPr/>
        <w:tc>
          <w:tcPr>
            <w:tcW w:w="1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4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1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645</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857</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A-4: Nine Months Ended September 30, 2022,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586"/>
        <w:gridCol w:w="1205"/>
        <w:gridCol w:w="1178"/>
        <w:gridCol w:w="109"/>
        <w:gridCol w:w="109"/>
        <w:gridCol w:w="109"/>
        <w:gridCol w:w="284"/>
        <w:gridCol w:w="649"/>
        <w:gridCol w:w="148"/>
        <w:gridCol w:w="109"/>
        <w:gridCol w:w="109"/>
        <w:gridCol w:w="109"/>
        <w:gridCol w:w="249"/>
        <w:gridCol w:w="568"/>
        <w:gridCol w:w="129"/>
        <w:gridCol w:w="109"/>
        <w:gridCol w:w="109"/>
        <w:gridCol w:w="109"/>
        <w:gridCol w:w="218"/>
        <w:gridCol w:w="389"/>
        <w:gridCol w:w="114"/>
        <w:gridCol w:w="109"/>
        <w:gridCol w:w="109"/>
        <w:gridCol w:w="109"/>
        <w:gridCol w:w="233"/>
        <w:gridCol w:w="516"/>
        <w:gridCol w:w="122"/>
        <w:gridCol w:w="109"/>
        <w:gridCol w:w="109"/>
        <w:gridCol w:w="109"/>
        <w:gridCol w:w="211"/>
        <w:gridCol w:w="616"/>
        <w:gridCol w:w="155"/>
      </w:tblGrid>
      <w:tr>
        <w:trPr/>
        <w:tc>
          <w:tcPr>
            <w:tcW w:w="158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4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22"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5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277</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A-5: Cash Available for Distribution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calculation of Cash Available for Distribution and provides a reconciliation to Cash from Operating Activities: </w:t>
      </w:r>
    </w:p>
    <w:tbl>
      <w:tblPr>
        <w:tblW w:w="10205" w:type="dxa"/>
        <w:jc w:val="left"/>
        <w:tblInd w:w="0" w:type="dxa"/>
        <w:tblLayout w:type="fixed"/>
        <w:tblCellMar>
          <w:top w:w="28" w:type="dxa"/>
          <w:left w:w="28" w:type="dxa"/>
          <w:bottom w:w="28" w:type="dxa"/>
          <w:right w:w="28" w:type="dxa"/>
        </w:tblCellMar>
      </w:tblPr>
      <w:tblGrid>
        <w:gridCol w:w="2066"/>
        <w:gridCol w:w="1784"/>
        <w:gridCol w:w="1797"/>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55"/>
      </w:tblGrid>
      <w:tr>
        <w:trPr/>
        <w:tc>
          <w:tcPr>
            <w:tcW w:w="206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sale-type leases and payments for lease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Expenses</w:t>
            </w:r>
            <w:r>
              <w:rPr>
                <w:rFonts w:ascii="Times New Roman;sans-serif" w:hAnsi="Times New Roman;sans-serif"/>
                <w:b w:val="false"/>
                <w:color w:val="000000"/>
                <w:sz w:val="13"/>
              </w:rPr>
              <w:t>3</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contributions (to)/from non-controlling interest</w:t>
            </w:r>
            <w:r>
              <w:rPr>
                <w:rFonts w:ascii="Times New Roman;sans-serif" w:hAnsi="Times New Roman;sans-serif"/>
                <w:b w:val="false"/>
                <w:color w:val="000000"/>
                <w:sz w:val="13"/>
              </w:rPr>
              <w:t>4</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 before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Net Impact of Capistrano given timing of project debt service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r>
              <w:rPr>
                <w:rFonts w:ascii="Times New Roman;sans-serif" w:hAnsi="Times New Roman;sans-serif"/>
                <w:b/>
                <w:color w:val="000000"/>
                <w:sz w:val="13"/>
              </w:rPr>
              <w:t>6</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Primarily related to Thermal Development Expenses</w:t>
      </w:r>
    </w:p>
    <w:p>
      <w:pPr>
        <w:pStyle w:val="TextBody"/>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6"/>
        </w:rPr>
        <w:t>2023 excludes $250 million of net contributions related to the funding of Rosamond Central Battery Storage, Waiawa, and Daggett; 2022 excludes $50 million of contributions related to the funding of Mesquite Sky, Black Rock, and Mililani and $2 million of distributions related to release of inverter reserves at Agua Caliente</w:t>
      </w:r>
    </w:p>
    <w:p>
      <w:pPr>
        <w:pStyle w:val="TextBody"/>
        <w:bidi w:val="0"/>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16"/>
        </w:rPr>
        <w:t>2023 excludes $130 million for the repayment of construction loans in connection with Waiawa and Daggett, and $24 million for the repayment of balloon at Walnut Creek Holdings;</w:t>
      </w:r>
      <w:r>
        <w:rPr>
          <w:color w:val="EE2724"/>
        </w:rPr>
        <w:t xml:space="preserve"> </w:t>
      </w:r>
      <w:r>
        <w:rPr>
          <w:rFonts w:ascii="Times New Roman;sans-serif" w:hAnsi="Times New Roman;sans-serif"/>
          <w:b w:val="false"/>
          <w:color w:val="000000"/>
          <w:sz w:val="16"/>
        </w:rPr>
        <w:t>2022 excludes $660 million for the repayment of the Bridge Loan Facility and revolver payments, $186 million for the refinancing of Tapestry Wind, Laredo Ridge, and Viento, and $27 million for the repayment of bridge loans in connection with Mililani</w:t>
      </w:r>
    </w:p>
    <w:p>
      <w:pPr>
        <w:pStyle w:val="TextBody"/>
        <w:bidi w:val="0"/>
        <w:spacing w:lineRule="auto" w:line="288"/>
        <w:jc w:val="left"/>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16"/>
        </w:rPr>
        <w:t>Excludes income tax payments related to Thermal sale</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A-6: Nine Months Ended September 30, 2023, Sources and Uses of Liquidity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sources and uses of liquidity in 2023:</w:t>
      </w:r>
    </w:p>
    <w:p>
      <w:pPr>
        <w:pStyle w:val="TextBody"/>
        <w:bidi w:val="0"/>
        <w:spacing w:before="0" w:after="0"/>
        <w:jc w:val="left"/>
        <w:rPr/>
      </w:pPr>
      <w:r>
        <w:rPr/>
      </w:r>
    </w:p>
    <w:tbl>
      <w:tblPr>
        <w:tblW w:w="6851" w:type="dxa"/>
        <w:jc w:val="left"/>
        <w:tblInd w:w="0" w:type="dxa"/>
        <w:tblLayout w:type="fixed"/>
        <w:tblCellMar>
          <w:top w:w="28" w:type="dxa"/>
          <w:left w:w="28" w:type="dxa"/>
          <w:bottom w:w="28" w:type="dxa"/>
          <w:right w:w="28" w:type="dxa"/>
        </w:tblCellMar>
      </w:tblPr>
      <w:tblGrid>
        <w:gridCol w:w="1711"/>
        <w:gridCol w:w="1501"/>
        <w:gridCol w:w="1512"/>
        <w:gridCol w:w="109"/>
        <w:gridCol w:w="109"/>
        <w:gridCol w:w="109"/>
        <w:gridCol w:w="449"/>
        <w:gridCol w:w="999"/>
        <w:gridCol w:w="352"/>
      </w:tblGrid>
      <w:tr>
        <w:trPr/>
        <w:tc>
          <w:tcPr>
            <w:tcW w:w="171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9/30/23</w:t>
            </w:r>
          </w:p>
        </w:tc>
      </w:tr>
      <w:tr>
        <w:trPr/>
        <w:tc>
          <w:tcPr>
            <w:tcW w:w="4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(distributions to) noncontrolling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Drop Down Assets,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for long-term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of dividends and distributions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note receivable —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 cash 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160</w:t>
            </w:r>
            <w:r>
              <w:rPr>
                <w:color w:val="000000"/>
              </w:rPr>
              <w:t> </w:t>
            </w:r>
          </w:p>
        </w:tc>
        <w:tc>
          <w:tcPr>
            <w:tcW w:w="35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A-7: Adjusted EBITDA and Cash Available for Distribution Guidance</w:t>
      </w:r>
    </w:p>
    <w:tbl>
      <w:tblPr>
        <w:tblW w:w="10205" w:type="dxa"/>
        <w:jc w:val="left"/>
        <w:tblInd w:w="0" w:type="dxa"/>
        <w:tblLayout w:type="fixed"/>
        <w:tblCellMar>
          <w:top w:w="28" w:type="dxa"/>
          <w:left w:w="28" w:type="dxa"/>
          <w:bottom w:w="28" w:type="dxa"/>
          <w:right w:w="28" w:type="dxa"/>
        </w:tblCellMar>
      </w:tblPr>
      <w:tblGrid>
        <w:gridCol w:w="2273"/>
        <w:gridCol w:w="1906"/>
        <w:gridCol w:w="1923"/>
        <w:gridCol w:w="675"/>
        <w:gridCol w:w="675"/>
        <w:gridCol w:w="677"/>
        <w:gridCol w:w="607"/>
        <w:gridCol w:w="605"/>
        <w:gridCol w:w="864"/>
      </w:tblGrid>
      <w:tr>
        <w:trPr/>
        <w:tc>
          <w:tcPr>
            <w:tcW w:w="2273"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6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2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Full Year Guidance</w:t>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Full Year Guidance</w:t>
            </w:r>
          </w:p>
        </w:tc>
      </w:tr>
      <w:tr>
        <w:trPr/>
        <w:tc>
          <w:tcPr>
            <w:tcW w:w="6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95 - 120</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w:t>
            </w:r>
            <w:r>
              <w:rPr>
                <w:color w:val="000000"/>
              </w:rPr>
              <w:t> </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20 - 25</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8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 to reflect CWEN share of Adjusted EBITDA in unconsolidated affiliates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8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1,090 - 1,120</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1,175</w:t>
            </w:r>
            <w:r>
              <w:rPr>
                <w:color w:val="000000"/>
              </w:rPr>
              <w:t> </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8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reflect sale-type leases and payments for lease expenses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8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from unconsolidated affiliates</w:t>
            </w:r>
            <w:r>
              <w:rPr>
                <w:rFonts w:ascii="Times New Roman;sans-serif" w:hAnsi="Times New Roman;sans-serif"/>
                <w:b w:val="false"/>
                <w:color w:val="000000"/>
                <w:sz w:val="13"/>
              </w:rPr>
              <w:t>7</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6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2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728 - 758</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830</w:t>
            </w:r>
            <w:r>
              <w:rPr>
                <w:color w:val="000000"/>
              </w:rPr>
              <w:t> </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 non-controlling interest</w:t>
            </w:r>
            <w:r>
              <w:rPr>
                <w:rFonts w:ascii="Times New Roman;sans-serif" w:hAnsi="Times New Roman;sans-serif"/>
                <w:b w:val="false"/>
                <w:color w:val="000000"/>
                <w:sz w:val="13"/>
              </w:rPr>
              <w:t>8</w:t>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9</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610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r>
              <w:rPr>
                <w:rFonts w:ascii="Times New Roman;sans-serif" w:hAnsi="Times New Roman;sans-serif"/>
                <w:b/>
                <w:color w:val="000000"/>
                <w:sz w:val="13"/>
              </w:rPr>
              <w:t>10</w:t>
            </w:r>
          </w:p>
        </w:tc>
        <w:tc>
          <w:tcPr>
            <w:tcW w:w="20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330 - 360</w:t>
            </w:r>
          </w:p>
        </w:tc>
        <w:tc>
          <w:tcPr>
            <w:tcW w:w="121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395</w:t>
            </w:r>
            <w:r>
              <w:rPr>
                <w:color w:val="000000"/>
              </w:rPr>
              <w:t> </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6102"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Appendix Table A-8: Adjusted EBITDA and Cash Available for Distribution Growth Projects </w:t>
      </w:r>
    </w:p>
    <w:tbl>
      <w:tblPr>
        <w:tblW w:w="8495" w:type="dxa"/>
        <w:jc w:val="left"/>
        <w:tblInd w:w="0" w:type="dxa"/>
        <w:tblLayout w:type="fixed"/>
        <w:tblCellMar>
          <w:top w:w="28" w:type="dxa"/>
          <w:left w:w="28" w:type="dxa"/>
          <w:bottom w:w="28" w:type="dxa"/>
          <w:right w:w="28" w:type="dxa"/>
        </w:tblCellMar>
      </w:tblPr>
      <w:tblGrid>
        <w:gridCol w:w="1532"/>
        <w:gridCol w:w="1344"/>
        <w:gridCol w:w="135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9"/>
        <w:gridCol w:w="679"/>
        <w:gridCol w:w="682"/>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 Solar Nova 1&amp;2</w:t>
              <w:br/>
              <w:t>5 Year Ave. 2025-2029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w:t>
            </w:r>
            <w:r>
              <w:rPr>
                <w:color w:val="000000"/>
              </w:rPr>
              <w:t> </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w:t>
            </w:r>
            <w:r>
              <w:rPr>
                <w:color w:val="000000"/>
              </w:rPr>
              <w:t> </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Cash Available for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w:t>
            </w:r>
            <w:r>
              <w:rPr>
                <w:color w:val="000000"/>
              </w:rPr>
              <w:t> </w:t>
            </w:r>
          </w:p>
        </w:tc>
        <w:tc>
          <w:tcPr>
            <w:tcW w:w="6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16"/>
        </w:rPr>
        <w:t>Distribution from unconsolidated affiliates can be classified as Return of Investment on Unconsolidated Affiliates when actuals are reported. This is below cash from operating activities</w:t>
      </w:r>
    </w:p>
    <w:p>
      <w:pPr>
        <w:pStyle w:val="TextBody"/>
        <w:bidi w:val="0"/>
        <w:spacing w:lineRule="auto" w:line="288" w:before="0" w:after="0"/>
        <w:jc w:val="left"/>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16"/>
        </w:rPr>
        <w:t>Includes tax equity proceeds and distributions to tax equity partners</w:t>
      </w:r>
    </w:p>
    <w:p>
      <w:pPr>
        <w:pStyle w:val="TextBody"/>
        <w:bidi w:val="0"/>
        <w:spacing w:lineRule="auto" w:line="288" w:before="0" w:after="0"/>
        <w:jc w:val="left"/>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16"/>
        </w:rPr>
        <w:t xml:space="preserve">2023 excludes balloon maturity payments; 2024 maturities assumed to be refinanced </w:t>
      </w:r>
    </w:p>
    <w:p>
      <w:pPr>
        <w:pStyle w:val="TextBody"/>
        <w:bidi w:val="0"/>
        <w:spacing w:lineRule="auto" w:line="288"/>
        <w:jc w:val="left"/>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16"/>
        </w:rPr>
        <w:t>Excludes income tax payments related to Thermal sale</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color w:val="000000"/>
          <w:sz w:val="22"/>
        </w:rPr>
      </w:pPr>
      <w:r>
        <w:rPr>
          <w:rFonts w:ascii="Times New Roman;sans-serif" w:hAnsi="Times New Roman;sans-serif"/>
          <w:b/>
          <w:color w:val="000000"/>
          <w:sz w:val="22"/>
        </w:rPr>
        <w:t>Non-GAAP Financial Information</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cash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changes in, or cash requirements for,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the significant interest expense, or the cash requirements necessary to service interest or principal payments, on debt or cash income tax payments;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EBITDA does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this industry may calculate EBITDA differently than Clearway Energy does, limiting its usefulness as a comparative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22" name="Frame2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Cash Available for Distribution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September 30, 2023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pStyle w:val="TextBody"/>
        <w:bidi w:val="0"/>
        <w:spacing w:before="0" w:after="0"/>
        <w:jc w:val="both"/>
        <w:rPr/>
      </w:pPr>
      <w:r>
        <w:rPr/>
      </w:r>
    </w:p>
    <w:p>
      <w:pPr>
        <w:pStyle w:val="TextBody"/>
        <w:bidi w:val="0"/>
        <w:spacing w:before="432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2740"/>
                <wp:effectExtent l="0" t="0" r="0" b="0"/>
                <wp:wrapNone/>
                <wp:docPr id="23" name="Frame2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7109</Words>
  <Characters>39816</Characters>
  <CharactersWithSpaces>46504</CharactersWithSpaces>
  <Paragraphs>1897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