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23,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40" w:space="720"/>
            <w:col w:w="3040"/>
          </w:cols>
          <w:pgMar w:left="320" w:top="760" w:right="339" w:bottom="1440" w:gutter="0" w:footer="0" w:header="0"/>
          <w:type w:val="continuous"/>
        </w:sectPr>
      </w:pPr>
    </w:p>
    <w:p>
      <w:pPr>
        <w:ind w:left="13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2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87"/>
              </w:rPr>
              <w:t>Title of each class</w:t>
            </w:r>
          </w:p>
        </w:tc>
        <w:tc>
          <w:tcPr>
            <w:tcW w:w="25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89"/>
              </w:rPr>
              <w:t>Trading Symbol(s)</w:t>
            </w:r>
          </w:p>
        </w:tc>
        <w:tc>
          <w:tcPr>
            <w:tcW w:w="4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4320" w:type="dxa"/>
            <w:vAlign w:val="bottom"/>
          </w:tcPr>
          <w:p>
            <w:pPr>
              <w:jc w:val="center"/>
              <w:ind w:left="90"/>
              <w:spacing w:after="0" w:line="195" w:lineRule="exact"/>
              <w:rPr>
                <w:sz w:val="20"/>
                <w:szCs w:val="20"/>
                <w:color w:val="auto"/>
              </w:rPr>
            </w:pPr>
            <w:r>
              <w:rPr>
                <w:rFonts w:ascii="Arial" w:cs="Arial" w:eastAsia="Arial" w:hAnsi="Arial"/>
                <w:sz w:val="18"/>
                <w:szCs w:val="18"/>
                <w:color w:val="auto"/>
                <w:w w:val="90"/>
              </w:rPr>
              <w:t>Class A Common Stock, par value $0.01</w:t>
            </w:r>
          </w:p>
        </w:tc>
        <w:tc>
          <w:tcPr>
            <w:tcW w:w="252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7"/>
              </w:rPr>
              <w:t>CWEN.A</w:t>
            </w:r>
          </w:p>
        </w:tc>
        <w:tc>
          <w:tcPr>
            <w:tcW w:w="4400" w:type="dxa"/>
            <w:vAlign w:val="bottom"/>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4320" w:type="dxa"/>
            <w:vAlign w:val="bottom"/>
          </w:tcPr>
          <w:p>
            <w:pPr>
              <w:jc w:val="center"/>
              <w:ind w:left="110"/>
              <w:spacing w:after="0"/>
              <w:rPr>
                <w:sz w:val="20"/>
                <w:szCs w:val="20"/>
                <w:color w:val="auto"/>
              </w:rPr>
            </w:pPr>
            <w:r>
              <w:rPr>
                <w:rFonts w:ascii="Arial" w:cs="Arial" w:eastAsia="Arial" w:hAnsi="Arial"/>
                <w:sz w:val="18"/>
                <w:szCs w:val="18"/>
                <w:color w:val="auto"/>
                <w:w w:val="89"/>
              </w:rPr>
              <w:t>Class C Common Stock, par value $0.01</w:t>
            </w:r>
          </w:p>
        </w:tc>
        <w:tc>
          <w:tcPr>
            <w:tcW w:w="2520" w:type="dxa"/>
            <w:vAlign w:val="bottom"/>
          </w:tcPr>
          <w:p>
            <w:pPr>
              <w:jc w:val="center"/>
              <w:ind w:left="10"/>
              <w:spacing w:after="0"/>
              <w:rPr>
                <w:sz w:val="20"/>
                <w:szCs w:val="20"/>
                <w:color w:val="auto"/>
              </w:rPr>
            </w:pPr>
            <w:r>
              <w:rPr>
                <w:rFonts w:ascii="Arial" w:cs="Arial" w:eastAsia="Arial" w:hAnsi="Arial"/>
                <w:sz w:val="18"/>
                <w:szCs w:val="18"/>
                <w:color w:val="auto"/>
                <w:w w:val="98"/>
              </w:rPr>
              <w:t>CWEN</w:t>
            </w: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80"/>
        <w:spacing w:after="0" w:line="207" w:lineRule="exact"/>
        <w:tabs>
          <w:tab w:leader="none" w:pos="104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Fifteenth Supplemental Indenture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23, 2020, Clearway Energy Operating LLC (“Clearway Operating LLC”), a subsidiary of Clearway Energy LLC (“Clearway LLC”), the guarantors currently party to the 2026 Notes Indenture (defined below), Rosamond Solar Holdco LLC, Langford Holding LLC, and Daggett Solar Holdco LLC (each of the foregoing entities, collectively the “Guaranteeing Subsidiaries”) and Delaware Trust Company (as successor in interest to Law Debenture Trust Company of New York), as trustee (the “Trustee”), entered into the fifteenth supplemental indenture (the “Fifteenth Supplemental Indenture”), supplementing the indenture, dated as of August 18, 2016 (as amended or supplemented to the date hereof, the “2026 Notes Indenture”), by and among Clearway Operating LLC, the guarantors party thereto and the Trustee, pursuant to which Clearway Operating LLC issued $350,000,000 in aggregate principal amount of its 5.000% Senior Notes due 2026 (the “2026 Notes”). Pursuant to the Fifteenth Supplemental Indenture, the Guaranteeing Subsidiaries became guarantors of Clearway Operating LLC’s obligations under the 2026 Notes. Each of Clearway Operating LLC, Clearway LLC and the Guaranteeing Subsidiaries are subsidiaries of Clearway Energy, Inc.</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Fifteenth Supplemental Indenture does not purport to be complete and is qualified in its entirety by reference to the Fifteenth Supplemental Indenture, which is attached as Exhibit 4.1 to this Current Report on Form 8-K and is incorporated by reference herein.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23, 2020, Clearway Operating LLC, the guarantors currently party to the 2025 Notes Indenture (defined below), the Guaranteeing Subsidiaries and the Trustee also entered into the eleventh supplemental indenture (the “Eleventh Supplemental Indenture”), supplementing the indenture, dated as of October 1, 2018 (as amended or supplemented to the date hereof, the “2025 Notes Indenture”), by and among Clearway Operating LLC, the guarantors party thereto and the Trustee, pursuant to which Clearway Operating LLC issued $600,000,000 in aggregate principal amount of its 5.750% Senior Notes due 2025 (the “2025 Notes”). Pursuant to the Eleventh Supplemental Indenture, the Guaranteeing Subsidiaries became guarantors of Clearway Operating LLC’s obligations under the 2025 Notes.</w:t>
      </w:r>
    </w:p>
    <w:p>
      <w:pPr>
        <w:spacing w:after="0" w:line="19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foregoing description of the Eleventh Supplemental Indenture does not purport to be complete and is qualified in its entirety by reference to the Eleventh Supplemental Indenture, which is attached as Exhibit 4.2 to this Current Report on Form 8-K and is incorporated by reference 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Seventh Supplemental Indenture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23, 2020, Clearway Operating LLC, the guarantors currently party to the 2028 Notes Indenture (defined below), the Guaranteeing Subsidiaries and the Trustee also entered into the seventh supplemental indenture (the “Seventh Supplemental Indenture”), supplementing the indenture, dated as of December 11, 2019 (as amended or supplemented to the date hereof, the “2028 Notes Indenture”), by and among Clearway Operating LLC, the guarantors party thereto and the Trustee, pursuant to which Clearway Operating LLC issued $850,000,000 in aggregate principal amount of its 4.750% Senior Notes due 2028 (the “2028 Notes”). Pursuant to the Seventh Supplemental Indenture, the Guaranteeing Subsidiaries became guarantors of Clearway Operating LLC’s obligations under the 2028 Notes.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Seventh Supplemental Indenture does not purport to be complete and is qualified in its entirety by reference to the Seventh Supplemental Indenture, which is attached as Exhibit 4.3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223" w:lineRule="exact"/>
        <w:rPr>
          <w:sz w:val="20"/>
          <w:szCs w:val="20"/>
          <w:color w:val="auto"/>
        </w:rPr>
      </w:pPr>
    </w:p>
    <w:p>
      <w:pPr>
        <w:ind w:left="1140" w:right="140" w:hanging="793"/>
        <w:spacing w:after="0" w:line="258" w:lineRule="auto"/>
        <w:tabs>
          <w:tab w:leader="none" w:pos="1120" w:val="left"/>
        </w:tabs>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4">
        <w:r>
          <w:rPr>
            <w:rFonts w:ascii="Arial" w:cs="Arial" w:eastAsia="Arial" w:hAnsi="Arial"/>
            <w:sz w:val="18"/>
            <w:szCs w:val="18"/>
            <w:u w:val="single" w:color="auto"/>
            <w:color w:val="0000EE"/>
          </w:rPr>
          <w:t>Fifteenth Supplemental Indenture, dated as of December 23, 2020, among Clearway Energy Operating LLC, the guarantors named therein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and Delaware Trust Company (as successor in interest to Law Debenture Trust Company of New York).</w:t>
        </w:r>
      </w:hyperlink>
    </w:p>
    <w:p>
      <w:pPr>
        <w:spacing w:after="0" w:line="1" w:lineRule="exact"/>
        <w:rPr>
          <w:rFonts w:ascii="Arial" w:cs="Arial" w:eastAsia="Arial" w:hAnsi="Arial"/>
          <w:sz w:val="18"/>
          <w:szCs w:val="18"/>
          <w:u w:val="single" w:color="auto"/>
          <w:color w:val="0000EE"/>
        </w:rPr>
      </w:pPr>
    </w:p>
    <w:p>
      <w:pPr>
        <w:ind w:left="1140" w:right="160" w:hanging="793"/>
        <w:spacing w:after="0" w:line="250" w:lineRule="auto"/>
        <w:tabs>
          <w:tab w:leader="none" w:pos="1120" w:val="left"/>
        </w:tabs>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9">
        <w:r>
          <w:rPr>
            <w:rFonts w:ascii="Arial" w:cs="Arial" w:eastAsia="Arial" w:hAnsi="Arial"/>
            <w:sz w:val="18"/>
            <w:szCs w:val="18"/>
            <w:u w:val="single" w:color="auto"/>
            <w:color w:val="0000EE"/>
          </w:rPr>
          <w:t>Eleventh Supplemental Indenture, dated as of December 23, 2020, among Clearway Energy Operating LLC, the guarantors named therein</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and Delaware Trust Company.</w:t>
        </w:r>
      </w:hyperlink>
    </w:p>
    <w:p>
      <w:pPr>
        <w:spacing w:after="0" w:line="1" w:lineRule="exact"/>
        <w:rPr>
          <w:rFonts w:ascii="Arial" w:cs="Arial" w:eastAsia="Arial" w:hAnsi="Arial"/>
          <w:sz w:val="18"/>
          <w:szCs w:val="18"/>
          <w:u w:val="single" w:color="auto"/>
          <w:color w:val="0000EE"/>
        </w:rPr>
      </w:pPr>
    </w:p>
    <w:p>
      <w:pPr>
        <w:ind w:left="1140" w:right="220" w:hanging="793"/>
        <w:spacing w:after="0" w:line="250" w:lineRule="auto"/>
        <w:tabs>
          <w:tab w:leader="none" w:pos="1120" w:val="left"/>
        </w:tabs>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14">
        <w:r>
          <w:rPr>
            <w:rFonts w:ascii="Arial" w:cs="Arial" w:eastAsia="Arial" w:hAnsi="Arial"/>
            <w:sz w:val="18"/>
            <w:szCs w:val="18"/>
            <w:u w:val="single" w:color="auto"/>
            <w:color w:val="0000EE"/>
          </w:rPr>
          <w:t>Seventh Supplemental Indenture, dated as of December 23, 2020, among Clearway Energy Operating LLC, the guarantors named therein</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and Delaware Trust Company.</w:t>
        </w:r>
      </w:hyperlink>
    </w:p>
    <w:p>
      <w:pPr>
        <w:spacing w:after="0" w:line="1" w:lineRule="exact"/>
        <w:rPr>
          <w:rFonts w:ascii="Arial" w:cs="Arial" w:eastAsia="Arial" w:hAnsi="Arial"/>
          <w:sz w:val="18"/>
          <w:szCs w:val="18"/>
          <w:u w:val="single" w:color="auto"/>
          <w:color w:val="0000EE"/>
        </w:rPr>
      </w:pPr>
    </w:p>
    <w:p>
      <w:pPr>
        <w:ind w:left="5580" w:right="3580" w:hanging="5255"/>
        <w:spacing w:after="0" w:line="761" w:lineRule="auto"/>
        <w:tabs>
          <w:tab w:leader="none" w:pos="1143"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29, 2020</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320" w:top="90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FIFTEENTH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FIFTEENTH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23, 2020, among Rosamond Solar Holdco LLC, Langford Holding LLC, and Daggett Solar Holdco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August 18, 2016 providing for the issuance of 5.000% Senior Notes due 2026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80" w:hanging="724"/>
        <w:spacing w:after="0"/>
        <w:tabs>
          <w:tab w:leader="none" w:pos="1380" w:val="left"/>
        </w:tabs>
        <w:numPr>
          <w:ilvl w:val="0"/>
          <w:numId w:val="4"/>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422" w:val="left"/>
        </w:tabs>
        <w:numPr>
          <w:ilvl w:val="0"/>
          <w:numId w:val="4"/>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68" w:val="left"/>
        </w:tabs>
        <w:numPr>
          <w:ilvl w:val="0"/>
          <w:numId w:val="4"/>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56"/>
        <w:spacing w:after="0" w:line="263" w:lineRule="auto"/>
        <w:tabs>
          <w:tab w:leader="none" w:pos="1408" w:val="left"/>
        </w:tabs>
        <w:numPr>
          <w:ilvl w:val="0"/>
          <w:numId w:val="5"/>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35" w:val="left"/>
        </w:tabs>
        <w:numPr>
          <w:ilvl w:val="0"/>
          <w:numId w:val="5"/>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462" w:val="left"/>
        </w:tabs>
        <w:numPr>
          <w:ilvl w:val="0"/>
          <w:numId w:val="5"/>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95" w:val="left"/>
        </w:tabs>
        <w:numPr>
          <w:ilvl w:val="0"/>
          <w:numId w:val="5"/>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68" w:lineRule="auto"/>
        <w:tabs>
          <w:tab w:leader="none" w:pos="1381" w:val="left"/>
        </w:tabs>
        <w:numPr>
          <w:ilvl w:val="0"/>
          <w:numId w:val="5"/>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ROSAMOND SOLAR HOLDCO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DAGGETT SOLAR HOLDCO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6917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5" w:lineRule="exact"/>
        <w:rPr>
          <w:sz w:val="20"/>
          <w:szCs w:val="20"/>
          <w:color w:val="auto"/>
        </w:rPr>
      </w:pPr>
    </w:p>
    <w:p>
      <w:pPr>
        <w:jc w:val="right"/>
        <w:ind w:right="823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5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Fifteenth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ELEVENTH SUPPLEMENTAL INDENTURE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ELEVENTH SUPPLEMENTAL INDENTURE (this “</w:t>
      </w:r>
      <w:r>
        <w:rPr>
          <w:rFonts w:ascii="Arial" w:cs="Arial" w:eastAsia="Arial" w:hAnsi="Arial"/>
          <w:sz w:val="17"/>
          <w:szCs w:val="17"/>
          <w:i w:val="1"/>
          <w:iCs w:val="1"/>
          <w:color w:val="auto"/>
        </w:rPr>
        <w:t>Supplemental Indenture</w:t>
      </w:r>
      <w:r>
        <w:rPr>
          <w:rFonts w:ascii="Arial" w:cs="Arial" w:eastAsia="Arial" w:hAnsi="Arial"/>
          <w:sz w:val="17"/>
          <w:szCs w:val="17"/>
          <w:color w:val="auto"/>
        </w:rPr>
        <w:t>”), dated as of December 23, 2020, among Rosamond Solar Holdco LLC, Langford Holding LLC, and Daggett Solar Holdco LLC (collectively, the “</w:t>
      </w:r>
      <w:r>
        <w:rPr>
          <w:rFonts w:ascii="Arial" w:cs="Arial" w:eastAsia="Arial" w:hAnsi="Arial"/>
          <w:sz w:val="17"/>
          <w:szCs w:val="17"/>
          <w:i w:val="1"/>
          <w:iCs w:val="1"/>
          <w:color w:val="auto"/>
        </w:rPr>
        <w:t>Guaranteeing Subsidiaries</w:t>
      </w:r>
      <w:r>
        <w:rPr>
          <w:rFonts w:ascii="Arial" w:cs="Arial" w:eastAsia="Arial" w:hAnsi="Arial"/>
          <w:sz w:val="17"/>
          <w:szCs w:val="17"/>
          <w:color w:val="auto"/>
        </w:rPr>
        <w:t>”), each a subsidiary of Clearway Energy Operating LLC (or its permitted successor), a Delaware limited liability company (the “</w:t>
      </w:r>
      <w:r>
        <w:rPr>
          <w:rFonts w:ascii="Arial" w:cs="Arial" w:eastAsia="Arial" w:hAnsi="Arial"/>
          <w:sz w:val="17"/>
          <w:szCs w:val="17"/>
          <w:i w:val="1"/>
          <w:iCs w:val="1"/>
          <w:color w:val="auto"/>
        </w:rPr>
        <w:t>Company</w:t>
      </w:r>
      <w:r>
        <w:rPr>
          <w:rFonts w:ascii="Arial" w:cs="Arial" w:eastAsia="Arial" w:hAnsi="Arial"/>
          <w:sz w:val="17"/>
          <w:szCs w:val="17"/>
          <w:color w:val="auto"/>
        </w:rPr>
        <w:t>”), the Company, the other Guarantors (as defined in the Indenture referred to herein) and Delaware Trust Company, as trustee under the Indenture referred to below (the “</w:t>
      </w:r>
      <w:r>
        <w:rPr>
          <w:rFonts w:ascii="Arial" w:cs="Arial" w:eastAsia="Arial" w:hAnsi="Arial"/>
          <w:sz w:val="17"/>
          <w:szCs w:val="17"/>
          <w:i w:val="1"/>
          <w:iCs w:val="1"/>
          <w:color w:val="auto"/>
        </w:rPr>
        <w:t>Trustee</w:t>
      </w:r>
      <w:r>
        <w:rPr>
          <w:rFonts w:ascii="Arial" w:cs="Arial" w:eastAsia="Arial" w:hAnsi="Arial"/>
          <w:sz w:val="17"/>
          <w:szCs w:val="17"/>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October 1, 2018 providing for the issuance of 5.750% Senior Notes due 2025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8"/>
          <w:szCs w:val="18"/>
          <w:i w:val="1"/>
          <w:iCs w:val="1"/>
          <w:color w:val="auto"/>
        </w:rPr>
        <w:t>Subsidiary Guarantee</w:t>
      </w:r>
      <w:r>
        <w:rPr>
          <w:rFonts w:ascii="Arial" w:cs="Arial" w:eastAsia="Arial" w:hAnsi="Arial"/>
          <w:sz w:val="18"/>
          <w:szCs w:val="18"/>
          <w:color w:val="auto"/>
        </w:rPr>
        <w:t>”); and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2060" w:hanging="1404"/>
        <w:spacing w:after="0"/>
        <w:tabs>
          <w:tab w:leader="none" w:pos="2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CAPITALIZED TERMS. Capitalized terms used herein without definition shall have the meanings assigned to them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Indenture.</w:t>
      </w:r>
    </w:p>
    <w:p>
      <w:pPr>
        <w:spacing w:after="0" w:line="210" w:lineRule="exact"/>
        <w:rPr>
          <w:rFonts w:ascii="Arial" w:cs="Arial" w:eastAsia="Arial" w:hAnsi="Arial"/>
          <w:sz w:val="17"/>
          <w:szCs w:val="17"/>
          <w:color w:val="auto"/>
        </w:rPr>
      </w:pPr>
    </w:p>
    <w:p>
      <w:pPr>
        <w:jc w:val="both"/>
        <w:ind w:firstLine="656"/>
        <w:spacing w:after="0" w:line="259" w:lineRule="auto"/>
        <w:tabs>
          <w:tab w:leader="none" w:pos="1759" w:val="left"/>
        </w:tabs>
        <w:numPr>
          <w:ilvl w:val="0"/>
          <w:numId w:val="6"/>
        </w:numPr>
        <w:rPr>
          <w:rFonts w:ascii="Arial" w:cs="Arial" w:eastAsia="Arial" w:hAnsi="Arial"/>
          <w:sz w:val="18"/>
          <w:szCs w:val="18"/>
          <w:color w:val="auto"/>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a Guarantor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auto"/>
        </w:rPr>
      </w:pPr>
    </w:p>
    <w:p>
      <w:pPr>
        <w:jc w:val="both"/>
        <w:ind w:firstLine="656"/>
        <w:spacing w:after="0" w:line="257" w:lineRule="auto"/>
        <w:tabs>
          <w:tab w:leader="none" w:pos="2056"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656"/>
        <w:spacing w:after="0" w:line="263" w:lineRule="auto"/>
        <w:tabs>
          <w:tab w:leader="none" w:pos="1691"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auto"/>
        </w:rPr>
      </w:pPr>
    </w:p>
    <w:p>
      <w:pPr>
        <w:ind w:right="20" w:firstLine="656"/>
        <w:spacing w:after="0" w:line="277" w:lineRule="auto"/>
        <w:tabs>
          <w:tab w:leader="none" w:pos="1921" w:val="left"/>
        </w:tabs>
        <w:numPr>
          <w:ilvl w:val="0"/>
          <w:numId w:val="7"/>
        </w:numPr>
        <w:rPr>
          <w:rFonts w:ascii="Arial" w:cs="Arial" w:eastAsia="Arial" w:hAnsi="Arial"/>
          <w:sz w:val="18"/>
          <w:szCs w:val="18"/>
          <w:color w:val="auto"/>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1640" w:hanging="984"/>
        <w:spacing w:after="0"/>
        <w:tabs>
          <w:tab w:leader="none" w:pos="1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auto"/>
        </w:rPr>
      </w:pPr>
    </w:p>
    <w:p>
      <w:pPr>
        <w:jc w:val="both"/>
        <w:ind w:firstLine="656"/>
        <w:spacing w:after="0" w:line="263" w:lineRule="auto"/>
        <w:tabs>
          <w:tab w:leader="none" w:pos="16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8. 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7" w:lineRule="exact"/>
        <w:rPr>
          <w:sz w:val="20"/>
          <w:szCs w:val="20"/>
          <w:color w:val="auto"/>
        </w:rPr>
      </w:pPr>
    </w:p>
    <w:p>
      <w:pPr>
        <w:jc w:val="both"/>
        <w:ind w:firstLine="656"/>
        <w:spacing w:after="0" w:line="268" w:lineRule="auto"/>
        <w:tabs>
          <w:tab w:leader="none" w:pos="1853" w:val="left"/>
        </w:tabs>
        <w:numPr>
          <w:ilvl w:val="0"/>
          <w:numId w:val="8"/>
        </w:numPr>
        <w:rPr>
          <w:rFonts w:ascii="Arial" w:cs="Arial" w:eastAsia="Arial" w:hAnsi="Arial"/>
          <w:sz w:val="17"/>
          <w:szCs w:val="17"/>
          <w:color w:val="auto"/>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ROSAMOND SOLAR HOLDCO LLC</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LANGFORD HOLDING LLC</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DAGGETT SOLAR HOLDCO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Title: Senior Vice President, Chief Financial Officer &amp; Treasurer</w:t>
      </w:r>
    </w:p>
    <w:p>
      <w:pPr>
        <w:spacing w:after="0" w:line="22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908" w:right="899" w:bottom="1440" w:gutter="0" w:footer="0" w:header="0"/>
        </w:sectPr>
      </w:pPr>
    </w:p>
    <w:bookmarkStart w:id="11" w:name="page12"/>
    <w:bookmarkEnd w:id="11"/>
    <w:p>
      <w:pPr>
        <w:ind w:left="452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OCOTILLO WINDPOWER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5" w:lineRule="exact"/>
        <w:rPr>
          <w:sz w:val="20"/>
          <w:szCs w:val="20"/>
          <w:color w:val="auto"/>
        </w:rPr>
      </w:pPr>
    </w:p>
    <w:p>
      <w:pPr>
        <w:jc w:val="right"/>
        <w:ind w:right="8239"/>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Eleventh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4.3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SEVENTH SUPPLEMENTAL INDENTURE</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SEVENTH SUPPLEMENTAL INDENTURE (this “</w:t>
      </w:r>
      <w:r>
        <w:rPr>
          <w:rFonts w:ascii="Arial" w:cs="Arial" w:eastAsia="Arial" w:hAnsi="Arial"/>
          <w:sz w:val="18"/>
          <w:szCs w:val="18"/>
          <w:i w:val="1"/>
          <w:iCs w:val="1"/>
          <w:color w:val="auto"/>
        </w:rPr>
        <w:t>Supplemental Indenture</w:t>
      </w:r>
      <w:r>
        <w:rPr>
          <w:rFonts w:ascii="Arial" w:cs="Arial" w:eastAsia="Arial" w:hAnsi="Arial"/>
          <w:sz w:val="18"/>
          <w:szCs w:val="18"/>
          <w:color w:val="auto"/>
        </w:rPr>
        <w:t>”), dated as of December 23, 2020, among Rosamond Solar Holdco LLC, Langford Holding LLC, and Daggett Solar Holdco LLC (collectively, the “</w:t>
      </w:r>
      <w:r>
        <w:rPr>
          <w:rFonts w:ascii="Arial" w:cs="Arial" w:eastAsia="Arial" w:hAnsi="Arial"/>
          <w:sz w:val="18"/>
          <w:szCs w:val="18"/>
          <w:i w:val="1"/>
          <w:iCs w:val="1"/>
          <w:color w:val="auto"/>
        </w:rPr>
        <w:t>Guaranteeing Subsidiaries</w:t>
      </w:r>
      <w:r>
        <w:rPr>
          <w:rFonts w:ascii="Arial" w:cs="Arial" w:eastAsia="Arial" w:hAnsi="Arial"/>
          <w:sz w:val="18"/>
          <w:szCs w:val="18"/>
          <w:color w:val="auto"/>
        </w:rPr>
        <w:t>”), each a subsidiary of Clearway Energy Operating LLC (or its permitted successor), a Delaware limited liability company (the “</w:t>
      </w:r>
      <w:r>
        <w:rPr>
          <w:rFonts w:ascii="Arial" w:cs="Arial" w:eastAsia="Arial" w:hAnsi="Arial"/>
          <w:sz w:val="18"/>
          <w:szCs w:val="18"/>
          <w:i w:val="1"/>
          <w:iCs w:val="1"/>
          <w:color w:val="auto"/>
        </w:rPr>
        <w:t>Company</w:t>
      </w:r>
      <w:r>
        <w:rPr>
          <w:rFonts w:ascii="Arial" w:cs="Arial" w:eastAsia="Arial" w:hAnsi="Arial"/>
          <w:sz w:val="18"/>
          <w:szCs w:val="18"/>
          <w:color w:val="auto"/>
        </w:rPr>
        <w:t>”), the Company, the other Guarantors (as defined in the Indenture referred to herein) and Delaware Trust Company (as successor in interest to Law Debenture Trust Company of New York), as trustee under the Indenture referred to below (the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the Company has heretofore executed and delivered to the Trustee an indenture (the “</w:t>
      </w:r>
      <w:r>
        <w:rPr>
          <w:rFonts w:ascii="Arial" w:cs="Arial" w:eastAsia="Arial" w:hAnsi="Arial"/>
          <w:sz w:val="18"/>
          <w:szCs w:val="18"/>
          <w:i w:val="1"/>
          <w:iCs w:val="1"/>
          <w:color w:val="auto"/>
        </w:rPr>
        <w:t>Indenture</w:t>
      </w:r>
      <w:r>
        <w:rPr>
          <w:rFonts w:ascii="Arial" w:cs="Arial" w:eastAsia="Arial" w:hAnsi="Arial"/>
          <w:sz w:val="18"/>
          <w:szCs w:val="18"/>
          <w:color w:val="auto"/>
        </w:rPr>
        <w:t>”), dated as of December 11, 2019 providing for the issuance of 4.750% Senior Notes due 2028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Indenture provides that under certain circumstances the Guaranteeing Subsidiaries shall execute and deliver to the Trustee a supplemental indenture pursuant to which each Guaranteeing Subsidiary shall fully and unconditionally guarantee all of the Company’s Obligations under the Notes and the Indenture on the terms and conditions set forth herein (the “</w:t>
      </w:r>
      <w:r>
        <w:rPr>
          <w:rFonts w:ascii="Arial" w:cs="Arial" w:eastAsia="Arial" w:hAnsi="Arial"/>
          <w:sz w:val="17"/>
          <w:szCs w:val="17"/>
          <w:i w:val="1"/>
          <w:iCs w:val="1"/>
          <w:color w:val="auto"/>
        </w:rPr>
        <w:t>Subsidiary Guarantee</w:t>
      </w:r>
      <w:r>
        <w:rPr>
          <w:rFonts w:ascii="Arial" w:cs="Arial" w:eastAsia="Arial" w:hAnsi="Arial"/>
          <w:sz w:val="17"/>
          <w:szCs w:val="17"/>
          <w:color w:val="auto"/>
        </w:rPr>
        <w:t>”); and</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WHEREAS, pursuant to Sections 4.10 and 9.01 of the Indenture, the Trustee, the Company and the other Guarantors are authorized to execute and deliver this Supplemental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4" w:lineRule="exact"/>
        <w:rPr>
          <w:sz w:val="20"/>
          <w:szCs w:val="20"/>
          <w:color w:val="auto"/>
        </w:rPr>
      </w:pPr>
    </w:p>
    <w:p>
      <w:pPr>
        <w:ind w:left="1380" w:hanging="724"/>
        <w:spacing w:after="0"/>
        <w:tabs>
          <w:tab w:leader="none" w:pos="1380" w:val="left"/>
        </w:tabs>
        <w:numPr>
          <w:ilvl w:val="0"/>
          <w:numId w:val="9"/>
        </w:numPr>
        <w:rPr>
          <w:rFonts w:ascii="Arial" w:cs="Arial" w:eastAsia="Arial" w:hAnsi="Arial"/>
          <w:sz w:val="16"/>
          <w:szCs w:val="16"/>
          <w:color w:val="010000"/>
        </w:rPr>
      </w:pPr>
      <w:r>
        <w:rPr>
          <w:rFonts w:ascii="Arial" w:cs="Arial" w:eastAsia="Arial" w:hAnsi="Arial"/>
          <w:sz w:val="16"/>
          <w:szCs w:val="16"/>
          <w:color w:val="auto"/>
        </w:rPr>
        <w:t>CAPITALIZED TERMS. Capitalized terms used herein without definition shall have the meanings assigned to them in the Indenture.</w:t>
      </w:r>
    </w:p>
    <w:p>
      <w:pPr>
        <w:spacing w:after="0" w:line="248" w:lineRule="exact"/>
        <w:rPr>
          <w:rFonts w:ascii="Arial" w:cs="Arial" w:eastAsia="Arial" w:hAnsi="Arial"/>
          <w:sz w:val="16"/>
          <w:szCs w:val="16"/>
          <w:color w:val="010000"/>
        </w:rPr>
      </w:pPr>
    </w:p>
    <w:p>
      <w:pPr>
        <w:jc w:val="both"/>
        <w:ind w:firstLine="656"/>
        <w:spacing w:after="0" w:line="259" w:lineRule="auto"/>
        <w:tabs>
          <w:tab w:leader="none" w:pos="1422" w:val="left"/>
        </w:tabs>
        <w:numPr>
          <w:ilvl w:val="0"/>
          <w:numId w:val="9"/>
        </w:numPr>
        <w:rPr>
          <w:rFonts w:ascii="Arial" w:cs="Arial" w:eastAsia="Arial" w:hAnsi="Arial"/>
          <w:sz w:val="18"/>
          <w:szCs w:val="18"/>
          <w:color w:val="010000"/>
        </w:rPr>
      </w:pPr>
      <w:r>
        <w:rPr>
          <w:rFonts w:ascii="Arial" w:cs="Arial" w:eastAsia="Arial" w:hAnsi="Arial"/>
          <w:sz w:val="18"/>
          <w:szCs w:val="18"/>
          <w:color w:val="auto"/>
        </w:rPr>
        <w:t>AGREEMENT TO GUARANTEE. Each Guaranteeing Subsidiary hereby becomes a party to the Indenture as a Guarantor and as such will have all the rights and be subject to all the Obligations and agreements of Guarantors under the Indenture. Each Guaranteeing Subsidiary hereby agrees to provide a full and unconditional Guarantee on the terms and subject to the conditions set forth in the Subsidiary Guarantee and in the Indenture including but not limited to Article 10 thereof.</w:t>
      </w:r>
    </w:p>
    <w:p>
      <w:pPr>
        <w:spacing w:after="0" w:line="186" w:lineRule="exact"/>
        <w:rPr>
          <w:rFonts w:ascii="Arial" w:cs="Arial" w:eastAsia="Arial" w:hAnsi="Arial"/>
          <w:sz w:val="18"/>
          <w:szCs w:val="18"/>
          <w:color w:val="010000"/>
        </w:rPr>
      </w:pPr>
    </w:p>
    <w:p>
      <w:pPr>
        <w:jc w:val="both"/>
        <w:ind w:firstLine="656"/>
        <w:spacing w:after="0" w:line="257" w:lineRule="auto"/>
        <w:tabs>
          <w:tab w:leader="none" w:pos="1368" w:val="left"/>
        </w:tabs>
        <w:numPr>
          <w:ilvl w:val="0"/>
          <w:numId w:val="9"/>
        </w:numPr>
        <w:rPr>
          <w:rFonts w:ascii="Arial" w:cs="Arial" w:eastAsia="Arial" w:hAnsi="Arial"/>
          <w:sz w:val="18"/>
          <w:szCs w:val="18"/>
          <w:color w:val="010000"/>
        </w:rPr>
      </w:pPr>
      <w:r>
        <w:rPr>
          <w:rFonts w:ascii="Arial" w:cs="Arial" w:eastAsia="Arial" w:hAnsi="Arial"/>
          <w:sz w:val="18"/>
          <w:szCs w:val="18"/>
          <w:color w:val="auto"/>
        </w:rPr>
        <w:t>NO RECOURSE AGAINST OTHERS. No director, officer, employee, incorporator or stockholder of the Company or any Guarantor, as such, will have any liability for any obligations of the Company or the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656"/>
        <w:spacing w:after="0" w:line="263" w:lineRule="auto"/>
        <w:tabs>
          <w:tab w:leader="none" w:pos="1408"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3" w:lineRule="exact"/>
        <w:rPr>
          <w:rFonts w:ascii="Arial" w:cs="Arial" w:eastAsia="Arial" w:hAnsi="Arial"/>
          <w:sz w:val="18"/>
          <w:szCs w:val="18"/>
          <w:color w:val="010000"/>
        </w:rPr>
      </w:pPr>
    </w:p>
    <w:p>
      <w:pPr>
        <w:ind w:firstLine="656"/>
        <w:spacing w:after="0" w:line="277" w:lineRule="auto"/>
        <w:tabs>
          <w:tab w:leader="none" w:pos="1435"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COUNTERPARTS.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010000"/>
        </w:rPr>
      </w:pPr>
    </w:p>
    <w:p>
      <w:pPr>
        <w:ind w:left="1380" w:hanging="724"/>
        <w:spacing w:after="0"/>
        <w:tabs>
          <w:tab w:leader="none" w:pos="1380"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EFFECT OF HEADINGS. The Section headings herein are for convenience only and shall not affect the construction hereof.</w:t>
      </w:r>
    </w:p>
    <w:p>
      <w:pPr>
        <w:spacing w:after="0" w:line="236" w:lineRule="exact"/>
        <w:rPr>
          <w:rFonts w:ascii="Arial" w:cs="Arial" w:eastAsia="Arial" w:hAnsi="Arial"/>
          <w:sz w:val="17"/>
          <w:szCs w:val="17"/>
          <w:color w:val="010000"/>
        </w:rPr>
      </w:pPr>
    </w:p>
    <w:p>
      <w:pPr>
        <w:jc w:val="both"/>
        <w:ind w:firstLine="656"/>
        <w:spacing w:after="0" w:line="263" w:lineRule="auto"/>
        <w:tabs>
          <w:tab w:leader="none" w:pos="1462"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83" w:lineRule="exact"/>
        <w:rPr>
          <w:rFonts w:ascii="Arial" w:cs="Arial" w:eastAsia="Arial" w:hAnsi="Arial"/>
          <w:sz w:val="18"/>
          <w:szCs w:val="18"/>
          <w:color w:val="010000"/>
        </w:rPr>
      </w:pPr>
    </w:p>
    <w:p>
      <w:pPr>
        <w:jc w:val="both"/>
        <w:ind w:firstLine="656"/>
        <w:spacing w:after="0" w:line="259" w:lineRule="auto"/>
        <w:tabs>
          <w:tab w:leader="none" w:pos="1395"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RATIFICATION OF INDENTURE; SUPPLEMENTAL INDENTURE FOR ADDITIONAL GUARANTEES PART OF INDENTURE. Except as expressly amended hereby, the Indenture is in all respects ratified and confirmed and all the terms, conditions and provisions thereof shall remain in full force and effect. This Supplemental Indenture for Additional Guarantees shall form a part of the Indenture for all purposes, and every Holder of Notes heretofore or hereafter authenticated and delivered shall by bound hereby.</w:t>
      </w:r>
    </w:p>
    <w:p>
      <w:pPr>
        <w:spacing w:after="0" w:line="186" w:lineRule="exact"/>
        <w:rPr>
          <w:rFonts w:ascii="Arial" w:cs="Arial" w:eastAsia="Arial" w:hAnsi="Arial"/>
          <w:sz w:val="18"/>
          <w:szCs w:val="18"/>
          <w:color w:val="010000"/>
        </w:rPr>
      </w:pPr>
    </w:p>
    <w:p>
      <w:pPr>
        <w:jc w:val="both"/>
        <w:ind w:firstLine="656"/>
        <w:spacing w:after="0" w:line="268" w:lineRule="auto"/>
        <w:tabs>
          <w:tab w:leader="none" w:pos="1381" w:val="left"/>
        </w:tabs>
        <w:numPr>
          <w:ilvl w:val="0"/>
          <w:numId w:val="10"/>
        </w:numPr>
        <w:rPr>
          <w:rFonts w:ascii="Arial" w:cs="Arial" w:eastAsia="Arial" w:hAnsi="Arial"/>
          <w:sz w:val="17"/>
          <w:szCs w:val="17"/>
          <w:color w:val="010000"/>
        </w:rPr>
      </w:pPr>
      <w:r>
        <w:rPr>
          <w:rFonts w:ascii="Arial" w:cs="Arial" w:eastAsia="Arial" w:hAnsi="Arial"/>
          <w:sz w:val="17"/>
          <w:szCs w:val="17"/>
          <w:color w:val="auto"/>
        </w:rPr>
        <w:t>ELECTRONIC SIGNATURES. Each of the transaction parties agrees on behalf of itself, and any Person acting or claiming by, under or through such transaction party, that any written instrument delivered in connection with this Supplemental Indenture, the Indenture or any related document, including without limitation any amendments or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any Guaranteeing Subsidiary or any other Guarantor to the Trustee shall be considered signed or executed by such person on behalf of the Company, such Guaranteeing Subsidiary, or such other Guarantor, as applicable. Each of the Company, the Guaranteeing Subsidiaries, and the other Guarantors agree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1296"/>
        <w:spacing w:after="0" w:line="277" w:lineRule="auto"/>
        <w:rPr>
          <w:sz w:val="20"/>
          <w:szCs w:val="20"/>
          <w:color w:val="auto"/>
        </w:rPr>
      </w:pPr>
      <w:r>
        <w:rPr>
          <w:rFonts w:ascii="Arial" w:cs="Arial" w:eastAsia="Arial" w:hAnsi="Arial"/>
          <w:sz w:val="18"/>
          <w:szCs w:val="18"/>
          <w:color w:val="auto"/>
        </w:rPr>
        <w:t>IN WITNESS WHEREOF, the parties hereto have caused this Supplemental Indenture to be duly executed and attested, all as of the date first above written.</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ROSAMOND SOLAR HOLDCO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LANGFORD HOLDING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DAGGETT SOLAR HOLDCO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OPERATING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CLEARWAY ENERGY LLC</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DGPV HOLDING LLC</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Senior Vice President, Chief Financial Officer &amp; Treasurer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color w:val="auto"/>
        </w:rPr>
        <w:t>ALTA WIND 1-5 HOLDING COMPANY, LLC</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ALTA WIND COMPANY,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CBAD HOLDINGS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CENTRAL CA FUEL CELL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CLEARWAY SOLAR STAR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CWEN PINNACLE REPOWERING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DG-CS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DG SREC HOLDCO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ECP UPTOWN CAMPUS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CAGUAS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FAJARDO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ENERGY CENTER HONOLULU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FUEL CELL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MESQUITE STAR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NIMH SOLAR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OCOTILLO WINDPOWER HOLDINGS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PORTFOLIO SOLAR 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RPV HOLDING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FLAGSTAFF ONE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IGUANA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LAS VEGAS MB 1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SOLAR TABERNACLE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SOUTH TRENT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ASSET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II-B,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SPP FUND III,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CANADA INFRASTRUCTURE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THERMAL HAWAII DEVELOPMENT HOLDINGS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THERMAL INFRASTRUCTURE DEVELOPMENT HOLDINGS LLC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UB FUEL CELL, LLC</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UTAH SOLAR MASTER HOLDCO LLC</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Chad Plotkin</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Vice President &amp; Treasurer</w:t>
      </w:r>
    </w:p>
    <w:p>
      <w:pPr>
        <w:spacing w:after="0" w:line="211"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740"/>
          </w:cols>
          <w:pgMar w:left="1440" w:top="908" w:right="7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DELAWARE TRUST COMPANY</w:t>
      </w:r>
    </w:p>
    <w:p>
      <w:pPr>
        <w:spacing w:after="0" w:line="225" w:lineRule="exact"/>
        <w:rPr>
          <w:sz w:val="20"/>
          <w:szCs w:val="20"/>
          <w:color w:val="auto"/>
        </w:rPr>
      </w:pPr>
    </w:p>
    <w:p>
      <w:pPr>
        <w:jc w:val="right"/>
        <w:ind w:right="8199"/>
        <w:spacing w:after="0"/>
        <w:rPr>
          <w:sz w:val="20"/>
          <w:szCs w:val="20"/>
          <w:color w:val="auto"/>
        </w:rPr>
      </w:pPr>
      <w:r>
        <w:rPr>
          <w:rFonts w:ascii="Arial" w:cs="Arial" w:eastAsia="Arial" w:hAnsi="Arial"/>
          <w:sz w:val="17"/>
          <w:szCs w:val="17"/>
          <w:color w:val="auto"/>
        </w:rPr>
        <w:t>By: /s/ Benjamin Hancock</w:t>
      </w:r>
    </w:p>
    <w:p>
      <w:pPr>
        <w:spacing w:after="0" w:line="48" w:lineRule="exact"/>
        <w:rPr>
          <w:sz w:val="20"/>
          <w:szCs w:val="20"/>
          <w:color w:val="auto"/>
        </w:rPr>
      </w:pPr>
    </w:p>
    <w:p>
      <w:pPr>
        <w:jc w:val="right"/>
        <w:ind w:right="8239"/>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-130175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Seventh Supplemental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1"/>
      <w:numFmt w:val="decimal"/>
      <w:start w:val="104"/>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4"/>
    </w:lvl>
  </w:abstractNum>
  <w:abstractNum w:abstractNumId="7">
    <w:nsid w:val="5BD062C2"/>
    <w:multiLevelType w:val="hybridMultilevel"/>
    <w:lvl w:ilvl="0">
      <w:lvlJc w:val="left"/>
      <w:lvlText w:val="%1."/>
      <w:numFmt w:val="decimal"/>
      <w:start w:val="9"/>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2020-12-29T15:12:44Z</dcterms:created>
  <dcterms:modified xsi:type="dcterms:W3CDTF">2020-12-29T15:12:44Z</dcterms:modified>
</cp:coreProperties>
</file>