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15, 2016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100"/>
          </w:cols>
          <w:pgMar w:left="240" w:top="544" w:right="1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60"/>
          </w:cols>
          <w:pgMar w:left="240" w:top="544" w:right="199" w:bottom="0" w:gutter="0" w:footer="0" w:header="0"/>
          <w:type w:val="continuous"/>
        </w:sectPr>
      </w:pPr>
    </w:p>
    <w:p>
      <w:pPr>
        <w:spacing w:after="0" w:line="234" w:lineRule="exact"/>
        <w:rPr>
          <w:sz w:val="24"/>
          <w:szCs w:val="24"/>
          <w:color w:val="auto"/>
        </w:rPr>
      </w:pPr>
    </w:p>
    <w:p>
      <w:pPr>
        <w:ind w:right="16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Senior Notes Offering</w:t>
      </w:r>
    </w:p>
    <w:p>
      <w:pPr>
        <w:spacing w:after="0" w:line="225"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On August 15, 2016, NRG Yield Operating LLC, a subsidiary of NRG Yield LLC, issued a press release regarding its proposed offering of up to $350.0 million in aggregate principal amount of senior notes due 2026. A copy of the press release is attached hereto as Exhibit 99.1 and is incorporated by reference herein.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jc w:val="right"/>
              <w:ind w:right="7148"/>
              <w:spacing w:after="0"/>
              <w:rPr>
                <w:sz w:val="20"/>
                <w:szCs w:val="20"/>
                <w:color w:val="auto"/>
              </w:rPr>
            </w:pPr>
            <w:r>
              <w:rPr>
                <w:rFonts w:ascii="Arial" w:cs="Arial" w:eastAsia="Arial" w:hAnsi="Arial"/>
                <w:sz w:val="18"/>
                <w:szCs w:val="18"/>
                <w:color w:val="auto"/>
                <w:w w:val="97"/>
              </w:rPr>
              <w:t>Press Release, dated August 15, 2016</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NRG Yield LLC</w:t>
      </w:r>
    </w:p>
    <w:p>
      <w:pPr>
        <w:spacing w:after="0" w:line="200" w:lineRule="exact"/>
        <w:rPr>
          <w:sz w:val="24"/>
          <w:szCs w:val="24"/>
          <w:color w:val="auto"/>
        </w:rPr>
      </w:pPr>
    </w:p>
    <w:p>
      <w:pPr>
        <w:spacing w:after="0" w:line="245" w:lineRule="exact"/>
        <w:rPr>
          <w:sz w:val="24"/>
          <w:szCs w:val="24"/>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4"/>
          <w:szCs w:val="24"/>
          <w:color w:val="auto"/>
        </w:rPr>
      </w:pPr>
    </w:p>
    <w:p>
      <w:pPr>
        <w:ind w:left="6160"/>
        <w:spacing w:after="0"/>
        <w:rPr>
          <w:sz w:val="20"/>
          <w:szCs w:val="20"/>
          <w:color w:val="auto"/>
        </w:rPr>
      </w:pPr>
      <w:r>
        <w:rPr>
          <w:rFonts w:ascii="Arial" w:cs="Arial" w:eastAsia="Arial" w:hAnsi="Arial"/>
          <w:sz w:val="18"/>
          <w:szCs w:val="18"/>
          <w:color w:val="auto"/>
        </w:rPr>
        <w:t>Brian E. Curci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4"/>
          <w:szCs w:val="24"/>
          <w:color w:val="auto"/>
        </w:rPr>
      </w:pPr>
    </w:p>
    <w:p>
      <w:pPr>
        <w:ind w:left="61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60"/>
          </w:cols>
          <w:pgMar w:left="240" w:top="544" w:right="1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Dated: August 15,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0260" w:type="dxa"/>
            <w:vAlign w:val="bottom"/>
            <w:gridSpan w:val="2"/>
          </w:tcPr>
          <w:p>
            <w:pPr>
              <w:jc w:val="center"/>
              <w:ind w:right="1079"/>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0"/>
                <w:szCs w:val="20"/>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24"/>
                <w:szCs w:val="24"/>
                <w:color w:val="auto"/>
              </w:rPr>
            </w:pPr>
          </w:p>
        </w:tc>
      </w:tr>
      <w:tr>
        <w:trPr>
          <w:trHeight w:val="426"/>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99.1</w:t>
            </w: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Press Release, dated August 15, 2016.</w:t>
            </w:r>
          </w:p>
        </w:tc>
      </w:tr>
      <w:tr>
        <w:trPr>
          <w:trHeight w:val="432"/>
        </w:trPr>
        <w:tc>
          <w:tcPr>
            <w:tcW w:w="1160" w:type="dxa"/>
            <w:vAlign w:val="bottom"/>
          </w:tcPr>
          <w:p>
            <w:pPr>
              <w:spacing w:after="0"/>
              <w:rPr>
                <w:sz w:val="24"/>
                <w:szCs w:val="24"/>
                <w:color w:val="auto"/>
              </w:rPr>
            </w:pPr>
          </w:p>
        </w:tc>
        <w:tc>
          <w:tcPr>
            <w:tcW w:w="10260" w:type="dxa"/>
            <w:vAlign w:val="bottom"/>
            <w:gridSpan w:val="2"/>
          </w:tcPr>
          <w:p>
            <w:pPr>
              <w:jc w:val="center"/>
              <w:ind w:right="1079"/>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66370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445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NRG Yield Operating LLC, a Subsidiary of NRG Yield,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Announces Proposed Offering of $350.0 Million Senior Notes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PRINCETON, NJ; August 15, 2016 — NRG Yield Operating LLC (“Yield Operating”), a subsidiary of NRG Yield, Inc. (NYSE: NYLD, NYLD.A) (“NRG Yield”), intends to commence an offering of $350.0 million in aggregate principal amount of senior notes due 2026 (the “Notes”). The Notes will be senior unsecured obligations of Yield Operating and will be guaranteed by NRG Yield LLC, Yield Operating’s parent company, and by each of Yield Operating’s wholly owned current and future subsidiaries that guarantees indebtedness under its credit agreement.</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Yield Operating intends to use the proceeds of the offering to repay all outstanding cash borrowings under its revolving credit facility, and the remaining net proceeds will be used for general corporate purposes, including the funding of acquisitions and investments.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nor a solicitation for an offer to purchase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Our thermal infrastructure assets provide steam, hot and/or chilled water, and in some instances electricity, to commercial businesses, universities, hospitals and governmental units in multiple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locations. NRG Yield’s Class C and Class A common stock are traded on the New York Stock Exchange under the symbols NYLD and NYLD.A,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Although NRG Yield believes that its expectations are reasonable, it can give no assurance that these expectations will prove to be correct, and actual results may vary materially. Factors that could cause actual results to differ materially from those contemplated herein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 the condition of capital markets generally, our ability to access capital markets, unanticipated outages at our generation facilities, adverse results in current and future litigation, failure to identify or successfully execute acquisitions, our ability to enter into new contracts as existing contracts expire, our ability to acquire assets from NRG Energy, Inc. or third parties, our ability to maintain or create successful partnering relationships with NRG Energy, Inc. and other third parties, our ability to close drop-down transactions, and our ability to maintain and grow our quarterly dividends. Furthermore, any dividends are subject to available capital, market conditions, and compliance with associated laws and regulations.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NRG Yield undertakes no obligation to update or revise any forward-looking statements, whether as a result of new information, future events or otherwise. The foregoing review of factors that could cause NRG Yield’s actual results to differ materially from those contemplated in the forward-looking statements included in this news release should be considered in connection with information regarding risks and uncertainties that may affect NRG Yield’s future results included in NRG Yield’s filings with the Securities and Exchange Commission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Karen Cleeve, 609-524-4608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Marijke Shugrue, 609-524-5262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Kevin L. Cole, CFA, 609-524-4526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Lindsey Puchyr, 609-524-4527</w:t>
      </w:r>
    </w:p>
    <w:p>
      <w:pPr>
        <w:sectPr>
          <w:pgSz w:w="11900" w:h="16838" w:orient="portrait"/>
          <w:cols w:equalWidth="0" w:num="1">
            <w:col w:w="11420"/>
          </w:cols>
          <w:pgMar w:left="240" w:top="121"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2019-12-09T02:18:41Z</dcterms:created>
  <dcterms:modified xsi:type="dcterms:W3CDTF">2019-12-09T02:18:41Z</dcterms:modified>
</cp:coreProperties>
</file>