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-637540</wp:posOffset>
            </wp:positionV>
            <wp:extent cx="59055" cy="650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0875"/>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-637540</wp:posOffset>
            </wp:positionV>
            <wp:extent cx="59055" cy="650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087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415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4152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00" w:space="420"/>
            <w:col w:w="8800"/>
          </w:cols>
          <w:pgMar w:left="240" w:top="223" w:right="139" w:bottom="70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Sotos Christopher S</w:t>
        </w:r>
      </w:hyperlink>
    </w:p>
    <w:p>
      <w:pPr>
        <w:spacing w:after="0" w:line="31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NRG YIELD,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NRG Yield,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NYLD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01/02/2018</w:t>
      </w:r>
    </w:p>
    <w:p>
      <w:pPr>
        <w:spacing w:after="0" w:line="20" w:lineRule="exact"/>
        <w:rPr>
          <w:sz w:val="24"/>
          <w:szCs w:val="24"/>
          <w:color w:val="auto"/>
        </w:rPr>
      </w:pPr>
      <w:r>
        <w:rPr>
          <w:sz w:val="24"/>
          <w:szCs w:val="24"/>
          <w:color w:val="auto"/>
        </w:rPr>
        <w:br w:type="column"/>
      </w:r>
    </w:p>
    <w:p>
      <w:pPr>
        <w:ind w:left="-6" w:right="700" w:firstLine="6"/>
        <w:spacing w:after="0" w:line="243"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1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94"/>
        <w:spacing w:after="0"/>
        <w:rPr>
          <w:sz w:val="20"/>
          <w:szCs w:val="20"/>
          <w:color w:val="auto"/>
        </w:rPr>
      </w:pPr>
      <w:r>
        <w:rPr>
          <w:rFonts w:ascii="Arial" w:cs="Arial" w:eastAsia="Arial" w:hAnsi="Arial"/>
          <w:sz w:val="17"/>
          <w:szCs w:val="17"/>
          <w:color w:val="0000FF"/>
        </w:rPr>
        <w:t>President and CEO</w:t>
      </w:r>
    </w:p>
    <w:p>
      <w:pPr>
        <w:spacing w:after="0" w:line="411" w:lineRule="exact"/>
        <w:rPr>
          <w:sz w:val="24"/>
          <w:szCs w:val="24"/>
          <w:color w:val="auto"/>
        </w:rPr>
      </w:pPr>
    </w:p>
    <w:p>
      <w:pPr>
        <w:sectPr>
          <w:pgSz w:w="11900" w:h="16838" w:orient="portrait"/>
          <w:cols w:equalWidth="0" w:num="3">
            <w:col w:w="3340" w:space="720"/>
            <w:col w:w="3266" w:space="720"/>
            <w:col w:w="3474"/>
          </w:cols>
          <w:pgMar w:left="240" w:top="223" w:right="139" w:bottom="707"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PRINCETON</w:t>
            </w:r>
          </w:p>
        </w:tc>
        <w:tc>
          <w:tcPr>
            <w:tcW w:w="1000" w:type="dxa"/>
            <w:vAlign w:val="bottom"/>
          </w:tcPr>
          <w:p>
            <w:pPr>
              <w:ind w:left="160"/>
              <w:spacing w:after="0"/>
              <w:rPr>
                <w:sz w:val="20"/>
                <w:szCs w:val="20"/>
                <w:color w:val="auto"/>
              </w:rPr>
            </w:pPr>
            <w:r>
              <w:rPr>
                <w:rFonts w:ascii="Arial" w:cs="Arial" w:eastAsia="Arial" w:hAnsi="Arial"/>
                <w:sz w:val="17"/>
                <w:szCs w:val="17"/>
                <w:color w:val="0000FF"/>
              </w:rPr>
              <w:t>NJ</w:t>
            </w:r>
          </w:p>
        </w:tc>
        <w:tc>
          <w:tcPr>
            <w:tcW w:w="1660" w:type="dxa"/>
            <w:vAlign w:val="bottom"/>
          </w:tcPr>
          <w:p>
            <w:pPr>
              <w:ind w:left="440"/>
              <w:spacing w:after="0"/>
              <w:rPr>
                <w:sz w:val="20"/>
                <w:szCs w:val="20"/>
                <w:color w:val="auto"/>
              </w:rPr>
            </w:pPr>
            <w:r>
              <w:rPr>
                <w:rFonts w:ascii="Arial" w:cs="Arial" w:eastAsia="Arial" w:hAnsi="Arial"/>
                <w:sz w:val="17"/>
                <w:szCs w:val="17"/>
                <w:color w:val="0000FF"/>
              </w:rPr>
              <w:t>08540</w:t>
            </w:r>
          </w:p>
        </w:tc>
      </w:tr>
      <w:tr>
        <w:trPr>
          <w:trHeight w:val="153"/>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5"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70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jc w:val="right"/>
              <w:ind w:right="14"/>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20"/>
              <w:spacing w:after="0" w:line="132"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jc w:val="right"/>
              <w:ind w:right="174"/>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32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par value $.01 per share</w:t>
            </w:r>
          </w:p>
        </w:tc>
        <w:tc>
          <w:tcPr>
            <w:tcW w:w="122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7"/>
                <w:szCs w:val="17"/>
                <w:color w:val="0000FF"/>
              </w:rPr>
              <w:t>01/02/2018</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5,058</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right"/>
              <w:ind w:right="134"/>
              <w:spacing w:after="0"/>
              <w:rPr>
                <w:sz w:val="20"/>
                <w:szCs w:val="20"/>
                <w:color w:val="auto"/>
              </w:rPr>
            </w:pPr>
            <w:r>
              <w:rPr>
                <w:rFonts w:ascii="Arial" w:cs="Arial" w:eastAsia="Arial" w:hAnsi="Arial"/>
                <w:sz w:val="11"/>
                <w:szCs w:val="11"/>
                <w:color w:val="008000"/>
              </w:rPr>
              <w:t>(1)</w:t>
            </w:r>
          </w:p>
        </w:tc>
        <w:tc>
          <w:tcPr>
            <w:tcW w:w="134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112,004</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w w:val="96"/>
              </w:rPr>
              <w:t>Class C Common Stock, par value $.01 per</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0000FF"/>
              </w:rPr>
              <w:t>01/02/2018</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21,263</w:t>
            </w:r>
            <w:r>
              <w:rPr>
                <w:rFonts w:ascii="Arial" w:cs="Arial" w:eastAsia="Arial" w:hAnsi="Arial"/>
                <w:sz w:val="21"/>
                <w:szCs w:val="21"/>
                <w:color w:val="008000"/>
                <w:vertAlign w:val="superscript"/>
              </w:rPr>
              <w:t>(3)</w:t>
            </w:r>
          </w:p>
        </w:tc>
        <w:tc>
          <w:tcPr>
            <w:tcW w:w="56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r>
              <w:rPr>
                <w:rFonts w:ascii="Arial" w:cs="Arial" w:eastAsia="Arial" w:hAnsi="Arial"/>
                <w:sz w:val="21"/>
                <w:szCs w:val="21"/>
                <w:color w:val="008000"/>
                <w:vertAlign w:val="superscript"/>
              </w:rPr>
              <w:t>(4)</w:t>
            </w:r>
          </w:p>
        </w:tc>
        <w:tc>
          <w:tcPr>
            <w:tcW w:w="1340" w:type="dxa"/>
            <w:vAlign w:val="bottom"/>
            <w:gridSpan w:val="3"/>
            <w:vMerge w:val="restart"/>
          </w:tcPr>
          <w:p>
            <w:pPr>
              <w:ind w:left="340"/>
              <w:spacing w:after="0"/>
              <w:rPr>
                <w:sz w:val="20"/>
                <w:szCs w:val="20"/>
                <w:color w:val="auto"/>
              </w:rPr>
            </w:pPr>
            <w:r>
              <w:rPr>
                <w:rFonts w:ascii="Arial" w:cs="Arial" w:eastAsia="Arial" w:hAnsi="Arial"/>
                <w:sz w:val="17"/>
                <w:szCs w:val="17"/>
                <w:color w:val="0000FF"/>
              </w:rPr>
              <w:t>133,267</w:t>
            </w:r>
            <w:r>
              <w:rPr>
                <w:rFonts w:ascii="Arial" w:cs="Arial" w:eastAsia="Arial" w:hAnsi="Arial"/>
                <w:sz w:val="21"/>
                <w:szCs w:val="21"/>
                <w:color w:val="008000"/>
                <w:vertAlign w:val="superscript"/>
              </w:rPr>
              <w:t>(5)</w:t>
            </w:r>
          </w:p>
        </w:tc>
        <w:tc>
          <w:tcPr>
            <w:tcW w:w="300" w:type="dxa"/>
            <w:vAlign w:val="bottom"/>
          </w:tcPr>
          <w:p>
            <w:pPr>
              <w:spacing w:after="0"/>
              <w:rPr>
                <w:sz w:val="22"/>
                <w:szCs w:val="22"/>
                <w:color w:val="auto"/>
              </w:rPr>
            </w:pPr>
          </w:p>
        </w:tc>
        <w:tc>
          <w:tcPr>
            <w:tcW w:w="66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100" w:type="dxa"/>
            <w:vAlign w:val="bottom"/>
            <w:gridSpan w:val="11"/>
          </w:tcPr>
          <w:p>
            <w:pPr>
              <w:jc w:val="right"/>
              <w:ind w:right="1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2"/>
                <w:szCs w:val="12"/>
                <w:b w:val="1"/>
                <w:bCs w:val="1"/>
                <w:color w:val="auto"/>
                <w:w w:val="98"/>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jc w:val="right"/>
              <w:ind w:right="14"/>
              <w:spacing w:after="0" w:line="132"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jc w:val="right"/>
              <w:ind w:right="214"/>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ind w:right="70"/>
              <w:spacing w:after="0"/>
              <w:rPr>
                <w:sz w:val="20"/>
                <w:szCs w:val="20"/>
                <w:color w:val="auto"/>
              </w:rPr>
            </w:pPr>
            <w:r>
              <w:rPr>
                <w:rFonts w:ascii="Arial" w:cs="Arial" w:eastAsia="Arial" w:hAnsi="Arial"/>
                <w:sz w:val="13"/>
                <w:szCs w:val="13"/>
                <w:color w:val="0000FF"/>
                <w:w w:val="92"/>
              </w:rPr>
              <w:t>Class C</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Relative</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5" w:lineRule="exact"/>
              <w:rPr>
                <w:sz w:val="20"/>
                <w:szCs w:val="20"/>
                <w:color w:val="auto"/>
              </w:rPr>
            </w:pPr>
            <w:r>
              <w:rPr>
                <w:rFonts w:ascii="Arial" w:cs="Arial" w:eastAsia="Arial" w:hAnsi="Arial"/>
                <w:sz w:val="13"/>
                <w:szCs w:val="13"/>
                <w:color w:val="0000FF"/>
              </w:rPr>
              <w:t>Common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jc w:val="center"/>
              <w:ind w:right="70"/>
              <w:spacing w:after="0" w:line="145" w:lineRule="exact"/>
              <w:rPr>
                <w:sz w:val="20"/>
                <w:szCs w:val="20"/>
                <w:color w:val="auto"/>
              </w:rPr>
            </w:pPr>
            <w:r>
              <w:rPr>
                <w:rFonts w:ascii="Arial" w:cs="Arial" w:eastAsia="Arial" w:hAnsi="Arial"/>
                <w:sz w:val="13"/>
                <w:szCs w:val="13"/>
                <w:color w:val="0000FF"/>
                <w:w w:val="93"/>
              </w:rPr>
              <w:t>Stock,</w:t>
            </w:r>
          </w:p>
        </w:tc>
        <w:tc>
          <w:tcPr>
            <w:tcW w:w="700" w:type="dxa"/>
            <w:vAlign w:val="bottom"/>
            <w:vMerge w:val="restart"/>
          </w:tcPr>
          <w:p>
            <w:pPr>
              <w:jc w:val="right"/>
              <w:spacing w:after="0" w:line="220" w:lineRule="exact"/>
              <w:rPr>
                <w:sz w:val="20"/>
                <w:szCs w:val="20"/>
                <w:color w:val="auto"/>
              </w:rPr>
            </w:pPr>
            <w:r>
              <w:rPr>
                <w:rFonts w:ascii="Arial" w:cs="Arial" w:eastAsia="Arial" w:hAnsi="Arial"/>
                <w:sz w:val="17"/>
                <w:szCs w:val="17"/>
                <w:color w:val="0000FF"/>
                <w:w w:val="89"/>
              </w:rPr>
              <w:t>59,399</w:t>
            </w:r>
            <w:r>
              <w:rPr>
                <w:rFonts w:ascii="Arial" w:cs="Arial" w:eastAsia="Arial" w:hAnsi="Arial"/>
                <w:sz w:val="21"/>
                <w:szCs w:val="21"/>
                <w:color w:val="008000"/>
                <w:w w:val="89"/>
                <w:vertAlign w:val="superscript"/>
              </w:rPr>
              <w:t>(7)</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6"/>
              </w:rPr>
              <w:t>Performance</w:t>
            </w:r>
          </w:p>
        </w:tc>
        <w:tc>
          <w:tcPr>
            <w:tcW w:w="800" w:type="dxa"/>
            <w:vAlign w:val="bottom"/>
            <w:vMerge w:val="continue"/>
          </w:tcPr>
          <w:p>
            <w:pPr>
              <w:spacing w:after="0"/>
              <w:rPr>
                <w:sz w:val="6"/>
                <w:szCs w:val="6"/>
                <w:color w:val="auto"/>
              </w:rPr>
            </w:pPr>
          </w:p>
        </w:tc>
        <w:tc>
          <w:tcPr>
            <w:tcW w:w="1060" w:type="dxa"/>
            <w:vAlign w:val="bottom"/>
            <w:vMerge w:val="restart"/>
          </w:tcPr>
          <w:p>
            <w:pPr>
              <w:jc w:val="right"/>
              <w:ind w:right="139"/>
              <w:spacing w:after="0"/>
              <w:rPr>
                <w:sz w:val="20"/>
                <w:szCs w:val="20"/>
                <w:color w:val="auto"/>
              </w:rPr>
            </w:pPr>
            <w:r>
              <w:rPr>
                <w:rFonts w:ascii="Arial" w:cs="Arial" w:eastAsia="Arial" w:hAnsi="Arial"/>
                <w:sz w:val="13"/>
                <w:szCs w:val="13"/>
                <w:color w:val="0000FF"/>
              </w:rPr>
              <w:t>01/02/2018</w:t>
            </w: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3"/>
                <w:szCs w:val="13"/>
                <w:color w:val="0000FF"/>
              </w:rPr>
              <w:t>39,599</w:t>
            </w:r>
          </w:p>
        </w:tc>
        <w:tc>
          <w:tcPr>
            <w:tcW w:w="300" w:type="dxa"/>
            <w:vAlign w:val="bottom"/>
          </w:tcPr>
          <w:p>
            <w:pPr>
              <w:spacing w:after="0"/>
              <w:rPr>
                <w:sz w:val="6"/>
                <w:szCs w:val="6"/>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3"/>
                <w:szCs w:val="13"/>
                <w:color w:val="0000FF"/>
              </w:rPr>
              <w:t>01/02/2021</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01/02/2021</w:t>
            </w: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39,599</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gridSpan w:val="2"/>
          </w:tcPr>
          <w:p>
            <w:pPr>
              <w:ind w:left="40"/>
              <w:spacing w:after="0" w:line="76" w:lineRule="exact"/>
              <w:rPr>
                <w:sz w:val="20"/>
                <w:szCs w:val="20"/>
                <w:color w:val="auto"/>
              </w:rPr>
            </w:pPr>
            <w:r>
              <w:rPr>
                <w:rFonts w:ascii="Arial" w:cs="Arial" w:eastAsia="Arial" w:hAnsi="Arial"/>
                <w:sz w:val="8"/>
                <w:szCs w:val="8"/>
                <w:color w:val="0000FF"/>
              </w:rPr>
              <w:t>par value</w:t>
            </w: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 Units</w:t>
            </w: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7"/>
              </w:rPr>
              <w:t>$.01 per</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80"/>
        <w:spacing w:after="0"/>
        <w:rPr>
          <w:sz w:val="20"/>
          <w:szCs w:val="20"/>
          <w:color w:val="auto"/>
        </w:rPr>
      </w:pPr>
      <w:r>
        <w:rPr>
          <w:rFonts w:ascii="Arial" w:cs="Arial" w:eastAsia="Arial" w:hAnsi="Arial"/>
          <w:sz w:val="13"/>
          <w:szCs w:val="13"/>
          <w:color w:val="0000FF"/>
        </w:rPr>
        <w:t>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August 8, 2016, Mr. Sotos was issued 80,192 Restricted Stock Units ("RSUs") by NRG Yield, Inc. under NRG Yield, Inc.'s Amended and Restated 2013 Equity Incentive Plan (the "LTIP") that vest as follows:</w:t>
      </w:r>
    </w:p>
    <w:p>
      <w:pPr>
        <w:spacing w:after="0" w:line="16" w:lineRule="exact"/>
        <w:rPr>
          <w:rFonts w:ascii="Arial" w:cs="Arial" w:eastAsia="Arial" w:hAnsi="Arial"/>
          <w:sz w:val="12"/>
          <w:szCs w:val="12"/>
          <w:color w:val="008000"/>
        </w:rPr>
      </w:pPr>
    </w:p>
    <w:p>
      <w:pPr>
        <w:ind w:left="40" w:right="220"/>
        <w:spacing w:after="0" w:line="237" w:lineRule="auto"/>
        <w:rPr>
          <w:rFonts w:ascii="Arial" w:cs="Arial" w:eastAsia="Arial" w:hAnsi="Arial"/>
          <w:sz w:val="12"/>
          <w:szCs w:val="12"/>
          <w:color w:val="008000"/>
        </w:rPr>
      </w:pPr>
      <w:r>
        <w:rPr>
          <w:rFonts w:ascii="Arial" w:cs="Arial" w:eastAsia="Arial" w:hAnsi="Arial"/>
          <w:sz w:val="13"/>
          <w:szCs w:val="13"/>
          <w:color w:val="008000"/>
        </w:rPr>
        <w:t>(1) 4,812 shares on January 2, 2017, (2) 8,821 shares on January 2, 2018, and (3) 66,559 shares on January 4, 2019. Each RSU is equivalent in value to one share of Class C Common Stock of NRG Yield, Inc., par value $.01. On January 2, 2018, 8,821 shares vested. Mr. Sotos elected to satisfy his tax obligation upon the exchange of common stock for RSUs having a value on the date of the exchange equal to the withholding obligation. This form reflects the surrender of 5,058 shares of Class C Common Stock to satisfy the grantee's tax withholding obligation.</w:t>
      </w:r>
    </w:p>
    <w:p>
      <w:pPr>
        <w:spacing w:after="0" w:line="33" w:lineRule="exact"/>
        <w:rPr>
          <w:rFonts w:ascii="Arial" w:cs="Arial" w:eastAsia="Arial" w:hAnsi="Arial"/>
          <w:sz w:val="12"/>
          <w:szCs w:val="12"/>
          <w:color w:val="008000"/>
        </w:rPr>
      </w:pPr>
    </w:p>
    <w:p>
      <w:pPr>
        <w:ind w:left="40" w:right="200" w:firstLine="5"/>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RSUs described above, 832 DERs converted to Class C Common Stock, resulting in the reporting person holding 10,318 dividend equivalent rights that may only be settled in Class C Common Stock. Dividend equivalent rights accrue on the reporting person's restricted stock units or market stock units, which become exercisable proportionately with the restricted stock units or market stock units to which they relate and may only be settled in NRG Yield, Inc. Class C Common Stock. Each dividend equivalent right is the economic equivalent of one share of NRG Yield, Inc. Class C Common Stock.</w:t>
      </w:r>
    </w:p>
    <w:p>
      <w:pPr>
        <w:spacing w:after="0" w:line="32"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RSUs issued to Reporting Person under the LTIP.</w:t>
      </w:r>
    </w:p>
    <w:p>
      <w:pPr>
        <w:spacing w:after="0" w:line="47"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is equivalent in value to one share of NRG Yield, Inc.'s Class C Common Stock, par value $.01 per share.</w:t>
      </w:r>
    </w:p>
    <w:p>
      <w:pPr>
        <w:spacing w:after="0" w:line="47" w:lineRule="exact"/>
        <w:rPr>
          <w:rFonts w:ascii="Arial" w:cs="Arial" w:eastAsia="Arial" w:hAnsi="Arial"/>
          <w:sz w:val="13"/>
          <w:szCs w:val="13"/>
          <w:color w:val="008000"/>
        </w:rPr>
      </w:pPr>
    </w:p>
    <w:p>
      <w:pPr>
        <w:ind w:left="40" w:right="440" w:firstLine="5"/>
        <w:spacing w:after="0" w:line="257"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will receive from NRG Yield, Inc. one such share of Class C Common Stock for each RSU that will vest ratably over a three year period beginning on the first anniversary of the date of grant.</w:t>
      </w:r>
    </w:p>
    <w:p>
      <w:pPr>
        <w:spacing w:after="0" w:line="21" w:lineRule="exact"/>
        <w:rPr>
          <w:rFonts w:ascii="Arial" w:cs="Arial" w:eastAsia="Arial" w:hAnsi="Arial"/>
          <w:sz w:val="13"/>
          <w:szCs w:val="13"/>
          <w:color w:val="008000"/>
        </w:rPr>
      </w:pPr>
    </w:p>
    <w:p>
      <w:pPr>
        <w:ind w:left="40" w:right="340" w:firstLine="5"/>
        <w:spacing w:after="0" w:line="274"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issued 39,599 Relative Performance Stock Units ("RPSUs") by NRG Yield, Inc. under the LTIP on January 2, 2018. The RPSUs will convert to shares of NRG Yield, Inc. Class C Common Stock on January 2, 2021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13" w:lineRule="exact"/>
        <w:rPr>
          <w:rFonts w:ascii="Arial" w:cs="Arial" w:eastAsia="Arial" w:hAnsi="Arial"/>
          <w:sz w:val="12"/>
          <w:szCs w:val="12"/>
          <w:color w:val="008000"/>
        </w:rPr>
      </w:pPr>
    </w:p>
    <w:p>
      <w:pPr>
        <w:ind w:left="40" w:right="140" w:firstLine="5"/>
        <w:spacing w:after="0" w:line="26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will receive (i) a maximum of 59,399 shares of Class C Common Stock if Company's TSR is ranked at or above the 75th percentile relative to a peer group of companies approved by the Company's Compensation Committee (the "Peer Group") for the performance period ("Maximum"); (ii) 39,599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9,900 shares of Common Stock if Company's TSR is ranked at the 25th percentile relative to the Peer Group for the performance period (the "Threshold"). The Reporting Person will not receive any shares of Common Stock if Company's TSR is below the 25th percentile relative to the Peer Group for the performance period.</w:t>
      </w:r>
    </w:p>
    <w:p>
      <w:pPr>
        <w:spacing w:after="0" w:line="3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Brian Curci, by Power of</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01/04/2018</w:t>
            </w:r>
          </w:p>
        </w:tc>
        <w:tc>
          <w:tcPr>
            <w:tcW w:w="0" w:type="dxa"/>
            <w:vAlign w:val="bottom"/>
          </w:tcPr>
          <w:p>
            <w:pPr>
              <w:spacing w:after="0"/>
              <w:rPr>
                <w:sz w:val="1"/>
                <w:szCs w:val="1"/>
                <w:color w:val="auto"/>
              </w:rPr>
            </w:pPr>
          </w:p>
        </w:tc>
      </w:tr>
      <w:tr>
        <w:trPr>
          <w:trHeight w:val="85"/>
        </w:trPr>
        <w:tc>
          <w:tcPr>
            <w:tcW w:w="620" w:type="dxa"/>
            <w:vAlign w:val="bottom"/>
            <w:tcBorders>
              <w:top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4"/>
              </w:rPr>
              <w:t>Attorney</w:t>
            </w:r>
          </w:p>
        </w:tc>
        <w:tc>
          <w:tcPr>
            <w:tcW w:w="130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20" w:type="dxa"/>
            <w:vAlign w:val="bottom"/>
            <w:tcBorders>
              <w:top w:val="single" w:sz="8" w:color="auto"/>
              <w:bottom w:val="single" w:sz="8" w:color="auto"/>
            </w:tcBorders>
            <w:vMerge w:val="continue"/>
          </w:tcPr>
          <w:p>
            <w:pPr>
              <w:spacing w:after="0"/>
              <w:rPr>
                <w:sz w:val="7"/>
                <w:szCs w:val="7"/>
                <w:color w:val="auto"/>
              </w:rPr>
            </w:pPr>
          </w:p>
        </w:tc>
        <w:tc>
          <w:tcPr>
            <w:tcW w:w="130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900" w:firstLine="5"/>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70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2019-12-08T05:58:12Z</dcterms:created>
  <dcterms:modified xsi:type="dcterms:W3CDTF">2019-12-08T05:58:12Z</dcterms:modified>
</cp:coreProperties>
</file>