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30</w:t>
      </w:r>
      <w:r>
        <w:rPr>
          <w:rFonts w:ascii="Arial" w:cs="Arial" w:eastAsia="Arial" w:hAnsi="Arial"/>
          <w:sz w:val="18"/>
          <w:szCs w:val="18"/>
          <w:color w:val="auto"/>
        </w:rPr>
        <w:t xml:space="preserve">, </w:t>
      </w:r>
      <w:r>
        <w:rPr>
          <w:rFonts w:ascii="Arial" w:cs="Arial" w:eastAsia="Arial" w:hAnsi="Arial"/>
          <w:sz w:val="18"/>
          <w:szCs w:val="18"/>
          <w:b w:val="1"/>
          <w:bCs w:val="1"/>
          <w:color w:val="auto"/>
        </w:rPr>
        <w:t>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360"/>
          </w:cols>
          <w:pgMar w:left="240" w:top="544" w:right="299" w:bottom="1440" w:gutter="0" w:footer="0" w:header="0"/>
          <w:type w:val="continuous"/>
        </w:sectPr>
      </w:pPr>
    </w:p>
    <w:p>
      <w:pPr>
        <w:spacing w:after="0" w:line="22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840"/>
        <w:spacing w:after="0"/>
        <w:tabs>
          <w:tab w:leader="none" w:pos="10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Amendment to Clearway Energy LLC and Clearway Energy Operating LLC Revolving Credit Facility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November 30, 2018, each of Clearway Energy Operating LLC (“Clearway Operating LLC”), as borrower, and Clearway Energy LLC (“Clearway LLC”), as guarantor, entered into the Fourth Amendment to Amended and Restated Credit Agreement (the “Fourth Amendment”), with certain subsidiaries of Clearway Operating LLC party thereto, as guarantors, JPMorgan Chase Bank, N.A., as administrative agent (the “Administrative Agent”), and the lenders party thereto, which amended that certain Amended and Restated Credit Agreement, dated as of April 25, 2014 (as amended, the “Existing Credit Agreement”), among Clearway Operating LLC, Clearway LLC, certain subsidiaries of Clearway Operating LLC party thereto, the lenders party thereto and the Administrative Agent, providing for revolving commitments in an aggregate principal amount of $495 million. Each of Clearway Operating LLC and Clearway LLC is a subsidiary of Clearway Energy, Inc.</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Fourth Amendment amends the Existing Credit Agreement to (i) implement technical clarifications to the certain representations and covenants regarding energy regulatory matters; and (ii) provide flexibility with respect to guarantees by Clearway LLC and its subsidiaries in connection with the refinancing of convertible notes permitted thereunder.</w:t>
      </w:r>
    </w:p>
    <w:p>
      <w:pPr>
        <w:spacing w:after="0" w:line="18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foregoing description of the Fourth Amendment does not purport to be complete and is qualified in its entirety by reference to the full text of the Fourth Amendment, a copy of which is filed as Exhibit 10.1 to this Current Report on Form 8-K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Fourth Amendment are also responsive to Item 2.03 of this report and are incorporated by reference into this Item 2.03.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3"/>
          </w:tcPr>
          <w:p>
            <w:pPr>
              <w:ind w:left="31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39"/>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color w:val="0000EE"/>
                <w:w w:val="94"/>
              </w:rPr>
            </w:pPr>
            <w:hyperlink r:id="rId13">
              <w:r>
                <w:rPr>
                  <w:rFonts w:ascii="Arial" w:cs="Arial" w:eastAsia="Arial" w:hAnsi="Arial"/>
                  <w:sz w:val="18"/>
                  <w:szCs w:val="18"/>
                  <w:color w:val="0000EE"/>
                  <w:w w:val="94"/>
                </w:rPr>
                <w:t>Fourth Amendment to Amended and Restated Credit Agreement, dated as of November 30, 2018, by and among Clearway Energy</w:t>
              </w:r>
            </w:hyperlink>
          </w:p>
        </w:tc>
        <w:tc>
          <w:tcPr>
            <w:tcW w:w="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7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3">
              <w:r>
                <w:rPr>
                  <w:rFonts w:ascii="Arial" w:cs="Arial" w:eastAsia="Arial" w:hAnsi="Arial"/>
                  <w:sz w:val="18"/>
                  <w:szCs w:val="18"/>
                  <w:color w:val="0000EE"/>
                  <w:w w:val="90"/>
                </w:rPr>
                <w:t>Operating LLC, Clearway Energy LLC, the guarantors party thereto, JPMorgan Chase Bank, N.A., as administrative agent, and the</w:t>
              </w:r>
            </w:hyperlink>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5"/>
          </w:tcPr>
          <w:p>
            <w:pPr>
              <w:spacing w:after="0" w:line="196" w:lineRule="exact"/>
              <w:rPr>
                <w:rFonts w:ascii="Arial" w:cs="Arial" w:eastAsia="Arial" w:hAnsi="Arial"/>
                <w:sz w:val="18"/>
                <w:szCs w:val="18"/>
                <w:color w:val="0000EE"/>
              </w:rPr>
            </w:pPr>
            <w:hyperlink r:id="rId13">
              <w:r>
                <w:rPr>
                  <w:rFonts w:ascii="Arial" w:cs="Arial" w:eastAsia="Arial" w:hAnsi="Arial"/>
                  <w:sz w:val="18"/>
                  <w:szCs w:val="18"/>
                  <w:color w:val="0000EE"/>
                </w:rPr>
                <w:t>lenders party thereto.</w:t>
              </w:r>
            </w:hyperlink>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7880" w:type="dxa"/>
            <w:vAlign w:val="bottom"/>
          </w:tcPr>
          <w:p>
            <w:pPr>
              <w:jc w:val="right"/>
              <w:ind w:right="505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7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337"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CREDIT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FOURTH AMENDMENT TO AMENDED AND RESTATED CREDIT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dated as of November 30,</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2018 and is entered into by and among CLEARWAY ENERGY OPERATING LLC (formerly known as NRG Yield Operating LLC), a Delaware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liability company (the “</w:t>
      </w:r>
      <w:r>
        <w:rPr>
          <w:rFonts w:ascii="Arial" w:cs="Arial" w:eastAsia="Arial" w:hAnsi="Arial"/>
          <w:sz w:val="18"/>
          <w:szCs w:val="18"/>
          <w:b w:val="1"/>
          <w:bCs w:val="1"/>
          <w:color w:val="auto"/>
        </w:rPr>
        <w:t>Borrower</w:t>
      </w:r>
      <w:r>
        <w:rPr>
          <w:rFonts w:ascii="Arial" w:cs="Arial" w:eastAsia="Arial" w:hAnsi="Arial"/>
          <w:sz w:val="18"/>
          <w:szCs w:val="18"/>
          <w:color w:val="auto"/>
        </w:rPr>
        <w:t>”), CLEARWAY ENERGY LLC (formerly known as NRG Yield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Holdings</w:t>
      </w:r>
      <w:r>
        <w:rPr>
          <w:rFonts w:ascii="Arial" w:cs="Arial" w:eastAsia="Arial" w:hAnsi="Arial"/>
          <w:sz w:val="17"/>
          <w:szCs w:val="17"/>
          <w:color w:val="auto"/>
        </w:rPr>
        <w:t>”), each other Guarantor party hereto, JPMORGAN CHASE BANK, N.A. (“</w:t>
      </w:r>
      <w:r>
        <w:rPr>
          <w:rFonts w:ascii="Arial" w:cs="Arial" w:eastAsia="Arial" w:hAnsi="Arial"/>
          <w:sz w:val="17"/>
          <w:szCs w:val="17"/>
          <w:b w:val="1"/>
          <w:bCs w:val="1"/>
          <w:color w:val="auto"/>
        </w:rPr>
        <w:t>JPM</w:t>
      </w:r>
      <w:r>
        <w:rPr>
          <w:rFonts w:ascii="Arial" w:cs="Arial" w:eastAsia="Arial" w:hAnsi="Arial"/>
          <w:sz w:val="17"/>
          <w:szCs w:val="17"/>
          <w:color w:val="auto"/>
        </w:rPr>
        <w:t>”), in its capacity as the administrative agent under the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and THE LENDERS AND L/C ISSUERS party hereto, and is made with reference to that certain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Restated Credit Agreement dated as of April 25, 2014 (as amended by that certain First Amendment to Amended &amp; Restated Credit Agreement,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26, 2015, that certain Second Amendment to Amended &amp; Restated Credit Agreement, dated as of February 6, 2018, and that certain Third Amendment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Amended and Restated Credit Agreement and Administrative Agent Resignation and Appointment Agreement, dated as of April 30, 2018, the “</w:t>
      </w:r>
      <w:r>
        <w:rPr>
          <w:rFonts w:ascii="Arial" w:cs="Arial" w:eastAsia="Arial" w:hAnsi="Arial"/>
          <w:sz w:val="17"/>
          <w:szCs w:val="17"/>
          <w:b w:val="1"/>
          <w:bCs w:val="1"/>
          <w:color w:val="auto"/>
        </w:rPr>
        <w:t>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 and as amended by this Amendment and as may be further amended, amended and restated, supplemented or otherwise modified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the “</w:t>
      </w:r>
      <w:r>
        <w:rPr>
          <w:rFonts w:ascii="Arial" w:cs="Arial" w:eastAsia="Arial" w:hAnsi="Arial"/>
          <w:sz w:val="17"/>
          <w:szCs w:val="17"/>
          <w:b w:val="1"/>
          <w:bCs w:val="1"/>
          <w:color w:val="auto"/>
        </w:rPr>
        <w:t>Amended Credit Agreement</w:t>
      </w:r>
      <w:r>
        <w:rPr>
          <w:rFonts w:ascii="Arial" w:cs="Arial" w:eastAsia="Arial" w:hAnsi="Arial"/>
          <w:sz w:val="17"/>
          <w:szCs w:val="17"/>
          <w:color w:val="auto"/>
        </w:rPr>
        <w:t>”), by and among the Borrower, Holdings, the other Guarantors party thereto, the Lenders and L/C Issuers party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thereto and the Administrative Agent. Capitalized terms used herein without definition shall have the same meanings herein as set forth in the Amended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Credit Agreement, and the rules of interpretation set forth in Section 1.02 of the Amended Credit Agreement shall apply hereto,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Loan Parties have requested that the Lenders and L/C Issuers agree to amend certain provisions of the Credit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herein; and</w:t>
      </w:r>
    </w:p>
    <w:p>
      <w:pPr>
        <w:spacing w:after="0" w:line="16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satisfaction of the conditions specified herein, the undersigned Lenders and L/C Issuers are willing to agree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Credit Agreement in accordance with Section 11.01 of the Credit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I.</w:t>
      </w:r>
      <w:r>
        <w:rPr>
          <w:sz w:val="20"/>
          <w:szCs w:val="20"/>
          <w:color w:val="auto"/>
        </w:rPr>
        <w:tab/>
      </w:r>
      <w:r>
        <w:rPr>
          <w:rFonts w:ascii="Arial" w:cs="Arial" w:eastAsia="Arial" w:hAnsi="Arial"/>
          <w:sz w:val="18"/>
          <w:szCs w:val="18"/>
          <w:b w:val="1"/>
          <w:bCs w:val="1"/>
          <w:color w:val="auto"/>
        </w:rPr>
        <w:t>AMENDMENTS TO CREDIT AGREEMENT</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Effective on and as of the date on which each of the conditions set forth in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has been satisfied (or waived by the party or parties entitled to the benefit thereof):</w:t>
      </w:r>
    </w:p>
    <w:p>
      <w:pPr>
        <w:spacing w:after="0" w:line="170" w:lineRule="exact"/>
        <w:rPr>
          <w:sz w:val="20"/>
          <w:szCs w:val="20"/>
          <w:color w:val="auto"/>
        </w:rPr>
      </w:pPr>
    </w:p>
    <w:p>
      <w:pPr>
        <w:ind w:left="1320" w:hanging="664"/>
        <w:spacing w:after="0"/>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definition of “Convertible Senior Notes” in Section 1.01 of the Credit Agreement is hereby amended and restated in its entirety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Senior Notes</w:t>
      </w:r>
      <w:r>
        <w:rPr>
          <w:rFonts w:ascii="Arial" w:cs="Arial" w:eastAsia="Arial" w:hAnsi="Arial"/>
          <w:sz w:val="18"/>
          <w:szCs w:val="18"/>
          <w:color w:val="auto"/>
        </w:rPr>
        <w:t>” means (a) the unsecured Convertible Senior Notes due 2019 issued by Parent in an aggregate principal amount of US $345,000,000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4"/>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Convertible Senior Notes</w:t>
      </w:r>
      <w:r>
        <w:rPr>
          <w:rFonts w:ascii="Arial" w:cs="Arial" w:eastAsia="Arial" w:hAnsi="Arial"/>
          <w:sz w:val="17"/>
          <w:szCs w:val="17"/>
          <w:color w:val="auto"/>
        </w:rPr>
        <w:t>”); (b) the unsecured Convertible Senior Notes due 2020 issued by Parent in an aggregate principal amount of up to US $350,000,000 (the “</w:t>
      </w:r>
      <w:r>
        <w:rPr>
          <w:rFonts w:ascii="Arial" w:cs="Arial" w:eastAsia="Arial" w:hAnsi="Arial"/>
          <w:sz w:val="17"/>
          <w:szCs w:val="17"/>
          <w:u w:val="single" w:color="auto"/>
          <w:color w:val="auto"/>
        </w:rPr>
        <w:t>2020 Convertible Senior Notes</w:t>
      </w:r>
      <w:r>
        <w:rPr>
          <w:rFonts w:ascii="Arial" w:cs="Arial" w:eastAsia="Arial" w:hAnsi="Arial"/>
          <w:sz w:val="17"/>
          <w:szCs w:val="17"/>
          <w:color w:val="auto"/>
        </w:rPr>
        <w:t>”); and (c) any amendments, modifications, replacements or refinancings of the Indebtedness described in the foregoing clauses (a) and (b) or any Indebtedness incurred pursuant to this clause (c) from time to time, including any such replacement or refinancing Indebtedness to the extent the relevant portion of the proceeds thereof is irrevocably deposited in a segregated account pursuant to an escrow (or similar) agreement in form and substance reasonably acceptable to the Administrative Agent pending application to the repayment of the Indebtedness being refinanced or replaced (the “</w:t>
      </w:r>
      <w:r>
        <w:rPr>
          <w:rFonts w:ascii="Arial" w:cs="Arial" w:eastAsia="Arial" w:hAnsi="Arial"/>
          <w:sz w:val="17"/>
          <w:szCs w:val="17"/>
          <w:u w:val="single" w:color="auto"/>
          <w:color w:val="auto"/>
        </w:rPr>
        <w:t>Permitted Refinancing Convertible Senior Notes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aggregate principal amount (or accreted value, if applicable) of such Permitted Refinancing Convertible Senior Notes does not exceed the aggregate outstanding principal amount (or accreted value, if applicable) of the Indebtedness being amended, modified, replaced or refinanced (plus all accrued interest and original issue discount in the nature of interest on such Indebtedness and the amount of all expenses and premiums, underwriting, issuance, commitment, syndication and other similar fees, costs and expenses incurred in connection therewith) unless another available exception under Section 7.02 is then utilized with respect to any excess (in which case the entire principal amount (or accreted value, if applicable) thereof will constitute Convertible Senior Notes after incurrence), (ii) such Permitted Refinancing Convertible Senior Notes have a Weighted Average Life to Maturity equal to or greater than the Weighted Average Life to Maturity of the applicable Convertible Senior Notes being refinanced, (iii) the Permitted Refinancing Convertible Senior Notes have a Stated Maturity on or later than the maturity date of the applicable Convertible Senior Notes being refinanced, (iv) the obligations in respect of such Permitted Refinancing Convertible Senior Notes shall continue to be unsecured and (v) the primary obligor in respect of such Permitted Refinancing Convertible Senior Notes shall be the Parent; provided, further, that, in the case of each of clauses (a), (b) and (c) above, the net proceeds (after giving effect to any refinancing) shall be loaned to the Borrower as a Parent CSN Proceeds Loan.”</w:t>
      </w:r>
    </w:p>
    <w:p>
      <w:pPr>
        <w:spacing w:after="0" w:line="191" w:lineRule="exact"/>
        <w:rPr>
          <w:sz w:val="20"/>
          <w:szCs w:val="20"/>
          <w:color w:val="auto"/>
        </w:rPr>
      </w:pPr>
    </w:p>
    <w:p>
      <w:pPr>
        <w:ind w:left="644" w:hanging="644"/>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“Total Debt” in Section 1.01 of the Credit Agreement is hereby amended and restated in its entirety as follows:</w:t>
      </w:r>
    </w:p>
    <w:p>
      <w:pPr>
        <w:spacing w:after="0" w:line="225" w:lineRule="exact"/>
        <w:rPr>
          <w:sz w:val="20"/>
          <w:szCs w:val="20"/>
          <w:color w:val="auto"/>
        </w:rPr>
      </w:pPr>
    </w:p>
    <w:p>
      <w:pPr>
        <w:ind w:left="4"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Debt</w:t>
      </w:r>
      <w:r>
        <w:rPr>
          <w:rFonts w:ascii="Arial" w:cs="Arial" w:eastAsia="Arial" w:hAnsi="Arial"/>
          <w:sz w:val="16"/>
          <w:szCs w:val="16"/>
          <w:color w:val="auto"/>
        </w:rPr>
        <w:t>” means, as of any date of determination, for the Borrower and the Guarantors, the sum of (a) the outstanding principal amount of all obligations, whether current or long-term, for borrowed money (including Obligations hereunder constituting indebtedness for borrowed money) and all obligations evidenced by bonds, debentures, notes, loan agreements or other similar instruments constituting Indebtedness,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constituting Indebtedness, (e) all Attributable Indebtedness, (f) without duplication, all Guarantees with respect to outstanding Indebtedness of the types specified in clauses (a) through (e) above of Persons other than the Borrower and the Guarantors and (g) all Indebtedness of the types referred to in clauses</w:t>
      </w:r>
    </w:p>
    <w:p>
      <w:pPr>
        <w:spacing w:after="0" w:line="3" w:lineRule="exact"/>
        <w:rPr>
          <w:sz w:val="20"/>
          <w:szCs w:val="20"/>
          <w:color w:val="auto"/>
        </w:rPr>
      </w:pPr>
    </w:p>
    <w:p>
      <w:pPr>
        <w:ind w:left="4" w:right="140" w:hanging="4"/>
        <w:spacing w:after="0" w:line="261"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(f) above of any partnership or joint venture (other than a joint venture that is itself a corporation or limited liability company) in which the Borrower or any Guarantor is a</w:t>
      </w:r>
    </w:p>
    <w:p>
      <w:pPr>
        <w:spacing w:after="0" w:line="18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5" w:name="page6"/>
    <w:bookmarkEnd w:id="5"/>
    <w:p>
      <w:pPr>
        <w:ind w:left="4"/>
        <w:spacing w:after="0" w:line="286" w:lineRule="auto"/>
        <w:rPr>
          <w:sz w:val="20"/>
          <w:szCs w:val="20"/>
          <w:color w:val="auto"/>
        </w:rPr>
      </w:pPr>
      <w:r>
        <w:rPr>
          <w:rFonts w:ascii="Arial" w:cs="Arial" w:eastAsia="Arial" w:hAnsi="Arial"/>
          <w:sz w:val="16"/>
          <w:szCs w:val="16"/>
          <w:color w:val="auto"/>
        </w:rPr>
        <w:t>general partner or joint venturer, unless such Indebtedness is expressly made non- recourse or limited recourse to the Borrower and the Guarantors (it being understood that, in respect of limited recourse Indebtedness, Total Debt will be limited to the extent of such recourse). Notwithstanding anything herein to the contrary, (i) the undrawn amount of any Letters of Credit that are outstanding shall be excluded and not be given any effect in the calculation of Total Debt, (ii) the amount of any surety bonds that are outstanding and that are not subject to an outstanding claim shall be excluded and not be given any effect in the calculation of Total Debt, (iii) for so long as the Borrower guarantees the Indebtedness represented by the Convertible Senior Notes, the Parent CSN Proceeds Loan shall not constitute Total Debt, except to the extent the aggregate principal amount of the Parent CSN Proceeds Loan exceeds the aggregate principal amount guaranteed by the Borrower in respect of the Indebtedness represented by the Convertible Senior Notes (in which case the amount of such excess shall constitute Total Debt in addition to the amount guaranteed by the Borrower in respect of the Indebtedness represented by the Convertible Senior Notes) and (iv) solely for any Measurement Period ending on or prior to December 31, 2018, Guarantees with respect to Permitted Refinancing Convertible Senior Notes issued, in whole or in part, to refinance the Original Convertible Senior Notes, or Parent CSN Proceeds Loans relating thereto, shall not constitute Total Debt to the extent of the portion of the proceeds of such Permitted Refinancing Convertible Senior Notes irrevocably deposited by the Parent in a segregated account pursuant to an escrow (or similar) agreement in form and substance reasonably acceptable to the Administrative Agent pending application to the repayment of the Original Convertible Senior Notes at the stated maturity thereof.”</w:t>
      </w:r>
    </w:p>
    <w:p>
      <w:pPr>
        <w:spacing w:after="0" w:line="172" w:lineRule="exact"/>
        <w:rPr>
          <w:sz w:val="20"/>
          <w:szCs w:val="20"/>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5.17(a) of the Credit Agreement is hereby amended and restated in its entirety as follows:</w:t>
      </w:r>
    </w:p>
    <w:p>
      <w:pPr>
        <w:spacing w:after="0" w:line="225" w:lineRule="exact"/>
        <w:rPr>
          <w:sz w:val="20"/>
          <w:szCs w:val="20"/>
          <w:color w:val="auto"/>
        </w:rPr>
      </w:pPr>
    </w:p>
    <w:p>
      <w:pPr>
        <w:ind w:left="4" w:firstLine="648"/>
        <w:spacing w:after="0" w:line="272" w:lineRule="auto"/>
        <w:rPr>
          <w:sz w:val="20"/>
          <w:szCs w:val="20"/>
          <w:color w:val="auto"/>
        </w:rPr>
      </w:pPr>
      <w:r>
        <w:rPr>
          <w:rFonts w:ascii="Arial" w:cs="Arial" w:eastAsia="Arial" w:hAnsi="Arial"/>
          <w:sz w:val="17"/>
          <w:szCs w:val="17"/>
          <w:color w:val="auto"/>
        </w:rPr>
        <w:t>“(a) Each Generation Portfolio Company that owns or operates facilities used for the generation, transmission, or distribution of electric energy for sale meets the requirements for, and has been determined by FERC to be, either an “exempt wholesale generator” (“</w:t>
      </w:r>
      <w:r>
        <w:rPr>
          <w:rFonts w:ascii="Arial" w:cs="Arial" w:eastAsia="Arial" w:hAnsi="Arial"/>
          <w:sz w:val="17"/>
          <w:szCs w:val="17"/>
          <w:u w:val="single" w:color="auto"/>
          <w:color w:val="auto"/>
        </w:rPr>
        <w:t>Exempt Wholesale</w:t>
      </w:r>
      <w:r>
        <w:rPr>
          <w:rFonts w:ascii="Arial" w:cs="Arial" w:eastAsia="Arial" w:hAnsi="Arial"/>
          <w:sz w:val="17"/>
          <w:szCs w:val="17"/>
          <w:color w:val="auto"/>
        </w:rPr>
        <w:t xml:space="preserve"> </w:t>
      </w:r>
      <w:r>
        <w:rPr>
          <w:rFonts w:ascii="Arial" w:cs="Arial" w:eastAsia="Arial" w:hAnsi="Arial"/>
          <w:sz w:val="17"/>
          <w:szCs w:val="17"/>
          <w:u w:val="single" w:color="auto"/>
          <w:color w:val="auto"/>
        </w:rPr>
        <w:t>Generator</w:t>
      </w:r>
      <w:r>
        <w:rPr>
          <w:rFonts w:ascii="Arial" w:cs="Arial" w:eastAsia="Arial" w:hAnsi="Arial"/>
          <w:sz w:val="17"/>
          <w:szCs w:val="17"/>
          <w:color w:val="auto"/>
        </w:rPr>
        <w:t>”) within the meaning of PUHCA or such facilities meet the requirements of a “qualifying cogeneration facility” or a “qualifying small power production facility” (either a “</w:t>
      </w:r>
      <w:r>
        <w:rPr>
          <w:rFonts w:ascii="Arial" w:cs="Arial" w:eastAsia="Arial" w:hAnsi="Arial"/>
          <w:sz w:val="17"/>
          <w:szCs w:val="17"/>
          <w:u w:val="single" w:color="auto"/>
          <w:color w:val="auto"/>
        </w:rPr>
        <w:t>Qualifying Facility</w:t>
      </w:r>
      <w:r>
        <w:rPr>
          <w:rFonts w:ascii="Arial" w:cs="Arial" w:eastAsia="Arial" w:hAnsi="Arial"/>
          <w:sz w:val="17"/>
          <w:szCs w:val="17"/>
          <w:color w:val="auto"/>
        </w:rPr>
        <w:t>”) within the meaning of PURPA. The Loan Parties, the Company Group Parties and the Generation Portfolio Companies are not subject to or are exempt from regulation under PUHCA (other than, with respect to the Generation Portfolio Companies that own or operate facilities used for the generation, transmission, or distribution of electric energy for sale, maintaining status as a Qualifying Facility under PURPA or an Exempt Wholesale Generator within the meaning of PUHCA).”</w:t>
      </w:r>
    </w:p>
    <w:p>
      <w:pPr>
        <w:spacing w:after="0" w:line="178" w:lineRule="exact"/>
        <w:rPr>
          <w:sz w:val="20"/>
          <w:szCs w:val="20"/>
          <w:color w:val="auto"/>
        </w:rPr>
      </w:pPr>
    </w:p>
    <w:p>
      <w:pPr>
        <w:ind w:left="664" w:hanging="664"/>
        <w:spacing w:after="0"/>
        <w:tabs>
          <w:tab w:leader="none" w:pos="66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6.15(b) of the Credit Agreement is hereby amended and restated in its entirety as follows:</w:t>
      </w:r>
    </w:p>
    <w:p>
      <w:pPr>
        <w:spacing w:after="0" w:line="225" w:lineRule="exact"/>
        <w:rPr>
          <w:sz w:val="20"/>
          <w:szCs w:val="20"/>
          <w:color w:val="auto"/>
        </w:rPr>
      </w:pPr>
    </w:p>
    <w:p>
      <w:pPr>
        <w:jc w:val="both"/>
        <w:ind w:left="4" w:right="900" w:firstLine="648"/>
        <w:spacing w:after="0" w:line="264" w:lineRule="auto"/>
        <w:rPr>
          <w:sz w:val="20"/>
          <w:szCs w:val="20"/>
          <w:color w:val="auto"/>
        </w:rPr>
      </w:pPr>
      <w:r>
        <w:rPr>
          <w:rFonts w:ascii="Arial" w:cs="Arial" w:eastAsia="Arial" w:hAnsi="Arial"/>
          <w:sz w:val="18"/>
          <w:szCs w:val="18"/>
          <w:color w:val="auto"/>
        </w:rPr>
        <w:t>“(b) Each of the Non-FPA-Jurisdictional Generation Portfolio Companies shall maintain and preserve (i) its Non-FPA Sales Authorizations and (ii) to the extent such Non-FPA-Jurisdictional Portfolio Company owns or operates facilities used for the generation, transmission, or distribution of electric energy for sale, its status as either an</w:t>
      </w:r>
    </w:p>
    <w:p>
      <w:pPr>
        <w:spacing w:after="0" w:line="18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6" w:name="page7"/>
    <w:bookmarkEnd w:id="6"/>
    <w:p>
      <w:pPr>
        <w:ind w:left="660" w:right="180"/>
        <w:spacing w:after="0" w:line="277" w:lineRule="auto"/>
        <w:rPr>
          <w:sz w:val="20"/>
          <w:szCs w:val="20"/>
          <w:color w:val="auto"/>
        </w:rPr>
      </w:pPr>
      <w:r>
        <w:rPr>
          <w:rFonts w:ascii="Arial" w:cs="Arial" w:eastAsia="Arial" w:hAnsi="Arial"/>
          <w:sz w:val="18"/>
          <w:szCs w:val="18"/>
          <w:color w:val="auto"/>
        </w:rPr>
        <w:t>Exempt Wholesale Generator within the meaning of PUHCA or a Qualifying Facility under PURPA, except to the extent failure to do so could not reasonably be expected to have a Material Adverse Effect.”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II.</w:t>
      </w:r>
      <w:r>
        <w:rPr>
          <w:sz w:val="20"/>
          <w:szCs w:val="20"/>
          <w:color w:val="auto"/>
        </w:rPr>
        <w:tab/>
      </w:r>
      <w:r>
        <w:rPr>
          <w:rFonts w:ascii="Arial" w:cs="Arial" w:eastAsia="Arial" w:hAnsi="Arial"/>
          <w:sz w:val="18"/>
          <w:szCs w:val="18"/>
          <w:b w:val="1"/>
          <w:bCs w:val="1"/>
          <w:color w:val="auto"/>
        </w:rPr>
        <w:t>CONDITIONS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This Amendment shall become effective as of the first date on which each of the following conditions in this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have been satisfied (the date of satisfaction of such conditions being referred to herein as the </w:t>
      </w:r>
      <w:r>
        <w:rPr>
          <w:rFonts w:ascii="Arial" w:cs="Arial" w:eastAsia="Arial" w:hAnsi="Arial"/>
          <w:sz w:val="18"/>
          <w:szCs w:val="18"/>
          <w:b w:val="1"/>
          <w:bCs w:val="1"/>
          <w:color w:val="auto"/>
        </w:rPr>
        <w:t>“Fourth Amendment Effective Date”</w:t>
      </w:r>
      <w:r>
        <w:rPr>
          <w:rFonts w:ascii="Arial" w:cs="Arial" w:eastAsia="Arial" w:hAnsi="Arial"/>
          <w:sz w:val="18"/>
          <w:szCs w:val="18"/>
          <w:color w:val="auto"/>
        </w:rPr>
        <w:t>):</w:t>
      </w:r>
    </w:p>
    <w:p>
      <w:pPr>
        <w:spacing w:after="0" w:line="166" w:lineRule="exact"/>
        <w:rPr>
          <w:sz w:val="20"/>
          <w:szCs w:val="20"/>
          <w:color w:val="auto"/>
        </w:rPr>
      </w:pPr>
    </w:p>
    <w:p>
      <w:pPr>
        <w:ind w:firstLine="656"/>
        <w:spacing w:after="0" w:line="258" w:lineRule="auto"/>
        <w:tabs>
          <w:tab w:leader="none" w:pos="1309"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Deliverables to Administrative Agent</w:t>
      </w:r>
      <w:r>
        <w:rPr>
          <w:rFonts w:ascii="Arial" w:cs="Arial" w:eastAsia="Arial" w:hAnsi="Arial"/>
          <w:sz w:val="18"/>
          <w:szCs w:val="18"/>
          <w:color w:val="auto"/>
        </w:rPr>
        <w:t>. The Administrative Agent’s receipt of the following, each of which shall be originals or</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transmitted copies of originals (followed as soon as reasonably practicable by originals) unless otherwise specified, each properly executed by a Responsible Officer of the signing Loan Party, each dated the Fourth Amendment Effective Date (or, in the case of certificates of governmental officials, a recent date before the Fourth Amendment Effective Date) and each in form and substance reasonably satisfactory to the Administrative Agent and each of the Lenders:</w:t>
      </w:r>
    </w:p>
    <w:p>
      <w:pPr>
        <w:spacing w:after="0" w:line="187" w:lineRule="exact"/>
        <w:rPr>
          <w:rFonts w:ascii="Arial" w:cs="Arial" w:eastAsia="Arial" w:hAnsi="Arial"/>
          <w:sz w:val="18"/>
          <w:szCs w:val="18"/>
          <w:color w:val="auto"/>
        </w:rPr>
      </w:pPr>
    </w:p>
    <w:p>
      <w:pPr>
        <w:jc w:val="both"/>
        <w:ind w:left="660" w:right="80" w:firstLine="645"/>
        <w:spacing w:after="0" w:line="264" w:lineRule="auto"/>
        <w:tabs>
          <w:tab w:leader="none" w:pos="1971" w:val="left"/>
        </w:tabs>
        <w:numPr>
          <w:ilvl w:val="2"/>
          <w:numId w:val="8"/>
        </w:numPr>
        <w:rPr>
          <w:rFonts w:ascii="Arial" w:cs="Arial" w:eastAsia="Arial" w:hAnsi="Arial"/>
          <w:sz w:val="18"/>
          <w:szCs w:val="18"/>
          <w:color w:val="auto"/>
        </w:rPr>
      </w:pPr>
      <w:r>
        <w:rPr>
          <w:rFonts w:ascii="Arial" w:cs="Arial" w:eastAsia="Arial" w:hAnsi="Arial"/>
          <w:sz w:val="18"/>
          <w:szCs w:val="18"/>
          <w:color w:val="auto"/>
        </w:rPr>
        <w:t>(a) a counterpart signature page of this Amendment duly executed by each of the Loan Parties, (b) a counterpart signature page of this Amendment duly executed by the Administrative Agent and (c) a counterpart signature page of this Amendment duly executed by the Required Lenders;</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2"/>
          <w:numId w:val="8"/>
        </w:numPr>
        <w:rPr>
          <w:rFonts w:ascii="Arial" w:cs="Arial" w:eastAsia="Arial" w:hAnsi="Arial"/>
          <w:sz w:val="16"/>
          <w:szCs w:val="16"/>
          <w:color w:val="auto"/>
        </w:rPr>
      </w:pPr>
      <w:r>
        <w:rPr>
          <w:rFonts w:ascii="Arial" w:cs="Arial" w:eastAsia="Arial" w:hAnsi="Arial"/>
          <w:sz w:val="16"/>
          <w:szCs w:val="16"/>
          <w:color w:val="auto"/>
        </w:rPr>
        <w:t>(a) a certificate of the secretary or assistant secretary of each Loan Party dated the Fourth Amendment Effective Date, certifying</w:t>
      </w:r>
    </w:p>
    <w:p>
      <w:pPr>
        <w:spacing w:after="0" w:line="46" w:lineRule="exact"/>
        <w:rPr>
          <w:rFonts w:ascii="Arial" w:cs="Arial" w:eastAsia="Arial" w:hAnsi="Arial"/>
          <w:sz w:val="16"/>
          <w:szCs w:val="16"/>
          <w:color w:val="auto"/>
        </w:rPr>
      </w:pPr>
    </w:p>
    <w:p>
      <w:pPr>
        <w:ind w:left="660" w:right="120"/>
        <w:spacing w:after="0" w:line="290" w:lineRule="auto"/>
        <w:rPr>
          <w:rFonts w:ascii="Arial" w:cs="Arial" w:eastAsia="Arial" w:hAnsi="Arial"/>
          <w:sz w:val="16"/>
          <w:szCs w:val="16"/>
          <w:color w:val="auto"/>
        </w:rPr>
      </w:pPr>
      <w:r>
        <w:rPr>
          <w:rFonts w:ascii="Arial" w:cs="Arial" w:eastAsia="Arial" w:hAnsi="Arial"/>
          <w:sz w:val="16"/>
          <w:szCs w:val="16"/>
          <w:color w:val="auto"/>
        </w:rPr>
        <w:t>(x) that each Organization Document of each such Loan Party has not been amended or changed since the A&amp;R Credit Agreement Third Amendment Effective Date other than those changes attached to such certificate, and a certificate as to the good standing of each Loan Party as of a recent date, from the Secretary of State (or equivalent Governmental Authority) of the state or jurisdiction of its organization, (y) that attached thereto is a true and complete copy of resolutions duly authorizing the execution, delivery and performance of this Amendment, and (z) as to the incumbency and specimen signature of each officer executing any Loan Document and (b) a certificate of another Responsible Officer as to the incumbency and specimen signature of the secretary or assistant secretary executing the certificate pursuant to clause (a) above; and</w:t>
      </w:r>
    </w:p>
    <w:p>
      <w:pPr>
        <w:spacing w:after="0" w:line="164" w:lineRule="exact"/>
        <w:rPr>
          <w:rFonts w:ascii="Arial" w:cs="Arial" w:eastAsia="Arial" w:hAnsi="Arial"/>
          <w:sz w:val="16"/>
          <w:szCs w:val="16"/>
          <w:color w:val="auto"/>
        </w:rPr>
      </w:pPr>
    </w:p>
    <w:p>
      <w:pPr>
        <w:ind w:left="660" w:right="60" w:firstLine="645"/>
        <w:spacing w:after="0" w:line="264" w:lineRule="auto"/>
        <w:tabs>
          <w:tab w:leader="none" w:pos="1990" w:val="left"/>
        </w:tabs>
        <w:numPr>
          <w:ilvl w:val="2"/>
          <w:numId w:val="8"/>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Borrower certifying that as of the Fourth Amendment Effective Date, (a) there has been no event or circumstance that has had or could be reasonably expected to have, either individually or in the aggregate, a Material Adverse Effect since December 31, 2017 and (b) no Default or Event of Default has occurred and is continuing.</w:t>
      </w:r>
    </w:p>
    <w:p>
      <w:pPr>
        <w:spacing w:after="0" w:line="177" w:lineRule="exact"/>
        <w:rPr>
          <w:rFonts w:ascii="Arial" w:cs="Arial" w:eastAsia="Arial" w:hAnsi="Arial"/>
          <w:sz w:val="18"/>
          <w:szCs w:val="18"/>
          <w:color w:val="auto"/>
        </w:rPr>
      </w:pPr>
    </w:p>
    <w:p>
      <w:pPr>
        <w:ind w:right="300" w:firstLine="656"/>
        <w:spacing w:after="0" w:line="293" w:lineRule="auto"/>
        <w:tabs>
          <w:tab w:leader="none" w:pos="1299"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Payment of Fees and Expenses</w:t>
      </w:r>
      <w:r>
        <w:rPr>
          <w:rFonts w:ascii="Arial" w:cs="Arial" w:eastAsia="Arial" w:hAnsi="Arial"/>
          <w:sz w:val="16"/>
          <w:szCs w:val="16"/>
          <w:color w:val="auto"/>
        </w:rPr>
        <w:t>. The Administrative Agent shall have received all reasonable and documented out-of-pocket fees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incurred in connection with this Amendment on or prior to the Fourth Amendment Effective Date, including, to the extent invoiced at least three</w:t>
      </w:r>
    </w:p>
    <w:p>
      <w:pPr>
        <w:spacing w:after="0" w:line="1" w:lineRule="exact"/>
        <w:rPr>
          <w:rFonts w:ascii="Arial" w:cs="Arial" w:eastAsia="Arial" w:hAnsi="Arial"/>
          <w:sz w:val="16"/>
          <w:szCs w:val="16"/>
          <w:color w:val="auto"/>
        </w:rPr>
      </w:pPr>
    </w:p>
    <w:p>
      <w:pPr>
        <w:ind w:right="560"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Days prior to the Fourth Amendment Effective Date, reimbursement or other payment of all out-of-pocket fees and expenses in each case required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be reimbursed or paid by the Borrower under the Credit Agreement.</w:t>
      </w:r>
    </w:p>
    <w:p>
      <w:pPr>
        <w:spacing w:after="0" w:line="221" w:lineRule="exact"/>
        <w:rPr>
          <w:sz w:val="20"/>
          <w:szCs w:val="20"/>
          <w:color w:val="auto"/>
        </w:rPr>
      </w:pPr>
    </w:p>
    <w:p>
      <w:pPr>
        <w:jc w:val="both"/>
        <w:ind w:right="260" w:firstLine="656"/>
        <w:spacing w:after="0" w:line="261" w:lineRule="auto"/>
        <w:tabs>
          <w:tab w:leader="none" w:pos="1299"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r>
        <w:rPr>
          <w:rFonts w:ascii="Arial" w:cs="Arial" w:eastAsia="Arial" w:hAnsi="Arial"/>
          <w:sz w:val="18"/>
          <w:szCs w:val="18"/>
          <w:color w:val="auto"/>
        </w:rPr>
        <w:t>. A</w:t>
      </w:r>
      <w:r>
        <w:rPr>
          <w:rFonts w:ascii="Arial" w:cs="Arial" w:eastAsia="Arial" w:hAnsi="Arial"/>
          <w:sz w:val="18"/>
          <w:szCs w:val="18"/>
          <w:b w:val="1"/>
          <w:bCs w:val="1"/>
          <w:color w:val="auto"/>
        </w:rPr>
        <w:t xml:space="preserve">s </w:t>
      </w:r>
      <w:r>
        <w:rPr>
          <w:rFonts w:ascii="Arial" w:cs="Arial" w:eastAsia="Arial" w:hAnsi="Arial"/>
          <w:sz w:val="18"/>
          <w:szCs w:val="18"/>
          <w:color w:val="auto"/>
        </w:rPr>
        <w:t>of the Fourth Amendment Effective Date, no event, circumstance or change shall have occurred since</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that has resulted in,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80" w:lineRule="exact"/>
        <w:rPr>
          <w:rFonts w:ascii="Arial" w:cs="Arial" w:eastAsia="Arial" w:hAnsi="Arial"/>
          <w:sz w:val="18"/>
          <w:szCs w:val="18"/>
          <w:color w:val="auto"/>
        </w:rPr>
      </w:pPr>
    </w:p>
    <w:p>
      <w:pPr>
        <w:ind w:right="40" w:firstLine="656"/>
        <w:spacing w:after="0" w:line="266" w:lineRule="auto"/>
        <w:tabs>
          <w:tab w:leader="none" w:pos="1309"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Each of the representations and warranties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true and correct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on the Fourth Amendment Effective Date (unless made solely as of a prior date, in which case such representation and warranty was true and correct in all material respects as of such date).</w:t>
      </w:r>
    </w:p>
    <w:p>
      <w:pPr>
        <w:spacing w:after="0" w:line="17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III.</w:t>
      </w:r>
      <w:r>
        <w:rPr>
          <w:sz w:val="20"/>
          <w:szCs w:val="20"/>
          <w:color w:val="auto"/>
        </w:rPr>
        <w:tab/>
      </w:r>
      <w:r>
        <w:rPr>
          <w:rFonts w:ascii="Arial" w:cs="Arial" w:eastAsia="Arial" w:hAnsi="Arial"/>
          <w:sz w:val="17"/>
          <w:szCs w:val="17"/>
          <w:b w:val="1"/>
          <w:bCs w:val="1"/>
          <w:color w:val="auto"/>
        </w:rPr>
        <w:t>REPRESENTATIONS AND WARRANTIES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Loan Party which is a party hereto represents and warrants to each Lender that the following statements are true and correct in all material respects as of the Fourth Amendment Effective Date:</w:t>
      </w:r>
    </w:p>
    <w:p>
      <w:pPr>
        <w:spacing w:after="0" w:line="166" w:lineRule="exact"/>
        <w:rPr>
          <w:sz w:val="20"/>
          <w:szCs w:val="20"/>
          <w:color w:val="auto"/>
        </w:rPr>
      </w:pPr>
    </w:p>
    <w:p>
      <w:pPr>
        <w:jc w:val="both"/>
        <w:ind w:right="640" w:firstLine="656"/>
        <w:spacing w:after="0" w:line="314" w:lineRule="auto"/>
        <w:tabs>
          <w:tab w:leader="none" w:pos="1309"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Corporate Power and Authority. </w:t>
      </w:r>
      <w:r>
        <w:rPr>
          <w:rFonts w:ascii="Arial" w:cs="Arial" w:eastAsia="Arial" w:hAnsi="Arial"/>
          <w:sz w:val="16"/>
          <w:szCs w:val="16"/>
          <w:color w:val="auto"/>
        </w:rPr>
        <w:t>Each Loan Party has all requisite power and authority and all requisite governmental licenses,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authorizations, consents and approvals to execute, deliver and perform its obligations under this Amendment and to perform its obligations under the Amended Credit Agreement and consummate the transactions contemplated by this Amendment and the Amended Credit Agreement.</w:t>
      </w:r>
    </w:p>
    <w:p>
      <w:pPr>
        <w:spacing w:after="0" w:line="142" w:lineRule="exact"/>
        <w:rPr>
          <w:rFonts w:ascii="Arial" w:cs="Arial" w:eastAsia="Arial" w:hAnsi="Arial"/>
          <w:sz w:val="16"/>
          <w:szCs w:val="16"/>
          <w:color w:val="auto"/>
        </w:rPr>
      </w:pPr>
    </w:p>
    <w:p>
      <w:pPr>
        <w:ind w:right="700" w:firstLine="656"/>
        <w:spacing w:after="0" w:line="282" w:lineRule="auto"/>
        <w:tabs>
          <w:tab w:leader="none" w:pos="1299"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Authorization of Amendment. </w:t>
      </w:r>
      <w:r>
        <w:rPr>
          <w:rFonts w:ascii="Arial" w:cs="Arial" w:eastAsia="Arial" w:hAnsi="Arial"/>
          <w:sz w:val="18"/>
          <w:szCs w:val="18"/>
          <w:color w:val="auto"/>
        </w:rPr>
        <w:t>The execution, delivery and performance by each Loan Party of this Amendment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by all necessary corporate or other organizational action.</w:t>
      </w:r>
    </w:p>
    <w:p>
      <w:pPr>
        <w:spacing w:after="0" w:line="161" w:lineRule="exact"/>
        <w:rPr>
          <w:rFonts w:ascii="Arial" w:cs="Arial" w:eastAsia="Arial" w:hAnsi="Arial"/>
          <w:sz w:val="18"/>
          <w:szCs w:val="18"/>
          <w:color w:val="auto"/>
        </w:rPr>
      </w:pPr>
    </w:p>
    <w:p>
      <w:pPr>
        <w:ind w:right="60" w:firstLine="656"/>
        <w:spacing w:after="0" w:line="293" w:lineRule="auto"/>
        <w:tabs>
          <w:tab w:leader="none" w:pos="1299"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No Conflict. </w:t>
      </w:r>
      <w:r>
        <w:rPr>
          <w:rFonts w:ascii="Arial" w:cs="Arial" w:eastAsia="Arial" w:hAnsi="Arial"/>
          <w:sz w:val="16"/>
          <w:szCs w:val="16"/>
          <w:color w:val="auto"/>
        </w:rPr>
        <w:t>The execution, delivery and performance by each Loan Party of this Amendment do not and will not (i) contravene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of such Person’s Organization Documents; (ii) conflict with or result in any breach or contravention of, or require any payment to be made under,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material Contractual Obligation to which such Person is a party or affecting such Person or the properties of such Person or any of its Subsidiaries, or</w:t>
      </w:r>
    </w:p>
    <w:p>
      <w:pPr>
        <w:spacing w:after="0" w:line="32" w:lineRule="exact"/>
        <w:rPr>
          <w:rFonts w:ascii="Arial" w:cs="Arial" w:eastAsia="Arial" w:hAnsi="Arial"/>
          <w:sz w:val="16"/>
          <w:szCs w:val="16"/>
          <w:color w:val="auto"/>
        </w:rPr>
      </w:pPr>
    </w:p>
    <w:p>
      <w:pPr>
        <w:ind w:right="4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order, injunction, writ or decree of any Governmental Authority or any arbitral award to which such Person or its property is subject; (iii) result in the creation or imposition of any Lien upon or with respect to any property or assets now owned or hereafter acquired by such Person or any of its Subsidiaries (other than Liens created under the Collateral Documents); or (iv) violate any material Law.</w:t>
      </w:r>
    </w:p>
    <w:p>
      <w:pPr>
        <w:spacing w:after="0" w:line="186" w:lineRule="exact"/>
        <w:rPr>
          <w:rFonts w:ascii="Arial" w:cs="Arial" w:eastAsia="Arial" w:hAnsi="Arial"/>
          <w:sz w:val="18"/>
          <w:szCs w:val="18"/>
          <w:color w:val="auto"/>
        </w:rPr>
      </w:pPr>
    </w:p>
    <w:p>
      <w:pPr>
        <w:ind w:firstLine="656"/>
        <w:spacing w:after="0" w:line="298" w:lineRule="auto"/>
        <w:tabs>
          <w:tab w:leader="none" w:pos="1309" w:val="left"/>
        </w:tabs>
        <w:numPr>
          <w:ilvl w:val="1"/>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Binding Effect. </w:t>
      </w:r>
      <w:r>
        <w:rPr>
          <w:rFonts w:ascii="Arial" w:cs="Arial" w:eastAsia="Arial" w:hAnsi="Arial"/>
          <w:sz w:val="16"/>
          <w:szCs w:val="16"/>
          <w:color w:val="auto"/>
        </w:rPr>
        <w:t>This Amendment has been duly executed and delivered by each Loan Party that is party hereto. Each of this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Amended Credit Agreement constitute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may be brought.</w:t>
      </w:r>
    </w:p>
    <w:p>
      <w:pPr>
        <w:spacing w:after="0" w:line="221" w:lineRule="exact"/>
        <w:rPr>
          <w:sz w:val="20"/>
          <w:szCs w:val="20"/>
          <w:color w:val="auto"/>
        </w:rPr>
      </w:pPr>
    </w:p>
    <w:p>
      <w:pPr>
        <w:jc w:val="both"/>
        <w:ind w:right="40" w:firstLine="656"/>
        <w:spacing w:after="0" w:line="258" w:lineRule="auto"/>
        <w:tabs>
          <w:tab w:leader="none" w:pos="1303"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Etc</w:t>
      </w:r>
      <w:r>
        <w:rPr>
          <w:rFonts w:ascii="Arial" w:cs="Arial" w:eastAsia="Arial" w:hAnsi="Arial"/>
          <w:sz w:val="18"/>
          <w:szCs w:val="18"/>
          <w:color w:val="auto"/>
        </w:rPr>
        <w:t>. (x) All representations and warranties contained in Article V of the Credit Agreement are true and</w:t>
      </w:r>
      <w:r>
        <w:rPr>
          <w:rFonts w:ascii="Arial" w:cs="Arial" w:eastAsia="Arial" w:hAnsi="Arial"/>
          <w:sz w:val="18"/>
          <w:szCs w:val="18"/>
          <w:b w:val="1"/>
          <w:bCs w:val="1"/>
          <w:color w:val="auto"/>
        </w:rPr>
        <w:t xml:space="preserve"> </w:t>
      </w:r>
      <w:r>
        <w:rPr>
          <w:rFonts w:ascii="Arial" w:cs="Arial" w:eastAsia="Arial" w:hAnsi="Arial"/>
          <w:sz w:val="18"/>
          <w:szCs w:val="18"/>
          <w:color w:val="auto"/>
        </w:rPr>
        <w:t>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 representation or warranty is qualified by “materiality” or “Material Adverse Effect”) as of such earlier date, and (y) no Default has occurred and is continuing.</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IV.</w:t>
        <w:tab/>
        <w:t>ACKNOWLEDGMENT AND CONSENT OF LOAN PARTIES; REAFFIRMATION OF GUARANTIES AND LIENS</w:t>
      </w:r>
    </w:p>
    <w:p>
      <w:pPr>
        <w:spacing w:after="0" w:line="225" w:lineRule="exact"/>
        <w:rPr>
          <w:sz w:val="20"/>
          <w:szCs w:val="20"/>
          <w:color w:val="auto"/>
        </w:rPr>
      </w:pPr>
    </w:p>
    <w:p>
      <w:pPr>
        <w:ind w:right="560" w:firstLine="656"/>
        <w:spacing w:after="0" w:line="313" w:lineRule="auto"/>
        <w:tabs>
          <w:tab w:leader="none" w:pos="1309"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Acknowledgment and Consent</w:t>
      </w:r>
      <w:r>
        <w:rPr>
          <w:rFonts w:ascii="Arial" w:cs="Arial" w:eastAsia="Arial" w:hAnsi="Arial"/>
          <w:sz w:val="17"/>
          <w:szCs w:val="17"/>
          <w:color w:val="auto"/>
        </w:rPr>
        <w:t>. Each Loan Party hereby acknowledges that it has reviewed the terms and provisions of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this Amendment and consents to the amendments of the Credit Agreement effected pursuant to this Amendment.</w:t>
      </w:r>
    </w:p>
    <w:p>
      <w:pPr>
        <w:spacing w:after="0" w:line="138" w:lineRule="exact"/>
        <w:rPr>
          <w:rFonts w:ascii="Arial" w:cs="Arial" w:eastAsia="Arial" w:hAnsi="Arial"/>
          <w:sz w:val="17"/>
          <w:szCs w:val="17"/>
          <w:color w:val="auto"/>
        </w:rPr>
      </w:pPr>
    </w:p>
    <w:p>
      <w:pPr>
        <w:ind w:right="60" w:firstLine="656"/>
        <w:spacing w:after="0" w:line="258" w:lineRule="auto"/>
        <w:tabs>
          <w:tab w:leader="none" w:pos="129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Guaranty and Lien Reaffirmation. </w:t>
      </w:r>
      <w:r>
        <w:rPr>
          <w:rFonts w:ascii="Arial" w:cs="Arial" w:eastAsia="Arial" w:hAnsi="Arial"/>
          <w:sz w:val="18"/>
          <w:szCs w:val="18"/>
          <w:color w:val="auto"/>
        </w:rPr>
        <w:t>Each Loan Party hereby (i) confirms that each Loan Document (including the Guaranty), both before</w:t>
      </w:r>
      <w:r>
        <w:rPr>
          <w:rFonts w:ascii="Arial" w:cs="Arial" w:eastAsia="Arial" w:hAnsi="Arial"/>
          <w:sz w:val="18"/>
          <w:szCs w:val="18"/>
          <w:b w:val="1"/>
          <w:bCs w:val="1"/>
          <w:color w:val="auto"/>
        </w:rPr>
        <w:t xml:space="preserve"> </w:t>
      </w:r>
      <w:r>
        <w:rPr>
          <w:rFonts w:ascii="Arial" w:cs="Arial" w:eastAsia="Arial" w:hAnsi="Arial"/>
          <w:sz w:val="18"/>
          <w:szCs w:val="18"/>
          <w:color w:val="auto"/>
        </w:rPr>
        <w:t>and immediately after giving effect to and, if applicable, as amended by this Amendment, to which it is a party or otherwise bound, and all Collateral encumbered thereby will continue to guarantee or secure, as the case may be, to the fullest extent possible in accordance with the Loan Documents, as amended by this Amendment, if applicable, the payment and performance of the Secured Obligations and (ii) ratifies all guaranties and Liens granted by it pursuant to the Loan Documents.</w:t>
      </w:r>
    </w:p>
    <w:p>
      <w:pPr>
        <w:spacing w:after="0" w:line="183" w:lineRule="exact"/>
        <w:rPr>
          <w:rFonts w:ascii="Arial" w:cs="Arial" w:eastAsia="Arial" w:hAnsi="Arial"/>
          <w:sz w:val="18"/>
          <w:szCs w:val="18"/>
          <w:color w:val="auto"/>
        </w:rPr>
      </w:pPr>
    </w:p>
    <w:p>
      <w:pPr>
        <w:ind w:right="100" w:firstLine="656"/>
        <w:spacing w:after="0" w:line="314" w:lineRule="auto"/>
        <w:tabs>
          <w:tab w:leader="none" w:pos="129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Continuing Effect</w:t>
      </w:r>
      <w:r>
        <w:rPr>
          <w:rFonts w:ascii="Arial" w:cs="Arial" w:eastAsia="Arial" w:hAnsi="Arial"/>
          <w:sz w:val="16"/>
          <w:szCs w:val="16"/>
          <w:color w:val="auto"/>
        </w:rPr>
        <w:t>. Each Loan Party hereby acknowledges and agrees that (i) each Loan Document, both before and immediately after</w:t>
      </w:r>
      <w:r>
        <w:rPr>
          <w:rFonts w:ascii="Arial" w:cs="Arial" w:eastAsia="Arial" w:hAnsi="Arial"/>
          <w:sz w:val="16"/>
          <w:szCs w:val="16"/>
          <w:b w:val="1"/>
          <w:bCs w:val="1"/>
          <w:color w:val="auto"/>
        </w:rPr>
        <w:t xml:space="preserve"> </w:t>
      </w:r>
      <w:r>
        <w:rPr>
          <w:rFonts w:ascii="Arial" w:cs="Arial" w:eastAsia="Arial" w:hAnsi="Arial"/>
          <w:sz w:val="16"/>
          <w:szCs w:val="16"/>
          <w:color w:val="auto"/>
        </w:rPr>
        <w:t>giving effect to and, if applicable, as amended by this Amendment, to which it is a party or otherwise bound shall continue in full force and effect and (ii) all of its obligations thereunder shall be valid and enforceable and shall not be impaired or limited by the execution or effectiveness of this Amendment.</w:t>
      </w:r>
    </w:p>
    <w:p>
      <w:pPr>
        <w:spacing w:after="0" w:line="142" w:lineRule="exact"/>
        <w:rPr>
          <w:rFonts w:ascii="Arial" w:cs="Arial" w:eastAsia="Arial" w:hAnsi="Arial"/>
          <w:sz w:val="16"/>
          <w:szCs w:val="16"/>
          <w:color w:val="auto"/>
        </w:rPr>
      </w:pPr>
    </w:p>
    <w:p>
      <w:pPr>
        <w:ind w:right="80" w:firstLine="656"/>
        <w:spacing w:after="0" w:line="266" w:lineRule="auto"/>
        <w:tabs>
          <w:tab w:leader="none" w:pos="130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No Filings Necessary</w:t>
      </w:r>
      <w:r>
        <w:rPr>
          <w:rFonts w:ascii="Arial" w:cs="Arial" w:eastAsia="Arial" w:hAnsi="Arial"/>
          <w:sz w:val="18"/>
          <w:szCs w:val="18"/>
          <w:color w:val="auto"/>
        </w:rPr>
        <w:t>. Except as otherwise required herein, each Loan Party hereby confirms that no additional filings or recordings need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made, and no other actions need to be taken, by such Loan Party in order to maintain the perfection, enforceability or validity of the security interests created pursuant to the Collateral Documents.</w:t>
      </w:r>
    </w:p>
    <w:p>
      <w:pPr>
        <w:spacing w:after="0" w:line="17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V.</w:t>
      </w:r>
      <w:r>
        <w:rPr>
          <w:sz w:val="20"/>
          <w:szCs w:val="20"/>
          <w:color w:val="auto"/>
        </w:rPr>
        <w:tab/>
      </w: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1060" w:hanging="404"/>
        <w:spacing w:after="0"/>
        <w:tabs>
          <w:tab w:leader="none" w:pos="10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Reference to and Effect on Credit Agreement and Other Loan Documents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312" w:lineRule="auto"/>
        <w:tabs>
          <w:tab w:leader="none" w:pos="104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and after the Fourth Amendment Effective Date, each reference in the Credit Agreement to “this Amendment,”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46" w:lineRule="exact"/>
        <w:rPr>
          <w:rFonts w:ascii="Arial" w:cs="Arial" w:eastAsia="Arial" w:hAnsi="Arial"/>
          <w:sz w:val="16"/>
          <w:szCs w:val="16"/>
          <w:color w:val="auto"/>
        </w:rPr>
      </w:pPr>
    </w:p>
    <w:p>
      <w:pPr>
        <w:ind w:left="1100" w:hanging="444"/>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Credit Agreement and the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other Loan Documents shall remain in full force and effect and are hereby ratified and confirmed.</w:t>
      </w:r>
    </w:p>
    <w:p>
      <w:pPr>
        <w:spacing w:after="0" w:line="225" w:lineRule="exact"/>
        <w:rPr>
          <w:sz w:val="20"/>
          <w:szCs w:val="20"/>
          <w:color w:val="auto"/>
        </w:rPr>
      </w:pPr>
    </w:p>
    <w:p>
      <w:pPr>
        <w:ind w:right="180" w:firstLine="656"/>
        <w:spacing w:after="0" w:line="276" w:lineRule="auto"/>
        <w:tabs>
          <w:tab w:leader="none" w:pos="11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execution, delivery and performance of this Amendment shall not constitute either (x) a novation of the Credit Agreement or any of the other Loan Documents or any obligations thereunder or (y) a waiver of any provision of, or operate as a waiver of any right, power or remedy of any Agent, Lender or L/C Issuer under, the Credit Agreement or any of the other Loan Documents. The amendments contained herein are limited to the specified provisions and circumstances described and shall not be deemed to prejudice any rights not specifically addressed herein which any Agent, Lender or L/C Issuer may now have or may have in the future under the Amended Credit Agreement or any other Loan Document.</w:t>
      </w:r>
    </w:p>
    <w:p>
      <w:pPr>
        <w:spacing w:after="0" w:line="169" w:lineRule="exact"/>
        <w:rPr>
          <w:sz w:val="20"/>
          <w:szCs w:val="20"/>
          <w:color w:val="auto"/>
        </w:rPr>
      </w:pPr>
    </w:p>
    <w:p>
      <w:pPr>
        <w:ind w:left="1040" w:hanging="384"/>
        <w:spacing w:after="0"/>
        <w:tabs>
          <w:tab w:leader="none" w:pos="104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this Amendment constitutes a Loan Document.</w:t>
      </w:r>
    </w:p>
    <w:p>
      <w:pPr>
        <w:spacing w:after="0" w:line="225" w:lineRule="exact"/>
        <w:rPr>
          <w:rFonts w:ascii="Arial" w:cs="Arial" w:eastAsia="Arial" w:hAnsi="Arial"/>
          <w:sz w:val="18"/>
          <w:szCs w:val="18"/>
          <w:b w:val="1"/>
          <w:bCs w:val="1"/>
          <w:color w:val="auto"/>
        </w:rPr>
      </w:pPr>
    </w:p>
    <w:p>
      <w:pPr>
        <w:ind w:right="120" w:firstLine="656"/>
        <w:spacing w:after="0" w:line="282" w:lineRule="auto"/>
        <w:tabs>
          <w:tab w:leader="none" w:pos="1048"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Subsection headings in this Amendment are included herein for convenience of reference only and shall not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 part of this Amendment for any other purpose or be given any substantive effect.</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048"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SHALL BE GOVERNED BY, AND CONSTRUED IN ACCORDANCE WITH, THE LAW OF THE STATE OF NEW YORK.</w:t>
      </w:r>
    </w:p>
    <w:p>
      <w:pPr>
        <w:spacing w:after="0" w:line="161" w:lineRule="exact"/>
        <w:rPr>
          <w:rFonts w:ascii="Arial" w:cs="Arial" w:eastAsia="Arial" w:hAnsi="Arial"/>
          <w:sz w:val="18"/>
          <w:szCs w:val="18"/>
          <w:b w:val="1"/>
          <w:bCs w:val="1"/>
          <w:color w:val="auto"/>
        </w:rPr>
      </w:pPr>
    </w:p>
    <w:p>
      <w:pPr>
        <w:ind w:left="1040" w:hanging="384"/>
        <w:spacing w:after="0"/>
        <w:tabs>
          <w:tab w:leader="none" w:pos="1040" w:val="left"/>
        </w:tabs>
        <w:numPr>
          <w:ilvl w:val="1"/>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Submission to Jurisdiction; Waiver of Venue; Service of Process; 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Sections 11.14(b), (c) and</w:t>
      </w:r>
    </w:p>
    <w:p>
      <w:pPr>
        <w:spacing w:after="0" w:line="38" w:lineRule="exact"/>
        <w:rPr>
          <w:rFonts w:ascii="Arial" w:cs="Arial" w:eastAsia="Arial" w:hAnsi="Arial"/>
          <w:sz w:val="17"/>
          <w:szCs w:val="17"/>
          <w:b w:val="1"/>
          <w:bCs w:val="1"/>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and Section 11.15 of the Amended Credit Agreement are hereby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as if set forth in full herein.</w:t>
      </w:r>
    </w:p>
    <w:p>
      <w:pPr>
        <w:spacing w:after="0" w:line="206" w:lineRule="exact"/>
        <w:rPr>
          <w:rFonts w:ascii="Arial" w:cs="Arial" w:eastAsia="Arial" w:hAnsi="Arial"/>
          <w:sz w:val="18"/>
          <w:szCs w:val="18"/>
          <w:color w:val="auto"/>
        </w:rPr>
      </w:pPr>
    </w:p>
    <w:p>
      <w:pPr>
        <w:ind w:firstLine="656"/>
        <w:spacing w:after="0" w:line="314" w:lineRule="auto"/>
        <w:tabs>
          <w:tab w:leader="none" w:pos="1012" w:val="left"/>
        </w:tabs>
        <w:numPr>
          <w:ilvl w:val="1"/>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executed in counterparts (and by different parties hereto in different counterparts), each of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6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and delivered by their respective officers thereunto</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as of the date first written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CLEARWAY ENERGY OPERATING LLC</w:t>
            </w:r>
          </w:p>
        </w:tc>
      </w:tr>
      <w:tr>
        <w:trPr>
          <w:trHeight w:val="648"/>
        </w:trPr>
        <w:tc>
          <w:tcPr>
            <w:tcW w:w="3580" w:type="dxa"/>
            <w:vAlign w:val="bottom"/>
          </w:tcPr>
          <w:p>
            <w:pPr>
              <w:spacing w:after="0"/>
              <w:rPr>
                <w:sz w:val="24"/>
                <w:szCs w:val="24"/>
                <w:color w:val="auto"/>
              </w:rPr>
            </w:pPr>
          </w:p>
        </w:tc>
        <w:tc>
          <w:tcPr>
            <w:tcW w:w="3000" w:type="dxa"/>
            <w:vAlign w:val="bottom"/>
          </w:tcPr>
          <w:p>
            <w:pPr>
              <w:ind w:left="22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580" w:type="dxa"/>
            <w:vAlign w:val="bottom"/>
          </w:tcPr>
          <w:p>
            <w:pPr>
              <w:spacing w:after="0"/>
              <w:rPr>
                <w:sz w:val="16"/>
                <w:szCs w:val="16"/>
                <w:color w:val="auto"/>
              </w:rPr>
            </w:pPr>
          </w:p>
        </w:tc>
        <w:tc>
          <w:tcPr>
            <w:tcW w:w="3000" w:type="dxa"/>
            <w:vAlign w:val="bottom"/>
          </w:tcPr>
          <w:p>
            <w:pPr>
              <w:ind w:left="224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580" w:type="dxa"/>
            <w:vAlign w:val="bottom"/>
          </w:tcPr>
          <w:p>
            <w:pPr>
              <w:spacing w:after="0"/>
              <w:rPr>
                <w:sz w:val="20"/>
                <w:szCs w:val="20"/>
                <w:color w:val="auto"/>
              </w:rPr>
            </w:pPr>
          </w:p>
        </w:tc>
        <w:tc>
          <w:tcPr>
            <w:tcW w:w="3000" w:type="dxa"/>
            <w:vAlign w:val="bottom"/>
          </w:tcPr>
          <w:p>
            <w:pPr>
              <w:ind w:left="224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r>
        <w:trPr>
          <w:trHeight w:val="414"/>
        </w:trPr>
        <w:tc>
          <w:tcPr>
            <w:tcW w:w="358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CLEARWAY ENERGY LLC</w:t>
            </w:r>
          </w:p>
        </w:tc>
      </w:tr>
      <w:tr>
        <w:trPr>
          <w:trHeight w:val="234"/>
        </w:trPr>
        <w:tc>
          <w:tcPr>
            <w:tcW w:w="358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DGPV HOLDING LLC</w:t>
            </w:r>
          </w:p>
        </w:tc>
      </w:tr>
      <w:tr>
        <w:trPr>
          <w:trHeight w:val="648"/>
        </w:trPr>
        <w:tc>
          <w:tcPr>
            <w:tcW w:w="3580" w:type="dxa"/>
            <w:vAlign w:val="bottom"/>
          </w:tcPr>
          <w:p>
            <w:pPr>
              <w:spacing w:after="0"/>
              <w:rPr>
                <w:sz w:val="24"/>
                <w:szCs w:val="24"/>
                <w:color w:val="auto"/>
              </w:rPr>
            </w:pPr>
          </w:p>
        </w:tc>
        <w:tc>
          <w:tcPr>
            <w:tcW w:w="3000" w:type="dxa"/>
            <w:vAlign w:val="bottom"/>
          </w:tcPr>
          <w:p>
            <w:pPr>
              <w:ind w:left="22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580" w:type="dxa"/>
            <w:vAlign w:val="bottom"/>
          </w:tcPr>
          <w:p>
            <w:pPr>
              <w:spacing w:after="0"/>
              <w:rPr>
                <w:sz w:val="16"/>
                <w:szCs w:val="16"/>
                <w:color w:val="auto"/>
              </w:rPr>
            </w:pPr>
          </w:p>
        </w:tc>
        <w:tc>
          <w:tcPr>
            <w:tcW w:w="3000" w:type="dxa"/>
            <w:vAlign w:val="bottom"/>
          </w:tcPr>
          <w:p>
            <w:pPr>
              <w:ind w:left="224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580" w:type="dxa"/>
            <w:vAlign w:val="bottom"/>
          </w:tcPr>
          <w:p>
            <w:pPr>
              <w:spacing w:after="0"/>
              <w:rPr>
                <w:sz w:val="20"/>
                <w:szCs w:val="20"/>
                <w:color w:val="auto"/>
              </w:rPr>
            </w:pPr>
          </w:p>
        </w:tc>
        <w:tc>
          <w:tcPr>
            <w:tcW w:w="3000" w:type="dxa"/>
            <w:vAlign w:val="bottom"/>
          </w:tcPr>
          <w:p>
            <w:pPr>
              <w:ind w:left="224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4620"/>
        <w:spacing w:after="0"/>
        <w:rPr>
          <w:sz w:val="20"/>
          <w:szCs w:val="20"/>
          <w:color w:val="auto"/>
        </w:rPr>
      </w:pPr>
      <w:r>
        <w:rPr>
          <w:rFonts w:ascii="Arial" w:cs="Arial" w:eastAsia="Arial" w:hAnsi="Arial"/>
          <w:sz w:val="18"/>
          <w:szCs w:val="18"/>
          <w:b w:val="1"/>
          <w:bCs w:val="1"/>
          <w:color w:val="auto"/>
        </w:rPr>
        <w:t>ALTA WIND 1-5 HOLDING COMPANY, LLC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ALTA WIND COMPANY,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CENTRAL CA FUEL CELL 1,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CLEARWAY SOLAR STAR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ENERGY CENTER CAGUAS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FUEL CELL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PORTFOLIO SOLAR I,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RPV HOLDING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SOLAR FLAGSTAFF ONE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SOLAR IGUANA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SOLAR LAS VEGAS MB 1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SOLAR TABERNACLE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SOUTH TRENT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SPP ASSET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SPP FUND II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SPP FUND II,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SPP FUND II-B,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SPP FUND III,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THERMAL CANADA INFRASTRUCTURE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THERMAL INFRASTRUCTURE DEVELOPMENT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UB FUEL CELL, LLC</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2" w:name="page13"/>
    <w:bookmarkEnd w:id="12"/>
    <w:p>
      <w:pPr>
        <w:ind w:left="46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Javellana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Juan Javellana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3" w:name="page14"/>
    <w:bookmarkEnd w:id="13"/>
    <w:p>
      <w:pPr>
        <w:ind w:left="46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Javellana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Juan Javellana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4" w:name="page15"/>
    <w:bookmarkEnd w:id="14"/>
    <w:p>
      <w:pPr>
        <w:ind w:left="4620"/>
        <w:spacing w:after="0"/>
        <w:rPr>
          <w:sz w:val="20"/>
          <w:szCs w:val="20"/>
          <w:color w:val="auto"/>
        </w:rPr>
      </w:pPr>
      <w:r>
        <w:rPr>
          <w:rFonts w:ascii="Arial" w:cs="Arial" w:eastAsia="Arial" w:hAnsi="Arial"/>
          <w:sz w:val="18"/>
          <w:szCs w:val="18"/>
          <w:b w:val="1"/>
          <w:bCs w:val="1"/>
          <w:color w:val="auto"/>
        </w:rPr>
        <w:t>ABN AMRO CAPITAL USA LLC,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Snow</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Paul Snow</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Sullivan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John Sullivan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5" w:name="page16"/>
    <w:bookmarkEnd w:id="15"/>
    <w:p>
      <w:pPr>
        <w:ind w:left="46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Jerry Wells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Jerry Wells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6" w:name="page17"/>
    <w:bookmarkEnd w:id="16"/>
    <w:p>
      <w:pPr>
        <w:ind w:left="462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May Huang</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May Huang</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7" w:name="page18"/>
    <w:bookmarkEnd w:id="17"/>
    <w:p>
      <w:pPr>
        <w:ind w:left="46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Ashwani Khubani</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Ashwani Khubani</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8" w:name="page19"/>
    <w:bookmarkEnd w:id="18"/>
    <w:p>
      <w:pPr>
        <w:ind w:left="4620"/>
        <w:spacing w:after="0"/>
        <w:rPr>
          <w:sz w:val="20"/>
          <w:szCs w:val="20"/>
          <w:color w:val="auto"/>
        </w:rPr>
      </w:pPr>
      <w:r>
        <w:rPr>
          <w:rFonts w:ascii="Arial" w:cs="Arial" w:eastAsia="Arial" w:hAnsi="Arial"/>
          <w:sz w:val="18"/>
          <w:szCs w:val="18"/>
          <w:b w:val="1"/>
          <w:bCs w:val="1"/>
          <w:color w:val="auto"/>
        </w:rPr>
        <w:t>GOLDMAN SACHS BANK USA,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Jamie Minieri</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Jamie Minieri</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9" w:name="page20"/>
    <w:bookmarkEnd w:id="19"/>
    <w:p>
      <w:pPr>
        <w:ind w:left="4620"/>
        <w:spacing w:after="0"/>
        <w:rPr>
          <w:sz w:val="20"/>
          <w:szCs w:val="20"/>
          <w:color w:val="auto"/>
        </w:rPr>
      </w:pPr>
      <w:r>
        <w:rPr>
          <w:rFonts w:ascii="Arial" w:cs="Arial" w:eastAsia="Arial" w:hAnsi="Arial"/>
          <w:sz w:val="18"/>
          <w:szCs w:val="18"/>
          <w:b w:val="1"/>
          <w:bCs w:val="1"/>
          <w:color w:val="auto"/>
        </w:rPr>
        <w:t>CREDIT SUISSE AG, CAYMAN ISLANDS BRANCH,</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Mikhail Faybusovich</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Mikhail Faybusovich</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Griffin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Andrew Griffin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0" w:name="page21"/>
    <w:bookmarkEnd w:id="20"/>
    <w:p>
      <w:pPr>
        <w:ind w:left="4620"/>
        <w:spacing w:after="0"/>
        <w:rPr>
          <w:sz w:val="20"/>
          <w:szCs w:val="20"/>
          <w:color w:val="auto"/>
        </w:rPr>
      </w:pPr>
      <w:r>
        <w:rPr>
          <w:rFonts w:ascii="Arial" w:cs="Arial" w:eastAsia="Arial" w:hAnsi="Arial"/>
          <w:sz w:val="18"/>
          <w:szCs w:val="18"/>
          <w:b w:val="1"/>
          <w:bCs w:val="1"/>
          <w:color w:val="auto"/>
        </w:rPr>
        <w:t>KEYBANK NATIONAL ASSOCIATION,</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Renee M. Bonnell</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Renee M. Bonnell</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1" w:name="page22"/>
    <w:bookmarkEnd w:id="21"/>
    <w:p>
      <w:pPr>
        <w:ind w:left="462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Kuhns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Jack Kuhns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2" w:name="page23"/>
    <w:bookmarkEnd w:id="22"/>
    <w:p>
      <w:pPr>
        <w:ind w:left="4620"/>
        <w:spacing w:after="0"/>
        <w:rPr>
          <w:sz w:val="20"/>
          <w:szCs w:val="20"/>
          <w:color w:val="auto"/>
        </w:rPr>
      </w:pPr>
      <w:r>
        <w:rPr>
          <w:rFonts w:ascii="Arial" w:cs="Arial" w:eastAsia="Arial" w:hAnsi="Arial"/>
          <w:sz w:val="18"/>
          <w:szCs w:val="18"/>
          <w:b w:val="1"/>
          <w:bCs w:val="1"/>
          <w:color w:val="auto"/>
        </w:rPr>
        <w:t>MUFG UNION BANK, N.A. f/k/a UNION BANK, N.A.,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Farrell</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Paul Farrell</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3" w:name="page24"/>
    <w:bookmarkEnd w:id="23"/>
    <w:p>
      <w:pPr>
        <w:ind w:left="4620"/>
        <w:spacing w:after="0"/>
        <w:rPr>
          <w:sz w:val="20"/>
          <w:szCs w:val="20"/>
          <w:color w:val="auto"/>
        </w:rPr>
      </w:pPr>
      <w:r>
        <w:rPr>
          <w:rFonts w:ascii="Arial" w:cs="Arial" w:eastAsia="Arial" w:hAnsi="Arial"/>
          <w:sz w:val="18"/>
          <w:szCs w:val="18"/>
          <w:b w:val="1"/>
          <w:bCs w:val="1"/>
          <w:color w:val="auto"/>
        </w:rPr>
        <w:t>ROYAL BANK OF CANADA,</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22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Painter</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Justin Painter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Fourth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1."/>
      <w:numFmt w:val="upperLetter"/>
      <w:start w:val="2"/>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upperLetter"/>
      <w:start w:val="3"/>
    </w:lvl>
  </w:abstractNum>
  <w:abstractNum w:abstractNumId="6">
    <w:nsid w:val="3352255A"/>
    <w:multiLevelType w:val="hybridMultilevel"/>
    <w:lvl w:ilvl="0">
      <w:lvlJc w:val="left"/>
      <w:lvlText w:val="%1."/>
      <w:numFmt w:val="upperLetter"/>
      <w:start w:val="4"/>
    </w:lvl>
  </w:abstractNum>
  <w:abstractNum w:abstractNumId="7">
    <w:nsid w:val="109CF92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
    <w:nsid w:val="DED7263"/>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9">
    <w:nsid w:val="7FDCC233"/>
    <w:multiLevelType w:val="hybridMultilevel"/>
    <w:lvl w:ilvl="0">
      <w:lvlJc w:val="left"/>
      <w:lvlText w:val="%1."/>
      <w:numFmt w:val="upperLetter"/>
      <w:start w:val="3"/>
    </w:lvl>
  </w:abstractNum>
  <w:abstractNum w:abstractNumId="10">
    <w:nsid w:val="1BEFD79F"/>
    <w:multiLevelType w:val="hybridMultilevel"/>
    <w:lvl w:ilvl="0">
      <w:lvlJc w:val="left"/>
      <w:lvlText w:val="%1"/>
      <w:numFmt w:val="lowerLetter"/>
      <w:start w:val="1"/>
    </w:lvl>
    <w:lvl w:ilvl="1">
      <w:lvlJc w:val="left"/>
      <w:lvlText w:val="%2."/>
      <w:numFmt w:val="upperLetter"/>
      <w:start w:val="1"/>
    </w:lvl>
  </w:abstractNum>
  <w:abstractNum w:abstractNumId="11">
    <w:nsid w:val="41A7C4C9"/>
    <w:multiLevelType w:val="hybridMultilevel"/>
    <w:lvl w:ilvl="0">
      <w:lvlJc w:val="left"/>
      <w:lvlText w:val="(%1)"/>
      <w:numFmt w:val="lowerLetter"/>
      <w:start w:val="1"/>
    </w:lvl>
    <w:lvl w:ilvl="1">
      <w:lvlJc w:val="left"/>
      <w:lvlText w:val="%2."/>
      <w:numFmt w:val="upperLetter"/>
      <w:start w:val="4"/>
    </w:lvl>
  </w:abstractNum>
  <w:abstractNum w:abstractNumId="12">
    <w:nsid w:val="6B68079A"/>
    <w:multiLevelType w:val="hybridMultilevel"/>
    <w:lvl w:ilvl="0">
      <w:lvlJc w:val="left"/>
      <w:lvlText w:val="%1."/>
      <w:numFmt w:val="upperLetter"/>
      <w:start w:val="5"/>
    </w:lvl>
  </w:abstractNum>
  <w:abstractNum w:abstractNumId="13">
    <w:nsid w:val="4E6AFB66"/>
    <w:multiLevelType w:val="hybridMultilevel"/>
    <w:lvl w:ilvl="0">
      <w:lvlJc w:val="left"/>
      <w:lvlText w:val="%1."/>
      <w:numFmt w:val="upperLetter"/>
      <w:start w:val="1"/>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Roman"/>
      <w:start w:val="3"/>
    </w:lvl>
  </w:abstractNum>
  <w:abstractNum w:abstractNumId="17">
    <w:nsid w:val="3F2DBA31"/>
    <w:multiLevelType w:val="hybridMultilevel"/>
    <w:lvl w:ilvl="0">
      <w:lvlJc w:val="left"/>
      <w:lvlText w:val="%1"/>
      <w:numFmt w:val="lowerLetter"/>
      <w:start w:val="1"/>
    </w:lvl>
    <w:lvl w:ilvl="1">
      <w:lvlJc w:val="left"/>
      <w:lvlText w:val="%2."/>
      <w:numFmt w:val="upperLetter"/>
      <w:start w:val="2"/>
    </w:lvl>
  </w:abstractNum>
  <w:abstractNum w:abstractNumId="18">
    <w:nsid w:val="7C83E458"/>
    <w:multiLevelType w:val="hybridMultilevel"/>
    <w:lvl w:ilvl="0">
      <w:lvlJc w:val="left"/>
      <w:lvlText w:val="(%1)"/>
      <w:numFmt w:val="lowerLetter"/>
      <w:start w:val="4"/>
    </w:lvl>
    <w:lvl w:ilvl="1">
      <w:lvlJc w:val="left"/>
      <w:lvlText w:val="%2."/>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3" Type="http://schemas.openxmlformats.org/officeDocument/2006/relationships/hyperlink" Target="file:///data/convert/a18-41171_1ex10d1.htm#Exhibit10_1_1127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2019-12-08T05:11:47Z</dcterms:created>
  <dcterms:modified xsi:type="dcterms:W3CDTF">2019-12-08T05:11:47Z</dcterms:modified>
</cp:coreProperties>
</file>