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882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Sotos Christopher S</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CLEARWAY ENERGY,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300 CARNEGIE CENTER, 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Clearway Energy,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CWEN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12/01/2022</w:t>
      </w:r>
    </w:p>
    <w:p>
      <w:pPr>
        <w:spacing w:after="0" w:line="20" w:lineRule="exact"/>
        <w:rPr>
          <w:sz w:val="24"/>
          <w:szCs w:val="24"/>
          <w:color w:val="auto"/>
        </w:rPr>
      </w:pPr>
      <w:r>
        <w:rPr>
          <w:sz w:val="24"/>
          <w:szCs w:val="24"/>
          <w:color w:val="auto"/>
        </w:rPr>
        <w:br w:type="column"/>
      </w:r>
    </w:p>
    <w:p>
      <w:pPr>
        <w:ind w:left="5" w:right="54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226"/>
        </w:trPr>
        <w:tc>
          <w:tcPr>
            <w:tcW w:w="220" w:type="dxa"/>
            <w:vAlign w:val="bottom"/>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705"/>
        <w:spacing w:after="0"/>
        <w:rPr>
          <w:sz w:val="20"/>
          <w:szCs w:val="20"/>
          <w:color w:val="auto"/>
        </w:rPr>
      </w:pPr>
      <w:r>
        <w:rPr>
          <w:rFonts w:ascii="Times New Roman" w:cs="Times New Roman" w:eastAsia="Times New Roman" w:hAnsi="Times New Roman"/>
          <w:sz w:val="17"/>
          <w:szCs w:val="17"/>
          <w:color w:val="0000FF"/>
        </w:rPr>
        <w:t>PRESIDENT AND CEO</w:t>
      </w:r>
    </w:p>
    <w:p>
      <w:pPr>
        <w:spacing w:after="0" w:line="419"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PRINCETON</w:t>
            </w:r>
          </w:p>
        </w:tc>
        <w:tc>
          <w:tcPr>
            <w:tcW w:w="94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NJ</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08540</w:t>
            </w: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6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60" w:type="dxa"/>
            <w:vAlign w:val="bottom"/>
          </w:tcPr>
          <w:p>
            <w:pPr>
              <w:spacing w:after="0"/>
              <w:rPr>
                <w:sz w:val="13"/>
                <w:szCs w:val="13"/>
                <w:color w:val="auto"/>
              </w:rPr>
            </w:pPr>
          </w:p>
        </w:tc>
        <w:tc>
          <w:tcPr>
            <w:tcW w:w="1140" w:type="dxa"/>
            <w:vAlign w:val="bottom"/>
            <w:gridSpan w:val="2"/>
          </w:tcPr>
          <w:p>
            <w:pPr>
              <w:ind w:left="1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6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6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100" w:type="dxa"/>
            <w:vAlign w:val="bottom"/>
            <w:tcBorders>
              <w:bottom w:val="single" w:sz="8" w:color="2C2C2C"/>
            </w:tcBorders>
            <w:gridSpan w:val="4"/>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1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Class C Common Stock, par value $.01 per</w:t>
            </w:r>
          </w:p>
        </w:tc>
        <w:tc>
          <w:tcPr>
            <w:tcW w:w="11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7"/>
                <w:szCs w:val="17"/>
                <w:color w:val="0000FF"/>
              </w:rPr>
              <w:t>12/01/2022</w:t>
            </w: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2,023</w:t>
            </w:r>
          </w:p>
        </w:tc>
        <w:tc>
          <w:tcPr>
            <w:tcW w:w="46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Pr>
          <w:p>
            <w:pPr>
              <w:spacing w:after="0"/>
              <w:rPr>
                <w:sz w:val="21"/>
                <w:szCs w:val="21"/>
                <w:color w:val="auto"/>
              </w:rPr>
            </w:pPr>
          </w:p>
        </w:tc>
        <w:tc>
          <w:tcPr>
            <w:tcW w:w="3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1"/>
                <w:szCs w:val="11"/>
                <w:color w:val="008000"/>
              </w:rPr>
              <w:t>(1)</w:t>
            </w:r>
          </w:p>
        </w:tc>
        <w:tc>
          <w:tcPr>
            <w:tcW w:w="1380" w:type="dxa"/>
            <w:vAlign w:val="bottom"/>
            <w:gridSpan w:val="3"/>
            <w:vMerge w:val="restart"/>
          </w:tcPr>
          <w:p>
            <w:pPr>
              <w:ind w:left="400"/>
              <w:spacing w:after="0"/>
              <w:rPr>
                <w:sz w:val="20"/>
                <w:szCs w:val="20"/>
                <w:color w:val="auto"/>
              </w:rPr>
            </w:pPr>
            <w:r>
              <w:rPr>
                <w:rFonts w:ascii="Times New Roman" w:cs="Times New Roman" w:eastAsia="Times New Roman" w:hAnsi="Times New Roman"/>
                <w:sz w:val="17"/>
                <w:szCs w:val="17"/>
                <w:color w:val="0000FF"/>
              </w:rPr>
              <w:t>268,727</w:t>
            </w:r>
            <w:r>
              <w:rPr>
                <w:rFonts w:ascii="Times New Roman" w:cs="Times New Roman" w:eastAsia="Times New Roman" w:hAnsi="Times New Roman"/>
                <w:sz w:val="22"/>
                <w:szCs w:val="22"/>
                <w:color w:val="008000"/>
                <w:vertAlign w:val="superscript"/>
              </w:rPr>
              <w:t>(2)</w:t>
            </w:r>
          </w:p>
        </w:tc>
        <w:tc>
          <w:tcPr>
            <w:tcW w:w="940" w:type="dxa"/>
            <w:vAlign w:val="bottom"/>
            <w:vMerge w:val="restart"/>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gridSpan w:val="2"/>
            <w:vMerge w:val="continue"/>
          </w:tcPr>
          <w:p>
            <w:pPr>
              <w:spacing w:after="0"/>
              <w:rPr>
                <w:sz w:val="15"/>
                <w:szCs w:val="15"/>
                <w:color w:val="auto"/>
              </w:rPr>
            </w:pPr>
          </w:p>
        </w:tc>
        <w:tc>
          <w:tcPr>
            <w:tcW w:w="1380" w:type="dxa"/>
            <w:vAlign w:val="bottom"/>
            <w:gridSpan w:val="3"/>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660" w:type="dxa"/>
            <w:vAlign w:val="bottom"/>
          </w:tcPr>
          <w:p>
            <w:pPr>
              <w:spacing w:after="0"/>
              <w:rPr>
                <w:sz w:val="4"/>
                <w:szCs w:val="4"/>
                <w:color w:val="auto"/>
              </w:rPr>
            </w:pPr>
          </w:p>
        </w:tc>
        <w:tc>
          <w:tcPr>
            <w:tcW w:w="48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3880" w:type="dxa"/>
            <w:vAlign w:val="bottom"/>
            <w:tcBorders>
              <w:bottom w:val="single" w:sz="8" w:color="2C2C2C"/>
            </w:tcBorders>
            <w:gridSpan w:val="7"/>
          </w:tcPr>
          <w:p>
            <w:pPr>
              <w:spacing w:after="0"/>
              <w:rPr>
                <w:sz w:val="8"/>
                <w:szCs w:val="8"/>
                <w:color w:val="auto"/>
              </w:rPr>
            </w:pPr>
          </w:p>
        </w:tc>
        <w:tc>
          <w:tcPr>
            <w:tcW w:w="2440" w:type="dxa"/>
            <w:vAlign w:val="bottom"/>
            <w:tcBorders>
              <w:bottom w:val="single" w:sz="8" w:color="2C2C2C"/>
            </w:tcBorders>
            <w:gridSpan w:val="5"/>
          </w:tcPr>
          <w:p>
            <w:pPr>
              <w:spacing w:after="0"/>
              <w:rPr>
                <w:sz w:val="8"/>
                <w:szCs w:val="8"/>
                <w:color w:val="auto"/>
              </w:rPr>
            </w:pPr>
          </w:p>
        </w:tc>
        <w:tc>
          <w:tcPr>
            <w:tcW w:w="26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6"/>
          </w:tcPr>
          <w:p>
            <w:pPr>
              <w:jc w:val="center"/>
              <w:ind w:left="15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820" w:type="dxa"/>
            <w:vAlign w:val="bottom"/>
            <w:gridSpan w:val="11"/>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dividend equivalent rights accrued on the Reporting Person's Restricted Stock Units ("RSUs") and Relative Performance Stock Units ("RPSUs"), which become exercisable proportionately with the RSUs and RPSUs to which they relate and may only be settled in Class C Common Stock of Clearway Energy, Inc. as determined by the RSU or RPSU to which they relate.</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14,139 dividend equivalent rights that may only be settled in Class C Common Stock.</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6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9"/>
              </w:rPr>
              <w:t>/s/ Kevin P. Malcarney,</w:t>
            </w:r>
          </w:p>
        </w:tc>
        <w:tc>
          <w:tcPr>
            <w:tcW w:w="46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12/05/2022</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578991" TargetMode="External"/><Relationship Id="rId13"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2022-12-05T15:33:40Z</dcterms:created>
  <dcterms:modified xsi:type="dcterms:W3CDTF">2022-12-05T15:33:40Z</dcterms:modified>
</cp:coreProperties>
</file>