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11,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Clearway Energy LLC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360"/>
          </w:cols>
          <w:pgMar w:left="240" w:top="544" w:right="299" w:bottom="0" w:gutter="0" w:footer="0" w:header="0"/>
          <w:type w:val="continuous"/>
        </w:sectPr>
      </w:pPr>
    </w:p>
    <w:p>
      <w:pPr>
        <w:spacing w:after="0" w:line="22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7840"/>
        <w:spacing w:after="0"/>
        <w:tabs>
          <w:tab w:leader="none" w:pos="100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4"/>
          <w:szCs w:val="24"/>
          <w:color w:val="auto"/>
        </w:rPr>
      </w:pPr>
    </w:p>
    <w:p>
      <w:pPr>
        <w:ind w:right="60" w:firstLine="495"/>
        <w:spacing w:after="0" w:line="259" w:lineRule="auto"/>
        <w:rPr>
          <w:sz w:val="20"/>
          <w:szCs w:val="20"/>
          <w:color w:val="auto"/>
        </w:rPr>
      </w:pPr>
      <w:r>
        <w:rPr>
          <w:rFonts w:ascii="Arial" w:cs="Arial" w:eastAsia="Arial" w:hAnsi="Arial"/>
          <w:sz w:val="18"/>
          <w:szCs w:val="18"/>
          <w:color w:val="auto"/>
        </w:rPr>
        <w:t>On September 11, 2018, Clearway Energy LLC (the “Company”), a subsidiary of Clearway Energy, Inc., published an investor presentation, which will be available on the Company’s website, clearwayenergy.com, under “Investor Relations — Presentations and Webcasts.” In accordance with General Instruction B.2 of Form 8-K, the information set forth in this Item 7.01 shall be deemed to be furnished and shall not be deemed to be “filed” for purposes of Section 18 of the Securities Exchange Act of 1934, as amended.</w:t>
      </w:r>
    </w:p>
    <w:p>
      <w:pPr>
        <w:spacing w:after="0" w:line="18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58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4"/>
          <w:szCs w:val="24"/>
          <w:color w:val="auto"/>
        </w:rPr>
      </w:pPr>
    </w:p>
    <w:p>
      <w:pPr>
        <w:ind w:left="574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11" w:lineRule="exact"/>
        <w:rPr>
          <w:sz w:val="24"/>
          <w:szCs w:val="24"/>
          <w:color w:val="auto"/>
        </w:rPr>
      </w:pPr>
    </w:p>
    <w:p>
      <w:pPr>
        <w:ind w:left="57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Malcarney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4087495</wp:posOffset>
            </wp:positionH>
            <wp:positionV relativeFrom="paragraph">
              <wp:posOffset>14605</wp:posOffset>
            </wp:positionV>
            <wp:extent cx="31642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ectPr>
          <w:pgSz w:w="11900" w:h="16838" w:orient="portrait"/>
          <w:cols w:equalWidth="0" w:num="1">
            <w:col w:w="11360"/>
          </w:cols>
          <w:pgMar w:left="240" w:top="544" w:right="299" w:bottom="0" w:gutter="0" w:footer="0" w:header="0"/>
          <w:type w:val="continuous"/>
        </w:sectPr>
      </w:pPr>
    </w:p>
    <w:bookmarkStart w:id="1" w:name="page2"/>
    <w:bookmarkEnd w:id="1"/>
    <w:p>
      <w:pPr>
        <w:ind w:left="644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General Counsel and Corporate Secretary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2018</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2019-12-08T13:06:18Z</dcterms:created>
  <dcterms:modified xsi:type="dcterms:W3CDTF">2019-12-08T13:06:18Z</dcterms:modified>
</cp:coreProperties>
</file>