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2"/>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108585</wp:posOffset>
            </wp:positionH>
            <wp:positionV relativeFrom="page">
              <wp:posOffset>497840</wp:posOffset>
            </wp:positionV>
            <wp:extent cx="75888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88885" cy="8890"/>
                    </a:xfrm>
                    <a:prstGeom prst="rect">
                      <a:avLst/>
                    </a:prstGeom>
                    <a:noFill/>
                  </pic:spPr>
                </pic:pic>
              </a:graphicData>
            </a:graphic>
          </wp:anchor>
        </w:drawing>
        <w:drawing>
          <wp:anchor simplePos="0" relativeHeight="251657728" behindDoc="1" locked="0" layoutInCell="0" allowOverlap="1">
            <wp:simplePos x="0" y="0"/>
            <wp:positionH relativeFrom="page">
              <wp:posOffset>108585</wp:posOffset>
            </wp:positionH>
            <wp:positionV relativeFrom="page">
              <wp:posOffset>516255</wp:posOffset>
            </wp:positionV>
            <wp:extent cx="75888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588885" cy="8890"/>
                    </a:xfrm>
                    <a:prstGeom prst="rect">
                      <a:avLst/>
                    </a:prstGeom>
                    <a:noFill/>
                  </pic:spPr>
                </pic:pic>
              </a:graphicData>
            </a:graphic>
          </wp:anchor>
        </w:drawing>
        <w:t>UNITED STATES</w:t>
      </w:r>
    </w:p>
    <w:p>
      <w:pPr>
        <w:spacing w:after="0" w:line="29" w:lineRule="exact"/>
        <w:rPr>
          <w:sz w:val="24"/>
          <w:szCs w:val="24"/>
          <w:color w:val="auto"/>
        </w:rPr>
      </w:pPr>
    </w:p>
    <w:p>
      <w:pPr>
        <w:jc w:val="center"/>
        <w:ind w:right="-102"/>
        <w:spacing w:after="0"/>
        <w:rPr>
          <w:sz w:val="20"/>
          <w:szCs w:val="20"/>
          <w:color w:val="auto"/>
        </w:rPr>
      </w:pPr>
      <w:r>
        <w:rPr>
          <w:rFonts w:ascii="Arial" w:cs="Arial" w:eastAsia="Arial" w:hAnsi="Arial"/>
          <w:sz w:val="19"/>
          <w:szCs w:val="19"/>
          <w:b w:val="1"/>
          <w:bCs w:val="1"/>
          <w:color w:val="auto"/>
        </w:rPr>
        <w:t>SECURITIES AND EXCHANGE COMMISSION</w:t>
      </w:r>
    </w:p>
    <w:p>
      <w:pPr>
        <w:spacing w:after="0" w:line="10" w:lineRule="exact"/>
        <w:rPr>
          <w:sz w:val="24"/>
          <w:szCs w:val="24"/>
          <w:color w:val="auto"/>
        </w:rPr>
      </w:pPr>
    </w:p>
    <w:p>
      <w:pPr>
        <w:jc w:val="center"/>
        <w:ind w:right="-162"/>
        <w:spacing w:after="0"/>
        <w:rPr>
          <w:sz w:val="20"/>
          <w:szCs w:val="20"/>
          <w:color w:val="auto"/>
        </w:rPr>
      </w:pPr>
      <w:r>
        <w:rPr>
          <w:rFonts w:ascii="Arial" w:cs="Arial" w:eastAsia="Arial" w:hAnsi="Arial"/>
          <w:sz w:val="19"/>
          <w:szCs w:val="19"/>
          <w:b w:val="1"/>
          <w:bCs w:val="1"/>
          <w:color w:val="auto"/>
        </w:rPr>
        <w:t>WASHINGTON, DC 20549</w:t>
      </w:r>
    </w:p>
    <w:p>
      <w:pPr>
        <w:spacing w:after="0" w:line="200" w:lineRule="exact"/>
        <w:rPr>
          <w:sz w:val="24"/>
          <w:szCs w:val="24"/>
          <w:color w:val="auto"/>
        </w:rPr>
      </w:pPr>
    </w:p>
    <w:p>
      <w:pPr>
        <w:spacing w:after="0" w:line="279" w:lineRule="exact"/>
        <w:rPr>
          <w:sz w:val="24"/>
          <w:szCs w:val="24"/>
          <w:color w:val="auto"/>
        </w:rPr>
      </w:pPr>
    </w:p>
    <w:p>
      <w:pPr>
        <w:jc w:val="center"/>
        <w:ind w:right="-102"/>
        <w:spacing w:after="0"/>
        <w:rPr>
          <w:sz w:val="20"/>
          <w:szCs w:val="20"/>
          <w:color w:val="auto"/>
        </w:rPr>
      </w:pPr>
      <w:r>
        <w:rPr>
          <w:rFonts w:ascii="Arial" w:cs="Arial" w:eastAsia="Arial" w:hAnsi="Arial"/>
          <w:sz w:val="34"/>
          <w:szCs w:val="34"/>
          <w:b w:val="1"/>
          <w:bCs w:val="1"/>
          <w:color w:val="auto"/>
        </w:rPr>
        <w:t>FORM 8</w:t>
      </w:r>
      <w:r>
        <w:rPr>
          <w:rFonts w:ascii="Arial" w:cs="Arial" w:eastAsia="Arial" w:hAnsi="Arial"/>
          <w:sz w:val="34"/>
          <w:szCs w:val="34"/>
          <w:color w:val="auto"/>
        </w:rPr>
        <w:t>â€‘</w:t>
      </w:r>
      <w:r>
        <w:rPr>
          <w:rFonts w:ascii="Arial" w:cs="Arial" w:eastAsia="Arial" w:hAnsi="Arial"/>
          <w:sz w:val="34"/>
          <w:szCs w:val="34"/>
          <w:b w:val="1"/>
          <w:bCs w:val="1"/>
          <w:color w:val="auto"/>
        </w:rPr>
        <w:t>K</w:t>
      </w:r>
    </w:p>
    <w:p>
      <w:pPr>
        <w:spacing w:after="0" w:line="45" w:lineRule="exact"/>
        <w:rPr>
          <w:sz w:val="24"/>
          <w:szCs w:val="24"/>
          <w:color w:val="auto"/>
        </w:rPr>
      </w:pPr>
    </w:p>
    <w:p>
      <w:pPr>
        <w:jc w:val="center"/>
        <w:ind w:right="-162"/>
        <w:spacing w:after="0"/>
        <w:rPr>
          <w:sz w:val="20"/>
          <w:szCs w:val="20"/>
          <w:color w:val="auto"/>
        </w:rPr>
      </w:pPr>
      <w:r>
        <w:rPr>
          <w:rFonts w:ascii="Arial" w:cs="Arial" w:eastAsia="Arial" w:hAnsi="Arial"/>
          <w:sz w:val="27"/>
          <w:szCs w:val="27"/>
          <w:b w:val="1"/>
          <w:bCs w:val="1"/>
          <w:color w:val="auto"/>
        </w:rPr>
        <w:t>CURRENT REPORT</w:t>
      </w:r>
    </w:p>
    <w:p>
      <w:pPr>
        <w:spacing w:after="0" w:line="63" w:lineRule="exact"/>
        <w:rPr>
          <w:sz w:val="24"/>
          <w:szCs w:val="24"/>
          <w:color w:val="auto"/>
        </w:rPr>
      </w:pPr>
    </w:p>
    <w:p>
      <w:pPr>
        <w:jc w:val="center"/>
        <w:ind w:right="-162"/>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30" w:lineRule="exact"/>
        <w:rPr>
          <w:sz w:val="24"/>
          <w:szCs w:val="24"/>
          <w:color w:val="auto"/>
        </w:rPr>
      </w:pPr>
    </w:p>
    <w:p>
      <w:pPr>
        <w:jc w:val="center"/>
        <w:ind w:right="-162"/>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February 22, 2019</w:t>
      </w: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jc w:val="center"/>
        <w:ind w:right="-162"/>
        <w:spacing w:after="0"/>
        <w:rPr>
          <w:sz w:val="20"/>
          <w:szCs w:val="20"/>
          <w:color w:val="auto"/>
        </w:rPr>
      </w:pPr>
      <w:r>
        <w:rPr>
          <w:rFonts w:ascii="Arial" w:cs="Arial" w:eastAsia="Arial" w:hAnsi="Arial"/>
          <w:sz w:val="34"/>
          <w:szCs w:val="34"/>
          <w:b w:val="1"/>
          <w:bCs w:val="1"/>
          <w:color w:val="auto"/>
        </w:rPr>
        <w:t>CLEARWAY ENERGY, INC.</w:t>
      </w:r>
    </w:p>
    <w:p>
      <w:pPr>
        <w:spacing w:after="0" w:line="41" w:lineRule="exact"/>
        <w:rPr>
          <w:sz w:val="24"/>
          <w:szCs w:val="24"/>
          <w:color w:val="auto"/>
        </w:rPr>
      </w:pPr>
    </w:p>
    <w:p>
      <w:pPr>
        <w:jc w:val="center"/>
        <w:ind w:right="-162"/>
        <w:spacing w:after="0"/>
        <w:rPr>
          <w:sz w:val="20"/>
          <w:szCs w:val="20"/>
          <w:color w:val="auto"/>
        </w:rPr>
      </w:pPr>
      <w:r>
        <w:rPr>
          <w:rFonts w:ascii="Arial" w:cs="Arial" w:eastAsia="Arial" w:hAnsi="Arial"/>
          <w:sz w:val="19"/>
          <w:szCs w:val="19"/>
          <w:color w:val="auto"/>
        </w:rPr>
        <w:t>(Exact name of Registrant as specified in its charter)</w:t>
      </w:r>
    </w:p>
    <w:p>
      <w:pPr>
        <w:sectPr>
          <w:pgSz w:w="12240" w:h="15840" w:orient="portrait"/>
          <w:cols w:equalWidth="0" w:num="1">
            <w:col w:w="11683"/>
          </w:cols>
          <w:pgMar w:left="257" w:top="849" w:right="300" w:bottom="1440" w:gutter="0" w:footer="0" w:header="0"/>
        </w:sectPr>
      </w:pPr>
    </w:p>
    <w:p>
      <w:pPr>
        <w:spacing w:after="0" w:line="102" w:lineRule="exact"/>
        <w:rPr>
          <w:sz w:val="24"/>
          <w:szCs w:val="24"/>
          <w:color w:val="auto"/>
        </w:rPr>
      </w:pPr>
    </w:p>
    <w:p>
      <w:pPr>
        <w:jc w:val="center"/>
        <w:ind w:right="137"/>
        <w:spacing w:after="0"/>
        <w:rPr>
          <w:sz w:val="20"/>
          <w:szCs w:val="20"/>
          <w:color w:val="auto"/>
        </w:rPr>
      </w:pPr>
      <w:r>
        <w:rPr>
          <w:rFonts w:ascii="Arial" w:cs="Arial" w:eastAsia="Arial" w:hAnsi="Arial"/>
          <w:sz w:val="19"/>
          <w:szCs w:val="19"/>
          <w:b w:val="1"/>
          <w:bCs w:val="1"/>
          <w:color w:val="auto"/>
        </w:rPr>
        <w:t>Delaware</w:t>
      </w:r>
    </w:p>
    <w:p>
      <w:pPr>
        <w:spacing w:after="0" w:line="29" w:lineRule="exact"/>
        <w:rPr>
          <w:sz w:val="24"/>
          <w:szCs w:val="24"/>
          <w:color w:val="auto"/>
        </w:rPr>
      </w:pPr>
    </w:p>
    <w:p>
      <w:pPr>
        <w:jc w:val="center"/>
        <w:ind w:right="97"/>
        <w:spacing w:after="0"/>
        <w:rPr>
          <w:sz w:val="20"/>
          <w:szCs w:val="20"/>
          <w:color w:val="auto"/>
        </w:rPr>
      </w:pPr>
      <w:r>
        <w:rPr>
          <w:rFonts w:ascii="Arial" w:cs="Arial" w:eastAsia="Arial" w:hAnsi="Arial"/>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jc w:val="center"/>
        <w:ind w:right="800"/>
        <w:spacing w:after="0"/>
        <w:rPr>
          <w:sz w:val="20"/>
          <w:szCs w:val="20"/>
          <w:color w:val="auto"/>
        </w:rPr>
      </w:pPr>
      <w:r>
        <w:rPr>
          <w:rFonts w:ascii="Arial" w:cs="Arial" w:eastAsia="Arial" w:hAnsi="Arial"/>
          <w:sz w:val="19"/>
          <w:szCs w:val="19"/>
          <w:b w:val="1"/>
          <w:bCs w:val="1"/>
          <w:color w:val="auto"/>
        </w:rPr>
        <w:t>001</w:t>
      </w:r>
      <w:r>
        <w:rPr>
          <w:rFonts w:ascii="Arial" w:cs="Arial" w:eastAsia="Arial" w:hAnsi="Arial"/>
          <w:sz w:val="19"/>
          <w:szCs w:val="19"/>
          <w:color w:val="auto"/>
        </w:rPr>
        <w:t>â€‘</w:t>
      </w:r>
      <w:r>
        <w:rPr>
          <w:rFonts w:ascii="Arial" w:cs="Arial" w:eastAsia="Arial" w:hAnsi="Arial"/>
          <w:sz w:val="19"/>
          <w:szCs w:val="19"/>
          <w:b w:val="1"/>
          <w:bCs w:val="1"/>
          <w:color w:val="auto"/>
        </w:rPr>
        <w:t>36002</w:t>
      </w:r>
    </w:p>
    <w:p>
      <w:pPr>
        <w:spacing w:after="0" w:line="29" w:lineRule="exact"/>
        <w:rPr>
          <w:sz w:val="24"/>
          <w:szCs w:val="24"/>
          <w:color w:val="auto"/>
        </w:rPr>
      </w:pPr>
    </w:p>
    <w:p>
      <w:pPr>
        <w:jc w:val="center"/>
        <w:ind w:right="740"/>
        <w:spacing w:after="0"/>
        <w:rPr>
          <w:sz w:val="20"/>
          <w:szCs w:val="20"/>
          <w:color w:val="auto"/>
        </w:rPr>
      </w:pPr>
      <w:r>
        <w:rPr>
          <w:rFonts w:ascii="Arial" w:cs="Arial" w:eastAsia="Arial" w:hAnsi="Arial"/>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ind w:left="800"/>
        <w:spacing w:after="0"/>
        <w:rPr>
          <w:sz w:val="20"/>
          <w:szCs w:val="20"/>
          <w:color w:val="auto"/>
        </w:rPr>
      </w:pPr>
      <w:r>
        <w:rPr>
          <w:rFonts w:ascii="Arial" w:cs="Arial" w:eastAsia="Arial" w:hAnsi="Arial"/>
          <w:sz w:val="19"/>
          <w:szCs w:val="19"/>
          <w:b w:val="1"/>
          <w:bCs w:val="1"/>
          <w:color w:val="auto"/>
        </w:rPr>
        <w:t>46-1777204</w:t>
      </w:r>
    </w:p>
    <w:p>
      <w:pPr>
        <w:spacing w:after="0" w:line="29" w:lineRule="exact"/>
        <w:rPr>
          <w:sz w:val="24"/>
          <w:szCs w:val="24"/>
          <w:color w:val="auto"/>
        </w:rPr>
      </w:pPr>
    </w:p>
    <w:p>
      <w:pPr>
        <w:spacing w:after="0"/>
        <w:rPr>
          <w:sz w:val="20"/>
          <w:szCs w:val="20"/>
          <w:color w:val="auto"/>
        </w:rPr>
      </w:pPr>
      <w:r>
        <w:rPr>
          <w:rFonts w:ascii="Arial" w:cs="Arial" w:eastAsia="Arial" w:hAnsi="Arial"/>
          <w:sz w:val="17"/>
          <w:szCs w:val="17"/>
          <w:color w:val="auto"/>
        </w:rPr>
        <w:t>(IRS Employer Identification No.)</w:t>
      </w:r>
    </w:p>
    <w:p>
      <w:pPr>
        <w:spacing w:after="0" w:line="128" w:lineRule="exact"/>
        <w:rPr>
          <w:sz w:val="24"/>
          <w:szCs w:val="24"/>
          <w:color w:val="auto"/>
        </w:rPr>
      </w:pPr>
    </w:p>
    <w:p>
      <w:pPr>
        <w:sectPr>
          <w:pgSz w:w="12240" w:h="15840" w:orient="portrait"/>
          <w:cols w:equalWidth="0" w:num="3">
            <w:col w:w="4283" w:space="720"/>
            <w:col w:w="2840" w:space="720"/>
            <w:col w:w="3120"/>
          </w:cols>
          <w:pgMar w:left="257" w:top="849" w:right="300" w:bottom="1440" w:gutter="0" w:footer="0" w:header="0"/>
          <w:type w:val="continuous"/>
        </w:sectPr>
      </w:pPr>
    </w:p>
    <w:p>
      <w:pPr>
        <w:ind w:left="3423"/>
        <w:spacing w:after="0"/>
        <w:rPr>
          <w:sz w:val="20"/>
          <w:szCs w:val="20"/>
          <w:color w:val="auto"/>
        </w:rPr>
      </w:pPr>
      <w:r>
        <w:rPr>
          <w:rFonts w:ascii="Arial" w:cs="Arial" w:eastAsia="Arial" w:hAnsi="Arial"/>
          <w:sz w:val="19"/>
          <w:szCs w:val="19"/>
          <w:b w:val="1"/>
          <w:bCs w:val="1"/>
          <w:color w:val="auto"/>
        </w:rPr>
        <w:t>300 Carnegie Center, Suite 300, Princeton, New Jersey 08540</w:t>
      </w:r>
    </w:p>
    <w:p>
      <w:pPr>
        <w:spacing w:after="0" w:line="29" w:lineRule="exact"/>
        <w:rPr>
          <w:sz w:val="24"/>
          <w:szCs w:val="24"/>
          <w:color w:val="auto"/>
        </w:rPr>
      </w:pPr>
    </w:p>
    <w:p>
      <w:pPr>
        <w:ind w:left="3663"/>
        <w:spacing w:after="0"/>
        <w:rPr>
          <w:sz w:val="20"/>
          <w:szCs w:val="20"/>
          <w:color w:val="auto"/>
        </w:rPr>
      </w:pPr>
      <w:r>
        <w:rPr>
          <w:rFonts w:ascii="Arial" w:cs="Arial" w:eastAsia="Arial" w:hAnsi="Arial"/>
          <w:sz w:val="19"/>
          <w:szCs w:val="19"/>
          <w:color w:val="auto"/>
        </w:rPr>
        <w:t>(Address of principal executive offices, including zip code)</w:t>
      </w:r>
    </w:p>
    <w:p>
      <w:pPr>
        <w:spacing w:after="0" w:line="105" w:lineRule="exact"/>
        <w:rPr>
          <w:sz w:val="24"/>
          <w:szCs w:val="24"/>
          <w:color w:val="auto"/>
        </w:rPr>
      </w:pPr>
    </w:p>
    <w:p>
      <w:pPr>
        <w:jc w:val="center"/>
        <w:ind w:right="-102"/>
        <w:spacing w:after="0"/>
        <w:rPr>
          <w:sz w:val="20"/>
          <w:szCs w:val="20"/>
          <w:color w:val="auto"/>
        </w:rPr>
      </w:pPr>
      <w:r>
        <w:rPr>
          <w:rFonts w:ascii="Arial" w:cs="Arial" w:eastAsia="Arial" w:hAnsi="Arial"/>
          <w:sz w:val="19"/>
          <w:szCs w:val="19"/>
          <w:b w:val="1"/>
          <w:bCs w:val="1"/>
          <w:color w:val="auto"/>
        </w:rPr>
        <w:t>(609) 608</w:t>
      </w:r>
      <w:r>
        <w:rPr>
          <w:rFonts w:ascii="Arial" w:cs="Arial" w:eastAsia="Arial" w:hAnsi="Arial"/>
          <w:sz w:val="19"/>
          <w:szCs w:val="19"/>
          <w:color w:val="auto"/>
        </w:rPr>
        <w:t>â€‘</w:t>
      </w:r>
      <w:r>
        <w:rPr>
          <w:rFonts w:ascii="Arial" w:cs="Arial" w:eastAsia="Arial" w:hAnsi="Arial"/>
          <w:sz w:val="19"/>
          <w:szCs w:val="19"/>
          <w:b w:val="1"/>
          <w:bCs w:val="1"/>
          <w:color w:val="auto"/>
        </w:rPr>
        <w:t>1525</w:t>
      </w:r>
    </w:p>
    <w:p>
      <w:pPr>
        <w:spacing w:after="0" w:line="29" w:lineRule="exact"/>
        <w:rPr>
          <w:sz w:val="24"/>
          <w:szCs w:val="24"/>
          <w:color w:val="auto"/>
        </w:rPr>
      </w:pPr>
    </w:p>
    <w:p>
      <w:pPr>
        <w:jc w:val="center"/>
        <w:ind w:right="-142"/>
        <w:spacing w:after="0"/>
        <w:rPr>
          <w:sz w:val="20"/>
          <w:szCs w:val="20"/>
          <w:color w:val="auto"/>
        </w:rPr>
      </w:pPr>
      <w:r>
        <w:rPr>
          <w:rFonts w:ascii="Arial" w:cs="Arial" w:eastAsia="Arial" w:hAnsi="Arial"/>
          <w:sz w:val="19"/>
          <w:szCs w:val="19"/>
          <w:color w:val="auto"/>
        </w:rPr>
        <w:t>(Registrantâ€™s telephone number, including area code)</w:t>
      </w:r>
    </w:p>
    <w:p>
      <w:pPr>
        <w:spacing w:after="0" w:line="105" w:lineRule="exact"/>
        <w:rPr>
          <w:sz w:val="24"/>
          <w:szCs w:val="24"/>
          <w:color w:val="auto"/>
        </w:rPr>
      </w:pPr>
    </w:p>
    <w:p>
      <w:pPr>
        <w:jc w:val="center"/>
        <w:ind w:right="-42"/>
        <w:spacing w:after="0"/>
        <w:rPr>
          <w:sz w:val="20"/>
          <w:szCs w:val="20"/>
          <w:color w:val="auto"/>
        </w:rPr>
      </w:pPr>
      <w:r>
        <w:rPr>
          <w:rFonts w:ascii="Arial" w:cs="Arial" w:eastAsia="Arial" w:hAnsi="Arial"/>
          <w:sz w:val="19"/>
          <w:szCs w:val="19"/>
          <w:b w:val="1"/>
          <w:bCs w:val="1"/>
          <w:color w:val="auto"/>
        </w:rPr>
        <w:t>N/A</w:t>
      </w:r>
    </w:p>
    <w:p>
      <w:pPr>
        <w:spacing w:after="0" w:line="29" w:lineRule="exact"/>
        <w:rPr>
          <w:sz w:val="24"/>
          <w:szCs w:val="24"/>
          <w:color w:val="auto"/>
        </w:rPr>
      </w:pPr>
    </w:p>
    <w:p>
      <w:pPr>
        <w:jc w:val="center"/>
        <w:ind w:right="-142"/>
        <w:spacing w:after="0"/>
        <w:rPr>
          <w:sz w:val="20"/>
          <w:szCs w:val="20"/>
          <w:color w:val="auto"/>
        </w:rPr>
      </w:pPr>
      <w:r>
        <w:rPr>
          <w:rFonts w:ascii="Arial" w:cs="Arial" w:eastAsia="Arial" w:hAnsi="Arial"/>
          <w:sz w:val="19"/>
          <w:szCs w:val="19"/>
          <w:color w:val="auto"/>
        </w:rPr>
        <w:t>(Former name or former address, if changed since last report)</w:t>
      </w:r>
    </w:p>
    <w:p>
      <w:pPr>
        <w:spacing w:after="0" w:line="182" w:lineRule="exact"/>
        <w:rPr>
          <w:sz w:val="24"/>
          <w:szCs w:val="24"/>
          <w:color w:val="auto"/>
        </w:rPr>
      </w:pPr>
    </w:p>
    <w:p>
      <w:pPr>
        <w:ind w:left="3" w:right="360"/>
        <w:spacing w:after="0" w:line="257" w:lineRule="auto"/>
        <w:rPr>
          <w:sz w:val="20"/>
          <w:szCs w:val="20"/>
          <w:color w:val="auto"/>
        </w:rPr>
      </w:pPr>
      <w:r>
        <w:rPr>
          <w:rFonts w:ascii="Arial" w:cs="Arial" w:eastAsia="Arial" w:hAnsi="Arial"/>
          <w:sz w:val="19"/>
          <w:szCs w:val="19"/>
          <w:color w:val="auto"/>
        </w:rPr>
        <w:t>Check the appropriate box below if the Form 8â€‘K filing is intended to simultaneously satisfy the filing obligation of the registrant under any of the following provisions:</w:t>
      </w:r>
    </w:p>
    <w:p>
      <w:pPr>
        <w:spacing w:after="0" w:line="2" w:lineRule="exact"/>
        <w:rPr>
          <w:sz w:val="24"/>
          <w:szCs w:val="24"/>
          <w:color w:val="auto"/>
        </w:rPr>
      </w:pPr>
    </w:p>
    <w:p>
      <w:pPr>
        <w:ind w:left="3"/>
        <w:spacing w:after="0"/>
        <w:rPr>
          <w:sz w:val="20"/>
          <w:szCs w:val="20"/>
          <w:color w:val="auto"/>
        </w:rPr>
      </w:pPr>
      <w:r>
        <w:rPr>
          <w:rFonts w:ascii="Arial" w:cs="Arial" w:eastAsia="Arial" w:hAnsi="Arial"/>
          <w:sz w:val="19"/>
          <w:szCs w:val="19"/>
          <w:color w:val="auto"/>
        </w:rPr>
        <w:t>[ ] Written communications pursuant to Rule 425 under the Securities Act (17 CFR 230.425)</w:t>
      </w:r>
    </w:p>
    <w:p>
      <w:pPr>
        <w:spacing w:after="0" w:line="10" w:lineRule="exact"/>
        <w:rPr>
          <w:sz w:val="24"/>
          <w:szCs w:val="24"/>
          <w:color w:val="auto"/>
        </w:rPr>
      </w:pPr>
    </w:p>
    <w:p>
      <w:pPr>
        <w:ind w:left="3"/>
        <w:spacing w:after="0"/>
        <w:rPr>
          <w:sz w:val="20"/>
          <w:szCs w:val="20"/>
          <w:color w:val="auto"/>
        </w:rPr>
      </w:pPr>
      <w:r>
        <w:rPr>
          <w:rFonts w:ascii="Arial" w:cs="Arial" w:eastAsia="Arial" w:hAnsi="Arial"/>
          <w:sz w:val="19"/>
          <w:szCs w:val="19"/>
          <w:color w:val="auto"/>
        </w:rPr>
        <w:t>[ ] Soliciting material pursuant to Rule 14aâ€‘12 under the Exchange Act (17 CFR 240.14aâ€‘12)</w:t>
      </w:r>
    </w:p>
    <w:p>
      <w:pPr>
        <w:spacing w:after="0" w:line="10" w:lineRule="exact"/>
        <w:rPr>
          <w:sz w:val="24"/>
          <w:szCs w:val="24"/>
          <w:color w:val="auto"/>
        </w:rPr>
      </w:pPr>
    </w:p>
    <w:p>
      <w:pPr>
        <w:ind w:left="103" w:hanging="103"/>
        <w:spacing w:after="0"/>
        <w:tabs>
          <w:tab w:leader="none" w:pos="103" w:val="left"/>
        </w:tabs>
        <w:numPr>
          <w:ilvl w:val="0"/>
          <w:numId w:val="1"/>
        </w:numPr>
        <w:rPr>
          <w:rFonts w:ascii="Arial" w:cs="Arial" w:eastAsia="Arial" w:hAnsi="Arial"/>
          <w:sz w:val="19"/>
          <w:szCs w:val="19"/>
          <w:color w:val="auto"/>
        </w:rPr>
      </w:pPr>
      <w:r>
        <w:rPr>
          <w:rFonts w:ascii="Arial" w:cs="Arial" w:eastAsia="Arial" w:hAnsi="Arial"/>
          <w:sz w:val="19"/>
          <w:szCs w:val="19"/>
          <w:color w:val="auto"/>
        </w:rPr>
        <w:t>] Preâ€‘commencement communications pursuant to Rule 14dâ€‘2(b) under the Exchange Act (17 CFR 240.14dâ€‘2(b))</w:t>
      </w:r>
    </w:p>
    <w:p>
      <w:pPr>
        <w:spacing w:after="0" w:line="9" w:lineRule="exact"/>
        <w:rPr>
          <w:rFonts w:ascii="Arial" w:cs="Arial" w:eastAsia="Arial" w:hAnsi="Arial"/>
          <w:sz w:val="19"/>
          <w:szCs w:val="19"/>
          <w:color w:val="auto"/>
        </w:rPr>
      </w:pPr>
    </w:p>
    <w:p>
      <w:pPr>
        <w:ind w:left="103" w:hanging="103"/>
        <w:spacing w:after="0"/>
        <w:tabs>
          <w:tab w:leader="none" w:pos="103" w:val="left"/>
        </w:tabs>
        <w:numPr>
          <w:ilvl w:val="0"/>
          <w:numId w:val="1"/>
        </w:numPr>
        <w:rPr>
          <w:rFonts w:ascii="Arial" w:cs="Arial" w:eastAsia="Arial" w:hAnsi="Arial"/>
          <w:sz w:val="19"/>
          <w:szCs w:val="19"/>
          <w:color w:val="auto"/>
        </w:rPr>
      </w:pPr>
      <w:r>
        <w:rPr>
          <w:rFonts w:ascii="Arial" w:cs="Arial" w:eastAsia="Arial" w:hAnsi="Arial"/>
          <w:sz w:val="19"/>
          <w:szCs w:val="19"/>
          <w:color w:val="auto"/>
        </w:rPr>
        <w:t>] Preâ€‘commencement communications pursuant to Rule 13eâ€‘4(c) under the Exchange Act (17 CFR 240.13eâ€‘4(c))</w:t>
      </w:r>
    </w:p>
    <w:p>
      <w:pPr>
        <w:spacing w:after="0" w:line="182" w:lineRule="exact"/>
        <w:rPr>
          <w:sz w:val="24"/>
          <w:szCs w:val="24"/>
          <w:color w:val="auto"/>
        </w:rPr>
      </w:pPr>
    </w:p>
    <w:p>
      <w:pPr>
        <w:ind w:left="3" w:right="220"/>
        <w:spacing w:after="0" w:line="257" w:lineRule="auto"/>
        <w:rPr>
          <w:sz w:val="20"/>
          <w:szCs w:val="20"/>
          <w:color w:val="auto"/>
        </w:rPr>
      </w:pPr>
      <w:r>
        <w:rPr>
          <w:rFonts w:ascii="Arial" w:cs="Arial" w:eastAsia="Arial" w:hAnsi="Arial"/>
          <w:sz w:val="19"/>
          <w:szCs w:val="19"/>
          <w:color w:val="auto"/>
        </w:rPr>
        <w:t>Indicate by check mark whether the registrant is an emerging growth company as defined in Rule 405 of the Securities Act of 1933 (Â§230.405 of this chapter) or Rule 12b-2 of the Securities Exchange Act of 1934 (Â§240.12b-2 of this chapter).</w:t>
      </w:r>
    </w:p>
    <w:p>
      <w:pPr>
        <w:spacing w:after="0" w:line="2" w:lineRule="exact"/>
        <w:rPr>
          <w:sz w:val="24"/>
          <w:szCs w:val="24"/>
          <w:color w:val="auto"/>
        </w:rPr>
      </w:pPr>
    </w:p>
    <w:p>
      <w:pPr>
        <w:ind w:left="5423"/>
        <w:spacing w:after="0"/>
        <w:rPr>
          <w:sz w:val="20"/>
          <w:szCs w:val="20"/>
          <w:color w:val="auto"/>
        </w:rPr>
      </w:pPr>
      <w:r>
        <w:rPr>
          <w:rFonts w:ascii="Arial" w:cs="Arial" w:eastAsia="Arial" w:hAnsi="Arial"/>
          <w:sz w:val="19"/>
          <w:szCs w:val="19"/>
          <w:color w:val="auto"/>
        </w:rPr>
        <w:t>Emerging growth company [ ]</w:t>
      </w:r>
    </w:p>
    <w:p>
      <w:pPr>
        <w:spacing w:after="0" w:line="225" w:lineRule="exact"/>
        <w:rPr>
          <w:sz w:val="24"/>
          <w:szCs w:val="24"/>
          <w:color w:val="auto"/>
        </w:rPr>
      </w:pPr>
    </w:p>
    <w:p>
      <w:pPr>
        <w:ind w:left="3"/>
        <w:spacing w:after="0" w:line="275" w:lineRule="auto"/>
        <w:rPr>
          <w:sz w:val="20"/>
          <w:szCs w:val="20"/>
          <w:color w:val="auto"/>
        </w:rPr>
      </w:pPr>
      <w:r>
        <w:rPr>
          <w:rFonts w:ascii="Arial" w:cs="Arial" w:eastAsia="Arial" w:hAnsi="Arial"/>
          <w:sz w:val="19"/>
          <w:szCs w:val="19"/>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-53340</wp:posOffset>
            </wp:positionH>
            <wp:positionV relativeFrom="paragraph">
              <wp:posOffset>161925</wp:posOffset>
            </wp:positionV>
            <wp:extent cx="75888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588885" cy="8890"/>
                    </a:xfrm>
                    <a:prstGeom prst="rect">
                      <a:avLst/>
                    </a:prstGeom>
                    <a:noFill/>
                  </pic:spPr>
                </pic:pic>
              </a:graphicData>
            </a:graphic>
          </wp:anchor>
        </w:drawing>
        <w:drawing>
          <wp:anchor simplePos="0" relativeHeight="251657728" behindDoc="1" locked="0" layoutInCell="0" allowOverlap="1">
            <wp:simplePos x="0" y="0"/>
            <wp:positionH relativeFrom="column">
              <wp:posOffset>-53340</wp:posOffset>
            </wp:positionH>
            <wp:positionV relativeFrom="paragraph">
              <wp:posOffset>180340</wp:posOffset>
            </wp:positionV>
            <wp:extent cx="75888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8885" cy="8890"/>
                    </a:xfrm>
                    <a:prstGeom prst="rect">
                      <a:avLst/>
                    </a:prstGeom>
                    <a:noFill/>
                  </pic:spPr>
                </pic:pic>
              </a:graphicData>
            </a:graphic>
          </wp:anchor>
        </w:drawing>
      </w:r>
    </w:p>
    <w:p>
      <w:pPr>
        <w:sectPr>
          <w:pgSz w:w="12240" w:h="15840" w:orient="portrait"/>
          <w:cols w:equalWidth="0" w:num="1">
            <w:col w:w="11683"/>
          </w:cols>
          <w:pgMar w:left="257" w:top="849" w:right="300" w:bottom="1440" w:gutter="0" w:footer="0" w:header="0"/>
          <w:type w:val="continuous"/>
        </w:sectPr>
      </w:pPr>
    </w:p>
    <w:bookmarkStart w:id="1" w:name="page2"/>
    <w:bookmarkEnd w:id="1"/>
    <w:p>
      <w:pPr>
        <w:ind w:right="420"/>
        <w:spacing w:after="0" w:line="282" w:lineRule="auto"/>
        <w:rPr>
          <w:sz w:val="20"/>
          <w:szCs w:val="20"/>
          <w:color w:val="auto"/>
        </w:rPr>
      </w:pPr>
      <w:r>
        <w:rPr>
          <w:rFonts w:ascii="Arial" w:cs="Arial" w:eastAsia="Arial" w:hAnsi="Arial"/>
          <w:sz w:val="19"/>
          <w:szCs w:val="19"/>
          <w:b w:val="1"/>
          <w:bCs w:val="1"/>
          <w:color w:val="auto"/>
        </w:rPr>
        <w:t>Item 5.02 Departure of Directors or Certain Officers; Election of Directors; Appointment of Certain Officers; Compensatory Arrangements of Certain Officers.</w:t>
      </w:r>
    </w:p>
    <w:p>
      <w:pPr>
        <w:spacing w:after="0" w:line="177" w:lineRule="exact"/>
        <w:rPr>
          <w:sz w:val="20"/>
          <w:szCs w:val="20"/>
          <w:color w:val="auto"/>
        </w:rPr>
      </w:pPr>
    </w:p>
    <w:p>
      <w:pPr>
        <w:ind w:right="60" w:firstLine="685"/>
        <w:spacing w:after="0" w:line="263" w:lineRule="auto"/>
        <w:rPr>
          <w:sz w:val="20"/>
          <w:szCs w:val="20"/>
          <w:color w:val="auto"/>
        </w:rPr>
      </w:pPr>
      <w:r>
        <w:rPr>
          <w:rFonts w:ascii="Arial" w:cs="Arial" w:eastAsia="Arial" w:hAnsi="Arial"/>
          <w:sz w:val="19"/>
          <w:szCs w:val="19"/>
          <w:color w:val="auto"/>
        </w:rPr>
        <w:t>On February 22, 2019, the Board of Directors (the â€œBoardâ€ ) of Clearway Energy, Inc. (the â€œCompanyâ€ ) elected Daniel B. More to serve as an independent director of the Company, effective immediately. Mr. More will serve on the Audit, Compensation and Corporate Governance, Conflicts and Nominating Committees of the Board.</w:t>
      </w:r>
    </w:p>
    <w:p>
      <w:pPr>
        <w:spacing w:after="0" w:line="237" w:lineRule="exact"/>
        <w:rPr>
          <w:sz w:val="20"/>
          <w:szCs w:val="20"/>
          <w:color w:val="auto"/>
        </w:rPr>
      </w:pPr>
    </w:p>
    <w:p>
      <w:pPr>
        <w:ind w:firstLine="685"/>
        <w:spacing w:after="0" w:line="256" w:lineRule="auto"/>
        <w:rPr>
          <w:sz w:val="20"/>
          <w:szCs w:val="20"/>
          <w:color w:val="auto"/>
        </w:rPr>
      </w:pPr>
      <w:r>
        <w:rPr>
          <w:rFonts w:ascii="Arial" w:cs="Arial" w:eastAsia="Arial" w:hAnsi="Arial"/>
          <w:sz w:val="19"/>
          <w:szCs w:val="19"/>
          <w:color w:val="auto"/>
        </w:rPr>
        <w:t>Mr. More has been a Senior Advisor with Guggenheim Securities since October 2015. Mr. More retired as a Managing Director and Global Head of Utility Mergers &amp; Acquisitions of the Investment Banking Division of Morgan Stanley in 2014. He held such position since 1996. Mr. More has been an investment banker since 1978 and has specialized in the utility sector since 1986. Mr. More has served as a director of SJW Group since April 2015. He served as a director of Saeta Yield from February 2015 to June 2018 and served as a director of the New York Independent System Operator from April 2014 until February 2016.</w:t>
      </w:r>
    </w:p>
    <w:p>
      <w:pPr>
        <w:spacing w:after="0" w:line="204" w:lineRule="exact"/>
        <w:rPr>
          <w:sz w:val="20"/>
          <w:szCs w:val="20"/>
          <w:color w:val="auto"/>
        </w:rPr>
      </w:pPr>
    </w:p>
    <w:p>
      <w:pPr>
        <w:ind w:right="480" w:firstLine="685"/>
        <w:spacing w:after="0" w:line="336" w:lineRule="auto"/>
        <w:rPr>
          <w:sz w:val="20"/>
          <w:szCs w:val="20"/>
          <w:color w:val="auto"/>
        </w:rPr>
      </w:pPr>
      <w:r>
        <w:rPr>
          <w:rFonts w:ascii="Arial" w:cs="Arial" w:eastAsia="Arial" w:hAnsi="Arial"/>
          <w:sz w:val="17"/>
          <w:szCs w:val="17"/>
          <w:color w:val="auto"/>
        </w:rPr>
        <w:t>There are no arrangements or understandings between Mr. More and any other person pursuant to which Mr. More was elected to serve on the Board. Mr. More has no direct or indirect material interest in any transaction required to be disclosed pursuant to Item 404(a)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2</w:t>
      </w:r>
    </w:p>
    <w:p>
      <w:pPr>
        <w:sectPr>
          <w:pgSz w:w="12240" w:h="15840" w:orient="portrait"/>
          <w:cols w:equalWidth="0" w:num="1">
            <w:col w:w="11960"/>
          </w:cols>
          <w:pgMar w:left="120" w:top="507" w:right="160" w:bottom="1440" w:gutter="0" w:footer="0" w:header="0"/>
        </w:sectPr>
      </w:pPr>
    </w:p>
    <w:bookmarkStart w:id="2" w:name="page3"/>
    <w:bookmarkEnd w:id="2"/>
    <w:p>
      <w:pPr>
        <w:jc w:val="center"/>
        <w:spacing w:after="0"/>
        <w:rPr>
          <w:sz w:val="20"/>
          <w:szCs w:val="20"/>
          <w:color w:val="auto"/>
        </w:rPr>
      </w:pPr>
      <w:r>
        <w:rPr>
          <w:rFonts w:ascii="Arial" w:cs="Arial" w:eastAsia="Arial" w:hAnsi="Arial"/>
          <w:sz w:val="19"/>
          <w:szCs w:val="19"/>
          <w:b w:val="1"/>
          <w:bCs w:val="1"/>
          <w:u w:val="single" w:color="auto"/>
          <w:color w:val="auto"/>
        </w:rPr>
        <w:t>SIGNATURES</w:t>
      </w:r>
    </w:p>
    <w:p>
      <w:pPr>
        <w:spacing w:after="0" w:line="329" w:lineRule="exact"/>
        <w:rPr>
          <w:sz w:val="20"/>
          <w:szCs w:val="20"/>
          <w:color w:val="auto"/>
        </w:rPr>
      </w:pPr>
    </w:p>
    <w:p>
      <w:pPr>
        <w:spacing w:after="0" w:line="322" w:lineRule="auto"/>
        <w:rPr>
          <w:sz w:val="20"/>
          <w:szCs w:val="20"/>
          <w:color w:val="auto"/>
        </w:rPr>
      </w:pPr>
      <w:r>
        <w:rPr>
          <w:rFonts w:ascii="Arial" w:cs="Arial" w:eastAsia="Arial" w:hAnsi="Arial"/>
          <w:sz w:val="19"/>
          <w:szCs w:val="19"/>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960"/>
        <w:spacing w:after="0"/>
        <w:rPr>
          <w:sz w:val="20"/>
          <w:szCs w:val="20"/>
          <w:color w:val="auto"/>
        </w:rPr>
      </w:pPr>
      <w:r>
        <w:rPr>
          <w:rFonts w:ascii="Arial" w:cs="Arial" w:eastAsia="Arial" w:hAnsi="Arial"/>
          <w:sz w:val="19"/>
          <w:szCs w:val="19"/>
          <w:color w:val="auto"/>
        </w:rPr>
        <w:t>Clearway Energy, Inc.</w:t>
      </w:r>
    </w:p>
    <w:p>
      <w:pPr>
        <w:spacing w:after="0" w:line="95" w:lineRule="exact"/>
        <w:rPr>
          <w:sz w:val="20"/>
          <w:szCs w:val="20"/>
          <w:color w:val="auto"/>
        </w:rPr>
      </w:pPr>
    </w:p>
    <w:p>
      <w:pPr>
        <w:ind w:left="5960"/>
        <w:spacing w:after="0"/>
        <w:rPr>
          <w:sz w:val="20"/>
          <w:szCs w:val="20"/>
          <w:color w:val="auto"/>
        </w:rPr>
      </w:pPr>
      <w:r>
        <w:rPr>
          <w:rFonts w:ascii="Arial" w:cs="Arial" w:eastAsia="Arial" w:hAnsi="Arial"/>
          <w:sz w:val="19"/>
          <w:szCs w:val="19"/>
          <w:color w:val="auto"/>
        </w:rPr>
        <w:t>(Registrant)</w:t>
      </w:r>
    </w:p>
    <w:p>
      <w:pPr>
        <w:spacing w:after="0" w:line="200" w:lineRule="exact"/>
        <w:rPr>
          <w:sz w:val="20"/>
          <w:szCs w:val="20"/>
          <w:color w:val="auto"/>
        </w:rPr>
      </w:pPr>
    </w:p>
    <w:p>
      <w:pPr>
        <w:spacing w:after="0" w:line="209" w:lineRule="exact"/>
        <w:rPr>
          <w:sz w:val="20"/>
          <w:szCs w:val="20"/>
          <w:color w:val="auto"/>
        </w:rPr>
      </w:pPr>
    </w:p>
    <w:p>
      <w:pPr>
        <w:ind w:left="5960"/>
        <w:spacing w:after="0"/>
        <w:tabs>
          <w:tab w:leader="none" w:pos="664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/s/ 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4180205</wp:posOffset>
            </wp:positionH>
            <wp:positionV relativeFrom="paragraph">
              <wp:posOffset>51435</wp:posOffset>
            </wp:positionV>
            <wp:extent cx="33870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87090" cy="8890"/>
                    </a:xfrm>
                    <a:prstGeom prst="rect">
                      <a:avLst/>
                    </a:prstGeom>
                    <a:noFill/>
                  </pic:spPr>
                </pic:pic>
              </a:graphicData>
            </a:graphic>
          </wp:anchor>
        </w:drawing>
      </w:r>
    </w:p>
    <w:p>
      <w:pPr>
        <w:spacing w:after="0" w:line="90" w:lineRule="exact"/>
        <w:rPr>
          <w:sz w:val="20"/>
          <w:szCs w:val="20"/>
          <w:color w:val="auto"/>
        </w:rPr>
      </w:pPr>
    </w:p>
    <w:p>
      <w:pPr>
        <w:ind w:left="6660"/>
        <w:spacing w:after="0"/>
        <w:rPr>
          <w:sz w:val="20"/>
          <w:szCs w:val="20"/>
          <w:color w:val="auto"/>
        </w:rPr>
      </w:pPr>
      <w:r>
        <w:rPr>
          <w:rFonts w:ascii="Arial" w:cs="Arial" w:eastAsia="Arial" w:hAnsi="Arial"/>
          <w:sz w:val="19"/>
          <w:szCs w:val="19"/>
          <w:color w:val="auto"/>
        </w:rPr>
        <w:t>Kevin P. Malcarney</w:t>
      </w:r>
    </w:p>
    <w:p>
      <w:pPr>
        <w:spacing w:after="0" w:line="95" w:lineRule="exact"/>
        <w:rPr>
          <w:sz w:val="20"/>
          <w:szCs w:val="20"/>
          <w:color w:val="auto"/>
        </w:rPr>
      </w:pPr>
    </w:p>
    <w:p>
      <w:pPr>
        <w:ind w:left="6660"/>
        <w:spacing w:after="0"/>
        <w:rPr>
          <w:sz w:val="20"/>
          <w:szCs w:val="20"/>
          <w:color w:val="auto"/>
        </w:rPr>
      </w:pPr>
      <w:r>
        <w:rPr>
          <w:rFonts w:ascii="Arial" w:cs="Arial" w:eastAsia="Arial" w:hAnsi="Arial"/>
          <w:sz w:val="19"/>
          <w:szCs w:val="19"/>
          <w:color w:val="auto"/>
        </w:rPr>
        <w:t>General Counsel and Corporate Secretary</w:t>
      </w:r>
    </w:p>
    <w:p>
      <w:pPr>
        <w:spacing w:after="0" w:line="200" w:lineRule="exact"/>
        <w:rPr>
          <w:sz w:val="20"/>
          <w:szCs w:val="20"/>
          <w:color w:val="auto"/>
        </w:rPr>
      </w:pPr>
    </w:p>
    <w:p>
      <w:pPr>
        <w:spacing w:after="0" w:line="209" w:lineRule="exact"/>
        <w:rPr>
          <w:sz w:val="20"/>
          <w:szCs w:val="20"/>
          <w:color w:val="auto"/>
        </w:rPr>
      </w:pPr>
    </w:p>
    <w:p>
      <w:pPr>
        <w:ind w:left="140"/>
        <w:spacing w:after="0"/>
        <w:rPr>
          <w:sz w:val="20"/>
          <w:szCs w:val="20"/>
          <w:color w:val="auto"/>
        </w:rPr>
      </w:pPr>
      <w:r>
        <w:rPr>
          <w:rFonts w:ascii="Arial" w:cs="Arial" w:eastAsia="Arial" w:hAnsi="Arial"/>
          <w:sz w:val="19"/>
          <w:szCs w:val="19"/>
          <w:color w:val="auto"/>
        </w:rPr>
        <w:t>Dated: February 22,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sectPr>
      <w:pgSz w:w="12240" w:h="15840" w:orient="portrait"/>
      <w:cols w:equalWidth="0" w:num="1">
        <w:col w:w="12000"/>
      </w:cols>
      <w:pgMar w:left="120" w:top="878" w:right="12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2019-12-15T17:53:26Z</dcterms:created>
  <dcterms:modified xsi:type="dcterms:W3CDTF">2019-12-15T17:53:26Z</dcterms:modified>
</cp:coreProperties>
</file>