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946785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ind w:left="4280" w:right="2800" w:hanging="3797"/>
        <w:spacing w:after="0" w:line="510" w:lineRule="auto"/>
        <w:tabs>
          <w:tab w:leader="none" w:pos="186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001-36002</w:t>
      </w:r>
    </w:p>
    <w:p>
      <w:pPr>
        <w:jc w:val="center"/>
        <w:spacing w:after="0"/>
        <w:rPr>
          <w:sz w:val="20"/>
          <w:szCs w:val="20"/>
          <w:color w:val="auto"/>
        </w:rPr>
      </w:pPr>
      <w:r>
        <w:rPr>
          <w:rFonts w:ascii="Arial" w:cs="Arial" w:eastAsia="Arial" w:hAnsi="Arial"/>
          <w:sz w:val="43"/>
          <w:szCs w:val="43"/>
          <w:b w:val="1"/>
          <w:bCs w:val="1"/>
          <w:color w:val="auto"/>
        </w:rPr>
        <w:t>NRG Yield,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16"/>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4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9"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Large accelerated filer x</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Non-accelerated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July 31, 2017, there were 34,586,250 shares of Class A common stock outstanding, par value $0.01 per share, 42,738,750 shares of Class B common stock outstanding, par value $0.01 per share, 63,729,360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3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3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 OPERATIONS</w:t>
            </w:r>
          </w:p>
        </w:tc>
        <w:tc>
          <w:tcPr>
            <w:tcW w:w="1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36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II — OTHER INFORMATION</w:t>
            </w: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w w:val="95"/>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6320" w:type="dxa"/>
            <w:vAlign w:val="bottom"/>
            <w:gridSpan w:val="13"/>
          </w:tcPr>
          <w:p>
            <w:pPr>
              <w:ind w:left="20"/>
              <w:spacing w:after="0"/>
              <w:rPr>
                <w:sz w:val="20"/>
                <w:szCs w:val="20"/>
                <w:color w:val="auto"/>
              </w:rPr>
            </w:pPr>
            <w:r>
              <w:rPr>
                <w:rFonts w:ascii="Arial" w:cs="Arial" w:eastAsia="Arial" w:hAnsi="Arial"/>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gridSpan w:val="10"/>
          </w:tcPr>
          <w:p>
            <w:pPr>
              <w:ind w:left="20"/>
              <w:spacing w:after="0"/>
              <w:rPr>
                <w:sz w:val="20"/>
                <w:szCs w:val="20"/>
                <w:color w:val="auto"/>
              </w:rPr>
            </w:pPr>
            <w:r>
              <w:rPr>
                <w:rFonts w:ascii="Arial" w:cs="Arial" w:eastAsia="Arial" w:hAnsi="Arial"/>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gridSpan w:val="8"/>
          </w:tcPr>
          <w:p>
            <w:pPr>
              <w:ind w:left="20"/>
              <w:spacing w:after="0"/>
              <w:rPr>
                <w:sz w:val="20"/>
                <w:szCs w:val="20"/>
                <w:color w:val="auto"/>
              </w:rPr>
            </w:pPr>
            <w:r>
              <w:rPr>
                <w:rFonts w:ascii="Arial" w:cs="Arial" w:eastAsia="Arial" w:hAnsi="Arial"/>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gridSpan w:val="6"/>
          </w:tcPr>
          <w:p>
            <w:pPr>
              <w:ind w:left="20"/>
              <w:spacing w:after="0"/>
              <w:rPr>
                <w:sz w:val="20"/>
                <w:szCs w:val="20"/>
                <w:color w:val="auto"/>
              </w:rPr>
            </w:pPr>
            <w:r>
              <w:rPr>
                <w:rFonts w:ascii="Arial" w:cs="Arial" w:eastAsia="Arial" w:hAnsi="Arial"/>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4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the Company's Annual Report on Form 10-K for the year ended December 31, 2016,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Transformation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in the indentures governing the Senior Notes and in the indentures governing the Company's convertible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4" w:right="239" w:bottom="1440" w:gutter="0" w:footer="0" w:header="0"/>
        </w:sectPr>
      </w:pPr>
    </w:p>
    <w:bookmarkStart w:id="3" w:name="page4"/>
    <w:bookmarkEnd w:id="3"/>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1080"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2016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2020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2024 Senior Notes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NRG Yield, Inc.'s Annual Report on Form 10-K for the year ended December 31,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$345 million aggregate principal amount of 3.50% convertible notes due 2019, issued by NRG Yield,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$287.5 million aggregate principal amount of 3.25% convertible notes due 2020, issued by NRG Yield, Inc.</w:t>
      </w: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NRG Yield Operating LLC</w:t>
      </w:r>
    </w:p>
    <w:p>
      <w:pPr>
        <w:spacing w:after="0" w:line="8" w:lineRule="exact"/>
        <w:rPr>
          <w:sz w:val="20"/>
          <w:szCs w:val="20"/>
          <w:color w:val="auto"/>
        </w:rPr>
      </w:pPr>
    </w:p>
    <w:p>
      <w:pPr>
        <w:sectPr>
          <w:pgSz w:w="11900" w:h="16838" w:orient="portrait"/>
          <w:cols w:equalWidth="0" w:num="2">
            <w:col w:w="2240" w:space="720"/>
            <w:col w:w="8400"/>
          </w:cols>
          <w:pgMar w:left="280" w:top="108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2026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ASC</w:t>
            </w:r>
          </w:p>
        </w:tc>
        <w:tc>
          <w:tcPr>
            <w:tcW w:w="868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ATM Program</w:t>
            </w:r>
          </w:p>
        </w:tc>
        <w:tc>
          <w:tcPr>
            <w:tcW w:w="8680" w:type="dxa"/>
            <w:vAlign w:val="bottom"/>
          </w:tcPr>
          <w:p>
            <w:pPr>
              <w:ind w:left="28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NRG Yield, Inc.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Drop Down</w:t>
            </w:r>
          </w:p>
        </w:tc>
        <w:tc>
          <w:tcPr>
            <w:tcW w:w="8680" w:type="dxa"/>
            <w:vAlign w:val="bottom"/>
          </w:tcPr>
          <w:p>
            <w:pPr>
              <w:ind w:left="28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Assets, CVSR Drop Down and March 2017 Drop Down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3"/>
              </w:rPr>
              <w:t>The Laredo Ridge, Tapestry and Walnut Creek projects, which were acquired by NRG Yield Operating LLC from</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NRG on January 2, 2015</w:t>
            </w:r>
          </w:p>
        </w:tc>
        <w:tc>
          <w:tcPr>
            <w:tcW w:w="0" w:type="dxa"/>
            <w:vAlign w:val="bottom"/>
          </w:tcPr>
          <w:p>
            <w:pPr>
              <w:spacing w:after="0"/>
              <w:rPr>
                <w:sz w:val="1"/>
                <w:szCs w:val="1"/>
                <w:color w:val="auto"/>
              </w:rPr>
            </w:pPr>
          </w:p>
        </w:tc>
      </w:tr>
      <w:tr>
        <w:trPr>
          <w:trHeight w:val="567"/>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1080" w:right="25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May 9, 2017 Form 8-K</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NRG Yield, Inc.'s Current Report on Form 8-K filed with the SEC on May 9, 2017 in connection with NRG Yield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Operating LLC's acquisition of the March 2017 Drop Down Assets</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8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80" w:type="dxa"/>
            <w:vAlign w:val="bottom"/>
          </w:tcPr>
          <w:p>
            <w:pPr>
              <w:ind w:left="1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8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NOLs</w:t>
            </w:r>
          </w:p>
        </w:tc>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MW, which was acquired by NRG Yield Operating LLC from NRG on November 3, 2015</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w:t>
            </w:r>
          </w:p>
        </w:tc>
        <w:tc>
          <w:tcPr>
            <w:tcW w:w="8580" w:type="dxa"/>
            <w:vAlign w:val="bottom"/>
          </w:tcPr>
          <w:p>
            <w:pPr>
              <w:ind w:left="18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Power Marketing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Power Marketing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NRG Transformation Plan</w:t>
            </w:r>
          </w:p>
        </w:tc>
        <w:tc>
          <w:tcPr>
            <w:tcW w:w="8580" w:type="dxa"/>
            <w:vAlign w:val="bottom"/>
          </w:tcPr>
          <w:p>
            <w:pPr>
              <w:ind w:left="180"/>
              <w:spacing w:after="0"/>
              <w:rPr>
                <w:sz w:val="20"/>
                <w:szCs w:val="20"/>
                <w:color w:val="auto"/>
              </w:rPr>
            </w:pPr>
            <w:r>
              <w:rPr>
                <w:rFonts w:ascii="Arial" w:cs="Arial" w:eastAsia="Arial" w:hAnsi="Arial"/>
                <w:sz w:val="18"/>
                <w:szCs w:val="18"/>
                <w:color w:val="auto"/>
                <w:w w:val="91"/>
              </w:rPr>
              <w:t>A three-year, three part improvement plan announced by NRG on July 12, 2017, which includes exploring strategic</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alternatives for NRG's renewables platform and its interest in the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Wind TE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NRG Wind TE Holdco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NRG Yield LLC</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The holding company through which the projects are owned by NRG, the holder of Class B and Class D units, and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NRG Yield, Inc., the holder of the Class A and Class C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Yield Operating LLC</w:t>
            </w:r>
          </w:p>
        </w:tc>
        <w:tc>
          <w:tcPr>
            <w:tcW w:w="8580" w:type="dxa"/>
            <w:vAlign w:val="bottom"/>
          </w:tcPr>
          <w:p>
            <w:pPr>
              <w:ind w:left="180"/>
              <w:spacing w:after="0"/>
              <w:rPr>
                <w:sz w:val="20"/>
                <w:szCs w:val="20"/>
                <w:color w:val="auto"/>
              </w:rPr>
            </w:pPr>
            <w:r>
              <w:rPr>
                <w:rFonts w:ascii="Arial" w:cs="Arial" w:eastAsia="Arial" w:hAnsi="Arial"/>
                <w:sz w:val="18"/>
                <w:szCs w:val="18"/>
                <w:color w:val="auto"/>
              </w:rPr>
              <w:t>The holder of the project assets that are owned by NRG Yield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OCI/OCL</w:t>
            </w:r>
          </w:p>
        </w:tc>
        <w:tc>
          <w:tcPr>
            <w:tcW w:w="8580" w:type="dxa"/>
            <w:vAlign w:val="bottom"/>
          </w:tcPr>
          <w:p>
            <w:pPr>
              <w:ind w:left="18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O&amp;M</w:t>
            </w:r>
          </w:p>
        </w:tc>
        <w:tc>
          <w:tcPr>
            <w:tcW w:w="858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Pinnacle</w:t>
            </w:r>
          </w:p>
        </w:tc>
        <w:tc>
          <w:tcPr>
            <w:tcW w:w="8580" w:type="dxa"/>
            <w:vAlign w:val="bottom"/>
          </w:tcPr>
          <w:p>
            <w:pPr>
              <w:ind w:left="180"/>
              <w:spacing w:after="0"/>
              <w:rPr>
                <w:sz w:val="20"/>
                <w:szCs w:val="20"/>
                <w:color w:val="auto"/>
              </w:rPr>
            </w:pPr>
            <w:r>
              <w:rPr>
                <w:rFonts w:ascii="Arial" w:cs="Arial" w:eastAsia="Arial" w:hAnsi="Arial"/>
                <w:sz w:val="18"/>
                <w:szCs w:val="18"/>
                <w:color w:val="auto"/>
              </w:rPr>
              <w:t>Pinnacle Wind, LLC, the operating subsidiary of Tapestry Wind LLC, which owns the Pinnacle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PPA</w:t>
            </w:r>
          </w:p>
        </w:tc>
        <w:tc>
          <w:tcPr>
            <w:tcW w:w="8580" w:type="dxa"/>
            <w:vAlign w:val="bottom"/>
          </w:tcPr>
          <w:p>
            <w:pPr>
              <w:ind w:left="18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PUCT</w:t>
            </w:r>
          </w:p>
        </w:tc>
        <w:tc>
          <w:tcPr>
            <w:tcW w:w="8580" w:type="dxa"/>
            <w:vAlign w:val="bottom"/>
          </w:tcPr>
          <w:p>
            <w:pPr>
              <w:ind w:left="18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QF</w:t>
            </w:r>
          </w:p>
        </w:tc>
        <w:tc>
          <w:tcPr>
            <w:tcW w:w="8580" w:type="dxa"/>
            <w:vAlign w:val="bottom"/>
          </w:tcPr>
          <w:p>
            <w:pPr>
              <w:ind w:left="180"/>
              <w:spacing w:after="0"/>
              <w:rPr>
                <w:sz w:val="20"/>
                <w:szCs w:val="20"/>
                <w:color w:val="auto"/>
              </w:rPr>
            </w:pPr>
            <w:r>
              <w:rPr>
                <w:rFonts w:ascii="Arial" w:cs="Arial" w:eastAsia="Arial" w:hAnsi="Arial"/>
                <w:sz w:val="18"/>
                <w:szCs w:val="18"/>
                <w:color w:val="auto"/>
              </w:rPr>
              <w:t>Qualifying Facility under the Public Utility Regulatory Policies Act of 1978</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ROFO Agreement</w:t>
            </w:r>
          </w:p>
        </w:tc>
        <w:tc>
          <w:tcPr>
            <w:tcW w:w="8580" w:type="dxa"/>
            <w:vAlign w:val="bottom"/>
          </w:tcPr>
          <w:p>
            <w:pPr>
              <w:ind w:left="180"/>
              <w:spacing w:after="0"/>
              <w:rPr>
                <w:sz w:val="20"/>
                <w:szCs w:val="20"/>
                <w:color w:val="auto"/>
              </w:rPr>
            </w:pPr>
            <w:r>
              <w:rPr>
                <w:rFonts w:ascii="Arial" w:cs="Arial" w:eastAsia="Arial" w:hAnsi="Arial"/>
                <w:sz w:val="18"/>
                <w:szCs w:val="18"/>
                <w:color w:val="auto"/>
              </w:rPr>
              <w:t>Second Amended and Restated Right of First Offer Agreement between the Company and NRG</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ROFO Assets</w:t>
            </w:r>
          </w:p>
        </w:tc>
        <w:tc>
          <w:tcPr>
            <w:tcW w:w="8580" w:type="dxa"/>
            <w:vAlign w:val="bottom"/>
          </w:tcPr>
          <w:p>
            <w:pPr>
              <w:ind w:left="180"/>
              <w:spacing w:after="0"/>
              <w:rPr>
                <w:sz w:val="20"/>
                <w:szCs w:val="20"/>
                <w:color w:val="auto"/>
              </w:rPr>
            </w:pPr>
            <w:r>
              <w:rPr>
                <w:rFonts w:ascii="Arial" w:cs="Arial" w:eastAsia="Arial" w:hAnsi="Arial"/>
                <w:sz w:val="18"/>
                <w:szCs w:val="18"/>
                <w:color w:val="auto"/>
              </w:rPr>
              <w:t>Specified assets subject to sale, as described in the ROFO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NRG RPV Holdco 1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RTO</w:t>
            </w:r>
          </w:p>
        </w:tc>
        <w:tc>
          <w:tcPr>
            <w:tcW w:w="8580" w:type="dxa"/>
            <w:vAlign w:val="bottom"/>
          </w:tcPr>
          <w:p>
            <w:pPr>
              <w:ind w:left="180"/>
              <w:spacing w:after="0"/>
              <w:rPr>
                <w:sz w:val="20"/>
                <w:szCs w:val="20"/>
                <w:color w:val="auto"/>
              </w:rPr>
            </w:pPr>
            <w:r>
              <w:rPr>
                <w:rFonts w:ascii="Arial" w:cs="Arial" w:eastAsia="Arial" w:hAnsi="Arial"/>
                <w:sz w:val="18"/>
                <w:szCs w:val="18"/>
                <w:color w:val="auto"/>
              </w:rPr>
              <w:t>Regional Transmission Originator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SEC</w:t>
            </w:r>
          </w:p>
        </w:tc>
        <w:tc>
          <w:tcPr>
            <w:tcW w:w="8580" w:type="dxa"/>
            <w:vAlign w:val="bottom"/>
          </w:tcPr>
          <w:p>
            <w:pPr>
              <w:ind w:left="18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Senior Notes</w:t>
            </w:r>
          </w:p>
        </w:tc>
        <w:tc>
          <w:tcPr>
            <w:tcW w:w="8580" w:type="dxa"/>
            <w:vAlign w:val="bottom"/>
          </w:tcPr>
          <w:p>
            <w:pPr>
              <w:ind w:left="180"/>
              <w:spacing w:after="0"/>
              <w:rPr>
                <w:sz w:val="20"/>
                <w:szCs w:val="20"/>
                <w:color w:val="auto"/>
              </w:rPr>
            </w:pPr>
            <w:r>
              <w:rPr>
                <w:rFonts w:ascii="Arial" w:cs="Arial" w:eastAsia="Arial" w:hAnsi="Arial"/>
                <w:sz w:val="18"/>
                <w:szCs w:val="18"/>
                <w:color w:val="auto"/>
              </w:rPr>
              <w:t>Collectively, the 2024 Senior Notes and the 2026 Senior Notes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Taloga</w:t>
            </w:r>
          </w:p>
        </w:tc>
        <w:tc>
          <w:tcPr>
            <w:tcW w:w="8580" w:type="dxa"/>
            <w:vAlign w:val="bottom"/>
          </w:tcPr>
          <w:p>
            <w:pPr>
              <w:ind w:left="180"/>
              <w:spacing w:after="0"/>
              <w:rPr>
                <w:sz w:val="20"/>
                <w:szCs w:val="20"/>
                <w:color w:val="auto"/>
              </w:rPr>
            </w:pPr>
            <w:r>
              <w:rPr>
                <w:rFonts w:ascii="Arial" w:cs="Arial" w:eastAsia="Arial" w:hAnsi="Arial"/>
                <w:sz w:val="18"/>
                <w:szCs w:val="18"/>
                <w:color w:val="auto"/>
              </w:rPr>
              <w:t>Taloga Wind, LLC, the operating subsidiary of Tapestry Wind LLC, which owns the Taloga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Tapestry</w:t>
            </w:r>
          </w:p>
        </w:tc>
        <w:tc>
          <w:tcPr>
            <w:tcW w:w="8580" w:type="dxa"/>
            <w:vAlign w:val="bottom"/>
          </w:tcPr>
          <w:p>
            <w:pPr>
              <w:ind w:left="180"/>
              <w:spacing w:after="0"/>
              <w:rPr>
                <w:sz w:val="20"/>
                <w:szCs w:val="20"/>
                <w:color w:val="auto"/>
              </w:rPr>
            </w:pPr>
            <w:r>
              <w:rPr>
                <w:rFonts w:ascii="Arial" w:cs="Arial" w:eastAsia="Arial" w:hAnsi="Arial"/>
                <w:sz w:val="18"/>
                <w:szCs w:val="18"/>
                <w:color w:val="auto"/>
              </w:rPr>
              <w:t>Collection of the Pinnacle, Buffalo Bear and Taloga projects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Thermal Business</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7"/>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U.S.</w:t>
            </w:r>
          </w:p>
        </w:tc>
        <w:tc>
          <w:tcPr>
            <w:tcW w:w="8580" w:type="dxa"/>
            <w:vAlign w:val="bottom"/>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4"/>
                <w:szCs w:val="24"/>
                <w:color w:val="auto"/>
              </w:rPr>
            </w:pPr>
          </w:p>
        </w:tc>
        <w:tc>
          <w:tcPr>
            <w:tcW w:w="8580" w:type="dxa"/>
            <w:vAlign w:val="bottom"/>
          </w:tcPr>
          <w:p>
            <w:pPr>
              <w:ind w:left="28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1246"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1246" w:right="259" w:bottom="1440" w:gutter="0" w:footer="0" w:header="0"/>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1246"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1246"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1246" w:right="25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200" w:lineRule="exact"/>
        <w:rPr>
          <w:sz w:val="20"/>
          <w:szCs w:val="20"/>
          <w:color w:val="auto"/>
        </w:rPr>
      </w:pPr>
    </w:p>
    <w:p>
      <w:pPr>
        <w:sectPr>
          <w:pgSz w:w="11900" w:h="16838" w:orient="portrait"/>
          <w:cols w:equalWidth="0" w:num="2">
            <w:col w:w="2240" w:space="720"/>
            <w:col w:w="8400"/>
          </w:cols>
          <w:pgMar w:left="280" w:top="1246" w:right="259" w:bottom="1440" w:gutter="0" w:footer="0" w:header="0"/>
          <w:type w:val="continuous"/>
        </w:sectPr>
      </w:pP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1246"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3"/>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Attributable to NRG Yield,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Earnings Per Share Attributable to NRG Yield, Inc. Class A and Class C</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w w:val="97"/>
              </w:rPr>
              <w:t>Earnings per Weighted Average Class A and Class C Common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0.455</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5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30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r>
      <w:tr>
        <w:trPr>
          <w:trHeight w:val="243"/>
        </w:trPr>
        <w:tc>
          <w:tcPr>
            <w:tcW w:w="58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Unrealized loss on derivatives, net of income tax benefit of $1, $3, $0 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8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r>
      <w:tr>
        <w:trPr>
          <w:trHeight w:val="237"/>
        </w:trPr>
        <w:tc>
          <w:tcPr>
            <w:tcW w:w="40" w:type="dxa"/>
            <w:vAlign w:val="bottom"/>
          </w:tcPr>
          <w:p>
            <w:pPr>
              <w:spacing w:after="0"/>
              <w:rPr>
                <w:sz w:val="20"/>
                <w:szCs w:val="20"/>
                <w:color w:val="auto"/>
              </w:rPr>
            </w:pP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3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6"/>
              </w:rPr>
              <w:t>Less: 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r>
      <w:tr>
        <w:trPr>
          <w:trHeight w:val="257"/>
        </w:trPr>
        <w:tc>
          <w:tcPr>
            <w:tcW w:w="58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0" w:right="239" w:bottom="1440" w:gutter="0" w:footer="0" w:header="0"/>
        </w:sectPr>
      </w:pPr>
    </w:p>
    <w:bookmarkStart w:id="8" w:name="page9"/>
    <w:bookmarkEnd w:id="8"/>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shares)</w:t>
            </w:r>
          </w:p>
        </w:tc>
        <w:tc>
          <w:tcPr>
            <w:tcW w:w="32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Pr>
          <w:p>
            <w:pPr>
              <w:spacing w:after="0"/>
              <w:rPr>
                <w:sz w:val="14"/>
                <w:szCs w:val="14"/>
                <w:color w:val="auto"/>
              </w:rPr>
            </w:pPr>
          </w:p>
        </w:tc>
        <w:tc>
          <w:tcPr>
            <w:tcW w:w="160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other assets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60" w:orient="portrait"/>
          <w:cols w:equalWidth="0" w:num="1">
            <w:col w:w="11420"/>
          </w:cols>
          <w:pgMar w:left="240" w:top="1080" w:right="239" w:bottom="0" w:gutter="0" w:footer="0" w:header="0"/>
        </w:sectPr>
      </w:pPr>
    </w:p>
    <w:p>
      <w:pPr>
        <w:spacing w:after="0" w:line="1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35" w:lineRule="exact"/>
        <w:rPr>
          <w:sz w:val="20"/>
          <w:szCs w:val="20"/>
          <w:color w:val="auto"/>
        </w:rPr>
      </w:pPr>
    </w:p>
    <w:p>
      <w:pPr>
        <w:ind w:left="180" w:right="620"/>
        <w:spacing w:after="0" w:line="293"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183,793,110 shares issued and outstanding (Class A 34,586,250, Class B 42,738,750, Class C 63,729,360, Class D 42,738,750) at June 30, 2017 and 182,848,000 shares issued and outstanding (Class A 34,586,250, Class B 42,738,750, Class C 62,784,250, Class D 42,738,750)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84"/>
              </w:rPr>
              <w:t>1,842</w:t>
            </w:r>
          </w:p>
        </w:tc>
        <w:tc>
          <w:tcPr>
            <w:tcW w:w="120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23</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200" w:type="dxa"/>
            <w:vAlign w:val="bottom"/>
          </w:tcPr>
          <w:p>
            <w:pPr>
              <w:jc w:val="right"/>
              <w:ind w:right="650"/>
              <w:spacing w:after="0"/>
              <w:rPr>
                <w:sz w:val="20"/>
                <w:szCs w:val="20"/>
                <w:color w:val="auto"/>
              </w:rPr>
            </w:pPr>
            <w:r>
              <w:rPr>
                <w:rFonts w:ascii="Arial" w:cs="Arial" w:eastAsia="Arial" w:hAnsi="Arial"/>
                <w:sz w:val="18"/>
                <w:szCs w:val="18"/>
                <w:color w:val="auto"/>
              </w:rPr>
              <w:t>(28)</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498</w:t>
            </w: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r>
    </w:tbl>
    <w:p>
      <w:pPr>
        <w:spacing w:after="0" w:line="7" w:lineRule="exact"/>
        <w:rPr>
          <w:sz w:val="20"/>
          <w:szCs w:val="20"/>
          <w:color w:val="auto"/>
        </w:rPr>
      </w:pPr>
    </w:p>
    <w:p>
      <w:pPr>
        <w:sectPr>
          <w:pgSz w:w="11900" w:h="16860" w:orient="portrait"/>
          <w:cols w:equalWidth="0" w:num="2">
            <w:col w:w="8260" w:space="720"/>
            <w:col w:w="2440"/>
          </w:cols>
          <w:pgMar w:left="240" w:top="1080" w:right="239" w:bottom="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720" w:type="dxa"/>
            <w:vAlign w:val="bottom"/>
            <w:tcBorders>
              <w:top w:val="single" w:sz="8" w:color="auto"/>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5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8,836</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60" w:orient="portrait"/>
          <w:cols w:equalWidth="0" w:num="1">
            <w:col w:w="11420"/>
          </w:cols>
          <w:pgMar w:left="240" w:top="1080" w:right="2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8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8"/>
              </w:rPr>
              <w:t xml:space="preserve">2016 </w:t>
            </w:r>
            <w:r>
              <w:rPr>
                <w:rFonts w:ascii="Arial" w:cs="Arial" w:eastAsia="Arial" w:hAnsi="Arial"/>
                <w:sz w:val="8"/>
                <w:szCs w:val="8"/>
                <w:b w:val="1"/>
                <w:bCs w:val="1"/>
                <w:color w:val="auto"/>
                <w:w w:val="98"/>
              </w:rPr>
              <w:t>(a)</w:t>
            </w:r>
          </w:p>
        </w:tc>
      </w:tr>
      <w:tr>
        <w:trPr>
          <w:trHeight w:val="250"/>
        </w:trPr>
        <w:tc>
          <w:tcPr>
            <w:tcW w:w="8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Acquisition of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Yield, Inc., together with its consolidated subsidiaries, or 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 NRG Yield, Inc. owns 100% of the Class A units and Class C units of NRG Yield LLC, including a controlling interest through its position as managing member.</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4,879 net MW</w:t>
      </w:r>
      <w:r>
        <w:rPr>
          <w:rFonts w:ascii="Arial" w:cs="Arial" w:eastAsia="Arial" w:hAnsi="Arial"/>
          <w:sz w:val="17"/>
          <w:szCs w:val="17"/>
          <w:color w:val="auto"/>
        </w:rPr>
        <w:t xml:space="preserve"> as of June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w:t>
      </w:r>
      <w:r>
        <w:rPr>
          <w:rFonts w:ascii="Arial" w:cs="Arial" w:eastAsia="Arial" w:hAnsi="Arial"/>
          <w:sz w:val="17"/>
          <w:szCs w:val="17"/>
          <w:color w:val="auto"/>
        </w:rPr>
        <w:t xml:space="preserve"> June 30, 2017 </w:t>
      </w:r>
      <w:r>
        <w:rPr>
          <w:rFonts w:ascii="Arial" w:cs="Arial" w:eastAsia="Arial" w:hAnsi="Arial"/>
          <w:sz w:val="17"/>
          <w:szCs w:val="17"/>
          <w:color w:val="231F20"/>
        </w:rPr>
        <w:t>based on CAFD. The Company also owns thermal infrastructure assets with an aggregate steam and chilled</w:t>
      </w:r>
      <w:r>
        <w:rPr>
          <w:rFonts w:ascii="Arial" w:cs="Arial" w:eastAsia="Arial" w:hAnsi="Arial"/>
          <w:sz w:val="17"/>
          <w:szCs w:val="17"/>
          <w:color w:val="auto"/>
        </w:rPr>
        <w:t xml:space="preserve"> </w:t>
      </w:r>
      <w:r>
        <w:rPr>
          <w:rFonts w:ascii="Arial" w:cs="Arial" w:eastAsia="Arial" w:hAnsi="Arial"/>
          <w:sz w:val="17"/>
          <w:szCs w:val="17"/>
          <w:color w:val="231F20"/>
        </w:rPr>
        <w:t>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NRG Yield, Inc. consolidates the results of NRG Yield LLC through its controlling interest, with NRG's interest shown as noncontrolling interest in the financial statements. The holders of NRG Yield, Inc.'s outstanding shares of Class A and Class C common stock are entitled to dividends as declared. NRG receives its distributions from NRG Yield LLC through its ownership of NRG Yield LLC Class B and Class D units.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83185</wp:posOffset>
            </wp:positionV>
            <wp:extent cx="5128260" cy="425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2826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0" w:right="239" w:bottom="1440" w:gutter="0" w:footer="0" w:header="0"/>
        </w:sectPr>
      </w:pPr>
    </w:p>
    <w:bookmarkStart w:id="11" w:name="page12"/>
    <w:bookmarkEnd w:id="11"/>
    <w:p>
      <w:pPr>
        <w:jc w:val="both"/>
        <w:ind w:firstLine="405"/>
        <w:spacing w:after="0" w:line="271" w:lineRule="auto"/>
        <w:rPr>
          <w:sz w:val="20"/>
          <w:szCs w:val="20"/>
          <w:color w:val="auto"/>
        </w:rPr>
      </w:pPr>
      <w:r>
        <w:rPr>
          <w:rFonts w:ascii="Arial" w:cs="Arial" w:eastAsia="Arial" w:hAnsi="Arial"/>
          <w:sz w:val="17"/>
          <w:szCs w:val="17"/>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the Company's controlling stockholder and the Company has been highly dependent on NRG for, among other things, growth opportunities and management and administration services.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Company's 2016 Form 10-K as well as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 for risks related to the NRG Transformation Plan and the Company's relationship with NRG.</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line="276" w:lineRule="exact"/>
              <w:rPr>
                <w:sz w:val="20"/>
                <w:szCs w:val="20"/>
                <w:color w:val="auto"/>
              </w:rPr>
            </w:pPr>
            <w:r>
              <w:rPr>
                <w:rFonts w:ascii="Arial" w:cs="Arial" w:eastAsia="Arial" w:hAnsi="Arial"/>
                <w:sz w:val="28"/>
                <w:szCs w:val="28"/>
                <w:color w:val="auto"/>
                <w:vertAlign w:val="subscript"/>
              </w:rPr>
              <w:t>Hardin</w:t>
            </w:r>
            <w:r>
              <w:rPr>
                <w:rFonts w:ascii="Arial" w:cs="Arial" w:eastAsia="Arial" w:hAnsi="Arial"/>
                <w:sz w:val="9"/>
                <w:szCs w:val="9"/>
                <w:color w:val="auto"/>
              </w:rPr>
              <w:t xml:space="preserve"> (b)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84" w:right="239" w:bottom="208"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Dover Energy Center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2017.</w:t>
      </w:r>
    </w:p>
    <w:p>
      <w:pPr>
        <w:ind w:left="180" w:hanging="172"/>
        <w:spacing w:after="0" w:line="191"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5,008 MWs.</w:t>
      </w:r>
    </w:p>
    <w:p>
      <w:pPr>
        <w:ind w:firstLine="8"/>
        <w:spacing w:after="0" w:line="232"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6"/>
        </w:numPr>
        <w:rPr>
          <w:rFonts w:ascii="Arial" w:cs="Arial" w:eastAsia="Arial" w:hAnsi="Arial"/>
          <w:sz w:val="18"/>
          <w:szCs w:val="18"/>
          <w:color w:val="auto"/>
          <w:vertAlign w:val="superscript"/>
        </w:rPr>
      </w:pPr>
      <w:r>
        <w:rPr>
          <w:rFonts w:ascii="Arial" w:cs="Arial" w:eastAsia="Arial" w:hAnsi="Arial"/>
          <w:sz w:val="16"/>
          <w:szCs w:val="16"/>
          <w:color w:val="auto"/>
        </w:rPr>
        <w:t>Projects are part of NRG Wind TE Holdco portfolio.</w:t>
      </w:r>
    </w:p>
    <w:p>
      <w:pPr>
        <w:spacing w:after="0" w:line="14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190 MW based on cash to be distributed as of June 30, 2017. For further discussions, refer to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to the consolidated financial statements for the year ended December 31, 2016 included in the Company's May 9, 2017 Form 8-K.</w:t>
      </w:r>
    </w:p>
    <w:p>
      <w:pPr>
        <w:spacing w:after="0" w:line="11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As further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27, 2017, the Company acquired the following interests from NRG, referred to as the March 2017 Drop Down Assets: (i) Agua Caliente Borrower 2 LLC, which owns a 16% interest in the Agua Caliente solar farm, one of the ROFO assets and</w:t>
      </w:r>
    </w:p>
    <w:p>
      <w:pPr>
        <w:jc w:val="both"/>
        <w:ind w:firstLine="8"/>
        <w:spacing w:after="0" w:line="268"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NRG's interests in seven utility-scale solar farms located in Utah that were part of NRG's November 2, 2016 acquisition of projects from SunEdison, or the Utah Solar Portfolio. The Company paid total cash consideration of $130 million, plus a $1 million working capital adjustment, and assumed non-recourse debt of $328 million, which is consolidated, as well as its pro-rata share of non-recourse project-level debt of $135 million. The acquisition was funded with cash on hand. The acquisition of the March 2017 Drop Down Assets was accounted for as a transfer of entities under common control. The accounting guidance requires retrospective combination of the entities for all periods presented as if the combination had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 The recast for the March 2017 Drop Down Assets did not affect the historical net income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5"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attributable to NRG Yield, Inc.'s weighted average number of shares outstanding, earnings per share or dividends. In connection with the acquisition of the March 2017 Drop Down Assets, the Company filed the May 9, 2017 Form 8-K to recast the financial statements include in its 2016 Form 10-K for all periods presented in the following sections: Part II, Item 6. Selected Financial Data, Part II, Item 7. Management's Discussion and Analysis of Financial Condition and Results of Operations, and Part IV, Item 15. Exhibits, Financial Statement Schedules.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for the year ended December 31, 2016 included in the Company's May 9, 2017 Form 8-K. Interim results are not necessarily indicative of results for a full year.</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2017, and the results of operations, comprehensive income (loss) and cash flows for the three and six months ended June 30, 2017 and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2017 and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7"/>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28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163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Stockholders' equity represents the equity associated with the Class A and Class C common stockholders, the equity associated with the Class B and Class D common stockholder, NRG, and the third-party interests under certain tax equity arrangements are classified as noncontrolling interests. The following table reflects the changes in the Company's noncontrolling interest balance: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Payment for March 2017 Drop Down Assets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Pre-acquisition net income of Drop Down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NRG for Drop Down Assets, net of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NRG Yield LLC distributions to NRG</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Distributions and Contributions to and from NRG for Drop Down Assets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Distributions and contributions to and from NRG for Drop Down Assets relate primarily to NRG's interests in the March 2017 Drop Down Assets prior to the acquisition by the Company, as well as NRG's 25% interest in the November 2015 Drop Down Assets. This amount includes cash and non-cash distributions and includes a distribution to NRG from Agua Caliente Borrower 2 LLC following the issuance of the Agua Caliente Holdco financing, as described in Note 7, </w:t>
      </w:r>
      <w:r>
        <w:rPr>
          <w:rFonts w:ascii="Arial" w:cs="Arial" w:eastAsia="Arial" w:hAnsi="Arial"/>
          <w:sz w:val="18"/>
          <w:szCs w:val="18"/>
          <w:i w:val="1"/>
          <w:iCs w:val="1"/>
          <w:color w:val="auto"/>
        </w:rPr>
        <w:t>Long-term Debt.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4"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NRG Yield LLC Distributions to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to NRG on NRG Yield LLC's Class B and D units during the six months ended June 30, 2017:</w:t>
      </w:r>
    </w:p>
    <w:p>
      <w:pPr>
        <w:spacing w:after="0" w:line="32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B Unit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0.26</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D Unit</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0.26</w:t>
            </w:r>
          </w:p>
        </w:tc>
      </w:tr>
    </w:tbl>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July 25, 2017, NRG Yield LLC declared a distribution on its Class A, Class B, Class C and Class D units of $0.28 per unit payable on September 15, 2017 to unit holders of record as of September 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NRG Yield, Inc. is included in certain NRG consolidated unitary state tax return filings which is reflected in NRG Yield, Inc.'s state effective tax rate. If NRG Yield, Inc. filed under a separate standalone methodology, there would be an additional state tax expense of approximately $1 million as of June 30, 2017 due to a change in the NRG Yield, Inc. state effective tax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ASU 2016-18 </w:t>
      </w:r>
      <w:r>
        <w:rPr>
          <w:rFonts w:ascii="Arial" w:cs="Arial" w:eastAsia="Arial" w:hAnsi="Arial"/>
          <w:sz w:val="17"/>
          <w:szCs w:val="17"/>
          <w:color w:val="auto"/>
        </w:rPr>
        <w:t>— In November 2016, the FASB issued ASU No. 2016-18,</w:t>
      </w:r>
      <w:r>
        <w:rPr>
          <w:rFonts w:ascii="Arial" w:cs="Arial" w:eastAsia="Arial" w:hAnsi="Arial"/>
          <w:sz w:val="17"/>
          <w:szCs w:val="17"/>
          <w:i w:val="1"/>
          <w:iCs w:val="1"/>
          <w:color w:val="auto"/>
        </w:rPr>
        <w:t xml:space="preserve"> Statement of Cash Flows (Topic 230)</w:t>
      </w:r>
      <w:r>
        <w:rPr>
          <w:rFonts w:ascii="Arial" w:cs="Arial" w:eastAsia="Arial" w:hAnsi="Arial"/>
          <w:sz w:val="17"/>
          <w:szCs w:val="17"/>
          <w:color w:val="auto"/>
        </w:rPr>
        <w:t>, Restricted Cash, or ASU No. 2016-</w:t>
      </w:r>
    </w:p>
    <w:p>
      <w:pPr>
        <w:spacing w:after="0" w:line="35" w:lineRule="exact"/>
        <w:rPr>
          <w:sz w:val="20"/>
          <w:szCs w:val="20"/>
          <w:color w:val="auto"/>
        </w:rPr>
      </w:pPr>
    </w:p>
    <w:p>
      <w:pPr>
        <w:jc w:val="both"/>
        <w:ind w:firstLine="8"/>
        <w:spacing w:after="0" w:line="287" w:lineRule="auto"/>
        <w:tabs>
          <w:tab w:leader="none" w:pos="26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amendments of ASU No. 2016-18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six months ended June 30, 2016 increased by $7 million. The sum of Company's cash and cash equivalents and restricted cash reported within the consolidated balance sheet as of December 31, 2016 equals the beginning balances of cash, cash equivalents and restricted cash shown in the consolidated statement of cash flows for the six months ended June 30, 2017. The sum of Company's cash and cash equivalents and restricted cash reported within the consolidated balance sheet as of June 30, 2017 equals to the ending balances of cash, cash equivalents and restricted cash shown in the consolidated statement of cash flows for the six months ended June 30, 2017.</w:t>
      </w:r>
    </w:p>
    <w:p>
      <w:pPr>
        <w:spacing w:after="0" w:line="112"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February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Topic 842, with the objective to increase transparency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4" w:right="239" w:bottom="1440" w:gutter="0" w:footer="0" w:header="0"/>
        </w:sectPr>
      </w:pPr>
    </w:p>
    <w:bookmarkStart w:id="15" w:name="page16"/>
    <w:bookmarkEnd w:id="15"/>
    <w:p>
      <w:pPr>
        <w:jc w:val="both"/>
        <w:ind w:firstLine="405"/>
        <w:spacing w:after="0" w:line="286" w:lineRule="auto"/>
        <w:rPr>
          <w:sz w:val="20"/>
          <w:szCs w:val="20"/>
          <w:color w:val="auto"/>
        </w:rPr>
      </w:pPr>
      <w:r>
        <w:rPr>
          <w:rFonts w:ascii="Arial" w:cs="Arial" w:eastAsia="Arial" w:hAnsi="Arial"/>
          <w:sz w:val="16"/>
          <w:szCs w:val="16"/>
          <w:i w:val="1"/>
          <w:iCs w:val="1"/>
          <w:color w:val="auto"/>
        </w:rPr>
        <w:t xml:space="preserve">ASU 2014-09 </w:t>
      </w:r>
      <w:r>
        <w:rPr>
          <w:rFonts w:ascii="Arial" w:cs="Arial" w:eastAsia="Arial" w:hAnsi="Arial"/>
          <w:sz w:val="16"/>
          <w:szCs w:val="16"/>
          <w:color w:val="auto"/>
        </w:rPr>
        <w:t>— In May 2014, the FASB issued ASU No. 2014-09,</w:t>
      </w:r>
      <w:r>
        <w:rPr>
          <w:rFonts w:ascii="Arial" w:cs="Arial" w:eastAsia="Arial" w:hAnsi="Arial"/>
          <w:sz w:val="16"/>
          <w:szCs w:val="16"/>
          <w:i w:val="1"/>
          <w:iCs w:val="1"/>
          <w:color w:val="auto"/>
        </w:rPr>
        <w:t xml:space="preserve"> Revenue from Contracts with Customers (Topic 606), </w:t>
      </w:r>
      <w:r>
        <w:rPr>
          <w:rFonts w:ascii="Arial" w:cs="Arial" w:eastAsia="Arial" w:hAnsi="Arial"/>
          <w:sz w:val="16"/>
          <w:szCs w:val="16"/>
          <w:color w:val="auto"/>
        </w:rPr>
        <w:t>or ASU No. 2014-09,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 however, the Company continues to assess the impact in connection with its plan of adoption.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$41.5 million, excluding working capital adjustments. The transaction also includes potential additional payments to NRG dependent upon actual energy prices for merchant periods beginning in 2027.</w:t>
      </w:r>
    </w:p>
    <w:p>
      <w:pPr>
        <w:spacing w:after="0" w:line="1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March 2017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27, 2017, the Company acquired the following interests from NRG: (i) Agua Caliente Borrower 2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$1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as well as its pro-rata share of non-recourse project-level debt of Agua Caliente Solar LLC, as further described in Note 4,</w:t>
      </w:r>
      <w:r>
        <w:rPr>
          <w:rFonts w:ascii="Arial" w:cs="Arial" w:eastAsia="Arial" w:hAnsi="Arial"/>
          <w:sz w:val="17"/>
          <w:szCs w:val="17"/>
          <w:i w:val="1"/>
          <w:iCs w:val="1"/>
          <w:color w:val="auto"/>
        </w:rPr>
        <w:t xml:space="preserve"> Investments Accounted for by the Equity Method and Variable Interest Entities</w:t>
      </w:r>
      <w:r>
        <w:rPr>
          <w:rFonts w:ascii="Arial" w:cs="Arial" w:eastAsia="Arial" w:hAnsi="Arial"/>
          <w:sz w:val="17"/>
          <w:szCs w:val="17"/>
          <w:color w:val="auto"/>
        </w:rPr>
        <w:t>.</w:t>
      </w:r>
    </w:p>
    <w:p>
      <w:pPr>
        <w:spacing w:after="0" w:line="13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4" w:right="239" w:bottom="1440" w:gutter="0" w:footer="0" w:header="0"/>
        </w:sectPr>
      </w:pPr>
    </w:p>
    <w:bookmarkStart w:id="16" w:name="page17"/>
    <w:bookmarkEnd w:id="16"/>
    <w:p>
      <w:pPr>
        <w:ind w:firstLine="392"/>
        <w:spacing w:after="0" w:line="277" w:lineRule="auto"/>
        <w:rPr>
          <w:sz w:val="20"/>
          <w:szCs w:val="20"/>
          <w:color w:val="auto"/>
        </w:rPr>
      </w:pPr>
      <w:r>
        <w:rPr>
          <w:rFonts w:ascii="Arial" w:cs="Arial" w:eastAsia="Arial" w:hAnsi="Arial"/>
          <w:sz w:val="18"/>
          <w:szCs w:val="18"/>
          <w:color w:val="auto"/>
        </w:rPr>
        <w:t>The following is a summary of assets and liabilities transferred in connection with the acquisition of the March 2017 Drop Down Assets as of March 27,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in projects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9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9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Net of $8 million of debt issuance costs.</w:t>
      </w:r>
    </w:p>
    <w:p>
      <w:pPr>
        <w:spacing w:after="0" w:line="1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March 2017 Drop Down Assets transferred in connection with the acquisition:</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0"/>
              </w:rPr>
              <w:t>Three months ended June 30, 2016</w:t>
            </w:r>
          </w:p>
        </w:tc>
        <w:tc>
          <w:tcPr>
            <w:tcW w:w="120" w:type="dxa"/>
            <w:vAlign w:val="bottom"/>
          </w:tcPr>
          <w:p>
            <w:pPr>
              <w:spacing w:after="0"/>
              <w:rPr>
                <w:sz w:val="18"/>
                <w:szCs w:val="18"/>
                <w:color w:val="auto"/>
              </w:rPr>
            </w:pPr>
          </w:p>
        </w:tc>
        <w:tc>
          <w:tcPr>
            <w:tcW w:w="3900" w:type="dxa"/>
            <w:vAlign w:val="bottom"/>
            <w:gridSpan w:val="7"/>
          </w:tcPr>
          <w:p>
            <w:pPr>
              <w:jc w:val="right"/>
              <w:ind w:right="819"/>
              <w:spacing w:after="0"/>
              <w:rPr>
                <w:sz w:val="20"/>
                <w:szCs w:val="20"/>
                <w:color w:val="auto"/>
              </w:rPr>
            </w:pPr>
            <w:r>
              <w:rPr>
                <w:rFonts w:ascii="Arial" w:cs="Arial" w:eastAsia="Arial" w:hAnsi="Arial"/>
                <w:sz w:val="16"/>
                <w:szCs w:val="16"/>
                <w:b w:val="1"/>
                <w:bCs w:val="1"/>
                <w:color w:val="auto"/>
              </w:rPr>
              <w:t>Six months ended June 30, 2016</w:t>
            </w:r>
          </w:p>
        </w:tc>
      </w:tr>
      <w:tr>
        <w:trPr>
          <w:trHeight w:val="33"/>
        </w:trPr>
        <w:tc>
          <w:tcPr>
            <w:tcW w:w="3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4"/>
              </w:rPr>
              <w:t>March 2017</w:t>
            </w:r>
          </w:p>
        </w:tc>
        <w:tc>
          <w:tcPr>
            <w:tcW w:w="1180" w:type="dxa"/>
            <w:vAlign w:val="bottom"/>
          </w:tcPr>
          <w:p>
            <w:pPr>
              <w:spacing w:after="0"/>
              <w:rPr>
                <w:sz w:val="18"/>
                <w:szCs w:val="18"/>
                <w:color w:val="auto"/>
              </w:rPr>
            </w:pPr>
          </w:p>
        </w:tc>
      </w:t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As Previously</w:t>
            </w: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March 2017 Drop</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 Currently</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 Previously</w:t>
            </w:r>
          </w:p>
        </w:tc>
        <w:tc>
          <w:tcPr>
            <w:tcW w:w="160" w:type="dxa"/>
            <w:vAlign w:val="bottom"/>
          </w:tcPr>
          <w:p>
            <w:pPr>
              <w:spacing w:after="0"/>
              <w:rPr>
                <w:sz w:val="17"/>
                <w:szCs w:val="17"/>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Drop Down</w:t>
            </w: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As Currently</w:t>
            </w:r>
          </w:p>
        </w:tc>
      </w:tr>
      <w:tr>
        <w:trPr>
          <w:trHeight w:val="243"/>
        </w:trPr>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Reported </w:t>
            </w:r>
            <w:r>
              <w:rPr>
                <w:rFonts w:ascii="Arial" w:cs="Arial" w:eastAsia="Arial" w:hAnsi="Arial"/>
                <w:sz w:val="21"/>
                <w:szCs w:val="21"/>
                <w:b w:val="1"/>
                <w:bCs w:val="1"/>
                <w:color w:val="auto"/>
                <w:w w:val="89"/>
                <w:vertAlign w:val="superscript"/>
              </w:rPr>
              <w:t>(a)</w:t>
            </w:r>
          </w:p>
        </w:tc>
        <w:tc>
          <w:tcPr>
            <w:tcW w:w="18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Down Assets</w:t>
            </w: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Reported</w:t>
            </w: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 xml:space="preserve">Reported </w:t>
            </w:r>
            <w:r>
              <w:rPr>
                <w:rFonts w:ascii="Arial" w:cs="Arial" w:eastAsia="Arial" w:hAnsi="Arial"/>
                <w:sz w:val="21"/>
                <w:szCs w:val="21"/>
                <w:b w:val="1"/>
                <w:bCs w:val="1"/>
                <w:color w:val="auto"/>
                <w:w w:val="89"/>
                <w:vertAlign w:val="superscript"/>
              </w:rPr>
              <w:t>(a)</w:t>
            </w:r>
          </w:p>
        </w:tc>
        <w:tc>
          <w:tcPr>
            <w:tcW w:w="160" w:type="dxa"/>
            <w:vAlign w:val="bottom"/>
          </w:tcPr>
          <w:p>
            <w:pPr>
              <w:spacing w:after="0"/>
              <w:rPr>
                <w:sz w:val="21"/>
                <w:szCs w:val="21"/>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79"/>
              </w:rPr>
              <w:t>Assets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Reported</w:t>
            </w:r>
          </w:p>
        </w:tc>
      </w:tr>
      <w:tr>
        <w:trPr>
          <w:trHeight w:val="258"/>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200</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r>
      <w:tr>
        <w:trPr>
          <w:trHeight w:val="27"/>
        </w:trPr>
        <w:tc>
          <w:tcPr>
            <w:tcW w:w="3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Form 8-K filed with the SEC on September 6, 2016 in connection with the CVSR Drop Down completed on September 1,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3"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CVSR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September 1, 2016, the Company had a 48.95% interest in CVSR, which was accounted for as an equity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On September 1, 2016, the Company acquired from NRG the remaining 51.05% interest of CVSR Holdco LLC, which indirectly owns the CVSR solar facility, for total cash consideration of $78.5 million plus an immaterial working capital adjustment. The Company also assumed additional debt of $496 million, which represents 51.05% of the CVSR project level debt and 51.05% of the notes issued under the CVSR Holdco Financing Agreement, as of the closing date,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to the consolidated financial statements for the year ended December 31, 2016 included in the Company's May 9, 2017 Form 8-K. The acquisition was funded with cash on hand.</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CVSR Drop Down of $112 million, as well as $6 million of AOCL, was recorded as a distribution to NRG with the offset to noncontrolling interest.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4" w:right="239" w:bottom="1440" w:gutter="0" w:footer="0" w:header="0"/>
        </w:sectPr>
      </w:pPr>
    </w:p>
    <w:bookmarkStart w:id="17" w:name="page18"/>
    <w:bookmarkEnd w:id="17"/>
    <w:p>
      <w:pPr>
        <w:ind w:right="480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2017:</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Alta Wind TE</w:t>
            </w:r>
          </w:p>
        </w:tc>
        <w:tc>
          <w:tcPr>
            <w:tcW w:w="12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40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640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to the consolidated financial statements for the year ended December 31, 2016 included in the Company's May</w:t>
      </w:r>
      <w:r>
        <w:rPr>
          <w:rFonts w:ascii="Arial" w:cs="Arial" w:eastAsia="Arial" w:hAnsi="Arial"/>
          <w:sz w:val="18"/>
          <w:szCs w:val="18"/>
          <w:i w:val="1"/>
          <w:iCs w:val="1"/>
          <w:color w:val="auto"/>
        </w:rPr>
        <w:t xml:space="preserve"> </w:t>
      </w:r>
      <w:r>
        <w:rPr>
          <w:rFonts w:ascii="Arial" w:cs="Arial" w:eastAsia="Arial" w:hAnsi="Arial"/>
          <w:sz w:val="18"/>
          <w:szCs w:val="18"/>
          <w:color w:val="auto"/>
        </w:rPr>
        <w:t>9, 2017 Form 8-K.</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June 30, 2017 is limited to its equity investment in the unconsolidated entities, as further summarized in the table below:</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720" w:type="dxa"/>
            <w:vAlign w:val="bottom"/>
            <w:gridSpan w:val="2"/>
          </w:tcPr>
          <w:p>
            <w:pPr>
              <w:ind w:left="3280"/>
              <w:spacing w:after="0"/>
              <w:rPr>
                <w:sz w:val="20"/>
                <w:szCs w:val="20"/>
                <w:color w:val="auto"/>
              </w:rPr>
            </w:pPr>
            <w:r>
              <w:rPr>
                <w:rFonts w:ascii="Arial" w:cs="Arial" w:eastAsia="Arial" w:hAnsi="Arial"/>
                <w:sz w:val="14"/>
                <w:szCs w:val="14"/>
                <w:b w:val="1"/>
                <w:bCs w:val="1"/>
                <w:color w:val="auto"/>
                <w:w w:val="96"/>
              </w:rPr>
              <w:t>Maximum exposure to</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62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Granite Mountain Holdings,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1 LLC</w:t>
            </w:r>
          </w:p>
        </w:tc>
        <w:tc>
          <w:tcPr>
            <w:tcW w:w="3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DGPV Holdco 2 LLC</w:t>
            </w:r>
          </w:p>
        </w:tc>
        <w:tc>
          <w:tcPr>
            <w:tcW w:w="36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0"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74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91"/>
        </w:trPr>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2016</w:t>
            </w:r>
          </w:p>
        </w:tc>
      </w:tr>
      <w:tr>
        <w:trPr>
          <w:trHeight w:val="251"/>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4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purchase solar power generation projects as well as other ancillary related assets from NRG Renew LLC or its subsidiaries. The Company contributed $26 million into the partnership during the six months ended June 30, 2017, of which $9 million remained due to NRG in accounts payable — affiliate as of June 30,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32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Agua Caliente Financing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above, the Company acquired a 16% interest in the Agua Caliente solar facility through its acquisition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Agua Caliente Borrower 2 LLC. As of June 30, 2017, Agua Caliente Solar LLC, the direct owner of the Agua Caliente solar facility, had $843 million outstanding under the Agua Caliente financing agreement with the Federal Financing Bank, or FFB, borrowed to finance the costs of constructing the facility. The Company's pro-rata share of the Agua Caliente financing arrangement was $135 million as of June 30, 2017.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84"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As of June 30,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2016</w:t>
            </w:r>
          </w:p>
        </w:tc>
      </w:tr>
      <w:tr>
        <w:trPr>
          <w:trHeight w:val="263"/>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5,961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6,057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6,056</w:t>
            </w:r>
          </w:p>
        </w:tc>
      </w:tr>
    </w:tbl>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2017 and December 31, 2016:</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As of June 30,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1,516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1,455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4,601</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7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r>
      <w:tr>
        <w:trPr>
          <w:trHeight w:val="25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21"/>
                <w:szCs w:val="21"/>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2</w:t>
            </w:r>
          </w:p>
        </w:tc>
      </w:tr>
      <w:tr>
        <w:trPr>
          <w:trHeight w:val="250"/>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jc w:val="center"/>
              <w:ind w:right="4612"/>
              <w:spacing w:after="0"/>
              <w:rPr>
                <w:sz w:val="20"/>
                <w:szCs w:val="20"/>
                <w:color w:val="auto"/>
              </w:rPr>
            </w:pPr>
            <w:r>
              <w:rPr>
                <w:rFonts w:ascii="Arial" w:cs="Arial" w:eastAsia="Arial" w:hAnsi="Arial"/>
                <w:sz w:val="18"/>
                <w:szCs w:val="18"/>
                <w:color w:val="auto"/>
                <w:w w:val="91"/>
              </w:rPr>
              <w:t>Commodity contracts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jc w:val="center"/>
              <w:ind w:right="461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97"/>
        </w:trPr>
        <w:tc>
          <w:tcPr>
            <w:tcW w:w="70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jc w:val="center"/>
              <w:ind w:right="4612"/>
              <w:spacing w:after="0"/>
              <w:rPr>
                <w:sz w:val="20"/>
                <w:szCs w:val="20"/>
                <w:color w:val="auto"/>
              </w:rPr>
            </w:pPr>
            <w:r>
              <w:rPr>
                <w:rFonts w:ascii="Arial" w:cs="Arial" w:eastAsia="Arial" w:hAnsi="Arial"/>
                <w:sz w:val="18"/>
                <w:szCs w:val="18"/>
                <w:color w:val="auto"/>
                <w:w w:val="91"/>
              </w:rPr>
              <w:t>Commodity contracts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jc w:val="center"/>
              <w:ind w:right="461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r>
      <w:tr>
        <w:trPr>
          <w:trHeight w:val="257"/>
        </w:trPr>
        <w:tc>
          <w:tcPr>
            <w:tcW w:w="7000" w:type="dxa"/>
            <w:vAlign w:val="bottom"/>
          </w:tcPr>
          <w:p>
            <w:pPr>
              <w:jc w:val="center"/>
              <w:ind w:right="4612"/>
              <w:spacing w:after="0"/>
              <w:rPr>
                <w:sz w:val="20"/>
                <w:szCs w:val="20"/>
                <w:color w:val="auto"/>
              </w:rPr>
            </w:pPr>
            <w:r>
              <w:rPr>
                <w:rFonts w:ascii="Arial" w:cs="Arial" w:eastAsia="Arial" w:hAnsi="Arial"/>
                <w:sz w:val="18"/>
                <w:szCs w:val="18"/>
                <w:b w:val="1"/>
                <w:bCs w:val="1"/>
                <w:color w:val="auto"/>
                <w:w w:val="91"/>
              </w:rPr>
              <w:t>Total liabilities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right="140" w:firstLine="8"/>
        <w:spacing w:after="0" w:line="280"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as of June 30, 2017. There were no derivative assets or liabilities classified as Level 3 as of June 30, 2017 and December 31,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2017, the credit reserve resulted in a $1 million increase in fair value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w:t>
      </w:r>
      <w:r>
        <w:rPr>
          <w:rFonts w:ascii="Arial" w:cs="Arial" w:eastAsia="Arial" w:hAnsi="Arial"/>
          <w:sz w:val="16"/>
          <w:szCs w:val="16"/>
          <w:color w:val="auto"/>
        </w:rPr>
        <w:t xml:space="preserve"> consolidated financial statements for the year ended December 31, 2016 included in the </w:t>
      </w:r>
      <w:r>
        <w:rPr>
          <w:rFonts w:ascii="Arial" w:cs="Arial" w:eastAsia="Arial" w:hAnsi="Arial"/>
          <w:sz w:val="16"/>
          <w:szCs w:val="16"/>
          <w:color w:val="231F20"/>
        </w:rPr>
        <w:t>Company's</w:t>
      </w:r>
      <w:r>
        <w:rPr>
          <w:rFonts w:ascii="Arial" w:cs="Arial" w:eastAsia="Arial" w:hAnsi="Arial"/>
          <w:sz w:val="16"/>
          <w:szCs w:val="16"/>
          <w:color w:val="auto"/>
        </w:rPr>
        <w:t xml:space="preserve"> May 9, 2017 Form 8-K,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2" w:lineRule="exact"/>
        <w:rPr>
          <w:sz w:val="20"/>
          <w:szCs w:val="20"/>
          <w:color w:val="auto"/>
        </w:rPr>
      </w:pPr>
    </w:p>
    <w:p>
      <w:pPr>
        <w:jc w:val="both"/>
        <w:ind w:firstLine="8"/>
        <w:spacing w:after="0" w:line="295" w:lineRule="auto"/>
        <w:tabs>
          <w:tab w:leader="none" w:pos="2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2017, credit risk exposure to these counterparties attributable to the Company's ownership interests was approximately $2.9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7,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w:t>
      </w:r>
      <w:r>
        <w:rPr>
          <w:rFonts w:ascii="Arial" w:cs="Arial" w:eastAsia="Arial" w:hAnsi="Arial"/>
          <w:sz w:val="17"/>
          <w:szCs w:val="17"/>
          <w:color w:val="231F20"/>
        </w:rPr>
        <w:t xml:space="preserve">to the </w:t>
      </w:r>
      <w:r>
        <w:rPr>
          <w:rFonts w:ascii="Arial" w:cs="Arial" w:eastAsia="Arial" w:hAnsi="Arial"/>
          <w:sz w:val="17"/>
          <w:szCs w:val="17"/>
          <w:color w:val="000000"/>
        </w:rPr>
        <w:t>consolidated financial statements for the year ended December 31, 2016 included in the Company's May 9, 2017 Form 8-K.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2017, the Company had energy-related derivative instruments extending through 2020. At June 30, 2017,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June 30, 2017, the Company had interest rate derivative instruments on non-recourse debt extending through 2036, most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7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2016</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8"/>
                <w:szCs w:val="18"/>
                <w:color w:val="auto"/>
              </w:rPr>
            </w:pPr>
          </w:p>
        </w:tc>
        <w:tc>
          <w:tcPr>
            <w:tcW w:w="34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2,045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3220" w:type="dxa"/>
            <w:vAlign w:val="bottom"/>
            <w:tcBorders>
              <w:bottom w:val="single" w:sz="8" w:color="auto"/>
            </w:tcBorders>
            <w:gridSpan w:val="5"/>
          </w:tcPr>
          <w:p>
            <w:pPr>
              <w:jc w:val="right"/>
              <w:ind w:right="974"/>
              <w:spacing w:after="0"/>
              <w:rPr>
                <w:sz w:val="20"/>
                <w:szCs w:val="20"/>
                <w:color w:val="auto"/>
              </w:rPr>
            </w:pPr>
            <w:r>
              <w:rPr>
                <w:rFonts w:ascii="Arial" w:cs="Arial" w:eastAsia="Arial" w:hAnsi="Arial"/>
                <w:sz w:val="14"/>
                <w:szCs w:val="14"/>
                <w:b w:val="1"/>
                <w:bCs w:val="1"/>
                <w:color w:val="auto"/>
              </w:rPr>
              <w:t>Derivative Assets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4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0"/>
        </w:trPr>
        <w:tc>
          <w:tcPr>
            <w:tcW w:w="4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920" w:type="dxa"/>
            <w:vAlign w:val="bottom"/>
          </w:tcPr>
          <w:p>
            <w:pPr>
              <w:spacing w:after="0"/>
              <w:rPr>
                <w:sz w:val="24"/>
                <w:szCs w:val="24"/>
                <w:color w:val="auto"/>
              </w:rPr>
            </w:pP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080" w:right="239" w:bottom="1440" w:gutter="0" w:footer="0" w:header="0"/>
        </w:sectPr>
      </w:pPr>
    </w:p>
    <w:bookmarkStart w:id="22" w:name="page23"/>
    <w:bookmarkEnd w:id="22"/>
    <w:p>
      <w:pPr>
        <w:jc w:val="both"/>
        <w:ind w:right="20"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June 30, 2017 and December 31, 2016, there was no outstanding collateral paid or received. The following tables summarize the offsetting of derivatives by the counterparty master agreement level as of June 30, 2017 and December 31,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w w:val="98"/>
              </w:rPr>
              <w:t>Accumulated OCL ending balance, net of income tax benefit of $16 and $28,</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Inc.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Losses expected to be realized from OCL during the next 12 months, net of</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of $4</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six months ended June 30, 2017 and 2016.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4" w:right="239" w:bottom="1440" w:gutter="0" w:footer="0" w:header="0"/>
        </w:sectPr>
      </w:pPr>
    </w:p>
    <w:bookmarkStart w:id="23" w:name="page24"/>
    <w:bookmarkEnd w:id="23"/>
    <w:p>
      <w:pPr>
        <w:jc w:val="both"/>
        <w:ind w:firstLine="392"/>
        <w:spacing w:after="0" w:line="259" w:lineRule="auto"/>
        <w:rPr>
          <w:sz w:val="20"/>
          <w:szCs w:val="20"/>
          <w:color w:val="auto"/>
        </w:rPr>
      </w:pPr>
      <w:r>
        <w:rPr>
          <w:rFonts w:ascii="Arial" w:cs="Arial" w:eastAsia="Arial" w:hAnsi="Arial"/>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29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June 30, 2017 and 2016, the impact to the consolidated statements of income was a loss of $11 million and $2 million, respectively. For the six months ended June 30, 2017 and 2016, the impact to the consolidated statements of income was a loss of $9 million in each period.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consolidated financial statements for the year ended December 31, 2016 included in the Company's May 9, 2017 Form 8-K. Long-term debt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1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 interest rate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 except rates)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2019 Convertible Notes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2020 Convertible Notes</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288</w:t>
            </w:r>
          </w:p>
        </w:tc>
        <w:tc>
          <w:tcPr>
            <w:tcW w:w="1840" w:type="dxa"/>
            <w:vAlign w:val="bottom"/>
          </w:tcPr>
          <w:p>
            <w:pPr>
              <w:jc w:val="right"/>
              <w:spacing w:after="0"/>
              <w:rPr>
                <w:sz w:val="20"/>
                <w:szCs w:val="20"/>
                <w:color w:val="auto"/>
              </w:rPr>
            </w:pPr>
            <w:r>
              <w:rPr>
                <w:rFonts w:ascii="Arial" w:cs="Arial" w:eastAsia="Arial" w:hAnsi="Arial"/>
                <w:sz w:val="17"/>
                <w:szCs w:val="17"/>
                <w:color w:val="auto"/>
              </w:rPr>
              <w:t>3.250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2026 Senior Notes</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84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Agua Caliente Borrower 2, due 2038</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5.430</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Alpine, due 2022</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145</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Alta Wind I, lease financing arrangement, due 2034</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242</w:t>
            </w:r>
          </w:p>
        </w:tc>
        <w:tc>
          <w:tcPr>
            <w:tcW w:w="1840" w:type="dxa"/>
            <w:vAlign w:val="bottom"/>
          </w:tcPr>
          <w:p>
            <w:pPr>
              <w:jc w:val="right"/>
              <w:spacing w:after="0"/>
              <w:rPr>
                <w:sz w:val="20"/>
                <w:szCs w:val="20"/>
                <w:color w:val="auto"/>
              </w:rPr>
            </w:pPr>
            <w:r>
              <w:rPr>
                <w:rFonts w:ascii="Arial" w:cs="Arial" w:eastAsia="Arial" w:hAnsi="Arial"/>
                <w:sz w:val="17"/>
                <w:szCs w:val="17"/>
                <w:color w:val="auto"/>
              </w:rPr>
              <w:t>7.015</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Alta Wind II, lease financing arrangement, due 2034</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Alta Wind III, lease financing arrangement, due 2034</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198</w:t>
            </w:r>
          </w:p>
        </w:tc>
        <w:tc>
          <w:tcPr>
            <w:tcW w:w="1840" w:type="dxa"/>
            <w:vAlign w:val="bottom"/>
          </w:tcPr>
          <w:p>
            <w:pPr>
              <w:jc w:val="right"/>
              <w:spacing w:after="0"/>
              <w:rPr>
                <w:sz w:val="20"/>
                <w:szCs w:val="20"/>
                <w:color w:val="auto"/>
              </w:rPr>
            </w:pPr>
            <w:r>
              <w:rPr>
                <w:rFonts w:ascii="Arial" w:cs="Arial" w:eastAsia="Arial" w:hAnsi="Arial"/>
                <w:sz w:val="17"/>
                <w:szCs w:val="17"/>
                <w:color w:val="auto"/>
              </w:rPr>
              <w:t>6.067</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Alta Wind IV, lease financing arrangement, due 2034</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Alta Wind V, lease financing arrangement, due 2035</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206</w:t>
            </w:r>
          </w:p>
        </w:tc>
        <w:tc>
          <w:tcPr>
            <w:tcW w:w="1840" w:type="dxa"/>
            <w:vAlign w:val="bottom"/>
          </w:tcPr>
          <w:p>
            <w:pPr>
              <w:jc w:val="right"/>
              <w:spacing w:after="0"/>
              <w:rPr>
                <w:sz w:val="20"/>
                <w:szCs w:val="20"/>
                <w:color w:val="auto"/>
              </w:rPr>
            </w:pPr>
            <w:r>
              <w:rPr>
                <w:rFonts w:ascii="Arial" w:cs="Arial" w:eastAsia="Arial" w:hAnsi="Arial"/>
                <w:sz w:val="17"/>
                <w:szCs w:val="17"/>
                <w:color w:val="auto"/>
              </w:rPr>
              <w:t>6.071</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Alta Realty Investments, due 2031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Alta Wind Asset Management, due 2031</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18</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L+2.500</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Avra Valley, due 2031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Blythe, due 2028</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19</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Borrego, due 2025 and 2038</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w:t>
            </w:r>
          </w:p>
        </w:tc>
        <w:tc>
          <w:tcPr>
            <w:tcW w:w="19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7"/>
                <w:szCs w:val="17"/>
                <w:color w:val="auto"/>
              </w:rPr>
              <w:t>L+ 2.750/5.650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CVSR, due 2037</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771</w:t>
            </w:r>
          </w:p>
        </w:tc>
        <w:tc>
          <w:tcPr>
            <w:tcW w:w="1840" w:type="dxa"/>
            <w:vAlign w:val="bottom"/>
          </w:tcPr>
          <w:p>
            <w:pPr>
              <w:jc w:val="right"/>
              <w:spacing w:after="0"/>
              <w:rPr>
                <w:sz w:val="20"/>
                <w:szCs w:val="20"/>
                <w:color w:val="auto"/>
              </w:rPr>
            </w:pPr>
            <w:r>
              <w:rPr>
                <w:rFonts w:ascii="Arial" w:cs="Arial" w:eastAsia="Arial" w:hAnsi="Arial"/>
                <w:sz w:val="17"/>
                <w:szCs w:val="17"/>
                <w:color w:val="auto"/>
              </w:rPr>
              <w:t>2.339 - 3.775</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CVSR Holdco Notes, due 2037</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El Segundo Energy Center, due 2023</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443</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L+1.625 - L+2.250</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Energy Center Minneapolis, due 2017 and 2025</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5.950 -7.250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1840" w:type="dxa"/>
            <w:vAlign w:val="bottom"/>
          </w:tcPr>
          <w:p>
            <w:pPr>
              <w:jc w:val="right"/>
              <w:spacing w:after="0"/>
              <w:rPr>
                <w:sz w:val="20"/>
                <w:szCs w:val="20"/>
                <w:color w:val="auto"/>
              </w:rPr>
            </w:pPr>
            <w:r>
              <w:rPr>
                <w:rFonts w:ascii="Arial" w:cs="Arial" w:eastAsia="Arial" w:hAnsi="Arial"/>
                <w:sz w:val="17"/>
                <w:szCs w:val="17"/>
                <w:color w:val="auto"/>
              </w:rPr>
              <w:t>3.550</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Kansas South, due 2031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L+2.000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Laredo Ridge, due 2028</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L+1.875</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Marsh Landing, due 2017 and 2023</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370</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L+1.750 - L+1.875</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w w:val="95"/>
              </w:rPr>
              <w:t>Apple I LLC projects and related subsidiaries financing agreement, due 2030</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1840" w:type="dxa"/>
            <w:vAlign w:val="bottom"/>
          </w:tcPr>
          <w:p>
            <w:pPr>
              <w:jc w:val="right"/>
              <w:spacing w:after="0"/>
              <w:rPr>
                <w:sz w:val="20"/>
                <w:szCs w:val="20"/>
                <w:color w:val="auto"/>
              </w:rPr>
            </w:pPr>
            <w:r>
              <w:rPr>
                <w:rFonts w:ascii="Arial" w:cs="Arial" w:eastAsia="Arial" w:hAnsi="Arial"/>
                <w:sz w:val="17"/>
                <w:szCs w:val="17"/>
                <w:color w:val="auto"/>
              </w:rPr>
              <w:t>6.000</w:t>
            </w:r>
          </w:p>
        </w:tc>
        <w:tc>
          <w:tcPr>
            <w:tcW w:w="12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Roadrunner, due 2031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South Trent Wind, due 2020</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TA High Desert, due 2020 and 2032</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L+2.500/5.150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Tapestry, due 2021</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172</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L+2.625</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Viento, due 2023</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178</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L+2.750</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310</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WCEP Holdings, due 2023</w:t>
            </w:r>
          </w:p>
        </w:tc>
        <w:tc>
          <w:tcPr>
            <w:tcW w:w="3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46</w:t>
            </w:r>
          </w:p>
        </w:tc>
        <w:tc>
          <w:tcPr>
            <w:tcW w:w="1960" w:type="dxa"/>
            <w:vAlign w:val="bottom"/>
            <w:gridSpan w:val="2"/>
          </w:tcPr>
          <w:p>
            <w:pPr>
              <w:jc w:val="right"/>
              <w:ind w:right="140"/>
              <w:spacing w:after="0"/>
              <w:rPr>
                <w:sz w:val="20"/>
                <w:szCs w:val="20"/>
                <w:color w:val="auto"/>
              </w:rPr>
            </w:pPr>
            <w:r>
              <w:rPr>
                <w:rFonts w:ascii="Arial" w:cs="Arial" w:eastAsia="Arial" w:hAnsi="Arial"/>
                <w:sz w:val="17"/>
                <w:szCs w:val="17"/>
                <w:color w:val="auto"/>
              </w:rPr>
              <w:t>L+3.000</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Subtotal project-level debt: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4,601</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80" w:type="dxa"/>
            <w:vAlign w:val="bottom"/>
            <w:gridSpan w:val="2"/>
          </w:tcPr>
          <w:p>
            <w:pPr>
              <w:ind w:left="40"/>
              <w:spacing w:after="0"/>
              <w:rPr>
                <w:sz w:val="20"/>
                <w:szCs w:val="20"/>
                <w:color w:val="auto"/>
              </w:rPr>
            </w:pPr>
            <w:r>
              <w:rPr>
                <w:rFonts w:ascii="Arial" w:cs="Arial" w:eastAsia="Arial" w:hAnsi="Arial"/>
                <w:sz w:val="17"/>
                <w:szCs w:val="17"/>
                <w:color w:val="auto"/>
              </w:rPr>
              <w:t>Total debt</w:t>
            </w: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5,983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6,084</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Less current maturities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Less net debt issuance costs</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Less discounts </w:t>
            </w:r>
            <w:r>
              <w:rPr>
                <w:rFonts w:ascii="Arial" w:cs="Arial" w:eastAsia="Arial" w:hAnsi="Arial"/>
                <w:sz w:val="28"/>
                <w:szCs w:val="28"/>
                <w:color w:val="auto"/>
                <w:vertAlign w:val="superscript"/>
              </w:rPr>
              <w:t>(b)</w:t>
            </w:r>
          </w:p>
        </w:tc>
        <w:tc>
          <w:tcPr>
            <w:tcW w:w="3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Total long-term debt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5,597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5,696</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80" w:hanging="72"/>
        <w:spacing w:after="0" w:line="302" w:lineRule="auto"/>
        <w:tabs>
          <w:tab w:leader="none" w:pos="146"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 xml:space="preserve">As of June 30, 2017, L+ equals </w:t>
      </w:r>
      <w:r>
        <w:rPr>
          <w:rFonts w:ascii="Arial" w:cs="Arial" w:eastAsia="Arial" w:hAnsi="Arial"/>
          <w:sz w:val="11"/>
          <w:szCs w:val="11"/>
          <w:color w:val="auto"/>
        </w:rPr>
        <w:t>3 month LIBOR</w:t>
      </w:r>
      <w:r>
        <w:rPr>
          <w:rFonts w:ascii="Arial" w:cs="Arial" w:eastAsia="Arial" w:hAnsi="Arial"/>
          <w:sz w:val="12"/>
          <w:szCs w:val="12"/>
          <w:color w:val="auto"/>
        </w:rPr>
        <w:t xml:space="preserve"> plus x%, except for the Utah Solar Portfolio and NRG Yield LLC and NRG Yield Operating LLC Revolving Credit Facility, where L+ equals 1 month LIBOR plus x% and Kansas South, where L+ equals 6 month LIBOR plus x%.</w:t>
      </w:r>
    </w:p>
    <w:p>
      <w:pPr>
        <w:ind w:left="160" w:hanging="152"/>
        <w:spacing w:after="0" w:line="223"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Discounts relate to the 2019 Convertible Notes and 2020 Convertible Notes.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80" w:right="239" w:bottom="1153" w:gutter="0" w:footer="0" w:header="0"/>
        </w:sectPr>
      </w:pPr>
    </w:p>
    <w:bookmarkStart w:id="25" w:name="page26"/>
    <w:bookmarkEnd w:id="25"/>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2017,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there were no outstanding borrowings under the revolving credit facility and the Company had $68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 assets of</w:t>
      </w:r>
      <w:r>
        <w:rPr>
          <w:rFonts w:ascii="Arial" w:cs="Arial" w:eastAsia="Arial" w:hAnsi="Arial"/>
          <w:sz w:val="18"/>
          <w:szCs w:val="18"/>
          <w:color w:val="auto"/>
        </w:rPr>
        <w:t xml:space="preserve"> </w:t>
      </w:r>
      <w:r>
        <w:rPr>
          <w:rFonts w:ascii="Arial" w:cs="Arial" w:eastAsia="Arial" w:hAnsi="Arial"/>
          <w:sz w:val="18"/>
          <w:szCs w:val="18"/>
          <w:color w:val="231F20"/>
        </w:rPr>
        <w:t>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related to the 2017 March Drop Down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Agua Caliente Borrower 2, due 2038</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the Company acquired Agua Caliente Borrower 2 LLC from NRG and assumed NRG's portion of senior secured notes under the Agua Caliente Holdco Financing Agreement. Agua Caliente Borrower 2 LLC holds $41 million of the Agua Caliente Holdco debt as of June 30, 2017. The debt is joint and several with respect to Agua Caliente Borrower 1 LLC and Agua Caliente Borrower 2 LLC and is secured by the equity interests of each borrower in the Agua Caliente solar facility.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Utah Solar Portfolio, due 2022</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$284 million of the Utah Solar Portfolio debt as of June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 June 30,</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6"/>
              </w:rPr>
              <w:t>Basic earnings per share attributable to NRG Yield, Inc. common stockholders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Weighted average number of common shares outstanding — basic</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7"/>
        </w:trPr>
        <w:tc>
          <w:tcPr>
            <w:tcW w:w="4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r>
      <w:tr>
        <w:trPr>
          <w:trHeight w:val="23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4"/>
              </w:rPr>
              <w:t>Diluted earnings per share attributable to NRG Yield, Inc. common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0"/>
              </w:rPr>
              <w:t>Six months ended June 30,</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5"/>
        </w:trPr>
        <w:tc>
          <w:tcPr>
            <w:tcW w:w="652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Basic and diluted earnings per share attributable to NRG Yield, Inc. common</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95"/>
              </w:rPr>
              <w:t xml:space="preserve">Weighted average number of common shares outstanding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basic and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 and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0.38</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might not recalculate due to presenting values in millions rather than whole dollars.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560" w:type="dxa"/>
            <w:vAlign w:val="bottom"/>
            <w:gridSpan w:val="2"/>
          </w:tcPr>
          <w:p>
            <w:pPr>
              <w:ind w:left="616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22"/>
                <w:szCs w:val="22"/>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2"/>
                <w:szCs w:val="22"/>
                <w:color w:val="auto"/>
              </w:rPr>
            </w:pPr>
          </w:p>
        </w:tc>
        <w:tc>
          <w:tcPr>
            <w:tcW w:w="1600" w:type="dxa"/>
            <w:vAlign w:val="bottom"/>
          </w:tcPr>
          <w:p>
            <w:pPr>
              <w:jc w:val="right"/>
              <w:ind w:right="699"/>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(In millions of shares)</w:t>
            </w:r>
          </w:p>
        </w:tc>
        <w:tc>
          <w:tcPr>
            <w:tcW w:w="1200" w:type="dxa"/>
            <w:vAlign w:val="bottom"/>
            <w:tcBorders>
              <w:top w:val="single" w:sz="8" w:color="auto"/>
            </w:tcBorders>
          </w:tcPr>
          <w:p>
            <w:pPr>
              <w:spacing w:after="0"/>
              <w:rPr>
                <w:sz w:val="21"/>
                <w:szCs w:val="21"/>
                <w:color w:val="auto"/>
              </w:rPr>
            </w:pPr>
          </w:p>
        </w:tc>
      </w:tr>
      <w:tr>
        <w:trPr>
          <w:trHeight w:val="256"/>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Convertible Notes - Common Class A</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2020 Convertible Notes - Common Class C</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9"/>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w:t>
            </w:r>
          </w:p>
        </w:tc>
      </w:tr>
      <w:tr>
        <w:trPr>
          <w:trHeight w:val="648"/>
        </w:trPr>
        <w:tc>
          <w:tcPr>
            <w:tcW w:w="6560" w:type="dxa"/>
            <w:vAlign w:val="bottom"/>
            <w:gridSpan w:val="2"/>
          </w:tcPr>
          <w:p>
            <w:pPr>
              <w:jc w:val="right"/>
              <w:ind w:right="688"/>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$150,000,000 through an at-the-market equity offering program, or the ATM Program. NRG Yield, Inc. may also sell shares of its Class C common stock to any of the sales agents, as principals for its own account, at a price agreed upon at the time of sale. During the three months ended June 30, 2017, NRG Yield, Inc. issued 510,112 shares of Class C common stock under the ATM Program for gross proceeds of $9 million. During the six months ended June 30, 2017, NRG Yield, Inc. issued 934,139 shares of Class C common stock under the ATM Program for gross proceeds of $16 million and incurred commission fees of approximately $163 thousand. As a result of the Company's sale of shares of Class C common stock, the public shareholders of Class C common stock increased their economic and voting interests to 53.5%, and 44.9%, respectively, as of June 30,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lists the dividends paid on the Company's Class A common stock and Class C common stock during the six months ended June 30, 2017:</w:t>
      </w:r>
    </w:p>
    <w:p>
      <w:pPr>
        <w:spacing w:after="0" w:line="25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25, 2017, the Company declared quarterly dividends on its Class A common stock and Class C common stock of $0.28 per share payable on September 15, 2017, to stockholders of record as of September 1, 2017.</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10,000,000 shares of preferred stock, par value $0.01 per share. None of the shares of preferred stock have been issued.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202"/>
              <w:spacing w:after="0"/>
              <w:rPr>
                <w:sz w:val="20"/>
                <w:szCs w:val="20"/>
                <w:color w:val="auto"/>
              </w:rPr>
            </w:pPr>
            <w:r>
              <w:rPr>
                <w:rFonts w:ascii="Arial" w:cs="Arial" w:eastAsia="Arial" w:hAnsi="Arial"/>
                <w:sz w:val="14"/>
                <w:szCs w:val="14"/>
                <w:b w:val="1"/>
                <w:bCs w:val="1"/>
                <w:color w:val="auto"/>
              </w:rPr>
              <w:t>Three months ended June 30, 2017</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5,855</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202"/>
              <w:spacing w:after="0"/>
              <w:rPr>
                <w:sz w:val="20"/>
                <w:szCs w:val="20"/>
                <w:color w:val="auto"/>
              </w:rPr>
            </w:pPr>
            <w:r>
              <w:rPr>
                <w:rFonts w:ascii="Arial" w:cs="Arial" w:eastAsia="Arial" w:hAnsi="Arial"/>
                <w:sz w:val="14"/>
                <w:szCs w:val="14"/>
                <w:b w:val="1"/>
                <w:bCs w:val="1"/>
                <w:color w:val="auto"/>
              </w:rPr>
              <w:t>Three months ended June 30, 2016</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39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2C2C2C"/>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283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34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2C2C2C"/>
              </w:rPr>
              <w:t>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128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(36)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2C2C2C"/>
              </w:rPr>
              <w:t>(1)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2C2C2C"/>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(68)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2C2C2C"/>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rPr>
              <w:t>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2C2C2C"/>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2017</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453"/>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2016</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2C2C2C"/>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2C2C2C"/>
              </w:rPr>
              <w:t>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2C2C2C"/>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(142)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20" w:type="dxa"/>
            <w:vAlign w:val="bottom"/>
          </w:tcPr>
          <w:p>
            <w:pPr>
              <w:spacing w:after="0"/>
              <w:rPr>
                <w:sz w:val="22"/>
                <w:szCs w:val="22"/>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2017</w:t>
            </w:r>
          </w:p>
        </w:tc>
        <w:tc>
          <w:tcPr>
            <w:tcW w:w="5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196"/>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w w:val="98"/>
              </w:rPr>
              <w:t>(In millions, except percentages)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12</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5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For the three and six months ended June 30, 2017 and 2016, the overall effective tax rate was different than the statutory rate of 35% primarily due to taxable earnings allocated to NRG resulting from its interest in NRG Yield LLC and production and investment tax credits generated from certain wind and solar assets,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tax purposes, NRG Yield LLC is treated as a partnership; therefore, the Company and NRG each record their respective share of taxable income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3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 in the Company's consolidated statements of operations. For the three months and six months ended June 30, 2017, Elbow Creek and Dover, collectively, generated revenue of $3 million and $7 million, respectively. For the three months and six months ended June 30, 2016, Elbow Creek and Dover, collectively, generated revenue of $3 million and $6 million, respectively.</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three months and six months ended June 30, 2017, Thermal entities purchased $2 million and $6 million, respectively, of natural gas from NRG Power Marketing. For the three months and six months ended June 30, 2016, Thermal entities purchased $1 million and $5 million, respectively, of natural gas from NRG Power Marketing.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Company's subsidiaries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following table summarizes material O&amp;M costs recorded in the cost of operations line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170180</wp:posOffset>
            </wp:positionV>
            <wp:extent cx="3987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p>
      <w:pPr>
        <w:spacing w:after="0" w:line="340"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31115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4" w:lineRule="exact"/>
        <w:rPr>
          <w:sz w:val="20"/>
          <w:szCs w:val="20"/>
          <w:color w:val="auto"/>
        </w:rPr>
      </w:pPr>
    </w:p>
    <w:p>
      <w:pPr>
        <w:ind w:left="4700"/>
        <w:spacing w:after="0"/>
        <w:tabs>
          <w:tab w:leader="none" w:pos="628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38100</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31115</wp:posOffset>
            </wp:positionV>
            <wp:extent cx="1964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31115</wp:posOffset>
            </wp:positionV>
            <wp:extent cx="19640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7160" w:space="720"/>
            <w:col w:w="3540"/>
          </w:cols>
          <w:pgMar w:left="240" w:top="1080" w:right="239" w:bottom="1440" w:gutter="0" w:footer="0" w:header="0"/>
          <w:type w:val="continuous"/>
        </w:sectPr>
      </w:pPr>
    </w:p>
    <w:tbl>
      <w:tblPr>
        <w:tblLayout w:type="fixed"/>
        <w:tblInd w:w="1040" w:type="dxa"/>
        <w:tblCellMar>
          <w:top w:w="0" w:type="dxa"/>
          <w:left w:w="0" w:type="dxa"/>
          <w:bottom w:w="0" w:type="dxa"/>
          <w:right w:w="0" w:type="dxa"/>
        </w:tblCellMar>
      </w:tblP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Thermal entities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Conventional entities</w:t>
            </w:r>
          </w:p>
        </w:tc>
        <w:tc>
          <w:tcPr>
            <w:tcW w:w="7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0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bl>
    <w:p>
      <w:pPr>
        <w:spacing w:after="0" w:line="175"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There were balances of $20 million and $22 million due from the entities above to NRG in accounts payable — affiliate as of June 30, 2017 and December 31, 2016, respectively. As of June 30, 2017, $9 million was recorded in long term liabilities of the consolidated balance sheet.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GenConn incurs fees under two O&amp;M agreements with wholly-owned subsidiaries of NRG. For the three months and six months ended June 30, 2017 and June 30, 2016, the aggregate fees incurred under the agreements were $2 million and $3 million for each period in each year,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$3 million and $6 million for the three and six months ended June 30, 2017, respectively. The Company reimbursed costs under the agreement of $3 million and $5 million for the three and six months ended June 30, 2016,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0" w:right="239" w:bottom="1440" w:gutter="0" w:footer="0" w:header="0"/>
          <w:type w:val="continuous"/>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NRG Renew Operation and Maintenance LLC, or RENOM, a wholly-owned subsidiary of NRG, which provides O&amp;M services on behalf of these entities. The Company incurred total expenses for these services in the amount of $7 million and $10 million for the three and six months ended June 30, 2017, respectively. The Company incurred total expenses for these services of $3 million and $5 million for the three and six months ended June 30, 2016, respectively. There was a balance of $3 million and $5 million due to RENOM as of June 30, 2017 and December 31, 2016, respectively.</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June 30, 2017, the base management fee was approximately $8 million per year, subject to an inflation-based adjustment annually at an inflation factor based on the year-over-year U.S. consumer price index. The fee is also subject to adjustments following the consummation of acquisitions and as a result of a change in the scope of services provided under the Management Services Agreement. Costs incurred under this agreement were $4 million and $6 million for the three and six months ended June 30, 2017, respectively. Costs incurred under this agreement for the three and six months ended June 30, 2016 were $3 million and $5 million, respectively. The costs incurred under the Management Service Agreement included certain direct expenses incurred by NRG on behalf of the Company in addition to the base management fee.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demurrers and a motion challenging jurisdiction on October 18, 2016. On June 16, 2017, the court approved the parties' stipulation which provides the plaintiffs' opposition is due on September 15, 2017 and defendants' reply is due on November 15, 2017.</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Ahmed v. NRG Energy, Inc. and the NRG Yield Board of Directors </w:t>
      </w:r>
      <w:r>
        <w:rPr>
          <w:rFonts w:ascii="Arial" w:cs="Arial" w:eastAsia="Arial" w:hAnsi="Arial"/>
          <w:sz w:val="18"/>
          <w:szCs w:val="18"/>
          <w:color w:val="auto"/>
        </w:rPr>
        <w:t>— On September 15, 2016, plaintiffs filed a putative class action lawsuit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w:t>
      </w:r>
    </w:p>
    <w:p>
      <w:pPr>
        <w:spacing w:after="0" w:line="139"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i w:val="1"/>
          <w:iCs w:val="1"/>
          <w:color w:val="auto"/>
        </w:rPr>
        <w:t xml:space="preserve">GenOn Noteholders' Lawsuit </w:t>
      </w:r>
      <w:r>
        <w:rPr>
          <w:rFonts w:ascii="Arial" w:cs="Arial" w:eastAsia="Arial" w:hAnsi="Arial"/>
          <w:sz w:val="16"/>
          <w:szCs w:val="16"/>
          <w:color w:val="auto"/>
        </w:rPr>
        <w:t>— On December 13, 2016, certain indenture trustees for an ad hoc group of holders, or the Noteholders, of the GenOn</w:t>
      </w:r>
      <w:r>
        <w:rPr>
          <w:rFonts w:ascii="Arial" w:cs="Arial" w:eastAsia="Arial" w:hAnsi="Arial"/>
          <w:sz w:val="16"/>
          <w:szCs w:val="16"/>
          <w:i w:val="1"/>
          <w:iCs w:val="1"/>
          <w:color w:val="auto"/>
        </w:rPr>
        <w:t xml:space="preserve"> </w:t>
      </w:r>
      <w:r>
        <w:rPr>
          <w:rFonts w:ascii="Arial" w:cs="Arial" w:eastAsia="Arial" w:hAnsi="Arial"/>
          <w:sz w:val="16"/>
          <w:szCs w:val="16"/>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Pursuant to the terms of the restructuring support and lock-up agreement, this matter should ultimately be resolved if GenOn's plan of reorganization is approved by the United States Bankruptcy Court for the Southern District of Texas, Houston Division.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March 2017 Drop Down Assets, which were acquired from NRG on March 27, 2017.</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six months ended June 30, 2017 and 2016. Also refer to the Company's May 9, 2017 Form 8-K,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4" w:lineRule="auto"/>
        <w:tabs>
          <w:tab w:leader="none" w:pos="1367"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60" w:hanging="380"/>
        <w:spacing w:after="0"/>
        <w:tabs>
          <w:tab w:leader="none" w:pos="13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211"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400"/>
        <w:spacing w:after="0" w:line="324" w:lineRule="auto"/>
        <w:tabs>
          <w:tab w:leader="none" w:pos="1367"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4,879 net MW as of</w:t>
      </w:r>
      <w:r>
        <w:rPr>
          <w:rFonts w:ascii="Arial" w:cs="Arial" w:eastAsia="Arial" w:hAnsi="Arial"/>
          <w:sz w:val="17"/>
          <w:szCs w:val="17"/>
          <w:color w:val="auto"/>
        </w:rPr>
        <w:t xml:space="preserve"> June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 June 30, 2017,</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 steam and chilled</w:t>
      </w:r>
      <w:r>
        <w:rPr>
          <w:rFonts w:ascii="Arial" w:cs="Arial" w:eastAsia="Arial" w:hAnsi="Arial"/>
          <w:sz w:val="17"/>
          <w:szCs w:val="17"/>
          <w:color w:val="auto"/>
        </w:rPr>
        <w:t xml:space="preserve"> </w:t>
      </w:r>
      <w:r>
        <w:rPr>
          <w:rFonts w:ascii="Arial" w:cs="Arial" w:eastAsia="Arial" w:hAnsi="Arial"/>
          <w:sz w:val="17"/>
          <w:szCs w:val="17"/>
          <w:color w:val="231F20"/>
        </w:rPr>
        <w:t>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Transformation Plan</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the Company's controlling stockholder and the Company has been highly dependent on NRG for, among other things, growth opportunities and management and administration services.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Company's 2016 Form 10-K as well as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 for risks related to the NRG Transformation Plan and the Company's relationship with NRG.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slow or pause in the near term with respect to federal laws under the current U.S. presidential administration.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May 9, 2017 Form 8-K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Trends Affecting Results of Operations and Future Business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returned to service on February 24, 2017. In July 2017, the Company executed a warranty settlement agreement with the original equipment manufacturer that reduced total cost from $12 million to approximately $5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25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second quarter of 2017, Walnut Creek experienced several forced outages due to mechanical failures of turbine parts that caused downstream damage to several of the plants units. The plant is currently in service as of July 2017. The estimated cost of these outages is approximately $8 million before the recovery of insurance proceeds, a significant portion of which the Company believes is recoverable by year end. The Company continues to work with both NRG, the plant's O&amp;M service provider, and the plant’s original equipment manufacturer on mitigation plans to improve long term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Emissions credit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w w:val="92"/>
              </w:rPr>
              <w:t>Net Income Excluding Pre-acquisition Net Income of Drop Down Assets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Attributable to NRG Yield,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Business metrics:</w:t>
            </w:r>
          </w:p>
        </w:tc>
        <w:tc>
          <w:tcPr>
            <w:tcW w:w="13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3,819</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3"/>
                <w:szCs w:val="23"/>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637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r>
      <w:tr>
        <w:trPr>
          <w:trHeight w:val="341"/>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as the Conventional facilities sell capacity rather than energy.</w:t>
      </w:r>
    </w:p>
    <w:p>
      <w:pPr>
        <w:spacing w:after="0" w:line="10" w:lineRule="exact"/>
        <w:rPr>
          <w:rFonts w:ascii="Arial" w:cs="Arial" w:eastAsia="Arial" w:hAnsi="Arial"/>
          <w:sz w:val="18"/>
          <w:szCs w:val="18"/>
          <w:color w:val="auto"/>
          <w:vertAlign w:val="superscript"/>
        </w:rPr>
      </w:pPr>
    </w:p>
    <w:p>
      <w:pPr>
        <w:ind w:left="160" w:hanging="152"/>
        <w:spacing w:after="0" w:line="196" w:lineRule="auto"/>
        <w:tabs>
          <w:tab w:leader="none" w:pos="16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MWh sold do not include 11 MWh and 23 MWh during the three months ended June 30, 2017 and 2016, respectively, and 18 MWh and 74 MWh during the six months ended June 30, 2017 and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2016, respectively, generated by NRG Dover, a subsidiary of the Company, under the PPA with NRG Power Marketing, as further described in Note 12, </w:t>
      </w:r>
      <w:r>
        <w:rPr>
          <w:rFonts w:ascii="Arial" w:cs="Arial" w:eastAsia="Arial" w:hAnsi="Arial"/>
          <w:sz w:val="14"/>
          <w:szCs w:val="14"/>
          <w:i w:val="1"/>
          <w:iCs w:val="1"/>
          <w:color w:val="auto"/>
        </w:rPr>
        <w:t>Related Party Transactions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June 30, 2017 and 2016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2017</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 million during the three months ended June 30, 2017, compared to the same period in 2016, primarily due to an increase in earnings from the Utah Solar Portfolio, which was acquired by NRG in November 2016, as well as increase in earnings from Desert Sunlight, partially offset by a decrease in earnings from the Company's partnerships with NRG.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$18 million during the three months ended June 30, 2017, compared to the same period in 2016, due to: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96"/>
        </w:trPr>
        <w:tc>
          <w:tcPr>
            <w:tcW w:w="10060" w:type="dxa"/>
            <w:vAlign w:val="bottom"/>
          </w:tcPr>
          <w:p>
            <w:pPr>
              <w:ind w:left="40"/>
              <w:spacing w:after="0"/>
              <w:rPr>
                <w:sz w:val="20"/>
                <w:szCs w:val="20"/>
                <w:color w:val="auto"/>
              </w:rPr>
            </w:pPr>
            <w:r>
              <w:rPr>
                <w:rFonts w:ascii="Arial" w:cs="Arial" w:eastAsia="Arial" w:hAnsi="Arial"/>
                <w:sz w:val="18"/>
                <w:szCs w:val="18"/>
                <w:color w:val="auto"/>
              </w:rPr>
              <w:t>Amortization of de-designated interest rate swaps, as well as the change in fair value of 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10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the new long-term debt in the second half of 2016, including 2026 Senior Notes, CVSR Holdco Notes due 2037, Energy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10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Center Minneapolis Series D due 2025 Notes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10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principal balances on certain project level debt in 2017, as well as higher revolver borrowings in 2016</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10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10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2017, income tax expense was $4 million lower than in the same period in 2016 due to lower income before taxes. For the three months ended June 30, 2017 and 2016, the Company's overall effective tax rate was different than the statutory rate of 35% primarily due to taxable earnings allocated to NRG resulting from NRG's interest in NRG Yield LLC and production and investment tax credits generated from certain wind and solar assets,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months ended June 30, 2017, the Company had income of $39 million attributable to NRG's interest in the Company and a loss of $22 million attributable to non-controlling interests with respect to its tax equity financing arrangements and the application of the HLBV method. For the three months ended June 30, 2016, the Company had income of $42 million attributable to NRG's interest in the Company and a loss of $16 million attributable to non-controlling interests with respect to its tax equity financing arrangements and the application of the HLBV method.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0" w:right="239" w:bottom="1440" w:gutter="0" w:footer="0" w:header="0"/>
        </w:sectPr>
      </w:pPr>
    </w:p>
    <w:bookmarkStart w:id="40" w:name="page41"/>
    <w:bookmarkEnd w:id="40"/>
    <w:p>
      <w:pPr>
        <w:jc w:val="both"/>
        <w:ind w:firstLine="405"/>
        <w:spacing w:after="0" w:line="277" w:lineRule="auto"/>
        <w:rPr>
          <w:sz w:val="20"/>
          <w:szCs w:val="20"/>
          <w:color w:val="auto"/>
        </w:rPr>
      </w:pPr>
      <w:r>
        <w:rPr>
          <w:rFonts w:ascii="Arial" w:cs="Arial" w:eastAsia="Arial" w:hAnsi="Arial"/>
          <w:sz w:val="18"/>
          <w:szCs w:val="18"/>
          <w:color w:val="auto"/>
        </w:rPr>
        <w:t>Gross margin decreased by $9 million and economic gross margin decreased by $15 million during the six months ended June 30, 2017, compared to the same period in 2016 due to: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8% decrease in volume generated at the Alta Wind projects due to lower wind resources in 2017, as well as a 5% decrease in solar</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generation due to lower insolation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0"/>
              </w:rPr>
              <w:t>Decrease in Conventional Generation primarily due to lower revenues at El Segundo and Walnut Creek as a result of forced outages in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Decrease in economic 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2"/>
              </w:rPr>
              <w:t>Emissions credit amortization of NOx allowances at Walnut Creek and El Segundo in compliance with amendments to the Regional Clean</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Air Incentives Market program in 2016</w:t>
            </w:r>
          </w:p>
        </w:tc>
        <w:tc>
          <w:tcPr>
            <w:tcW w:w="2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Decrease in gross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$4 million during the six months ended June 30, 2017, compared to the same period in 2016, primarily due to forced outages at Walnut Creek and El Segundo in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$17 million during the six months ended June 30, 2017, compared to the same period in 2016, primarily due to the acquisition of Utah Solar Portfolio in November 2016, as well as increase in earnings from Elkhorn Ridge, partially offset by a decrease in earnings from the Company's partnerships with NRG.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$20 million during the six months ended June 30, 2017, compared to the same period in 2016, due to: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41"/>
        </w:trPr>
        <w:tc>
          <w:tcPr>
            <w:tcW w:w="10160" w:type="dxa"/>
            <w:vAlign w:val="bottom"/>
          </w:tcPr>
          <w:p>
            <w:pPr>
              <w:ind w:left="40"/>
              <w:spacing w:after="0"/>
              <w:rPr>
                <w:sz w:val="20"/>
                <w:szCs w:val="20"/>
                <w:color w:val="auto"/>
              </w:rPr>
            </w:pPr>
            <w:r>
              <w:rPr>
                <w:rFonts w:ascii="Arial" w:cs="Arial" w:eastAsia="Arial" w:hAnsi="Arial"/>
                <w:sz w:val="18"/>
                <w:szCs w:val="18"/>
                <w:color w:val="auto"/>
                <w:w w:val="93"/>
              </w:rPr>
              <w:t>Issuance of the new long-term debt in the second half of 2016, including 2026 Senior Notes, CVSR Holdco Notes due 2037, and Energy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Center Minneapolis Series D Notes due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Amortization of de-designated interest rate swaps, partially offset by the change in fair value of interest rate swaps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revolver borrowings in 2016 combined with the lower principal balances on project level debt in 2017</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10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10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six months ended June 30, 2017, income tax expense was $5 million lower than in the same period in 2016 due to lower income before taxes. For the six months ended June 30, 2017 and 2016, the overall effective tax rate was different than the statutory rate of 35% primarily due to taxable earnings allocated to NRG resulting from NRG's interest in NRG Yield LLC and production and investment tax credits generated from certain wind and solar assets,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six months ended June 30, 2017, the Company had income of $40 million attributable to NRG related to its economic interest in NRG Yield LLC and its 25% interest in NRG Wind TE Holdco. Additionally, for the six months ended June 30, 2017, the Company had a loss of $33 million attributable to noncontrolling interests with respect to its tax equity financing arrangements and the application of the HLBV method. For the six months ended June 30, 2016, the Company had income of $52 million attributable to NRG's economic interest in the Company and its 25% interest in NRG Wind TE Holdco and a loss of $29 million attributable to noncontrolling interests with respect to its tax equity financing arrangements and application of the HLBV method.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the Company's liquidity was approximately </w:t>
      </w:r>
      <w:r>
        <w:rPr>
          <w:rFonts w:ascii="Arial" w:cs="Arial" w:eastAsia="Arial" w:hAnsi="Arial"/>
          <w:sz w:val="16"/>
          <w:szCs w:val="16"/>
          <w:color w:val="000000"/>
        </w:rPr>
        <w:t>$722 million</w:t>
      </w:r>
      <w:r>
        <w:rPr>
          <w:rFonts w:ascii="Arial" w:cs="Arial" w:eastAsia="Arial" w:hAnsi="Arial"/>
          <w:sz w:val="16"/>
          <w:szCs w:val="16"/>
          <w:color w:val="231F20"/>
        </w:rPr>
        <w:t xml:space="preserve"> and </w:t>
      </w:r>
      <w:r>
        <w:rPr>
          <w:rFonts w:ascii="Arial" w:cs="Arial" w:eastAsia="Arial" w:hAnsi="Arial"/>
          <w:sz w:val="16"/>
          <w:szCs w:val="16"/>
          <w:color w:val="000000"/>
        </w:rPr>
        <w:t>$922 million</w:t>
      </w:r>
      <w:r>
        <w:rPr>
          <w:rFonts w:ascii="Arial" w:cs="Arial" w:eastAsia="Arial" w:hAnsi="Arial"/>
          <w:sz w:val="16"/>
          <w:szCs w:val="16"/>
          <w:color w:val="231F20"/>
        </w:rPr>
        <w:t xml:space="preserve">, respectively, comprised of cash, restricted cash, and availability under the Company's revolving credit facility. The Company's liquidity includes $114 million and </w:t>
      </w:r>
      <w:r>
        <w:rPr>
          <w:rFonts w:ascii="Arial" w:cs="Arial" w:eastAsia="Arial" w:hAnsi="Arial"/>
          <w:sz w:val="16"/>
          <w:szCs w:val="16"/>
          <w:color w:val="000000"/>
        </w:rPr>
        <w:t>$165 million</w:t>
      </w:r>
      <w:r>
        <w:rPr>
          <w:rFonts w:ascii="Arial" w:cs="Arial" w:eastAsia="Arial" w:hAnsi="Arial"/>
          <w:sz w:val="16"/>
          <w:szCs w:val="16"/>
          <w:color w:val="231F20"/>
        </w:rPr>
        <w:t xml:space="preserve"> of restricted cash balances as of </w:t>
      </w:r>
      <w:r>
        <w:rPr>
          <w:rFonts w:ascii="Arial" w:cs="Arial" w:eastAsia="Arial" w:hAnsi="Arial"/>
          <w:sz w:val="16"/>
          <w:szCs w:val="16"/>
          <w:color w:val="000000"/>
        </w:rPr>
        <w:t>June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i w:val="1"/>
          <w:iCs w:val="1"/>
          <w:color w:val="231F20"/>
        </w:rPr>
        <w:t>.</w:t>
      </w:r>
      <w:r>
        <w:rPr>
          <w:rFonts w:ascii="Arial" w:cs="Arial" w:eastAsia="Arial" w:hAnsi="Arial"/>
          <w:sz w:val="16"/>
          <w:szCs w:val="16"/>
          <w:color w:val="231F20"/>
        </w:rPr>
        <w:t xml:space="preserve"> As of </w:t>
      </w:r>
      <w:r>
        <w:rPr>
          <w:rFonts w:ascii="Arial" w:cs="Arial" w:eastAsia="Arial" w:hAnsi="Arial"/>
          <w:sz w:val="16"/>
          <w:szCs w:val="16"/>
          <w:color w:val="000000"/>
        </w:rPr>
        <w:t>June 30, 2017</w:t>
      </w:r>
      <w:r>
        <w:rPr>
          <w:rFonts w:ascii="Arial" w:cs="Arial" w:eastAsia="Arial" w:hAnsi="Arial"/>
          <w:sz w:val="16"/>
          <w:szCs w:val="16"/>
          <w:color w:val="231F20"/>
        </w:rPr>
        <w:t>, the Company had $427 million of available borrowings under its revolving credit facility.</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there were no outstanding borrowings and there were $68 million of letters of credit outstanding under the Company's revolving credit facility.</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Yield,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The ratings outlook is stable.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8340" w:type="dxa"/>
            <w:vAlign w:val="bottom"/>
          </w:tcPr>
          <w:p>
            <w:pPr>
              <w:ind w:left="420"/>
              <w:spacing w:after="0"/>
              <w:rPr>
                <w:sz w:val="20"/>
                <w:szCs w:val="20"/>
                <w:color w:val="auto"/>
              </w:rPr>
            </w:pPr>
            <w:r>
              <w:rPr>
                <w:rFonts w:ascii="Arial" w:cs="Arial" w:eastAsia="Arial" w:hAnsi="Arial"/>
                <w:sz w:val="18"/>
                <w:szCs w:val="18"/>
                <w:b w:val="1"/>
                <w:bCs w:val="1"/>
                <w:i w:val="1"/>
                <w:iCs w:val="1"/>
                <w:color w:val="231F20"/>
              </w:rPr>
              <w:t>Sources of Liquidity</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w:t>
      </w:r>
      <w:r>
        <w:rPr>
          <w:rFonts w:ascii="Arial" w:cs="Arial" w:eastAsia="Arial" w:hAnsi="Arial"/>
          <w:sz w:val="17"/>
          <w:szCs w:val="17"/>
          <w:color w:val="231F20"/>
        </w:rPr>
        <w:t xml:space="preserve"> </w:t>
      </w:r>
      <w:r>
        <w:rPr>
          <w:rFonts w:ascii="Arial" w:cs="Arial" w:eastAsia="Arial" w:hAnsi="Arial"/>
          <w:sz w:val="17"/>
          <w:szCs w:val="17"/>
          <w:i w:val="1"/>
          <w:iCs w:val="1"/>
          <w:color w:val="000000"/>
        </w:rPr>
        <w:t>Debt</w:t>
      </w:r>
      <w:r>
        <w:rPr>
          <w:rFonts w:ascii="Arial" w:cs="Arial" w:eastAsia="Arial" w:hAnsi="Arial"/>
          <w:sz w:val="17"/>
          <w:szCs w:val="17"/>
          <w:color w:val="231F20"/>
        </w:rPr>
        <w:t>,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9</w:t>
      </w:r>
      <w:r>
        <w:rPr>
          <w:rFonts w:ascii="Arial" w:cs="Arial" w:eastAsia="Arial" w:hAnsi="Arial"/>
          <w:sz w:val="17"/>
          <w:szCs w:val="17"/>
          <w:color w:val="231F20"/>
        </w:rPr>
        <w:t>,</w:t>
      </w:r>
      <w:r>
        <w:rPr>
          <w:rFonts w:ascii="Arial" w:cs="Arial" w:eastAsia="Arial" w:hAnsi="Arial"/>
          <w:sz w:val="17"/>
          <w:szCs w:val="17"/>
          <w:i w:val="1"/>
          <w:iCs w:val="1"/>
          <w:color w:val="000000"/>
        </w:rPr>
        <w:t xml:space="preserve"> Changes in Capital Structure</w:t>
      </w:r>
      <w:r>
        <w:rPr>
          <w:rFonts w:ascii="Arial" w:cs="Arial" w:eastAsia="Arial" w:hAnsi="Arial"/>
          <w:sz w:val="17"/>
          <w:szCs w:val="17"/>
          <w:color w:val="231F20"/>
        </w:rPr>
        <w:t>, to this Form 10-Q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10</w:t>
      </w:r>
      <w:r>
        <w:rPr>
          <w:rFonts w:ascii="Arial" w:cs="Arial" w:eastAsia="Arial" w:hAnsi="Arial"/>
          <w:sz w:val="17"/>
          <w:szCs w:val="17"/>
          <w:color w:val="231F20"/>
        </w:rPr>
        <w:t>,</w:t>
      </w:r>
      <w:r>
        <w:rPr>
          <w:rFonts w:ascii="Arial" w:cs="Arial" w:eastAsia="Arial" w:hAnsi="Arial"/>
          <w:sz w:val="17"/>
          <w:szCs w:val="17"/>
          <w:i w:val="1"/>
          <w:iCs w:val="1"/>
          <w:color w:val="000000"/>
        </w:rPr>
        <w:t xml:space="preserve"> Long-term Debt</w:t>
      </w:r>
      <w:r>
        <w:rPr>
          <w:rFonts w:ascii="Arial" w:cs="Arial" w:eastAsia="Arial" w:hAnsi="Arial"/>
          <w:sz w:val="17"/>
          <w:szCs w:val="17"/>
          <w:color w:val="231F20"/>
        </w:rPr>
        <w:t>, to the consolidated financial statements included in the</w:t>
      </w:r>
      <w:r>
        <w:rPr>
          <w:rFonts w:ascii="Arial" w:cs="Arial" w:eastAsia="Arial" w:hAnsi="Arial"/>
          <w:sz w:val="17"/>
          <w:szCs w:val="17"/>
          <w:i w:val="1"/>
          <w:iCs w:val="1"/>
          <w:color w:val="000000"/>
        </w:rPr>
        <w:t xml:space="preserve"> </w:t>
      </w:r>
      <w:r>
        <w:rPr>
          <w:rFonts w:ascii="Arial" w:cs="Arial" w:eastAsia="Arial" w:hAnsi="Arial"/>
          <w:sz w:val="17"/>
          <w:szCs w:val="17"/>
          <w:color w:val="231F20"/>
        </w:rPr>
        <w:t xml:space="preserve">Company's May 9, 2017 </w:t>
      </w:r>
      <w:r>
        <w:rPr>
          <w:rFonts w:ascii="Arial" w:cs="Arial" w:eastAsia="Arial" w:hAnsi="Arial"/>
          <w:sz w:val="17"/>
          <w:szCs w:val="17"/>
          <w:color w:val="000000"/>
        </w:rPr>
        <w:t>Form 8-K</w:t>
      </w:r>
      <w:r>
        <w:rPr>
          <w:rFonts w:ascii="Arial" w:cs="Arial" w:eastAsia="Arial" w:hAnsi="Arial"/>
          <w:sz w:val="17"/>
          <w:szCs w:val="17"/>
          <w:color w:val="231F20"/>
        </w:rPr>
        <w:t>, the Company's financing arrangements consist of the revolving credit facility, the 2019 Convertible Notes, the 2020 Convertible Notes, the Senior Notes, the ATM Program and project-level financings for its various assets.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June 30, 2017, NRG Yield, Inc. issued 510,112 shares of Class C common stock under the ATM Program for gross proceeds of $9 million. During the six months ended June 30, 2017, NRG Yield, Inc. issued 934,139 shares of Class C common stock under the ATM Program for gross proceeds of $16 million and incurred commission fees of $163 thousand.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80" w:right="23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w:t>
      </w:r>
      <w:r>
        <w:rPr>
          <w:rFonts w:ascii="Arial" w:cs="Arial" w:eastAsia="Arial" w:hAnsi="Arial"/>
          <w:sz w:val="18"/>
          <w:szCs w:val="18"/>
          <w:color w:val="auto"/>
        </w:rPr>
        <w:t xml:space="preserve"> </w:t>
      </w:r>
      <w:r>
        <w:rPr>
          <w:rFonts w:ascii="Arial" w:cs="Arial" w:eastAsia="Arial" w:hAnsi="Arial"/>
          <w:sz w:val="18"/>
          <w:szCs w:val="18"/>
          <w:color w:val="231F20"/>
        </w:rPr>
        <w:t>assets of 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cash dividends to investors.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The Company develops annual capital spending plans based on projected requirements for maintenance and growth capital. For the six months ended </w:t>
      </w:r>
      <w:r>
        <w:rPr>
          <w:rFonts w:ascii="Arial" w:cs="Arial" w:eastAsia="Arial" w:hAnsi="Arial"/>
          <w:sz w:val="18"/>
          <w:szCs w:val="18"/>
          <w:color w:val="000000"/>
        </w:rPr>
        <w:t>June 30, 2017</w:t>
      </w:r>
      <w:r>
        <w:rPr>
          <w:rFonts w:ascii="Arial" w:cs="Arial" w:eastAsia="Arial" w:hAnsi="Arial"/>
          <w:sz w:val="18"/>
          <w:szCs w:val="18"/>
          <w:color w:val="231F20"/>
        </w:rPr>
        <w:t xml:space="preserve">, the Company used approximately $13 million to fund capital expenditures, including growth </w:t>
      </w:r>
      <w:r>
        <w:rPr>
          <w:rFonts w:ascii="Arial" w:cs="Arial" w:eastAsia="Arial" w:hAnsi="Arial"/>
          <w:sz w:val="18"/>
          <w:szCs w:val="18"/>
          <w:color w:val="000000"/>
        </w:rPr>
        <w:t>expenses of $2 million in the Thermal segment incurred in connection with</w:t>
      </w:r>
      <w:r>
        <w:rPr>
          <w:rFonts w:ascii="Arial" w:cs="Arial" w:eastAsia="Arial" w:hAnsi="Arial"/>
          <w:sz w:val="18"/>
          <w:szCs w:val="18"/>
          <w:color w:val="231F20"/>
        </w:rPr>
        <w:t xml:space="preserve"> </w:t>
      </w:r>
      <w:r>
        <w:rPr>
          <w:rFonts w:ascii="Arial" w:cs="Arial" w:eastAsia="Arial" w:hAnsi="Arial"/>
          <w:sz w:val="18"/>
          <w:szCs w:val="18"/>
          <w:color w:val="000000"/>
        </w:rPr>
        <w:t xml:space="preserve">expansion of its customer base. </w:t>
      </w:r>
      <w:r>
        <w:rPr>
          <w:rFonts w:ascii="Arial" w:cs="Arial" w:eastAsia="Arial" w:hAnsi="Arial"/>
          <w:sz w:val="18"/>
          <w:szCs w:val="18"/>
          <w:color w:val="231F20"/>
        </w:rPr>
        <w:t>For the six months ended June 30,</w:t>
      </w:r>
      <w:r>
        <w:rPr>
          <w:rFonts w:ascii="Arial" w:cs="Arial" w:eastAsia="Arial" w:hAnsi="Arial"/>
          <w:sz w:val="18"/>
          <w:szCs w:val="18"/>
          <w:color w:val="000000"/>
        </w:rPr>
        <w:t xml:space="preserve"> 2016</w:t>
      </w:r>
      <w:r>
        <w:rPr>
          <w:rFonts w:ascii="Arial" w:cs="Arial" w:eastAsia="Arial" w:hAnsi="Arial"/>
          <w:sz w:val="18"/>
          <w:szCs w:val="18"/>
          <w:color w:val="231F20"/>
        </w:rPr>
        <w:t>, the Company used approximately $11 million to fund capital expenditures, of which</w:t>
      </w:r>
      <w:r>
        <w:rPr>
          <w:rFonts w:ascii="Arial" w:cs="Arial" w:eastAsia="Arial" w:hAnsi="Arial"/>
          <w:sz w:val="18"/>
          <w:szCs w:val="18"/>
          <w:color w:val="000000"/>
        </w:rPr>
        <w:t xml:space="preserve"> $9 million related to maintenance expenses.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24, 2017, the Company amended and restated the ROFO Agreement, expanding the ROFO Assets pipeline with the addition of 234 net MW of utility-scale solar projects, consisting of Buckthorn, a 154 net MW solar facility in Texas, and Hawaii solar projects, which have a combined capacity of 80 net MW. Under the ROFO Agreement, NRG has granted the Company and its affiliates a right of first offer on any proposed sale, transfer or other disposition of certain assets of NRG until February 24, 2022.</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discussed in Item 1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the Company acquired the following interests from NRG: (i) Agua Caliente Borrower 2 LLC, which owns a 16% interest (approximately 31% of NRG's 51% 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$1 million of working capital and assumed non-recourse project debt. The purchase price for the acquisition was funded with cash on hand.</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Also as discussed in Item 1 —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August 1, 2017, the Company acquired the remaining 25% interest in NRG Wind TE Holdco, a portfolio of 12 wind projects, from NRG for total cash consideration of $41.5 million, excluding working capital adjustments. The transaction also includes potential additional payments to NRG dependent upon actual energy prices for merchant periods beginning in 2027.</w:t>
      </w:r>
    </w:p>
    <w:p>
      <w:pPr>
        <w:spacing w:after="0" w:line="1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23, 2017, NRG offered the Company the opportunity to form a new distributed solar investment partnership enabling up to $50 million in investment by the Company. In addition, on July 31, 2017, NRG offered the Company equity interests in a 38 MW portfolio of distributed and small utility-scale solar assets primarily comprised of assets from NRG's Solar Power Partners, or SPP, funds in addition to other projects developed since the acquisition of SPP. These equity interests are not part of the ROFO Agreement. Both the distributed solar investment partnership and the distributed and small utility-scale solar acquisition are subject to negotiation and approval by the Company's independent directors.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2017, the Company invested $26 million in distributed solar investment partnerships with NRG.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84"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NRG Yield, Inc. intends to use the amount of cash that it receives from its distributions from NRG Yield LLC to pay quarterly dividends to the holders of its Class A common stock and Class C common stock. NRG Yield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7"/>
          <w:szCs w:val="17"/>
          <w:color w:val="000000"/>
        </w:rPr>
        <w:t>he Class A common stock and Class C common stock are subject to available capital, market</w:t>
      </w:r>
      <w:r>
        <w:rPr>
          <w:rFonts w:ascii="Arial" w:cs="Arial" w:eastAsia="Arial" w:hAnsi="Arial"/>
          <w:sz w:val="17"/>
          <w:szCs w:val="17"/>
          <w:color w:val="231F20"/>
        </w:rPr>
        <w:t xml:space="preserve"> </w:t>
      </w:r>
      <w:r>
        <w:rPr>
          <w:rFonts w:ascii="Arial" w:cs="Arial" w:eastAsia="Arial" w:hAnsi="Arial"/>
          <w:sz w:val="17"/>
          <w:szCs w:val="17"/>
          <w:color w:val="000000"/>
        </w:rPr>
        <w:t>conditions, and compliance with associated laws, regulations and other contractual obligations. The Company expects that, based on current circumstances, comparable cash dividends will continue to be paid in the foreseeable future.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NRG Yield, Inc.'s Class A common stock and Class C common stock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9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Second Quarter</w:t>
            </w:r>
          </w:p>
        </w:tc>
        <w:tc>
          <w:tcPr>
            <w:tcW w:w="14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Class A share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Dividends per Class C share</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r>
    </w:tbl>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25, 2017, NRG Yield, Inc. declared quarterly dividends on its Class A common stock and Class C common stock of $0.28 per share payable on September 15, 2017, to stockholders of record as of September 1,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six months ended June 30, 2017 compared to the six months ended June 30, 2016: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(143)</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(220)</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540"/>
        </w:trPr>
        <w:tc>
          <w:tcPr>
            <w:tcW w:w="73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32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10180" w:type="dxa"/>
            <w:vAlign w:val="bottom"/>
            <w:gridSpan w:val="6"/>
          </w:tcPr>
          <w:p>
            <w:pPr>
              <w:ind w:left="40"/>
              <w:spacing w:after="0"/>
              <w:rPr>
                <w:sz w:val="20"/>
                <w:szCs w:val="20"/>
                <w:color w:val="auto"/>
              </w:rPr>
            </w:pPr>
            <w:r>
              <w:rPr>
                <w:rFonts w:ascii="Arial" w:cs="Arial" w:eastAsia="Arial" w:hAnsi="Arial"/>
                <w:sz w:val="18"/>
                <w:szCs w:val="18"/>
                <w:color w:val="auto"/>
                <w:w w:val="92"/>
              </w:rPr>
              <w:t>Decrease in working capital driven primarily by timing of cash receipts from the customers in the first six months of 2017 compared to the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0"/>
              <w:spacing w:after="0"/>
              <w:rPr>
                <w:sz w:val="20"/>
                <w:szCs w:val="20"/>
                <w:color w:val="auto"/>
              </w:rPr>
            </w:pPr>
            <w:r>
              <w:rPr>
                <w:rFonts w:ascii="Arial" w:cs="Arial" w:eastAsia="Arial" w:hAnsi="Arial"/>
                <w:sz w:val="18"/>
                <w:szCs w:val="18"/>
                <w:color w:val="auto"/>
              </w:rPr>
              <w:t>same period in 2016</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016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2"/>
              </w:rPr>
              <w:t>Higher distributions from unconsolidated affiliates due to the acquisition of Utah Solar Portfolio, which was acquired by NRG in November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32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made to acquire the March 2017 Drop Down Assets</w:t>
            </w: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w w:val="91"/>
              </w:rPr>
              <w:t>Decrease in investments in unconsolidated affiliates in 2017 primarily due to the timing of funding of the projects</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320" w:type="dxa"/>
            <w:vAlign w:val="bottom"/>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5"/>
        </w:trPr>
        <w:tc>
          <w:tcPr>
            <w:tcW w:w="9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1"/>
              </w:rPr>
              <w:t>Proceeds from the NRG Yield, Inc. Class C common stock offering under the ATM Program, net of underwriting discounts and</w:t>
            </w: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commissions</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borrowings under the revolving credit facility in 2016</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0180" w:type="dxa"/>
            <w:vAlign w:val="bottom"/>
            <w:gridSpan w:val="6"/>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5"/>
              </w:rPr>
              <w:t>Proceeds from Agua Caliente Borrower 2 LLC borrowings in the first quarter of 2017 partially offset by higher repayments of long-term</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and increased financing fees</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9280" w:type="dxa"/>
            <w:vAlign w:val="bottom"/>
            <w:gridSpan w:val="4"/>
          </w:tcPr>
          <w:p>
            <w:pPr>
              <w:ind w:left="40"/>
              <w:spacing w:after="0"/>
              <w:rPr>
                <w:sz w:val="20"/>
                <w:szCs w:val="20"/>
                <w:color w:val="auto"/>
              </w:rPr>
            </w:pPr>
            <w:r>
              <w:rPr>
                <w:rFonts w:ascii="Arial" w:cs="Arial" w:eastAsia="Arial" w:hAnsi="Arial"/>
                <w:sz w:val="18"/>
                <w:szCs w:val="18"/>
                <w:color w:val="auto"/>
                <w:w w:val="91"/>
              </w:rPr>
              <w:t>Increase in net contributions from noncontrolling interests due to higher production-based payments in 2017 compared to 2016</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Increase in dividends paid to common stockholders, as declared dividends increase by 16% from 2016 to 2017</w:t>
            </w: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w w:val="99"/>
              </w:rPr>
              <w:t>Higher payments of distributions to NRG for the Drop Down Assets relating to the pre-acquisition period</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2016, the Company has a cumulative federal NOL carry forward balance of $648 million for financial statement purposes, which will begin expiring in 2033, and does not anticipate any federal income tax payments for 2017. As a result of the Company's tax position, and based on current forecasts, the Company does not anticipate significant income tax payments for state and local jurisdictions in 2017. Based on the Company's current and expected NOL balances generated primarily by accelerated tax depreciation of its property, plant and equipment, the Company does not expect to pay significant federal income tax for a period of approximately ten years.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subject to examination by taxing authorities for income tax returns filed in the U.S. federal jurisdiction and various state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U.S. federal or state income tax examinations for years prior to 2013.</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June 30, 2017,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and DGPV Holdco 2 are variable interest entities for which the Company is not the primary beneficiary.</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$623 million as of June 30, 2017. This indebtedness may restrict the ability of these subsidiaries to issue dividends or distributions to the Company. For a complete description of debt held by unconsolidated affiliates, see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our capital expenditure programs, as disclosed in the Company's 2016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2017</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2017</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2016</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June 30, 2017</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0"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382"/>
              <w:spacing w:after="0"/>
              <w:rPr>
                <w:sz w:val="20"/>
                <w:szCs w:val="20"/>
                <w:color w:val="auto"/>
              </w:rPr>
            </w:pPr>
            <w:r>
              <w:rPr>
                <w:rFonts w:ascii="Arial" w:cs="Arial" w:eastAsia="Arial" w:hAnsi="Arial"/>
                <w:sz w:val="14"/>
                <w:szCs w:val="14"/>
                <w:b w:val="1"/>
                <w:bCs w:val="1"/>
                <w:color w:val="auto"/>
                <w:w w:val="91"/>
              </w:rPr>
              <w:t>Fair value of contracts as of June 30,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3"/>
                <w:szCs w:val="13"/>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1260" w:type="dxa"/>
            <w:vAlign w:val="bottom"/>
            <w:gridSpan w:val="2"/>
          </w:tcPr>
          <w:p>
            <w:pPr>
              <w:jc w:val="right"/>
              <w:ind w:right="42"/>
              <w:spacing w:after="0" w:line="153" w:lineRule="exact"/>
              <w:rPr>
                <w:sz w:val="20"/>
                <w:szCs w:val="20"/>
                <w:color w:val="auto"/>
              </w:rPr>
            </w:pPr>
            <w:r>
              <w:rPr>
                <w:rFonts w:ascii="Arial" w:cs="Arial" w:eastAsia="Arial" w:hAnsi="Arial"/>
                <w:sz w:val="14"/>
                <w:szCs w:val="14"/>
                <w:b w:val="1"/>
                <w:bCs w:val="1"/>
                <w:color w:val="auto"/>
              </w:rPr>
              <w:t>Greater Than 1</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Greater Than 3</w:t>
            </w:r>
          </w:p>
        </w:tc>
        <w:tc>
          <w:tcPr>
            <w:tcW w:w="220" w:type="dxa"/>
            <w:vAlign w:val="bottom"/>
          </w:tcPr>
          <w:p>
            <w:pPr>
              <w:spacing w:after="0"/>
              <w:rPr>
                <w:sz w:val="13"/>
                <w:szCs w:val="13"/>
                <w:color w:val="auto"/>
              </w:rPr>
            </w:pPr>
          </w:p>
        </w:tc>
        <w:tc>
          <w:tcPr>
            <w:tcW w:w="112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5"/>
              </w:rPr>
              <w:t>Greater Than 5</w:t>
            </w:r>
          </w:p>
        </w:tc>
        <w:tc>
          <w:tcPr>
            <w:tcW w:w="300" w:type="dxa"/>
            <w:vAlign w:val="bottom"/>
          </w:tcPr>
          <w:p>
            <w:pPr>
              <w:spacing w:after="0"/>
              <w:rPr>
                <w:sz w:val="13"/>
                <w:szCs w:val="13"/>
                <w:color w:val="auto"/>
              </w:rPr>
            </w:pPr>
          </w:p>
        </w:tc>
        <w:tc>
          <w:tcPr>
            <w:tcW w:w="9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tcPr>
          <w:p>
            <w:pPr>
              <w:jc w:val="right"/>
              <w:ind w:right="62"/>
              <w:spacing w:after="0" w:line="158" w:lineRule="exact"/>
              <w:rPr>
                <w:sz w:val="20"/>
                <w:szCs w:val="20"/>
                <w:color w:val="auto"/>
              </w:rPr>
            </w:pPr>
            <w:r>
              <w:rPr>
                <w:rFonts w:ascii="Arial" w:cs="Arial" w:eastAsia="Arial" w:hAnsi="Arial"/>
                <w:sz w:val="14"/>
                <w:szCs w:val="14"/>
                <w:b w:val="1"/>
                <w:bCs w:val="1"/>
                <w:color w:val="auto"/>
              </w:rPr>
              <w:t>Year to 3 Years</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Years to 5 Years</w:t>
            </w:r>
          </w:p>
        </w:tc>
        <w:tc>
          <w:tcPr>
            <w:tcW w:w="220" w:type="dxa"/>
            <w:vAlign w:val="bottom"/>
          </w:tcPr>
          <w:p>
            <w:pPr>
              <w:spacing w:after="0"/>
              <w:rPr>
                <w:sz w:val="13"/>
                <w:szCs w:val="13"/>
                <w:color w:val="auto"/>
              </w:rPr>
            </w:pPr>
          </w:p>
        </w:tc>
        <w:tc>
          <w:tcPr>
            <w:tcW w:w="112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2016 Form 10-K.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$1 million</w:t>
      </w:r>
      <w:r>
        <w:rPr>
          <w:rFonts w:ascii="Arial" w:cs="Arial" w:eastAsia="Arial" w:hAnsi="Arial"/>
          <w:sz w:val="17"/>
          <w:szCs w:val="17"/>
          <w:color w:val="231F20"/>
        </w:rPr>
        <w:t xml:space="preserve"> to the net value of derivatives as of </w:t>
      </w:r>
      <w:r>
        <w:rPr>
          <w:rFonts w:ascii="Arial" w:cs="Arial" w:eastAsia="Arial" w:hAnsi="Arial"/>
          <w:sz w:val="17"/>
          <w:szCs w:val="17"/>
          <w:color w:val="000000"/>
        </w:rPr>
        <w:t>June 30, 2017</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 </w:t>
      </w:r>
      <w:r>
        <w:rPr>
          <w:rFonts w:ascii="Arial" w:cs="Arial" w:eastAsia="Arial" w:hAnsi="Arial"/>
          <w:sz w:val="17"/>
          <w:szCs w:val="17"/>
          <w:color w:val="000000"/>
        </w:rPr>
        <w:t>—</w:t>
      </w:r>
      <w:r>
        <w:rPr>
          <w:rFonts w:ascii="Arial" w:cs="Arial" w:eastAsia="Arial" w:hAnsi="Arial"/>
          <w:sz w:val="17"/>
          <w:szCs w:val="17"/>
          <w:color w:val="231F20"/>
        </w:rPr>
        <w:t xml:space="preserve"> </w:t>
      </w:r>
      <w:r>
        <w:rPr>
          <w:rFonts w:ascii="Arial" w:cs="Arial" w:eastAsia="Arial" w:hAnsi="Arial"/>
          <w:sz w:val="17"/>
          <w:szCs w:val="17"/>
          <w:color w:val="000000"/>
        </w:rPr>
        <w:t>Note 6</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for more information.</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2016 included</w:t>
      </w:r>
      <w:r>
        <w:rPr>
          <w:rFonts w:ascii="Arial" w:cs="Arial" w:eastAsia="Arial" w:hAnsi="Arial"/>
          <w:sz w:val="17"/>
          <w:szCs w:val="17"/>
          <w:color w:val="231F20"/>
        </w:rPr>
        <w:t xml:space="preserve"> </w:t>
      </w:r>
      <w:r>
        <w:rPr>
          <w:rFonts w:ascii="Arial" w:cs="Arial" w:eastAsia="Arial" w:hAnsi="Arial"/>
          <w:sz w:val="17"/>
          <w:szCs w:val="17"/>
          <w:color w:val="000000"/>
        </w:rPr>
        <w:t xml:space="preserve">in the May 9, 2017 Form 8-K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2017</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$76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The Company has long-term debt instruments that subject it to the risk of loss associated with movements in market interest rates. As of </w:t>
      </w:r>
      <w:r>
        <w:rPr>
          <w:rFonts w:ascii="Arial" w:cs="Arial" w:eastAsia="Arial" w:hAnsi="Arial"/>
          <w:sz w:val="17"/>
          <w:szCs w:val="17"/>
          <w:color w:val="000000"/>
        </w:rPr>
        <w:t>June 30, 2017</w:t>
      </w:r>
      <w:r>
        <w:rPr>
          <w:rFonts w:ascii="Arial" w:cs="Arial" w:eastAsia="Arial" w:hAnsi="Arial"/>
          <w:sz w:val="17"/>
          <w:szCs w:val="17"/>
          <w:color w:val="231F20"/>
        </w:rPr>
        <w:t>, a 1% change in interest rates would result in an approximately $3 million change in market interest expense on a rolling twelve-month basis.</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2017</w:t>
      </w:r>
      <w:r>
        <w:rPr>
          <w:rFonts w:ascii="Arial" w:cs="Arial" w:eastAsia="Arial" w:hAnsi="Arial"/>
          <w:sz w:val="18"/>
          <w:szCs w:val="18"/>
          <w:color w:val="231F20"/>
        </w:rPr>
        <w:t xml:space="preserve">, the fair value of the Company's debt was $6,017 million and the carrying value was $5,961 million. The Company estimates that a 1% decrease in market interest rates would have increased the fair value of its long-term debt by approximately </w:t>
      </w:r>
      <w:r>
        <w:rPr>
          <w:rFonts w:ascii="Arial" w:cs="Arial" w:eastAsia="Arial" w:hAnsi="Arial"/>
          <w:sz w:val="18"/>
          <w:szCs w:val="18"/>
          <w:color w:val="000000"/>
        </w:rPr>
        <w:t>$325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second quarter of 2017 that materially affected, or are reasonably likely to materially affect, the Company’s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a discussion of the material legal proceedings in which the Company was involved through June 30, 2017, see Note 13, </w:t>
      </w:r>
      <w:r>
        <w:rPr>
          <w:rFonts w:ascii="Arial" w:cs="Arial" w:eastAsia="Arial" w:hAnsi="Arial"/>
          <w:sz w:val="16"/>
          <w:szCs w:val="16"/>
          <w:i w:val="1"/>
          <w:iCs w:val="1"/>
          <w:color w:val="auto"/>
        </w:rPr>
        <w:t>Contingencies</w:t>
      </w:r>
      <w:r>
        <w:rPr>
          <w:rFonts w:ascii="Arial" w:cs="Arial" w:eastAsia="Arial" w:hAnsi="Arial"/>
          <w:sz w:val="16"/>
          <w:szCs w:val="16"/>
          <w:color w:val="auto"/>
        </w:rPr>
        <w:t>,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2016 Form 10-K. Except as presented below, there have been no material changes in the Company's risk factors since those reported in its 2016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sale of some or all of NRG’s ownership interest in the Company may have a material adverse effect on the Company’s business, financial condition, results of operations and cash flows.</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As part of the NRG Transformation Plan announced on July 12, 2017, NRG stated that it is exploring strategic alternatives for its renewables platform and its interest in the Company, which could span a variety of ownership structures and partnership types, including the potential partial or full monetization of NRG’s interest in its renewables platform and the Company. As a result of NRG’s ownership of all of the Company’s outstanding Class B and Class D common stock, NRG owns 55.1% of the combined voting power of the Company’s common stock as of June 30, 2017. If a new owner were to acquire NRG’s interest in the Company, the new owner could exercise substantial influence over the Company’s policies and procedures and exercise substantial influence over the Company’s management and the types of acquisitions the Company makes. Such changes could result in the Company’s capital being used to make acquisitions that are substantially different from the Company’s targeted acquisitions and otherwise effect a significant change in the Company’s current business strategy. Additionally, the Company cannot predict with any certainty the effect that any transfer of ownership would have on the trading price of the Company’s Class A or Class C common stock or the Company’s ability to raise capital, borrow additional funds or make investments in the future, because such matters would depend to a large extent on the identity of the new owner and the new owner’s intentions with regard to the Company. A sale of some or all of NRG’s ownership interest in the Company may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280" w:type="dxa"/>
            <w:vAlign w:val="bottom"/>
          </w:tcPr>
          <w:p>
            <w:pPr>
              <w:ind w:left="220"/>
              <w:spacing w:after="0"/>
              <w:rPr>
                <w:sz w:val="20"/>
                <w:szCs w:val="20"/>
                <w:color w:val="auto"/>
              </w:rPr>
            </w:pPr>
            <w:r>
              <w:rPr>
                <w:rFonts w:ascii="Arial" w:cs="Arial" w:eastAsia="Arial" w:hAnsi="Arial"/>
                <w:sz w:val="16"/>
                <w:szCs w:val="16"/>
                <w:b w:val="1"/>
                <w:bCs w:val="1"/>
                <w:color w:val="auto"/>
              </w:rPr>
              <w:t>Description</w:t>
            </w:r>
          </w:p>
        </w:tc>
        <w:tc>
          <w:tcPr>
            <w:tcW w:w="2260" w:type="dxa"/>
            <w:vAlign w:val="bottom"/>
          </w:tcPr>
          <w:p>
            <w:pPr>
              <w:ind w:left="980"/>
              <w:spacing w:after="0"/>
              <w:rPr>
                <w:sz w:val="20"/>
                <w:szCs w:val="20"/>
                <w:color w:val="auto"/>
              </w:rPr>
            </w:pPr>
            <w:r>
              <w:rPr>
                <w:rFonts w:ascii="Arial" w:cs="Arial" w:eastAsia="Arial" w:hAnsi="Arial"/>
                <w:sz w:val="16"/>
                <w:szCs w:val="16"/>
                <w:b w:val="1"/>
                <w:bCs w:val="1"/>
                <w:color w:val="auto"/>
              </w:rPr>
              <w:t>Method of Filing</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Christopher S. Sotos.</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Chad Plotkin.</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INS</w:t>
            </w:r>
          </w:p>
        </w:tc>
        <w:tc>
          <w:tcPr>
            <w:tcW w:w="528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SCH</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CAL</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DEF</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LAB</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PRE</w:t>
            </w:r>
          </w:p>
        </w:tc>
        <w:tc>
          <w:tcPr>
            <w:tcW w:w="528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1080"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INC.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3, 2017</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52</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1080" w:right="239" w:bottom="1440" w:gutter="0" w:footer="0" w:header="0"/>
        </w:sectPr>
      </w:pPr>
    </w:p>
    <w:bookmarkStart w:id="52" w:name="page53"/>
    <w:bookmarkEnd w:id="52"/>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661" w:right="239" w:bottom="1440"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661" w:right="239" w:bottom="1440" w:gutter="0" w:footer="0" w:header="0"/>
        </w:sectPr>
      </w:pPr>
    </w:p>
    <w:bookmarkStart w:id="54" w:name="page55"/>
    <w:bookmarkEnd w:id="54"/>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Inc. on Form 10-Q for the quarter ended June 30, 2017,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Inc. and will be retained by NRG Yield,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decimal"/>
      <w:start w:val="18"/>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Roman"/>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2019-12-29T05:34:06Z</dcterms:created>
  <dcterms:modified xsi:type="dcterms:W3CDTF">2019-12-29T05:34:06Z</dcterms:modified>
</cp:coreProperties>
</file>