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66"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80" w:type="dxa"/>
            <w:vAlign w:val="bottom"/>
            <w:gridSpan w:val="8"/>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7"/>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Global Infrastructure Investors III, LLC</w:t>
              </w:r>
            </w:hyperlink>
          </w:p>
        </w:tc>
        <w:tc>
          <w:tcPr>
            <w:tcW w:w="2980" w:type="dxa"/>
            <w:vAlign w:val="bottom"/>
            <w:gridSpan w:val="8"/>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Clearway Energy,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20" w:type="dxa"/>
            <w:vAlign w:val="bottom"/>
            <w:gridSpan w:val="7"/>
            <w:vMerge w:val="continue"/>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20" w:type="dxa"/>
            <w:vAlign w:val="bottom"/>
            <w:gridSpan w:val="7"/>
            <w:vMerge w:val="continue"/>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13"/>
                <w:szCs w:val="13"/>
                <w:color w:val="auto"/>
              </w:rPr>
            </w:pPr>
          </w:p>
        </w:tc>
        <w:tc>
          <w:tcPr>
            <w:tcW w:w="1680" w:type="dxa"/>
            <w:vAlign w:val="bottom"/>
            <w:gridSpan w:val="6"/>
            <w:vMerge w:val="restart"/>
          </w:tcPr>
          <w:p>
            <w:pPr>
              <w:ind w:left="1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68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gridSpan w:val="3"/>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6"/>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80" w:type="dxa"/>
            <w:vAlign w:val="bottom"/>
            <w:gridSpan w:val="6"/>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gridSpan w:val="3"/>
            <w:vMerge w:val="continue"/>
          </w:tcPr>
          <w:p>
            <w:pPr>
              <w:spacing w:after="0"/>
              <w:rPr>
                <w:sz w:val="3"/>
                <w:szCs w:val="3"/>
                <w:color w:val="auto"/>
              </w:rPr>
            </w:pPr>
          </w:p>
        </w:tc>
        <w:tc>
          <w:tcPr>
            <w:tcW w:w="168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980" w:type="dxa"/>
            <w:vAlign w:val="bottom"/>
            <w:gridSpan w:val="8"/>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3"/>
                <w:szCs w:val="13"/>
                <w:color w:val="auto"/>
              </w:rPr>
            </w:pPr>
          </w:p>
        </w:tc>
        <w:tc>
          <w:tcPr>
            <w:tcW w:w="900" w:type="dxa"/>
            <w:vAlign w:val="bottom"/>
            <w:gridSpan w:val="2"/>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vMerge w:val="restart"/>
          </w:tcPr>
          <w:p>
            <w:pPr>
              <w:spacing w:after="0"/>
              <w:rPr>
                <w:sz w:val="20"/>
                <w:szCs w:val="20"/>
                <w:color w:val="auto"/>
              </w:rPr>
            </w:pPr>
            <w:r>
              <w:rPr>
                <w:rFonts w:ascii="Arial" w:cs="Arial" w:eastAsia="Arial" w:hAnsi="Arial"/>
                <w:sz w:val="17"/>
                <w:szCs w:val="17"/>
                <w:color w:val="0000FF"/>
              </w:rPr>
              <w:t>1345 AVENUE OF THE AMERICAS, 30TH</w:t>
            </w:r>
          </w:p>
        </w:tc>
        <w:tc>
          <w:tcPr>
            <w:tcW w:w="1360" w:type="dxa"/>
            <w:vAlign w:val="bottom"/>
            <w:gridSpan w:val="5"/>
          </w:tcPr>
          <w:p>
            <w:pPr>
              <w:ind w:left="80"/>
              <w:spacing w:after="0"/>
              <w:rPr>
                <w:sz w:val="20"/>
                <w:szCs w:val="20"/>
                <w:color w:val="auto"/>
              </w:rPr>
            </w:pPr>
            <w:r>
              <w:rPr>
                <w:rFonts w:ascii="Arial" w:cs="Arial" w:eastAsia="Arial" w:hAnsi="Arial"/>
                <w:sz w:val="17"/>
                <w:szCs w:val="17"/>
                <w:color w:val="0000FF"/>
              </w:rPr>
              <w:t>05/26/2020</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720" w:type="dxa"/>
            <w:vAlign w:val="bottom"/>
            <w:gridSpan w:val="7"/>
            <w:vMerge w:val="continue"/>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line="182" w:lineRule="exact"/>
              <w:rPr>
                <w:sz w:val="20"/>
                <w:szCs w:val="20"/>
                <w:color w:val="auto"/>
              </w:rPr>
            </w:pPr>
            <w:r>
              <w:rPr>
                <w:rFonts w:ascii="Arial" w:cs="Arial" w:eastAsia="Arial" w:hAnsi="Arial"/>
                <w:sz w:val="17"/>
                <w:szCs w:val="17"/>
                <w:color w:val="0000FF"/>
              </w:rPr>
              <w:t>FLOOR</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1340" w:type="dxa"/>
            <w:vAlign w:val="bottom"/>
            <w:tcBorders>
              <w:bottom w:val="single" w:sz="8" w:color="9A9A9A"/>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80" w:type="dxa"/>
            <w:vAlign w:val="bottom"/>
            <w:gridSpan w:val="9"/>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9"/>
                <w:szCs w:val="19"/>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gridSpan w:val="3"/>
          </w:tcPr>
          <w:p>
            <w:pPr>
              <w:ind w:left="80"/>
              <w:spacing w:after="0" w:line="120" w:lineRule="exact"/>
              <w:rPr>
                <w:sz w:val="20"/>
                <w:szCs w:val="20"/>
                <w:color w:val="auto"/>
              </w:rPr>
            </w:pPr>
            <w:r>
              <w:rPr>
                <w:rFonts w:ascii="Arial" w:cs="Arial" w:eastAsia="Arial" w:hAnsi="Arial"/>
                <w:sz w:val="13"/>
                <w:szCs w:val="13"/>
                <w:color w:val="auto"/>
              </w:rPr>
              <w:t>Line)</w:t>
            </w:r>
          </w:p>
        </w:tc>
        <w:tc>
          <w:tcPr>
            <w:tcW w:w="2960" w:type="dxa"/>
            <w:vAlign w:val="bottom"/>
            <w:gridSpan w:val="9"/>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NY</w:t>
            </w:r>
          </w:p>
        </w:tc>
        <w:tc>
          <w:tcPr>
            <w:tcW w:w="1340" w:type="dxa"/>
            <w:vAlign w:val="bottom"/>
          </w:tcPr>
          <w:p>
            <w:pPr>
              <w:ind w:left="140"/>
              <w:spacing w:after="0"/>
              <w:rPr>
                <w:sz w:val="20"/>
                <w:szCs w:val="20"/>
                <w:color w:val="auto"/>
              </w:rPr>
            </w:pPr>
            <w:r>
              <w:rPr>
                <w:rFonts w:ascii="Arial" w:cs="Arial" w:eastAsia="Arial" w:hAnsi="Arial"/>
                <w:sz w:val="17"/>
                <w:szCs w:val="17"/>
                <w:color w:val="0000FF"/>
              </w:rPr>
              <w:t>10105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960" w:type="dxa"/>
            <w:vAlign w:val="bottom"/>
            <w:gridSpan w:val="9"/>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246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9"/>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60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80" w:type="dxa"/>
            <w:vAlign w:val="bottom"/>
            <w:gridSpan w:val="7"/>
          </w:tcPr>
          <w:p>
            <w:pPr>
              <w:ind w:left="6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5"/>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11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860" w:type="dxa"/>
            <w:vAlign w:val="bottom"/>
            <w:gridSpan w:val="4"/>
            <w:vMerge w:val="restart"/>
          </w:tcPr>
          <w:p>
            <w:pPr>
              <w:jc w:val="right"/>
              <w:ind w:right="317"/>
              <w:spacing w:after="0"/>
              <w:rPr>
                <w:sz w:val="20"/>
                <w:szCs w:val="20"/>
                <w:color w:val="auto"/>
              </w:rPr>
            </w:pPr>
            <w:r>
              <w:rPr>
                <w:rFonts w:ascii="Arial" w:cs="Arial" w:eastAsia="Arial" w:hAnsi="Arial"/>
                <w:sz w:val="17"/>
                <w:szCs w:val="17"/>
                <w:color w:val="0000FF"/>
              </w:rPr>
              <w:t>05/26/2020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820" w:type="dxa"/>
            <w:vAlign w:val="bottom"/>
            <w:vMerge w:val="restart"/>
          </w:tcPr>
          <w:p>
            <w:pPr>
              <w:ind w:left="160"/>
              <w:spacing w:after="0"/>
              <w:rPr>
                <w:sz w:val="20"/>
                <w:szCs w:val="20"/>
                <w:color w:val="auto"/>
              </w:rPr>
            </w:pPr>
            <w:r>
              <w:rPr>
                <w:rFonts w:ascii="Arial" w:cs="Arial" w:eastAsia="Arial" w:hAnsi="Arial"/>
                <w:sz w:val="17"/>
                <w:szCs w:val="17"/>
                <w:color w:val="0000FF"/>
              </w:rPr>
              <w:t>19,963</w:t>
            </w:r>
          </w:p>
        </w:tc>
        <w:tc>
          <w:tcPr>
            <w:tcW w:w="50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340" w:type="dxa"/>
            <w:vAlign w:val="bottom"/>
            <w:vMerge w:val="restart"/>
          </w:tcPr>
          <w:p>
            <w:pPr>
              <w:jc w:val="right"/>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vMerge w:val="restart"/>
          </w:tcPr>
          <w:p>
            <w:pPr>
              <w:jc w:val="right"/>
              <w:ind w:right="320"/>
              <w:spacing w:after="0"/>
              <w:rPr>
                <w:sz w:val="20"/>
                <w:szCs w:val="20"/>
                <w:color w:val="auto"/>
              </w:rPr>
            </w:pPr>
            <w:r>
              <w:rPr>
                <w:rFonts w:ascii="Arial" w:cs="Arial" w:eastAsia="Arial" w:hAnsi="Arial"/>
                <w:sz w:val="17"/>
                <w:szCs w:val="17"/>
                <w:color w:val="0000FF"/>
              </w:rPr>
              <w:t>33,687</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86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860" w:type="dxa"/>
            <w:vAlign w:val="bottom"/>
            <w:tcBorders>
              <w:top w:val="single" w:sz="8" w:color="2C2C2C"/>
            </w:tcBorders>
            <w:gridSpan w:val="4"/>
            <w:vMerge w:val="restart"/>
          </w:tcPr>
          <w:p>
            <w:pPr>
              <w:jc w:val="right"/>
              <w:ind w:right="317"/>
              <w:spacing w:after="0"/>
              <w:rPr>
                <w:sz w:val="20"/>
                <w:szCs w:val="20"/>
                <w:color w:val="auto"/>
              </w:rPr>
            </w:pPr>
            <w:r>
              <w:rPr>
                <w:rFonts w:ascii="Arial" w:cs="Arial" w:eastAsia="Arial" w:hAnsi="Arial"/>
                <w:sz w:val="17"/>
                <w:szCs w:val="17"/>
                <w:color w:val="0000FF"/>
              </w:rPr>
              <w:t>05/26/2020</w:t>
            </w: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ind w:left="6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(4)</w:t>
            </w:r>
          </w:p>
        </w:tc>
        <w:tc>
          <w:tcPr>
            <w:tcW w:w="820" w:type="dxa"/>
            <w:vAlign w:val="bottom"/>
            <w:tcBorders>
              <w:top w:val="single" w:sz="8" w:color="2C2C2C"/>
            </w:tcBorders>
            <w:vMerge w:val="restart"/>
          </w:tcPr>
          <w:p>
            <w:pPr>
              <w:ind w:left="160"/>
              <w:spacing w:after="0"/>
              <w:rPr>
                <w:sz w:val="20"/>
                <w:szCs w:val="20"/>
                <w:color w:val="auto"/>
              </w:rPr>
            </w:pPr>
            <w:r>
              <w:rPr>
                <w:rFonts w:ascii="Arial" w:cs="Arial" w:eastAsia="Arial" w:hAnsi="Arial"/>
                <w:sz w:val="17"/>
                <w:szCs w:val="17"/>
                <w:color w:val="0000FF"/>
              </w:rPr>
              <w:t>26,149</w:t>
            </w:r>
          </w:p>
        </w:tc>
        <w:tc>
          <w:tcPr>
            <w:tcW w:w="500" w:type="dxa"/>
            <w:vAlign w:val="bottom"/>
            <w:tcBorders>
              <w:top w:val="single" w:sz="8" w:color="2C2C2C"/>
            </w:tcBorders>
            <w:vMerge w:val="restart"/>
          </w:tcPr>
          <w:p>
            <w:pPr>
              <w:ind w:left="140"/>
              <w:spacing w:after="0"/>
              <w:rPr>
                <w:sz w:val="20"/>
                <w:szCs w:val="20"/>
                <w:color w:val="auto"/>
              </w:rPr>
            </w:pPr>
            <w:r>
              <w:rPr>
                <w:rFonts w:ascii="Arial" w:cs="Arial" w:eastAsia="Arial" w:hAnsi="Arial"/>
                <w:sz w:val="17"/>
                <w:szCs w:val="17"/>
                <w:color w:val="0000FF"/>
              </w:rPr>
              <w:t>D</w:t>
            </w:r>
          </w:p>
        </w:tc>
        <w:tc>
          <w:tcPr>
            <w:tcW w:w="3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vMerge w:val="restart"/>
          </w:tcPr>
          <w:p>
            <w:pPr>
              <w:jc w:val="right"/>
              <w:spacing w:after="0"/>
              <w:rPr>
                <w:sz w:val="20"/>
                <w:szCs w:val="20"/>
                <w:color w:val="auto"/>
              </w:rPr>
            </w:pPr>
            <w:r>
              <w:rPr>
                <w:rFonts w:ascii="Arial" w:cs="Arial" w:eastAsia="Arial" w:hAnsi="Arial"/>
                <w:sz w:val="17"/>
                <w:szCs w:val="17"/>
                <w:color w:val="0000FF"/>
              </w:rPr>
              <w:t>7,538</w:t>
            </w:r>
          </w:p>
        </w:tc>
        <w:tc>
          <w:tcPr>
            <w:tcW w:w="4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86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22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jc w:val="right"/>
              <w:ind w:right="257"/>
              <w:spacing w:after="0" w:line="133" w:lineRule="exact"/>
              <w:rPr>
                <w:sz w:val="20"/>
                <w:szCs w:val="20"/>
                <w:color w:val="auto"/>
              </w:rPr>
            </w:pPr>
            <w:r>
              <w:rPr>
                <w:rFonts w:ascii="Arial" w:cs="Arial" w:eastAsia="Arial" w:hAnsi="Arial"/>
                <w:sz w:val="12"/>
                <w:szCs w:val="12"/>
                <w:b w:val="1"/>
                <w:bCs w:val="1"/>
                <w:color w:val="auto"/>
                <w:w w:val="93"/>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3760" w:type="dxa"/>
            <w:vAlign w:val="bottom"/>
            <w:tcBorders>
              <w:bottom w:val="single" w:sz="8" w:color="2C2C2C"/>
            </w:tcBorders>
            <w:gridSpan w:val="7"/>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Global Infrastructure Investors III, LLC</w:t>
              </w:r>
            </w:hyperlink>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11"/>
          </w:tcPr>
          <w:p>
            <w:pPr>
              <w:spacing w:after="0"/>
              <w:rPr>
                <w:sz w:val="20"/>
                <w:szCs w:val="20"/>
                <w:color w:val="auto"/>
              </w:rPr>
            </w:pPr>
            <w:r>
              <w:rPr>
                <w:rFonts w:ascii="Arial" w:cs="Arial" w:eastAsia="Arial" w:hAnsi="Arial"/>
                <w:sz w:val="17"/>
                <w:szCs w:val="17"/>
                <w:color w:val="0000FF"/>
              </w:rPr>
              <w:t>1345 AVENUE OF THE AMERICAS, 30TH FLOOR</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340" w:type="dxa"/>
            <w:vAlign w:val="bottom"/>
          </w:tcPr>
          <w:p>
            <w:pPr>
              <w:ind w:left="500"/>
              <w:spacing w:after="0"/>
              <w:rPr>
                <w:sz w:val="20"/>
                <w:szCs w:val="20"/>
                <w:color w:val="auto"/>
              </w:rPr>
            </w:pPr>
            <w:r>
              <w:rPr>
                <w:rFonts w:ascii="Arial" w:cs="Arial" w:eastAsia="Arial" w:hAnsi="Arial"/>
                <w:sz w:val="17"/>
                <w:szCs w:val="17"/>
                <w:color w:val="0000FF"/>
              </w:rPr>
              <w:t>10105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820" w:type="dxa"/>
            <w:vAlign w:val="bottom"/>
            <w:tcBorders>
              <w:bottom w:val="single" w:sz="8" w:color="2C2C2C"/>
            </w:tcBorders>
            <w:gridSpan w:val="8"/>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Global Infrastructure GP III, L.P.</w:t>
              </w:r>
            </w:hyperlink>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11"/>
          </w:tcPr>
          <w:p>
            <w:pPr>
              <w:spacing w:after="0"/>
              <w:rPr>
                <w:sz w:val="20"/>
                <w:szCs w:val="20"/>
                <w:color w:val="auto"/>
              </w:rPr>
            </w:pPr>
            <w:r>
              <w:rPr>
                <w:rFonts w:ascii="Arial" w:cs="Arial" w:eastAsia="Arial" w:hAnsi="Arial"/>
                <w:sz w:val="17"/>
                <w:szCs w:val="17"/>
                <w:color w:val="0000FF"/>
              </w:rPr>
              <w:t>1345 AVENUE OF THE AMERICAS, 30TH FLOOR</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340" w:type="dxa"/>
            <w:vAlign w:val="bottom"/>
          </w:tcPr>
          <w:p>
            <w:pPr>
              <w:ind w:left="500"/>
              <w:spacing w:after="0"/>
              <w:rPr>
                <w:sz w:val="20"/>
                <w:szCs w:val="20"/>
                <w:color w:val="auto"/>
              </w:rPr>
            </w:pPr>
            <w:r>
              <w:rPr>
                <w:rFonts w:ascii="Arial" w:cs="Arial" w:eastAsia="Arial" w:hAnsi="Arial"/>
                <w:sz w:val="17"/>
                <w:szCs w:val="17"/>
                <w:color w:val="0000FF"/>
              </w:rPr>
              <w:t>10105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820" w:type="dxa"/>
            <w:vAlign w:val="bottom"/>
            <w:tcBorders>
              <w:bottom w:val="single" w:sz="8" w:color="2C2C2C"/>
            </w:tcBorders>
            <w:gridSpan w:val="8"/>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GIP III Zephyr Acquisition Partners L.P.</w:t>
              </w:r>
            </w:hyperlink>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-7360920</wp:posOffset>
            </wp:positionV>
            <wp:extent cx="7031355" cy="7547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7031355" cy="7547610"/>
                    </a:xfrm>
                    <a:prstGeom prst="rect">
                      <a:avLst/>
                    </a:prstGeom>
                    <a:noFill/>
                  </pic:spPr>
                </pic:pic>
              </a:graphicData>
            </a:graphic>
          </wp:anchor>
        </w:drawing>
      </w:r>
    </w:p>
    <w:p>
      <w:pPr>
        <w:sectPr>
          <w:pgSz w:w="11900" w:h="16866" w:orient="portrait"/>
          <w:cols w:equalWidth="0" w:num="1">
            <w:col w:w="11080"/>
          </w:cols>
          <w:pgMar w:left="460" w:top="225" w:right="35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1345 AVENUE OF THE AMERICAS, 30TH FLOOR</w:t>
      </w:r>
    </w:p>
    <w:p>
      <w:pPr>
        <w:sectPr>
          <w:pgSz w:w="11900" w:h="16866"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00" w:type="dxa"/>
            <w:vAlign w:val="bottom"/>
          </w:tcPr>
          <w:p>
            <w:pPr>
              <w:ind w:left="220"/>
              <w:spacing w:after="0"/>
              <w:rPr>
                <w:sz w:val="20"/>
                <w:szCs w:val="20"/>
                <w:color w:val="auto"/>
              </w:rPr>
            </w:pPr>
            <w:r>
              <w:rPr>
                <w:rFonts w:ascii="Arial" w:cs="Arial" w:eastAsia="Arial" w:hAnsi="Arial"/>
                <w:sz w:val="17"/>
                <w:szCs w:val="17"/>
                <w:color w:val="0000FF"/>
              </w:rPr>
              <w:t>NY</w:t>
            </w:r>
          </w:p>
        </w:tc>
        <w:tc>
          <w:tcPr>
            <w:tcW w:w="1480" w:type="dxa"/>
            <w:vAlign w:val="bottom"/>
          </w:tcPr>
          <w:p>
            <w:pPr>
              <w:ind w:left="12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2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gridSpan w:val="2"/>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2680" w:type="dxa"/>
            <w:vAlign w:val="bottom"/>
            <w:gridSpan w:val="2"/>
          </w:tcPr>
          <w:p>
            <w:pPr>
              <w:spacing w:after="0"/>
              <w:rPr>
                <w:rFonts w:ascii="Arial" w:cs="Arial" w:eastAsia="Arial" w:hAnsi="Arial"/>
                <w:sz w:val="21"/>
                <w:szCs w:val="21"/>
                <w:u w:val="single" w:color="auto"/>
                <w:color w:val="0000EE"/>
                <w:w w:val="99"/>
              </w:rPr>
            </w:pPr>
            <w:hyperlink r:id="rId18">
              <w:r>
                <w:rPr>
                  <w:rFonts w:ascii="Arial" w:cs="Arial" w:eastAsia="Arial" w:hAnsi="Arial"/>
                  <w:sz w:val="21"/>
                  <w:szCs w:val="21"/>
                  <w:u w:val="single" w:color="auto"/>
                  <w:color w:val="0000EE"/>
                  <w:w w:val="99"/>
                </w:rPr>
                <w:t>Clearway Energy Group LLC</w:t>
              </w:r>
            </w:hyperlink>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24790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783840" cy="247904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7"/>
          <w:szCs w:val="17"/>
          <w:color w:val="0000FF"/>
        </w:rPr>
        <w:t>1345 AVENUE OF THE AMERICAS, 30TH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forfeiture of shares of restricted stock of the Issuer previously granted by Clearway Energy Group LLC ("Clearway Energy Group") under its Long Term Equity Incentive Program to one of its employees.</w:t>
      </w:r>
    </w:p>
    <w:p>
      <w:pPr>
        <w:spacing w:after="0" w:line="15" w:lineRule="exact"/>
        <w:rPr>
          <w:rFonts w:ascii="Arial" w:cs="Arial" w:eastAsia="Arial" w:hAnsi="Arial"/>
          <w:sz w:val="13"/>
          <w:szCs w:val="13"/>
          <w:color w:val="008000"/>
        </w:rPr>
      </w:pPr>
    </w:p>
    <w:p>
      <w:pPr>
        <w:jc w:val="both"/>
        <w:ind w:left="20" w:right="80" w:firstLine="7"/>
        <w:spacing w:after="0" w:line="243"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securities held directly by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and, pursuant to Rule 16a-1(a)</w:t>
      </w:r>
    </w:p>
    <w:p>
      <w:pPr>
        <w:spacing w:after="0" w:line="18" w:lineRule="exact"/>
        <w:rPr>
          <w:rFonts w:ascii="Arial" w:cs="Arial" w:eastAsia="Arial" w:hAnsi="Arial"/>
          <w:sz w:val="12"/>
          <w:szCs w:val="12"/>
          <w:color w:val="008000"/>
        </w:rPr>
      </w:pPr>
    </w:p>
    <w:p>
      <w:pPr>
        <w:ind w:left="20" w:right="280"/>
        <w:spacing w:after="0" w:line="250" w:lineRule="auto"/>
        <w:rPr>
          <w:rFonts w:ascii="Arial" w:cs="Arial" w:eastAsia="Arial" w:hAnsi="Arial"/>
          <w:sz w:val="12"/>
          <w:szCs w:val="12"/>
          <w:color w:val="008000"/>
        </w:rPr>
      </w:pPr>
      <w:r>
        <w:rPr>
          <w:rFonts w:ascii="Arial" w:cs="Arial" w:eastAsia="Arial" w:hAnsi="Arial"/>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pacing w:after="0" w:line="25" w:lineRule="exact"/>
        <w:rPr>
          <w:rFonts w:ascii="Arial" w:cs="Arial" w:eastAsia="Arial" w:hAnsi="Arial"/>
          <w:sz w:val="12"/>
          <w:szCs w:val="12"/>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grants of shares of restricted stock of the Issuer granted by Clearway Energy Group under its Long Term Equity Incentive Program to certain of its employees.</w:t>
      </w:r>
    </w:p>
    <w:p>
      <w:pPr>
        <w:sectPr>
          <w:pgSz w:w="11900" w:h="16838" w:orient="portrait"/>
          <w:cols w:equalWidth="0" w:num="1">
            <w:col w:w="10900"/>
          </w:cols>
          <w:pgMar w:left="480" w:top="459" w:right="519" w:bottom="1440" w:gutter="0" w:footer="0" w:header="0"/>
        </w:sectPr>
      </w:pPr>
    </w:p>
    <w:p>
      <w:pPr>
        <w:spacing w:after="0" w:line="77"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700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696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93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531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687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04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9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0000FF"/>
        </w:rPr>
        <w:t>05/28/2020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05/28/2020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05/28/2020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05/28/2020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8700" w:space="60"/>
            <w:col w:w="2140"/>
          </w:cols>
          <w:pgMar w:left="480" w:top="459" w:right="51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459"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13" Type="http://schemas.openxmlformats.org/officeDocument/2006/relationships/hyperlink" Target="http://www.sec.gov/cgi-bin/browse-edgar?action=getcompany&amp;CIK=0001747194" TargetMode="External"/><Relationship Id="rId14" Type="http://schemas.openxmlformats.org/officeDocument/2006/relationships/hyperlink" Target="http://www.sec.gov/cgi-bin/browse-edgar?action=getcompany&amp;CIK=0001567683" TargetMode="External"/><Relationship Id="rId15" Type="http://schemas.openxmlformats.org/officeDocument/2006/relationships/hyperlink" Target="http://www.sec.gov/cgi-bin/browse-edgar?action=getcompany&amp;CIK=0001747185" TargetMode="External"/><Relationship Id="rId16" Type="http://schemas.openxmlformats.org/officeDocument/2006/relationships/hyperlink" Target="http://www.sec.gov/cgi-bin/browse-edgar?action=getcompany&amp;CIK=0001752556" TargetMode="External"/><Relationship Id="rId18"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2020-05-28T20:13:55Z</dcterms:created>
  <dcterms:modified xsi:type="dcterms:W3CDTF">2020-05-28T20:13:55Z</dcterms:modified>
</cp:coreProperties>
</file>