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550545</wp:posOffset>
            </wp:positionH>
            <wp:positionV relativeFrom="page">
              <wp:posOffset>445770</wp:posOffset>
            </wp:positionV>
            <wp:extent cx="64477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7790" cy="6985"/>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412115</wp:posOffset>
            </wp:positionV>
            <wp:extent cx="644779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7790" cy="13335"/>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jc w:val="center"/>
        <w:ind w:right="-19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69" w:lineRule="exact"/>
        <w:rPr>
          <w:sz w:val="24"/>
          <w:szCs w:val="24"/>
          <w:color w:val="auto"/>
        </w:rPr>
      </w:pPr>
    </w:p>
    <w:p>
      <w:pPr>
        <w:ind w:left="500" w:hanging="27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0" w:lineRule="exact"/>
        <w:rPr>
          <w:sz w:val="24"/>
          <w:szCs w:val="24"/>
          <w:color w:val="auto"/>
        </w:rPr>
      </w:pPr>
    </w:p>
    <w:p>
      <w:pPr>
        <w:ind w:left="50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For the Fiscal Year ended</w:t>
      </w:r>
      <w:r>
        <w:rPr>
          <w:sz w:val="20"/>
          <w:szCs w:val="20"/>
          <w:color w:val="auto"/>
        </w:rPr>
        <w:tab/>
      </w:r>
      <w:r>
        <w:rPr>
          <w:rFonts w:ascii="Times New Roman" w:cs="Times New Roman" w:eastAsia="Times New Roman" w:hAnsi="Times New Roman"/>
          <w:sz w:val="11"/>
          <w:szCs w:val="11"/>
          <w:b w:val="1"/>
          <w:bCs w:val="1"/>
          <w:color w:val="auto"/>
        </w:rPr>
        <w:t>December 31, 2024</w:t>
      </w:r>
    </w:p>
    <w:p>
      <w:pPr>
        <w:spacing w:after="0" w:line="37" w:lineRule="exact"/>
        <w:rPr>
          <w:sz w:val="24"/>
          <w:szCs w:val="24"/>
          <w:color w:val="auto"/>
        </w:rPr>
      </w:pPr>
    </w:p>
    <w:p>
      <w:pPr>
        <w:ind w:left="500" w:hanging="278"/>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tbl>
      <w:tblPr>
        <w:tblLayout w:type="fixed"/>
        <w:tblInd w:w="200" w:type="dxa"/>
        <w:tblCellMar>
          <w:top w:w="0" w:type="dxa"/>
          <w:left w:w="0" w:type="dxa"/>
          <w:bottom w:w="0" w:type="dxa"/>
          <w:right w:w="0" w:type="dxa"/>
        </w:tblCellMar>
      </w:tblPr>
      <w:tr>
        <w:trPr>
          <w:trHeight w:val="167"/>
        </w:trPr>
        <w:tc>
          <w:tcPr>
            <w:tcW w:w="23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14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w:t>
            </w:r>
          </w:p>
        </w:tc>
        <w:tc>
          <w:tcPr>
            <w:tcW w:w="1620" w:type="dxa"/>
            <w:vAlign w:val="bottom"/>
          </w:tcPr>
          <w:p>
            <w:pPr>
              <w:jc w:val="right"/>
              <w:ind w:right="1364"/>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980" w:type="dxa"/>
            <w:vAlign w:val="bottom"/>
            <w:gridSpan w:val="7"/>
          </w:tcPr>
          <w:p>
            <w:pPr>
              <w:jc w:val="center"/>
              <w:ind w:right="2349"/>
              <w:spacing w:after="0"/>
              <w:rPr>
                <w:sz w:val="20"/>
                <w:szCs w:val="20"/>
                <w:color w:val="auto"/>
              </w:rPr>
            </w:pPr>
            <w:r>
              <w:rPr>
                <w:rFonts w:ascii="Times New Roman" w:cs="Times New Roman" w:eastAsia="Times New Roman" w:hAnsi="Times New Roman"/>
                <w:sz w:val="14"/>
                <w:szCs w:val="14"/>
                <w:b w:val="1"/>
                <w:bCs w:val="1"/>
                <w:color w:val="auto"/>
              </w:rPr>
              <w:t>Commission File Number: 001-36002</w:t>
            </w:r>
          </w:p>
        </w:tc>
        <w:tc>
          <w:tcPr>
            <w:tcW w:w="0" w:type="dxa"/>
            <w:vAlign w:val="bottom"/>
          </w:tcPr>
          <w:p>
            <w:pPr>
              <w:spacing w:after="0"/>
              <w:rPr>
                <w:sz w:val="1"/>
                <w:szCs w:val="1"/>
                <w:color w:val="auto"/>
              </w:rPr>
            </w:pPr>
          </w:p>
        </w:tc>
      </w:tr>
      <w:tr>
        <w:trPr>
          <w:trHeight w:val="413"/>
        </w:trPr>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980" w:type="dxa"/>
            <w:vAlign w:val="bottom"/>
            <w:gridSpan w:val="7"/>
          </w:tcPr>
          <w:p>
            <w:pPr>
              <w:jc w:val="center"/>
              <w:ind w:right="2349"/>
              <w:spacing w:after="0"/>
              <w:rPr>
                <w:sz w:val="20"/>
                <w:szCs w:val="20"/>
                <w:color w:val="auto"/>
              </w:rPr>
            </w:pPr>
            <w:r>
              <w:rPr>
                <w:rFonts w:ascii="Times New Roman" w:cs="Times New Roman" w:eastAsia="Times New Roman" w:hAnsi="Times New Roman"/>
                <w:sz w:val="31"/>
                <w:szCs w:val="31"/>
                <w:b w:val="1"/>
                <w:bCs w:val="1"/>
                <w:color w:val="auto"/>
                <w:w w:val="99"/>
              </w:rPr>
              <w:t>Clearway Energy, Inc.</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80" w:type="dxa"/>
            <w:vAlign w:val="bottom"/>
            <w:gridSpan w:val="7"/>
          </w:tcPr>
          <w:p>
            <w:pPr>
              <w:jc w:val="center"/>
              <w:ind w:right="234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92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60" w:type="dxa"/>
            <w:vAlign w:val="bottom"/>
            <w:gridSpan w:val="2"/>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46-1777204</w:t>
            </w:r>
          </w:p>
        </w:tc>
        <w:tc>
          <w:tcPr>
            <w:tcW w:w="0" w:type="dxa"/>
            <w:vAlign w:val="bottom"/>
          </w:tcPr>
          <w:p>
            <w:pPr>
              <w:spacing w:after="0"/>
              <w:rPr>
                <w:sz w:val="1"/>
                <w:szCs w:val="1"/>
                <w:color w:val="auto"/>
              </w:rPr>
            </w:pPr>
          </w:p>
        </w:tc>
      </w:tr>
      <w:tr>
        <w:trPr>
          <w:trHeight w:val="144"/>
        </w:trPr>
        <w:tc>
          <w:tcPr>
            <w:tcW w:w="3260" w:type="dxa"/>
            <w:vAlign w:val="bottom"/>
            <w:gridSpan w:val="4"/>
          </w:tcPr>
          <w:p>
            <w:pPr>
              <w:jc w:val="center"/>
              <w:ind w:left="573"/>
              <w:spacing w:after="0" w:line="144" w:lineRule="exact"/>
              <w:rPr>
                <w:sz w:val="20"/>
                <w:szCs w:val="20"/>
                <w:color w:val="auto"/>
              </w:rPr>
            </w:pPr>
            <w:r>
              <w:rPr>
                <w:rFonts w:ascii="Times New Roman" w:cs="Times New Roman" w:eastAsia="Times New Roman" w:hAnsi="Times New Roman"/>
                <w:sz w:val="14"/>
                <w:szCs w:val="14"/>
                <w:i w:val="1"/>
                <w:iCs w:val="1"/>
                <w:color w:val="auto"/>
              </w:rPr>
              <w:t>(State or other jurisdiction</w:t>
            </w:r>
          </w:p>
        </w:tc>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20" w:type="dxa"/>
            <w:vAlign w:val="bottom"/>
          </w:tcPr>
          <w:p>
            <w:pPr>
              <w:jc w:val="center"/>
              <w:ind w:right="369"/>
              <w:spacing w:after="0" w:line="144" w:lineRule="exact"/>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86"/>
        </w:trPr>
        <w:tc>
          <w:tcPr>
            <w:tcW w:w="3260" w:type="dxa"/>
            <w:vAlign w:val="bottom"/>
            <w:gridSpan w:val="4"/>
          </w:tcPr>
          <w:p>
            <w:pPr>
              <w:jc w:val="center"/>
              <w:ind w:left="573"/>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jc w:val="center"/>
              <w:ind w:right="349"/>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222"/>
        </w:trPr>
        <w:tc>
          <w:tcPr>
            <w:tcW w:w="3260" w:type="dxa"/>
            <w:vAlign w:val="bottom"/>
            <w:gridSpan w:val="4"/>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300 Carnegie Center, Suite 300</w:t>
            </w:r>
          </w:p>
        </w:tc>
        <w:tc>
          <w:tcPr>
            <w:tcW w:w="21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Princeton</w:t>
            </w:r>
          </w:p>
        </w:tc>
        <w:tc>
          <w:tcPr>
            <w:tcW w:w="12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New Jersey</w:t>
            </w:r>
          </w:p>
        </w:tc>
        <w:tc>
          <w:tcPr>
            <w:tcW w:w="3660" w:type="dxa"/>
            <w:vAlign w:val="bottom"/>
            <w:gridSpan w:val="2"/>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08540</w:t>
            </w: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20" w:type="dxa"/>
            <w:vAlign w:val="bottom"/>
            <w:gridSpan w:val="4"/>
          </w:tcPr>
          <w:p>
            <w:pPr>
              <w:ind w:left="1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jc w:val="center"/>
              <w:ind w:right="369"/>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40" w:type="dxa"/>
            <w:vAlign w:val="bottom"/>
            <w:gridSpan w:val="3"/>
          </w:tcPr>
          <w:p>
            <w:pPr>
              <w:jc w:val="center"/>
              <w:ind w:left="1544"/>
              <w:spacing w:after="0"/>
              <w:rPr>
                <w:sz w:val="20"/>
                <w:szCs w:val="20"/>
                <w:color w:val="auto"/>
              </w:rPr>
            </w:pPr>
            <w:r>
              <w:rPr>
                <w:rFonts w:ascii="Times New Roman" w:cs="Times New Roman" w:eastAsia="Times New Roman" w:hAnsi="Times New Roman"/>
                <w:sz w:val="13"/>
                <w:szCs w:val="13"/>
                <w:b w:val="1"/>
                <w:bCs w:val="1"/>
                <w:color w:val="auto"/>
                <w:w w:val="98"/>
              </w:rPr>
              <w:t>(609) 608-1525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980" w:type="dxa"/>
            <w:vAlign w:val="bottom"/>
            <w:gridSpan w:val="7"/>
          </w:tcPr>
          <w:p>
            <w:pPr>
              <w:jc w:val="center"/>
              <w:ind w:right="2529"/>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980" w:type="dxa"/>
            <w:vAlign w:val="bottom"/>
            <w:gridSpan w:val="7"/>
          </w:tcPr>
          <w:p>
            <w:pPr>
              <w:jc w:val="center"/>
              <w:ind w:right="2529"/>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1840" w:type="dxa"/>
            <w:vAlign w:val="bottom"/>
            <w:gridSpan w:val="3"/>
          </w:tcPr>
          <w:p>
            <w:pPr>
              <w:jc w:val="center"/>
              <w:ind w:right="71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4"/>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540" w:type="dxa"/>
            <w:vAlign w:val="bottom"/>
          </w:tcPr>
          <w:p>
            <w:pPr>
              <w:spacing w:after="0"/>
              <w:rPr>
                <w:sz w:val="15"/>
                <w:szCs w:val="15"/>
                <w:color w:val="auto"/>
              </w:rPr>
            </w:pPr>
          </w:p>
        </w:tc>
        <w:tc>
          <w:tcPr>
            <w:tcW w:w="3660" w:type="dxa"/>
            <w:vAlign w:val="bottom"/>
            <w:gridSpan w:val="2"/>
          </w:tcPr>
          <w:p>
            <w:pPr>
              <w:jc w:val="center"/>
              <w:ind w:left="97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60" w:type="dxa"/>
            <w:vAlign w:val="bottom"/>
            <w:gridSpan w:val="4"/>
          </w:tcPr>
          <w:p>
            <w:pPr>
              <w:jc w:val="center"/>
              <w:ind w:left="593"/>
              <w:spacing w:after="0"/>
              <w:rPr>
                <w:sz w:val="20"/>
                <w:szCs w:val="20"/>
                <w:color w:val="auto"/>
              </w:rPr>
            </w:pPr>
            <w:r>
              <w:rPr>
                <w:rFonts w:ascii="Times New Roman" w:cs="Times New Roman" w:eastAsia="Times New Roman" w:hAnsi="Times New Roman"/>
                <w:sz w:val="14"/>
                <w:szCs w:val="14"/>
                <w:color w:val="auto"/>
              </w:rPr>
              <w:t>Class A Common Stock, par value $0.01</w:t>
            </w:r>
          </w:p>
        </w:tc>
        <w:tc>
          <w:tcPr>
            <w:tcW w:w="1620" w:type="dxa"/>
            <w:vAlign w:val="bottom"/>
          </w:tcPr>
          <w:p>
            <w:pPr>
              <w:spacing w:after="0"/>
              <w:rPr>
                <w:sz w:val="16"/>
                <w:szCs w:val="16"/>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CWEN.A</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c>
          <w:tcPr>
            <w:tcW w:w="0" w:type="dxa"/>
            <w:vAlign w:val="bottom"/>
          </w:tcPr>
          <w:p>
            <w:pPr>
              <w:spacing w:after="0"/>
              <w:rPr>
                <w:sz w:val="1"/>
                <w:szCs w:val="1"/>
                <w:color w:val="auto"/>
              </w:rPr>
            </w:pPr>
          </w:p>
        </w:tc>
      </w:tr>
      <w:tr>
        <w:trPr>
          <w:trHeight w:val="184"/>
        </w:trPr>
        <w:tc>
          <w:tcPr>
            <w:tcW w:w="3260" w:type="dxa"/>
            <w:vAlign w:val="bottom"/>
            <w:gridSpan w:val="4"/>
          </w:tcPr>
          <w:p>
            <w:pPr>
              <w:jc w:val="center"/>
              <w:ind w:left="573"/>
              <w:spacing w:after="0"/>
              <w:rPr>
                <w:sz w:val="20"/>
                <w:szCs w:val="20"/>
                <w:color w:val="auto"/>
              </w:rPr>
            </w:pPr>
            <w:r>
              <w:rPr>
                <w:rFonts w:ascii="Times New Roman" w:cs="Times New Roman" w:eastAsia="Times New Roman" w:hAnsi="Times New Roman"/>
                <w:sz w:val="14"/>
                <w:szCs w:val="14"/>
                <w:color w:val="auto"/>
              </w:rPr>
              <w:t>Class C Common Stock, par value $0.01</w:t>
            </w:r>
          </w:p>
        </w:tc>
        <w:tc>
          <w:tcPr>
            <w:tcW w:w="1620" w:type="dxa"/>
            <w:vAlign w:val="bottom"/>
          </w:tcPr>
          <w:p>
            <w:pPr>
              <w:spacing w:after="0"/>
              <w:rPr>
                <w:sz w:val="16"/>
                <w:szCs w:val="16"/>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6"/>
              </w:rPr>
              <w:t>CWEN</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80" w:type="dxa"/>
            <w:vAlign w:val="bottom"/>
            <w:gridSpan w:val="7"/>
          </w:tcPr>
          <w:p>
            <w:pPr>
              <w:ind w:left="8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None</w:t>
            </w:r>
          </w:p>
        </w:tc>
        <w:tc>
          <w:tcPr>
            <w:tcW w:w="540" w:type="dxa"/>
            <w:vAlign w:val="bottom"/>
            <w:vMerge w:val="restart"/>
          </w:tcPr>
          <w:p>
            <w:pPr>
              <w:ind w:left="4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10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36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tc>
        <w:tc>
          <w:tcPr>
            <w:tcW w:w="680" w:type="dxa"/>
            <w:vAlign w:val="bottom"/>
            <w:gridSpan w:val="2"/>
          </w:tcPr>
          <w:p>
            <w:pPr>
              <w:ind w:left="30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tc>
        <w:tc>
          <w:tcPr>
            <w:tcW w:w="5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1"/>
                <w:szCs w:val="11"/>
                <w:color w:val="auto"/>
              </w:rPr>
              <w:t>ndicate by check mark if the registrant is not required to file reports pursuant to Section 13 or Section 15(d) of the Exchange Act.</w:t>
            </w:r>
          </w:p>
        </w:tc>
        <w:tc>
          <w:tcPr>
            <w:tcW w:w="540" w:type="dxa"/>
            <w:vAlign w:val="bottom"/>
          </w:tcPr>
          <w:p>
            <w:pPr>
              <w:ind w:left="18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tc>
        <w:tc>
          <w:tcPr>
            <w:tcW w:w="366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w:t>
      </w:r>
    </w:p>
    <w:p>
      <w:pPr>
        <w:spacing w:after="0" w:line="19" w:lineRule="exact"/>
        <w:rPr>
          <w:sz w:val="24"/>
          <w:szCs w:val="24"/>
          <w:color w:val="auto"/>
        </w:rPr>
      </w:pPr>
    </w:p>
    <w:p>
      <w:pPr>
        <w:spacing w:after="0" w:line="127" w:lineRule="exact"/>
        <w:tabs>
          <w:tab w:leader="none" w:pos="5700" w:val="left"/>
          <w:tab w:leader="none" w:pos="6120" w:val="left"/>
        </w:tabs>
        <w:rPr>
          <w:sz w:val="20"/>
          <w:szCs w:val="20"/>
          <w:color w:val="auto"/>
        </w:rPr>
      </w:pPr>
      <w:r>
        <w:rPr>
          <w:rFonts w:ascii="Times New Roman" w:cs="Times New Roman" w:eastAsia="Times New Roman" w:hAnsi="Times New Roman"/>
          <w:sz w:val="11"/>
          <w:szCs w:val="11"/>
          <w:color w:val="auto"/>
        </w:rPr>
        <w:t>to file such reports), and (2) has been subject to such filing requirements for the past 90 days.</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67" w:lineRule="exact"/>
        <w:rPr>
          <w:sz w:val="24"/>
          <w:szCs w:val="24"/>
          <w:color w:val="auto"/>
        </w:rPr>
      </w:pPr>
    </w:p>
    <w:p>
      <w:pPr>
        <w:ind w:firstLine="191"/>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 w:lineRule="exact"/>
        <w:rPr>
          <w:sz w:val="24"/>
          <w:szCs w:val="24"/>
          <w:color w:val="auto"/>
        </w:rPr>
      </w:pPr>
    </w:p>
    <w:p>
      <w:pPr>
        <w:ind w:firstLine="191"/>
        <w:spacing w:after="0" w:line="23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520" w:type="dxa"/>
        <w:tblCellMar>
          <w:top w:w="0" w:type="dxa"/>
          <w:left w:w="0" w:type="dxa"/>
          <w:bottom w:w="0" w:type="dxa"/>
          <w:right w:w="0" w:type="dxa"/>
        </w:tblCellMar>
      </w:tblPr>
      <w:tr>
        <w:trPr>
          <w:trHeight w:val="185"/>
        </w:trPr>
        <w:tc>
          <w:tcPr>
            <w:tcW w:w="2020" w:type="dxa"/>
            <w:vAlign w:val="bottom"/>
          </w:tcPr>
          <w:p>
            <w:pPr>
              <w:jc w:val="center"/>
              <w:ind w:right="689"/>
              <w:spacing w:after="0"/>
              <w:rPr>
                <w:sz w:val="20"/>
                <w:szCs w:val="20"/>
                <w:color w:val="auto"/>
              </w:rPr>
            </w:pPr>
            <w:r>
              <w:rPr>
                <w:rFonts w:ascii="Times New Roman" w:cs="Times New Roman" w:eastAsia="Times New Roman" w:hAnsi="Times New Roman"/>
                <w:sz w:val="14"/>
                <w:szCs w:val="14"/>
                <w:color w:val="auto"/>
              </w:rPr>
              <w:t>Large accelerated filer</w:t>
            </w:r>
          </w:p>
        </w:tc>
        <w:tc>
          <w:tcPr>
            <w:tcW w:w="14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020" w:type="dxa"/>
            <w:vAlign w:val="bottom"/>
          </w:tcPr>
          <w:p>
            <w:pPr>
              <w:jc w:val="center"/>
              <w:ind w:right="689"/>
              <w:spacing w:after="0"/>
              <w:rPr>
                <w:sz w:val="20"/>
                <w:szCs w:val="20"/>
                <w:color w:val="auto"/>
              </w:rPr>
            </w:pPr>
            <w:r>
              <w:rPr>
                <w:rFonts w:ascii="Times New Roman" w:cs="Times New Roman" w:eastAsia="Times New Roman" w:hAnsi="Times New Roman"/>
                <w:sz w:val="14"/>
                <w:szCs w:val="14"/>
                <w:color w:val="auto"/>
                <w:w w:val="99"/>
              </w:rPr>
              <w:t>Non-accelerated filer</w:t>
            </w:r>
          </w:p>
        </w:tc>
        <w:tc>
          <w:tcPr>
            <w:tcW w:w="14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7" w:lineRule="exact"/>
        <w:rPr>
          <w:sz w:val="24"/>
          <w:szCs w:val="24"/>
          <w:color w:val="auto"/>
        </w:rPr>
      </w:pPr>
    </w:p>
    <w:p>
      <w:pPr>
        <w:ind w:firstLine="191"/>
        <w:spacing w:after="0" w:line="14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left="200"/>
        <w:spacing w:after="0" w:line="127" w:lineRule="exact"/>
        <w:tabs>
          <w:tab w:leader="none" w:pos="5400" w:val="left"/>
          <w:tab w:leader="none" w:pos="582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Wingdings" w:cs="Wingdings" w:eastAsia="Wingdings" w:hAnsi="Wingdings"/>
          <w:sz w:val="11"/>
          <w:szCs w:val="11"/>
          <w:b w:val="1"/>
          <w:bCs w:val="1"/>
          <w:color w:val="auto"/>
        </w:rPr>
        <w:t>x</w:t>
      </w:r>
    </w:p>
    <w:p>
      <w:pPr>
        <w:spacing w:after="0" w:line="46" w:lineRule="exact"/>
        <w:rPr>
          <w:sz w:val="24"/>
          <w:szCs w:val="24"/>
          <w:color w:val="auto"/>
        </w:rPr>
      </w:pPr>
    </w:p>
    <w:p>
      <w:pPr>
        <w:ind w:firstLine="191"/>
        <w:spacing w:after="0" w:line="312"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x</w:t>
      </w:r>
    </w:p>
    <w:p>
      <w:pPr>
        <w:ind w:left="200"/>
        <w:spacing w:after="0"/>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 reflect the correction of an error to previously issued financial</w:t>
      </w:r>
    </w:p>
    <w:p>
      <w:pPr>
        <w:spacing w:after="0" w:line="9" w:lineRule="exact"/>
        <w:rPr>
          <w:sz w:val="24"/>
          <w:szCs w:val="24"/>
          <w:color w:val="auto"/>
        </w:rPr>
      </w:pPr>
    </w:p>
    <w:p>
      <w:pPr>
        <w:spacing w:after="0" w:line="127" w:lineRule="exact"/>
        <w:tabs>
          <w:tab w:leader="none" w:pos="1620" w:val="left"/>
        </w:tabs>
        <w:rPr>
          <w:sz w:val="20"/>
          <w:szCs w:val="20"/>
          <w:color w:val="auto"/>
        </w:rPr>
      </w:pPr>
      <w:r>
        <w:rPr>
          <w:rFonts w:ascii="Times New Roman" w:cs="Times New Roman" w:eastAsia="Times New Roman" w:hAnsi="Times New Roman"/>
          <w:sz w:val="11"/>
          <w:szCs w:val="11"/>
          <w:color w:val="auto"/>
        </w:rPr>
        <w:t>statements.</w:t>
      </w:r>
      <w:r>
        <w:rPr>
          <w:sz w:val="20"/>
          <w:szCs w:val="20"/>
          <w:color w:val="auto"/>
        </w:rPr>
        <w:tab/>
      </w:r>
      <w:r>
        <w:rPr>
          <w:rFonts w:ascii="MS PGothic" w:cs="MS PGothic" w:eastAsia="MS PGothic" w:hAnsi="MS PGothic"/>
          <w:sz w:val="11"/>
          <w:szCs w:val="11"/>
          <w:color w:val="auto"/>
        </w:rPr>
        <w:t>☐</w:t>
      </w:r>
    </w:p>
    <w:p>
      <w:pPr>
        <w:spacing w:after="0" w:line="4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19" w:lineRule="exact"/>
        <w:rPr>
          <w:sz w:val="24"/>
          <w:szCs w:val="24"/>
          <w:color w:val="auto"/>
        </w:rPr>
      </w:pPr>
    </w:p>
    <w:p>
      <w:pPr>
        <w:spacing w:after="0" w:line="127" w:lineRule="exact"/>
        <w:tabs>
          <w:tab w:leader="none" w:pos="1600" w:val="left"/>
        </w:tabs>
        <w:rPr>
          <w:sz w:val="20"/>
          <w:szCs w:val="20"/>
          <w:color w:val="auto"/>
        </w:rPr>
      </w:pPr>
      <w:r>
        <w:rPr>
          <w:rFonts w:ascii="Times New Roman" w:cs="Times New Roman" w:eastAsia="Times New Roman" w:hAnsi="Times New Roman"/>
          <w:sz w:val="11"/>
          <w:szCs w:val="11"/>
          <w:color w:val="auto"/>
        </w:rPr>
        <w:t>to §240.10D-1(b).</w:t>
      </w:r>
      <w:r>
        <w:rPr>
          <w:sz w:val="20"/>
          <w:szCs w:val="20"/>
          <w:color w:val="auto"/>
        </w:rPr>
        <w:tab/>
      </w:r>
      <w:r>
        <w:rPr>
          <w:rFonts w:ascii="MS PGothic" w:cs="MS PGothic" w:eastAsia="MS PGothic" w:hAnsi="MS PGothic"/>
          <w:sz w:val="10"/>
          <w:szCs w:val="10"/>
          <w:color w:val="auto"/>
        </w:rPr>
        <w:t>☐</w:t>
      </w:r>
    </w:p>
    <w:p>
      <w:pPr>
        <w:spacing w:after="0" w:line="46" w:lineRule="exact"/>
        <w:rPr>
          <w:sz w:val="24"/>
          <w:szCs w:val="24"/>
          <w:color w:val="auto"/>
        </w:rPr>
      </w:pPr>
    </w:p>
    <w:p>
      <w:pPr>
        <w:ind w:firstLine="191"/>
        <w:spacing w:after="0" w:line="291" w:lineRule="auto"/>
        <w:rPr>
          <w:sz w:val="20"/>
          <w:szCs w:val="20"/>
          <w:color w:val="auto"/>
        </w:rPr>
      </w:pPr>
      <w:r>
        <w:rPr>
          <w:rFonts w:ascii="Times New Roman" w:cs="Times New Roman" w:eastAsia="Times New Roman" w:hAnsi="Times New Roman"/>
          <w:sz w:val="11"/>
          <w:szCs w:val="11"/>
          <w:color w:val="auto"/>
        </w:rPr>
        <w:t>As of the last business day of the most recently completed second fiscal quarter, the aggregate market value of the common stock of the registrant held by non-affiliates was approximately $2,047 million based on the closing sale prices of such shares as reported on the New York Stock Exchange.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47"/>
        </w:trPr>
        <w:tc>
          <w:tcPr>
            <w:tcW w:w="6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the number of shares outstanding of each of the registrant’s classes of common stock as of the latest practicable date.</w:t>
            </w:r>
          </w:p>
        </w:tc>
        <w:tc>
          <w:tcPr>
            <w:tcW w:w="1680" w:type="dxa"/>
            <w:vAlign w:val="bottom"/>
          </w:tcPr>
          <w:p>
            <w:pPr>
              <w:spacing w:after="0"/>
              <w:rPr>
                <w:sz w:val="12"/>
                <w:szCs w:val="12"/>
                <w:color w:val="auto"/>
              </w:rPr>
            </w:pPr>
          </w:p>
        </w:tc>
      </w:tr>
      <w:tr>
        <w:trPr>
          <w:trHeight w:val="157"/>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4"/>
              </w:rPr>
              <w:t>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Outstanding at January 31, 2025</w:t>
            </w:r>
          </w:p>
        </w:tc>
      </w:tr>
      <w:tr>
        <w:trPr>
          <w:trHeight w:val="20"/>
        </w:trPr>
        <w:tc>
          <w:tcPr>
            <w:tcW w:w="3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165"/>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A,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34,613,853</w:t>
            </w:r>
          </w:p>
        </w:tc>
      </w:tr>
      <w:tr>
        <w:trPr>
          <w:trHeight w:val="159"/>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B,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42,738,750</w:t>
            </w:r>
          </w:p>
        </w:tc>
      </w:tr>
      <w:tr>
        <w:trPr>
          <w:trHeight w:val="159"/>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C,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82,833,226</w:t>
            </w:r>
          </w:p>
        </w:tc>
      </w:tr>
      <w:tr>
        <w:trPr>
          <w:trHeight w:val="159"/>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D,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41,961,750</w:t>
            </w:r>
          </w:p>
        </w:tc>
      </w:tr>
    </w:tbl>
    <w:p>
      <w:pPr>
        <w:spacing w:after="0" w:line="6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Portions of the Registrant’s Definitive Proxy Statement relating to its 2025 Annual Meeting of Stockholders</w:t>
      </w:r>
    </w:p>
    <w:p>
      <w:pPr>
        <w:spacing w:after="0" w:line="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419100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41275</wp:posOffset>
            </wp:positionV>
            <wp:extent cx="644779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7790" cy="1333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20955</wp:posOffset>
            </wp:positionV>
            <wp:extent cx="64477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0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GLOSSARY OF TERMS</w:t>
            </w:r>
          </w:p>
        </w:tc>
        <w:tc>
          <w:tcPr>
            <w:tcW w:w="14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 — Business</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1A — Risk Factors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1B — Unresolved Staff Comments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1C — Cybersecurity</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2 — Properties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3 — Legal Proceedings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4 — Mine Safety Disclosures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5 — Market for Registrant’s Common Equity, Related Stockholder Matters and Issuer Purchases of Equity Securities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6 — Reserved</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 — Management’s Discussion and Analysis of Financial Condition and Results of Operations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7A — Quantitative and Qualitative Disclosures About Market Risk</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8 — Financial Statements and Supplementary Data</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 — Changes in and Disagreements with Accountants on Accounting and Financial Disclosure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9A — Controls and Procedures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9B — Other Information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10 — Information about Directors, Executive Officers and Corporate Governance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11 — Executive Compensation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12 — Security Ownership of Certain Beneficial Owners and Management and Related Stockholder Matters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13 — Certain Relationships and Related Transactions, and Director Independence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14 — Principal Accounting Fees and Services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15 — Exhibits, Financial Statement Schedules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4"/>
                <w:szCs w:val="14"/>
                <w:color w:val="0000FF"/>
                <w:w w:val="95"/>
              </w:rPr>
              <w:t>133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16 — Form 10-K Summary</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FF"/>
                <w:w w:val="95"/>
              </w:rPr>
              <w:t>138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1040" w:type="dxa"/>
            <w:vAlign w:val="bottom"/>
          </w:tcPr>
          <w:p>
            <w:pPr>
              <w:spacing w:after="0"/>
              <w:rPr>
                <w:sz w:val="8"/>
                <w:szCs w:val="8"/>
                <w:color w:val="auto"/>
              </w:rPr>
            </w:pPr>
          </w:p>
        </w:tc>
        <w:tc>
          <w:tcPr>
            <w:tcW w:w="220" w:type="dxa"/>
            <w:vAlign w:val="bottom"/>
            <w:tcBorders>
              <w:bottom w:val="single" w:sz="8" w:color="0000FF"/>
            </w:tcBorders>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1"/>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886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GLOSSARY OF TERMS</w:t>
            </w:r>
          </w:p>
        </w:tc>
      </w:tr>
      <w:tr>
        <w:trPr>
          <w:trHeight w:val="297"/>
        </w:trPr>
        <w:tc>
          <w:tcPr>
            <w:tcW w:w="1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$850 million aggregate principal amount of 4.75% unsecured senior notes due 2028,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$925 million aggregate principal amount of 3.75% unsecured senior notes due 2031,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$350 million aggregate principal amount of 3.75% unsecured senior notes due 2032, issued by Clearway Energy Operating LLC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r>
      <w:tr>
        <w:trPr>
          <w:trHeight w:val="180"/>
        </w:trPr>
        <w:tc>
          <w:tcPr>
            <w:tcW w:w="2420" w:type="dxa"/>
            <w:vAlign w:val="bottom"/>
          </w:tcPr>
          <w:p>
            <w:pPr>
              <w:spacing w:after="0"/>
              <w:rPr>
                <w:sz w:val="15"/>
                <w:szCs w:val="15"/>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performance</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 Retirement Obligation</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 authoritative GAAP</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Accounting Standards Updates – updates to the ASC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At-The-Market Equity Offering Program</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BESS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Battery energy storage system</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BlackRock</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BlackRock, Inc., a publicly-traded global investment management firm</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Black Start</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capability of a generating asset to restore the grid in the event of a blackout without relying on the external electric power transmission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network</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CAFD</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December 31, 2024 as Adjusted EBITDA plus cash distributions/return of</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contributions from noncontrolling interests, adjustments to</w:t>
            </w:r>
          </w:p>
        </w:tc>
      </w:tr>
      <w:tr>
        <w:trPr>
          <w:trHeight w:val="142"/>
        </w:trPr>
        <w:tc>
          <w:tcPr>
            <w:tcW w:w="2420" w:type="dxa"/>
            <w:vAlign w:val="bottom"/>
          </w:tcPr>
          <w:p>
            <w:pPr>
              <w:spacing w:after="0"/>
              <w:rPr>
                <w:sz w:val="12"/>
                <w:szCs w:val="12"/>
                <w:color w:val="auto"/>
              </w:rPr>
            </w:pP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r>
      <w:tr>
        <w:trPr>
          <w:trHeight w:val="138"/>
        </w:trPr>
        <w:tc>
          <w:tcPr>
            <w:tcW w:w="2420" w:type="dxa"/>
            <w:vAlign w:val="bottom"/>
          </w:tcPr>
          <w:p>
            <w:pPr>
              <w:spacing w:after="0"/>
              <w:rPr>
                <w:sz w:val="11"/>
                <w:szCs w:val="11"/>
                <w:color w:val="auto"/>
              </w:rPr>
            </w:pPr>
          </w:p>
        </w:tc>
        <w:tc>
          <w:tcPr>
            <w:tcW w:w="8860" w:type="dxa"/>
            <w:vAlign w:val="bottom"/>
          </w:tcPr>
          <w:p>
            <w:pPr>
              <w:ind w:left="48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CAISO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California Independent System Operator</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Capistrano Portfolio Holdco LLC</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holding company that owns four wind facilities representing 263 MW of capacity, which includes Broken Bow, Crofton Bluffs, Mountain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Wind 1 and Mountain Wind 2</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Capistrano Wind Portfolio</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Portfolio of wind facilities acquired from Clearway Renew on August 22, 2022, which includes Broken Bow, Cedro Hill, Crofton Bluffs, Mountain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Wind 1 and Mountain Wind 2</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Amended and Restated Master Services Agreement and Payroll Sharing Agreement, effective as of January 1, 2025, among the Company,</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Finance Inc., Clearway Energy LLC, Clearway Energy Operating LLC and CEG</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LLC</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The holding company through which the facilities are owned by Clearway Energy Group LLC, the holder of Class B and Class D units, and</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Inc., the holder of the Class A and Class C units</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Group LLC</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The holder of all shares of the Company’s Class B and Class D common stock and Clearway Energy LLC’s Class B and Class D units, and from</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time to time, possibly shares of Clearway Energy, Inc.’s Class A and/or Class C common stock. Clearway Energy Group LLC is a leading</w:t>
            </w:r>
          </w:p>
        </w:tc>
      </w:tr>
      <w:tr>
        <w:trPr>
          <w:trHeight w:val="180"/>
        </w:trPr>
        <w:tc>
          <w:tcPr>
            <w:tcW w:w="2420" w:type="dxa"/>
            <w:vAlign w:val="bottom"/>
          </w:tcPr>
          <w:p>
            <w:pPr>
              <w:spacing w:after="0"/>
              <w:rPr>
                <w:sz w:val="15"/>
                <w:szCs w:val="15"/>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developer of renewable, energy storage and power infrastructure in the U.S.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holder of the facility assets that are owned by Clearway Energy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Renew</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Renew LLC, a subsidiary of CEG, and its wholly-owned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Commercial Operation Date</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Code</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Inc., together with its consolidated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California Valley Solar Ranch</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less than 20 MW in size (on an alternating current, or AC, basis), that primarily sell power produced to customers</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r>
      <w:tr>
        <w:trPr>
          <w:trHeight w:val="728"/>
        </w:trPr>
        <w:tc>
          <w:tcPr>
            <w:tcW w:w="2420" w:type="dxa"/>
            <w:vAlign w:val="bottom"/>
          </w:tcPr>
          <w:p>
            <w:pPr>
              <w:spacing w:after="0"/>
              <w:rPr>
                <w:sz w:val="24"/>
                <w:szCs w:val="24"/>
                <w:color w:val="auto"/>
              </w:rPr>
            </w:pPr>
          </w:p>
        </w:tc>
        <w:tc>
          <w:tcPr>
            <w:tcW w:w="88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2420" w:type="dxa"/>
            <w:vAlign w:val="bottom"/>
            <w:tcBorders>
              <w:bottom w:val="single" w:sz="8" w:color="9A9A9A"/>
            </w:tcBorders>
          </w:tcPr>
          <w:p>
            <w:pPr>
              <w:spacing w:after="0"/>
              <w:rPr>
                <w:sz w:val="7"/>
                <w:szCs w:val="7"/>
                <w:color w:val="auto"/>
              </w:rPr>
            </w:pPr>
          </w:p>
        </w:tc>
        <w:tc>
          <w:tcPr>
            <w:tcW w:w="8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Drop Down Assets</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EPA</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United States Environmental Protection Agency</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ERCOT</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EWG</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Exempt Wholesale Generator</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Exchange Act</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FASB</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FERC</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Federal Energy Regulatory Commission</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Flexible Generation</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Formerly the Conventional Generation segment</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FPA</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Federal Power Act</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FWS</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U.S. Fish &amp; Wildlife Service</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GAAP</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GenConn</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GenConn Energy LLC</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GHG</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Greenhouse gas</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GIM</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Global Infrastructure Management, LLC, the manager of GIP and an indirect subsidiary of BlackRock</w:t>
            </w:r>
          </w:p>
        </w:tc>
      </w:tr>
      <w:tr>
        <w:trPr>
          <w:trHeight w:val="142"/>
        </w:trPr>
        <w:tc>
          <w:tcPr>
            <w:tcW w:w="230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GIP</w:t>
            </w:r>
          </w:p>
        </w:tc>
        <w:tc>
          <w:tcPr>
            <w:tcW w:w="9040" w:type="dxa"/>
            <w:vAlign w:val="bottom"/>
            <w:gridSpan w:val="2"/>
          </w:tcPr>
          <w:p>
            <w:pPr>
              <w:ind w:left="820"/>
              <w:spacing w:after="0" w:line="142" w:lineRule="exact"/>
              <w:rPr>
                <w:sz w:val="20"/>
                <w:szCs w:val="20"/>
                <w:color w:val="auto"/>
              </w:rPr>
            </w:pPr>
            <w:r>
              <w:rPr>
                <w:rFonts w:ascii="Times New Roman" w:cs="Times New Roman" w:eastAsia="Times New Roman" w:hAnsi="Times New Roman"/>
                <w:sz w:val="14"/>
                <w:szCs w:val="14"/>
                <w:color w:val="auto"/>
              </w:rPr>
              <w:t>Global Infrastructure Partners, an infrastructure fund manager managed by GIM that makes equity and debt investments in infrastructure assets a</w:t>
            </w:r>
          </w:p>
        </w:tc>
      </w:tr>
      <w:tr>
        <w:trPr>
          <w:trHeight w:val="184"/>
        </w:trPr>
        <w:tc>
          <w:tcPr>
            <w:tcW w:w="2300" w:type="dxa"/>
            <w:vAlign w:val="bottom"/>
          </w:tcPr>
          <w:p>
            <w:pPr>
              <w:spacing w:after="0"/>
              <w:rPr>
                <w:sz w:val="16"/>
                <w:szCs w:val="16"/>
                <w:color w:val="auto"/>
              </w:rPr>
            </w:pP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businesses. GIM is an indirect subsidiary of BlackRock.</w:t>
            </w:r>
          </w:p>
        </w:tc>
      </w:tr>
      <w:tr>
        <w:trPr>
          <w:trHeight w:val="183"/>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GW</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Gigawatt</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HLBV</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Hypothetical Liquidation at Book Value</w:t>
            </w:r>
          </w:p>
        </w:tc>
      </w:tr>
      <w:tr>
        <w:trPr>
          <w:trHeight w:val="142"/>
        </w:trPr>
        <w:tc>
          <w:tcPr>
            <w:tcW w:w="230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Honeycomb Portfolio</w:t>
            </w:r>
          </w:p>
        </w:tc>
        <w:tc>
          <w:tcPr>
            <w:tcW w:w="9040" w:type="dxa"/>
            <w:vAlign w:val="bottom"/>
            <w:gridSpan w:val="2"/>
          </w:tcPr>
          <w:p>
            <w:pPr>
              <w:ind w:left="820"/>
              <w:spacing w:after="0" w:line="142" w:lineRule="exact"/>
              <w:rPr>
                <w:sz w:val="20"/>
                <w:szCs w:val="20"/>
                <w:color w:val="auto"/>
              </w:rPr>
            </w:pPr>
            <w:r>
              <w:rPr>
                <w:rFonts w:ascii="Times New Roman" w:cs="Times New Roman" w:eastAsia="Times New Roman" w:hAnsi="Times New Roman"/>
                <w:sz w:val="14"/>
                <w:szCs w:val="14"/>
                <w:color w:val="auto"/>
              </w:rPr>
              <w:t>Four BESS facilities under construction in Utah, representing 320 MW of capacity, which includes Enterprise, Escalante I, Granite Mountain E</w:t>
            </w:r>
          </w:p>
        </w:tc>
      </w:tr>
      <w:tr>
        <w:trPr>
          <w:trHeight w:val="184"/>
        </w:trPr>
        <w:tc>
          <w:tcPr>
            <w:tcW w:w="2300" w:type="dxa"/>
            <w:vAlign w:val="bottom"/>
          </w:tcPr>
          <w:p>
            <w:pPr>
              <w:spacing w:after="0"/>
              <w:rPr>
                <w:sz w:val="16"/>
                <w:szCs w:val="16"/>
                <w:color w:val="auto"/>
              </w:rPr>
            </w:pP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and Iron Springs that are co-located with the respective solar facilities</w:t>
            </w:r>
          </w:p>
        </w:tc>
      </w:tr>
      <w:tr>
        <w:trPr>
          <w:trHeight w:val="183"/>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IRS</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Internal Revenue Service</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ISO</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Independent System Operator, also referred to as an RTO</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ITC</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Investment Tax Credit</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KKR</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KKR Thor Bidco, LLC, an affiliate of Kohlberg Kravis Roberts &amp; Co. L.P.</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LIBOR</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MBTA</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Migratory Bird Treaty Act</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Mesquite Star</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Mesquite Star Special, LLC</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MMBtu</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Million British Thermal Units</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Mt. Storm</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NedPower Mount Storm LLC</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MW</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MWh</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MWt</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Megawatts Thermal Equivalent</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Natural Gas Holdco</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Natural Gas CA Holdco LLC</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NEPA</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National Environmental Policy Act</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NERC</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North American Electric Reliability Corporation</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Exposure</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Counterparty credit exposure to Clearway Energy, Inc. net of collateral</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NOLs</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Net Operating Losses</w:t>
            </w:r>
          </w:p>
        </w:tc>
      </w:tr>
      <w:tr>
        <w:trPr>
          <w:trHeight w:val="180"/>
        </w:trPr>
        <w:tc>
          <w:tcPr>
            <w:tcW w:w="2300" w:type="dxa"/>
            <w:vAlign w:val="bottom"/>
          </w:tcPr>
          <w:p>
            <w:pPr>
              <w:ind w:left="240"/>
              <w:spacing w:after="0" w:line="181" w:lineRule="exact"/>
              <w:rPr>
                <w:sz w:val="20"/>
                <w:szCs w:val="20"/>
                <w:color w:val="auto"/>
              </w:rPr>
            </w:pPr>
            <w:r>
              <w:rPr>
                <w:rFonts w:ascii="Times New Roman" w:cs="Times New Roman" w:eastAsia="Times New Roman" w:hAnsi="Times New Roman"/>
                <w:sz w:val="14"/>
                <w:szCs w:val="14"/>
                <w:color w:val="auto"/>
              </w:rPr>
              <w:t>NO</w:t>
            </w:r>
            <w:r>
              <w:rPr>
                <w:rFonts w:ascii="Times New Roman" w:cs="Times New Roman" w:eastAsia="Times New Roman" w:hAnsi="Times New Roman"/>
                <w:sz w:val="18"/>
                <w:szCs w:val="18"/>
                <w:color w:val="auto"/>
                <w:vertAlign w:val="subscript"/>
              </w:rPr>
              <w:t>x</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Nitrogen Oxides</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NPNS</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Normal Purchases and Normal Sales</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NRG</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NRG Energy, Inc.</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OCI/OCL</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Other comprehensive income/loss</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O&amp;M</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PG&amp;E</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PJM</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PJM Interconnection, LLC</w:t>
            </w:r>
          </w:p>
        </w:tc>
      </w:tr>
      <w:tr>
        <w:trPr>
          <w:trHeight w:val="184"/>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PPA</w:t>
            </w:r>
          </w:p>
        </w:tc>
        <w:tc>
          <w:tcPr>
            <w:tcW w:w="90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721"/>
        </w:trPr>
        <w:tc>
          <w:tcPr>
            <w:tcW w:w="2300" w:type="dxa"/>
            <w:vAlign w:val="bottom"/>
          </w:tcPr>
          <w:p>
            <w:pPr>
              <w:spacing w:after="0"/>
              <w:rPr>
                <w:sz w:val="24"/>
                <w:szCs w:val="24"/>
                <w:color w:val="auto"/>
              </w:rPr>
            </w:pPr>
          </w:p>
        </w:tc>
        <w:tc>
          <w:tcPr>
            <w:tcW w:w="89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24"/>
                <w:szCs w:val="24"/>
                <w:color w:val="auto"/>
              </w:rPr>
            </w:pPr>
          </w:p>
        </w:tc>
      </w:tr>
      <w:tr>
        <w:trPr>
          <w:trHeight w:val="87"/>
        </w:trPr>
        <w:tc>
          <w:tcPr>
            <w:tcW w:w="2300" w:type="dxa"/>
            <w:vAlign w:val="bottom"/>
            <w:tcBorders>
              <w:bottom w:val="single" w:sz="8" w:color="9A9A9A"/>
            </w:tcBorders>
          </w:tcPr>
          <w:p>
            <w:pPr>
              <w:spacing w:after="0"/>
              <w:rPr>
                <w:sz w:val="7"/>
                <w:szCs w:val="7"/>
                <w:color w:val="auto"/>
              </w:rPr>
            </w:pPr>
          </w:p>
        </w:tc>
        <w:tc>
          <w:tcPr>
            <w:tcW w:w="898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40"/>
          </w:cols>
          <w:pgMar w:left="300" w:top="761"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PTC</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Production Tax Credit</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PUCT</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Public Utility Commission of Texas</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PUHCA</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Public Utility Holding Company Act of 2005</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PURPA</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Public Utility Regulatory Policies Act of 1978</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QF</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Qualifying Facility under PURPA</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RA</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Resource adequacy</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RENOM</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Clearway Renewable Operation &amp; Maintenance LLC, a wholly-owned subsidiary of CEG</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Rosie Central BESS</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Rosie BESS Devco LLC</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RPS</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Renewable Portfolio Standards</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RTO</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Regional Transmission Organization</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SCE</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SDG&amp;E</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San Diego Gas &amp; Electric</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Senior Notes</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and the 2032 Senior Notes</w:t>
            </w:r>
          </w:p>
        </w:tc>
      </w:tr>
      <w:tr>
        <w:trPr>
          <w:trHeight w:val="180"/>
        </w:trPr>
        <w:tc>
          <w:tcPr>
            <w:tcW w:w="2260" w:type="dxa"/>
            <w:vAlign w:val="bottom"/>
          </w:tcPr>
          <w:p>
            <w:pPr>
              <w:ind w:left="240"/>
              <w:spacing w:after="0" w:line="181" w:lineRule="exact"/>
              <w:rPr>
                <w:sz w:val="20"/>
                <w:szCs w:val="20"/>
                <w:color w:val="auto"/>
              </w:rPr>
            </w:pPr>
            <w:r>
              <w:rPr>
                <w:rFonts w:ascii="Times New Roman" w:cs="Times New Roman" w:eastAsia="Times New Roman" w:hAnsi="Times New Roman"/>
                <w:sz w:val="14"/>
                <w:szCs w:val="14"/>
                <w:color w:val="auto"/>
              </w:rPr>
              <w:t>SO</w:t>
            </w:r>
            <w:r>
              <w:rPr>
                <w:rFonts w:ascii="Times New Roman" w:cs="Times New Roman" w:eastAsia="Times New Roman" w:hAnsi="Times New Roman"/>
                <w:sz w:val="18"/>
                <w:szCs w:val="18"/>
                <w:color w:val="auto"/>
                <w:vertAlign w:val="subscript"/>
              </w:rPr>
              <w:t>2</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Sulfur Dioxide</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SOFR</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SPP</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SREC</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42"/>
        </w:trPr>
        <w:tc>
          <w:tcPr>
            <w:tcW w:w="226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Thermal Business</w:t>
            </w:r>
          </w:p>
        </w:tc>
        <w:tc>
          <w:tcPr>
            <w:tcW w:w="9100" w:type="dxa"/>
            <w:vAlign w:val="bottom"/>
            <w:gridSpan w:val="2"/>
          </w:tcPr>
          <w:p>
            <w:pPr>
              <w:ind w:left="860"/>
              <w:spacing w:after="0" w:line="142" w:lineRule="exact"/>
              <w:rPr>
                <w:sz w:val="20"/>
                <w:szCs w:val="20"/>
                <w:color w:val="auto"/>
              </w:rPr>
            </w:pPr>
            <w:r>
              <w:rPr>
                <w:rFonts w:ascii="Times New Roman" w:cs="Times New Roman" w:eastAsia="Times New Roman" w:hAnsi="Times New Roman"/>
                <w:sz w:val="14"/>
                <w:szCs w:val="14"/>
                <w:color w:val="auto"/>
              </w:rPr>
              <w:t>The Company’s thermal business, which consisted of thermal infrastructure assets that provided steam, hot water and/or chilled water, and in so</w:t>
            </w:r>
          </w:p>
        </w:tc>
      </w:tr>
      <w:tr>
        <w:trPr>
          <w:trHeight w:val="184"/>
        </w:trPr>
        <w:tc>
          <w:tcPr>
            <w:tcW w:w="2260" w:type="dxa"/>
            <w:vAlign w:val="bottom"/>
          </w:tcPr>
          <w:p>
            <w:pPr>
              <w:spacing w:after="0"/>
              <w:rPr>
                <w:sz w:val="16"/>
                <w:szCs w:val="16"/>
                <w:color w:val="auto"/>
              </w:rPr>
            </w:pP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instances electricity, to commercial businesses, universities, hospitals and governmental units</w:t>
            </w:r>
          </w:p>
        </w:tc>
      </w:tr>
      <w:tr>
        <w:trPr>
          <w:trHeight w:val="183"/>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Thermal Disposition</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The Company’s sale of 100% of its interests in the Thermal Business to KKR, which was completed on May 1, 2022</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TotalEnergies</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TotalEnergies SE, a global multi-energy company</w:t>
            </w:r>
          </w:p>
        </w:tc>
      </w:tr>
      <w:tr>
        <w:trPr>
          <w:trHeight w:val="180"/>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42"/>
        </w:trPr>
        <w:tc>
          <w:tcPr>
            <w:tcW w:w="226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Utah Solar Portfolio</w:t>
            </w:r>
          </w:p>
        </w:tc>
        <w:tc>
          <w:tcPr>
            <w:tcW w:w="9100" w:type="dxa"/>
            <w:vAlign w:val="bottom"/>
            <w:gridSpan w:val="2"/>
          </w:tcPr>
          <w:p>
            <w:pPr>
              <w:ind w:left="860"/>
              <w:spacing w:after="0" w:line="142" w:lineRule="exact"/>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 which includes Enterprise, Escalante I, Escalante II, Escalan</w:t>
            </w:r>
          </w:p>
        </w:tc>
      </w:tr>
      <w:tr>
        <w:trPr>
          <w:trHeight w:val="184"/>
        </w:trPr>
        <w:tc>
          <w:tcPr>
            <w:tcW w:w="2260" w:type="dxa"/>
            <w:vAlign w:val="bottom"/>
          </w:tcPr>
          <w:p>
            <w:pPr>
              <w:spacing w:after="0"/>
              <w:rPr>
                <w:sz w:val="16"/>
                <w:szCs w:val="16"/>
                <w:color w:val="auto"/>
              </w:rPr>
            </w:pP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III, Granite Mountain East, Granite Mountain West and Iron Springs</w:t>
            </w:r>
          </w:p>
        </w:tc>
      </w:tr>
      <w:tr>
        <w:trPr>
          <w:trHeight w:val="145"/>
        </w:trPr>
        <w:tc>
          <w:tcPr>
            <w:tcW w:w="2260" w:type="dxa"/>
            <w:vAlign w:val="bottom"/>
          </w:tcPr>
          <w:p>
            <w:pPr>
              <w:ind w:left="240"/>
              <w:spacing w:after="0" w:line="145" w:lineRule="exact"/>
              <w:rPr>
                <w:sz w:val="20"/>
                <w:szCs w:val="20"/>
                <w:color w:val="auto"/>
              </w:rPr>
            </w:pPr>
            <w:r>
              <w:rPr>
                <w:rFonts w:ascii="Times New Roman" w:cs="Times New Roman" w:eastAsia="Times New Roman" w:hAnsi="Times New Roman"/>
                <w:sz w:val="14"/>
                <w:szCs w:val="14"/>
                <w:color w:val="auto"/>
              </w:rPr>
              <w:t>Utility Scale Solar</w:t>
            </w:r>
          </w:p>
        </w:tc>
        <w:tc>
          <w:tcPr>
            <w:tcW w:w="9100" w:type="dxa"/>
            <w:vAlign w:val="bottom"/>
            <w:gridSpan w:val="2"/>
          </w:tcPr>
          <w:p>
            <w:pPr>
              <w:ind w:left="860"/>
              <w:spacing w:after="0" w:line="145" w:lineRule="exact"/>
              <w:rPr>
                <w:sz w:val="20"/>
                <w:szCs w:val="20"/>
                <w:color w:val="auto"/>
              </w:rPr>
            </w:pPr>
            <w:r>
              <w:rPr>
                <w:rFonts w:ascii="Times New Roman" w:cs="Times New Roman" w:eastAsia="Times New Roman" w:hAnsi="Times New Roman"/>
                <w:sz w:val="14"/>
                <w:szCs w:val="14"/>
                <w:color w:val="auto"/>
              </w:rPr>
              <w:t>Solar power facilities, typically 20 MW or greater in size (on an alternating current, or AC, basis), that are interconnected into the transmission</w:t>
            </w:r>
          </w:p>
        </w:tc>
      </w:tr>
      <w:tr>
        <w:trPr>
          <w:trHeight w:val="184"/>
        </w:trPr>
        <w:tc>
          <w:tcPr>
            <w:tcW w:w="2260" w:type="dxa"/>
            <w:vAlign w:val="bottom"/>
          </w:tcPr>
          <w:p>
            <w:pPr>
              <w:spacing w:after="0"/>
              <w:rPr>
                <w:sz w:val="16"/>
                <w:szCs w:val="16"/>
                <w:color w:val="auto"/>
              </w:rPr>
            </w:pP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7"/>
        </w:trPr>
        <w:tc>
          <w:tcPr>
            <w:tcW w:w="2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VIE</w:t>
            </w:r>
          </w:p>
        </w:tc>
        <w:tc>
          <w:tcPr>
            <w:tcW w:w="9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912"/>
        </w:trPr>
        <w:tc>
          <w:tcPr>
            <w:tcW w:w="2260" w:type="dxa"/>
            <w:vAlign w:val="bottom"/>
          </w:tcPr>
          <w:p>
            <w:pPr>
              <w:spacing w:after="0"/>
              <w:rPr>
                <w:sz w:val="24"/>
                <w:szCs w:val="24"/>
                <w:color w:val="auto"/>
              </w:rPr>
            </w:pPr>
          </w:p>
        </w:tc>
        <w:tc>
          <w:tcPr>
            <w:tcW w:w="902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4"/>
                <w:szCs w:val="24"/>
                <w:color w:val="auto"/>
              </w:rPr>
            </w:pPr>
          </w:p>
        </w:tc>
      </w:tr>
      <w:tr>
        <w:trPr>
          <w:trHeight w:val="87"/>
        </w:trPr>
        <w:tc>
          <w:tcPr>
            <w:tcW w:w="2260" w:type="dxa"/>
            <w:vAlign w:val="bottom"/>
            <w:tcBorders>
              <w:bottom w:val="single" w:sz="8" w:color="9A9A9A"/>
            </w:tcBorders>
          </w:tcPr>
          <w:p>
            <w:pPr>
              <w:spacing w:after="0"/>
              <w:rPr>
                <w:sz w:val="7"/>
                <w:szCs w:val="7"/>
                <w:color w:val="auto"/>
              </w:rPr>
            </w:pPr>
          </w:p>
        </w:tc>
        <w:tc>
          <w:tcPr>
            <w:tcW w:w="90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61"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was formed as a Delaware corporation on December 20, 2012.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9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In 2024, 96% of the Company’s total generation was attributable to renewable energy and storage assets.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 Company’s Renewables segment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2024 </w:t>
      </w:r>
      <w:r>
        <w:rPr>
          <w:rFonts w:ascii="Times New Roman" w:cs="Times New Roman" w:eastAsia="Times New Roman" w:hAnsi="Times New Roman"/>
          <w:sz w:val="14"/>
          <w:szCs w:val="14"/>
          <w:color w:val="231F20"/>
        </w:rPr>
        <w:t>based on CAFD.</w:t>
      </w:r>
      <w:r>
        <w:rPr>
          <w:rFonts w:ascii="Times New Roman" w:cs="Times New Roman" w:eastAsia="Times New Roman" w:hAnsi="Times New Roman"/>
          <w:sz w:val="14"/>
          <w:szCs w:val="14"/>
          <w:color w:val="auto"/>
        </w:rPr>
        <w:t xml:space="preserve"> A complete listing of the Company’s interests in operating facilities as of December 31, 2024 can be found in Item 2 — </w:t>
      </w:r>
      <w:r>
        <w:rPr>
          <w:rFonts w:ascii="Times New Roman" w:cs="Times New Roman" w:eastAsia="Times New Roman" w:hAnsi="Times New Roman"/>
          <w:sz w:val="14"/>
          <w:szCs w:val="14"/>
          <w:i w:val="1"/>
          <w:iCs w:val="1"/>
          <w:color w:val="auto"/>
        </w:rPr>
        <w:t>Properties.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As a result of its current ownership of the Class B common stock and Class D common stock of the Company, CEG controls the Company. From time to time, CEG may also hold shares of the Company’s Class A and/or Class C common stock.</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of December 31, 2024, the Company owned 58.10% of the economic interests of Clearway Energy LLC, with CEG owning 41.90% of the economic interests of Clearway Energy LLC.</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3435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8195" cy="343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primary business strategy is to focus on the ownership of assets and growth through investments in or acquisitions of assets with predictable, long-term cash flows in order that it may be able to continue to grow and expand the business as well as to increase the dividends paid to holders of the Company’s Class A and Class C common stock over time.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plan for executing its business strategy includes the following key components:</w:t>
      </w:r>
    </w:p>
    <w:p>
      <w:pPr>
        <w:spacing w:after="0" w:line="13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Focus on contracted renewable energy and dispatchable combustion-based generation. </w:t>
      </w:r>
      <w:r>
        <w:rPr>
          <w:rFonts w:ascii="Times New Roman" w:cs="Times New Roman" w:eastAsia="Times New Roman" w:hAnsi="Times New Roman"/>
          <w:sz w:val="14"/>
          <w:szCs w:val="14"/>
          <w:color w:val="auto"/>
        </w:rPr>
        <w:t>The Company owns and operates utility scale and distributed renewable energy assets, as well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BESS, and dispatchable combustion-based power generation assets included in the Flexible Generation segment that provide critical grid reliability services. The assets are operated with proven technologies and have generally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Growing the business through investments in operating power generation assets. </w:t>
      </w:r>
      <w:r>
        <w:rPr>
          <w:rFonts w:ascii="Times New Roman" w:cs="Times New Roman" w:eastAsia="Times New Roman" w:hAnsi="Times New Roman"/>
          <w:sz w:val="14"/>
          <w:szCs w:val="14"/>
          <w:color w:val="auto"/>
        </w:rPr>
        <w:t>The Company believes that its base of operations provides a platform for strategic growth through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accretive and tax advantaged investments and acquisitions complementary to its existing portfolio and investment in organic cash flow expansion of its own fleet. In addition, the Company may invest in or acquire generation facilities from third parties where the Company believes its knowledge of the market and operating expertise provides it with a competitive advantage, as well as consummate future investments in, or acquisitions of, assets developed by CEG. The Company believes that CEG’s development expertise provides the Company access to a development platform with an extensive pipeline of potential renewable energy and BESS facilities that are aligned to support the Company’s growth. The Company and CEG work collaboratively in considering new assets to be invested in or acquired by the Company. The assets listed below represent the Company’s currently committed investments in facilities: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Gross Capacity (MW)</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COD</w:t>
            </w:r>
          </w:p>
        </w:tc>
      </w:tr>
      <w:tr>
        <w:trPr>
          <w:trHeight w:val="171"/>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Daggett 1</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BESS</w:t>
            </w:r>
          </w:p>
        </w:tc>
        <w:tc>
          <w:tcPr>
            <w:tcW w:w="8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114</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1H25</w:t>
            </w:r>
          </w:p>
        </w:tc>
      </w:tr>
      <w:tr>
        <w:trPr>
          <w:trHeight w:val="18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Honeycomb Portfolio</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BESS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320</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UT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1H26</w:t>
            </w:r>
          </w:p>
        </w:tc>
      </w:tr>
      <w:tr>
        <w:trPr>
          <w:trHeight w:val="18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Luna Valley</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Solar</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200</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CA</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2H25</w:t>
            </w:r>
          </w:p>
        </w:tc>
      </w:tr>
      <w:tr>
        <w:trPr>
          <w:trHeight w:val="180"/>
        </w:trPr>
        <w:tc>
          <w:tcPr>
            <w:tcW w:w="4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Pine Forest </w:t>
            </w:r>
            <w:r>
              <w:rPr>
                <w:rFonts w:ascii="Times New Roman" w:cs="Times New Roman" w:eastAsia="Times New Roman" w:hAnsi="Times New Roman"/>
                <w:sz w:val="18"/>
                <w:szCs w:val="18"/>
                <w:color w:val="auto"/>
                <w:vertAlign w:val="superscript"/>
              </w:rPr>
              <w:t>(a)</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Solar/BESS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500</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TX</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2H25</w:t>
            </w:r>
          </w:p>
        </w:tc>
      </w:tr>
      <w:tr>
        <w:trPr>
          <w:trHeight w:val="180"/>
        </w:trPr>
        <w:tc>
          <w:tcPr>
            <w:tcW w:w="42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Rosamond South I </w:t>
            </w:r>
            <w:r>
              <w:rPr>
                <w:rFonts w:ascii="Times New Roman" w:cs="Times New Roman" w:eastAsia="Times New Roman" w:hAnsi="Times New Roman"/>
                <w:sz w:val="18"/>
                <w:szCs w:val="18"/>
                <w:color w:val="auto"/>
                <w:vertAlign w:val="superscript"/>
              </w:rPr>
              <w:t>(a)</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Solar/BESS</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257</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CA</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2H25</w:t>
            </w:r>
          </w:p>
        </w:tc>
      </w:tr>
      <w:tr>
        <w:trPr>
          <w:trHeight w:val="24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Tuolumne </w:t>
            </w:r>
            <w:r>
              <w:rPr>
                <w:rFonts w:ascii="Times New Roman" w:cs="Times New Roman" w:eastAsia="Times New Roman" w:hAnsi="Times New Roman"/>
                <w:sz w:val="18"/>
                <w:szCs w:val="18"/>
                <w:color w:val="auto"/>
                <w:vertAlign w:val="superscript"/>
              </w:rPr>
              <w:t>(b)</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Wind</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137</w:t>
            </w:r>
          </w:p>
        </w:tc>
        <w:tc>
          <w:tcPr>
            <w:tcW w:w="80" w:type="dxa"/>
            <w:vAlign w:val="bottom"/>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WA</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13881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89" w:lineRule="exact"/>
        <w:rPr>
          <w:sz w:val="20"/>
          <w:szCs w:val="20"/>
          <w:color w:val="auto"/>
        </w:rPr>
      </w:pPr>
    </w:p>
    <w:p>
      <w:pPr>
        <w:ind w:left="200" w:hanging="131"/>
        <w:spacing w:after="0"/>
        <w:tabs>
          <w:tab w:leader="none" w:pos="20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Included in a co-investment partnership.</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Third-party acquisition of an operating facility.</w:t>
      </w:r>
    </w:p>
    <w:p>
      <w:pPr>
        <w:spacing w:after="0" w:line="10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Primary focus on North America. </w:t>
      </w:r>
      <w:r>
        <w:rPr>
          <w:rFonts w:ascii="Times New Roman" w:cs="Times New Roman" w:eastAsia="Times New Roman" w:hAnsi="Times New Roman"/>
          <w:sz w:val="14"/>
          <w:szCs w:val="14"/>
          <w:color w:val="auto"/>
        </w:rPr>
        <w:t>The Company intends to focus its investments in North America. The Company believes that industry fundamentals in North America present it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significant opportunity to grow its portfolio without creating significant exposure to currency and sovereign risk. By focusing its efforts on North America, the Company believes it will best leverage its regional knowledge of power markets, industry relationships and skill sets to maximize the performance of the Company.</w:t>
      </w:r>
    </w:p>
    <w:p>
      <w:pPr>
        <w:spacing w:after="0" w:line="9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Maintain sound financial practices to grow the dividend. </w:t>
      </w:r>
      <w:r>
        <w:rPr>
          <w:rFonts w:ascii="Times New Roman" w:cs="Times New Roman" w:eastAsia="Times New Roman" w:hAnsi="Times New Roman"/>
          <w:sz w:val="14"/>
          <w:szCs w:val="14"/>
          <w:color w:val="auto"/>
        </w:rPr>
        <w:t>The Company intends to maintain a commitment to disciplined financial analysis and a balanced capital structure to enable it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Power generation is a capital-intensive business with numerous and diverse industry participants. The Company competes on the basis of the location of its plants and on the basis of contract price and terms of individual facilities. Within the power industry, there is a wide variation in terms of the capabilities, resources, nature and identity of the companies with whom the Company competes depending on the market. Competitors for energy supply are utilities and independent power producers. The Company also competes to acquire new facilities with renewable developers who retain renewable power plant ownership, independent power producers, financial investors and other downstream power infrastructure owners.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facilities, and it could be difficult for the Company to adapt to and operate under such laws and regulations.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Stable, high quality cash flows. </w:t>
      </w:r>
      <w:r>
        <w:rPr>
          <w:rFonts w:ascii="Times New Roman" w:cs="Times New Roman" w:eastAsia="Times New Roman" w:hAnsi="Times New Roman"/>
          <w:sz w:val="14"/>
          <w:szCs w:val="14"/>
          <w:color w:val="auto"/>
        </w:rPr>
        <w:t>The Company’s facilities have a stable, predictable cash flow profile consisting of long-life electric generation assets that primarily sell electricity under long-term fixed priced contracts or pursuant to regulated rates with investment-grade and certain other creditworthy counterparties. The majority of the Company’s facilities have minimal fuel risk, as the Renewables facilities have no fuel costs, however, the Company’s merchant assets included in the Flexible Generation segment need to procure their own fuel. The offtake agreements within the Company’s Renewables segment have a weighted-average remaining duration, based on CAFD, of approximately 12 years as of December 31, 2024, providing long-term cash flow stability. The Company’s offtake agreements with counterparties for whom credit ratings are available have a weighted-average Moody’s rating of Ba1 based on rated capacity under contract. All of the Company’s assets are in the U.S. and accordingly have no currency or repatriation risks.</w:t>
      </w:r>
    </w:p>
    <w:p>
      <w:pPr>
        <w:spacing w:after="0" w:line="9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Environmentally well-positioned portfolio of assets. </w:t>
      </w:r>
      <w:r>
        <w:rPr>
          <w:rFonts w:ascii="Times New Roman" w:cs="Times New Roman" w:eastAsia="Times New Roman" w:hAnsi="Times New Roman"/>
          <w:sz w:val="14"/>
          <w:szCs w:val="14"/>
          <w:color w:val="auto"/>
        </w:rPr>
        <w:t>The Company’s portfolio includes approximately 9 gross GW of installed wind, solar and BESS assets that are predominantly non-emitting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sources of power generation. Additionally, the Company’s assets within the Flexible Generation segment that are located in California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 will be a net beneficiary of growing energy demand and market support for the types of assets that the Company operates and acquires.</w:t>
      </w:r>
    </w:p>
    <w:p>
      <w:pPr>
        <w:spacing w:after="0" w:line="9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High quality, long-lived assets with low operating and capital requirements. </w:t>
      </w:r>
      <w:r>
        <w:rPr>
          <w:rFonts w:ascii="Times New Roman" w:cs="Times New Roman" w:eastAsia="Times New Roman" w:hAnsi="Times New Roman"/>
          <w:sz w:val="14"/>
          <w:szCs w:val="14"/>
          <w:color w:val="auto"/>
        </w:rPr>
        <w:t>The Company benefits from a portfolio of relatively newer assets. The Company’s assets are largely comprised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proven and reliable technologies, provided by leading original wind, solar and BESS equipment manufacturers. Given the nature of the portfolio, which includes a substantial number of relatively low operating and maintenance cost wind, solar and BESS facilities, the Company expects to achieve high fleet availability and expend modest maintenance-related capital expenditures.</w:t>
      </w:r>
    </w:p>
    <w:p>
      <w:pPr>
        <w:spacing w:after="0" w:line="9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scale and diversity. </w:t>
      </w:r>
      <w:r>
        <w:rPr>
          <w:rFonts w:ascii="Times New Roman" w:cs="Times New Roman" w:eastAsia="Times New Roman" w:hAnsi="Times New Roman"/>
          <w:sz w:val="14"/>
          <w:szCs w:val="14"/>
          <w:color w:val="auto"/>
        </w:rPr>
        <w:t>The Company’s portfolio comprises approximately 11.8 GW of gross capacity in 26 states, including approximately 9 GW of wind, solar and BESS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2.8 GW of dispatchable combustion-based power generation providing critical grid reliability services. The Company’s contracted assets included in the Renewables and Flexible Generation segments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Relationship with CEG as sponsor. </w:t>
      </w:r>
      <w:r>
        <w:rPr>
          <w:rFonts w:ascii="Times New Roman" w:cs="Times New Roman" w:eastAsia="Times New Roman" w:hAnsi="Times New Roman"/>
          <w:sz w:val="14"/>
          <w:szCs w:val="14"/>
          <w:color w:val="auto"/>
        </w:rPr>
        <w:t>The Company believes that its relationship with CEG provides significant benefits given CEG’s highly capable renewable development and operations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platform that is aligned to support the Company’s growth. CEG has strong capabilities in capital formation, power origination, procurement, construction, business development, asset management, operations and maintenance and related commercial functions, which contribute to safeguarding and optimizing the value of the Company’s business and operating fleet. Additionally, GIP and TotalEnergies as owners of CEG each exhibit strong track records of stable financial support for investments in the renewable energy sector.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Review</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tables summarize the Company’s operating revenues, net income (loss) and assets by segment, as discussed in Item 15 — Note 13,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440" w:type="dxa"/>
            <w:vAlign w:val="bottom"/>
            <w:tcBorders>
              <w:bottom w:val="single" w:sz="8" w:color="auto"/>
            </w:tcBorders>
          </w:tcPr>
          <w:p>
            <w:pPr>
              <w:spacing w:after="0"/>
              <w:rPr>
                <w:sz w:val="13"/>
                <w:szCs w:val="13"/>
                <w:color w:val="auto"/>
              </w:rPr>
            </w:pPr>
          </w:p>
        </w:tc>
      </w:tr>
      <w:tr>
        <w:trPr>
          <w:trHeight w:val="149"/>
        </w:trPr>
        <w:tc>
          <w:tcPr>
            <w:tcW w:w="5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44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58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44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40" w:type="dxa"/>
            <w:vAlign w:val="bottom"/>
            <w:tcBorders>
              <w:top w:val="single" w:sz="8" w:color="auto"/>
            </w:tcBorders>
            <w:shd w:val="clear" w:color="auto" w:fill="CCEEFF"/>
          </w:tcPr>
          <w:p>
            <w:pPr>
              <w:spacing w:after="0"/>
              <w:rPr>
                <w:sz w:val="14"/>
                <w:szCs w:val="14"/>
                <w:color w:val="auto"/>
              </w:rPr>
            </w:pPr>
          </w:p>
        </w:tc>
      </w:tr>
      <w:tr>
        <w:trPr>
          <w:trHeight w:val="168"/>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w:t>
            </w:r>
          </w:p>
        </w:tc>
      </w:tr>
      <w:tr>
        <w:trPr>
          <w:trHeight w:val="17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14,329</w:t>
            </w:r>
          </w:p>
        </w:tc>
        <w:tc>
          <w:tcPr>
            <w:tcW w:w="40" w:type="dxa"/>
            <w:vAlign w:val="bottom"/>
            <w:shd w:val="clear" w:color="auto" w:fill="CCEEFF"/>
          </w:tcPr>
          <w:p>
            <w:pPr>
              <w:spacing w:after="0"/>
              <w:rPr>
                <w:sz w:val="14"/>
                <w:szCs w:val="14"/>
                <w:color w:val="auto"/>
              </w:rPr>
            </w:pPr>
          </w:p>
        </w:tc>
      </w:tr>
      <w:tr>
        <w:trPr>
          <w:trHeight w:val="373"/>
        </w:trPr>
        <w:tc>
          <w:tcPr>
            <w:tcW w:w="5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ind w:left="4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4"/>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260" w:type="dxa"/>
            <w:vAlign w:val="bottom"/>
          </w:tcPr>
          <w:p>
            <w:pPr>
              <w:spacing w:after="0"/>
              <w:rPr>
                <w:sz w:val="13"/>
                <w:szCs w:val="13"/>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60" w:type="dxa"/>
            <w:vAlign w:val="bottom"/>
          </w:tcPr>
          <w:p>
            <w:pPr>
              <w:spacing w:after="0"/>
              <w:rPr>
                <w:sz w:val="13"/>
                <w:szCs w:val="13"/>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20" w:type="dxa"/>
            <w:vAlign w:val="bottom"/>
          </w:tcPr>
          <w:p>
            <w:pPr>
              <w:spacing w:after="0"/>
              <w:rPr>
                <w:sz w:val="13"/>
                <w:szCs w:val="13"/>
                <w:color w:val="auto"/>
              </w:rPr>
            </w:pPr>
          </w:p>
        </w:tc>
        <w:tc>
          <w:tcPr>
            <w:tcW w:w="1100" w:type="dxa"/>
            <w:vAlign w:val="bottom"/>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3"/>
                <w:szCs w:val="13"/>
                <w:color w:val="auto"/>
              </w:rPr>
            </w:pPr>
          </w:p>
        </w:tc>
      </w:tr>
      <w:tr>
        <w:trPr>
          <w:trHeight w:val="16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40" w:type="dxa"/>
            <w:vAlign w:val="bottom"/>
          </w:tcPr>
          <w:p>
            <w:pPr>
              <w:spacing w:after="0"/>
              <w:rPr>
                <w:sz w:val="14"/>
                <w:szCs w:val="14"/>
                <w:color w:val="auto"/>
              </w:rPr>
            </w:pPr>
          </w:p>
        </w:tc>
      </w:tr>
      <w:tr>
        <w:trPr>
          <w:trHeight w:val="168"/>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4"/>
                <w:szCs w:val="14"/>
                <w:color w:val="auto"/>
              </w:rPr>
            </w:pPr>
          </w:p>
        </w:tc>
      </w:tr>
      <w:tr>
        <w:trPr>
          <w:trHeight w:val="17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14,701</w:t>
            </w: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54"/>
        </w:trPr>
        <w:tc>
          <w:tcPr>
            <w:tcW w:w="5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00" w:type="dxa"/>
            <w:vAlign w:val="bottom"/>
          </w:tcPr>
          <w:p>
            <w:pPr>
              <w:spacing w:after="0"/>
              <w:rPr>
                <w:sz w:val="13"/>
                <w:szCs w:val="13"/>
                <w:color w:val="auto"/>
              </w:rPr>
            </w:pPr>
          </w:p>
        </w:tc>
        <w:tc>
          <w:tcPr>
            <w:tcW w:w="1280" w:type="dxa"/>
            <w:vAlign w:val="bottom"/>
            <w:gridSpan w:val="3"/>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880" w:type="dxa"/>
            <w:vAlign w:val="bottom"/>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Net income (loss) </w:t>
            </w:r>
            <w:r>
              <w:rPr>
                <w:rFonts w:ascii="Times New Roman" w:cs="Times New Roman" w:eastAsia="Times New Roman" w:hAnsi="Times New Roman"/>
                <w:sz w:val="16"/>
                <w:szCs w:val="16"/>
                <w:color w:val="auto"/>
                <w:vertAlign w:val="superscript"/>
              </w:rPr>
              <w:t>(a)</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13881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2" w:lineRule="exact"/>
        <w:rPr>
          <w:sz w:val="20"/>
          <w:szCs w:val="20"/>
          <w:color w:val="auto"/>
        </w:rPr>
      </w:pPr>
    </w:p>
    <w:p>
      <w:pPr>
        <w:ind w:left="180" w:hanging="111"/>
        <w:spacing w:after="0"/>
        <w:tabs>
          <w:tab w:leader="none" w:pos="180"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Corporate net income includes the $1,290 million gain on the sale of the Thermal Business to KKR, which was completed on May 1,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Policy Incentives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U.S. federal, state and local governments have established various policy incentives to support the development, financing, ownership and operation of renewable energy facilities. These incentives include PTCs, ITCs, accelerated tax depreciation, cash grants, tax abatements and RPS programs which have the effect of decreasing the costs and risks associated with developing and operating such facilities or creating demand for renewable energy assets. In particular,</w:t>
      </w:r>
    </w:p>
    <w:p>
      <w:pPr>
        <w:spacing w:after="0" w:line="51" w:lineRule="exact"/>
        <w:rPr>
          <w:sz w:val="20"/>
          <w:szCs w:val="20"/>
          <w:color w:val="auto"/>
        </w:rPr>
      </w:pPr>
    </w:p>
    <w:p>
      <w:pPr>
        <w:jc w:val="both"/>
        <w:ind w:left="520" w:hanging="260"/>
        <w:spacing w:after="0" w:line="257" w:lineRule="auto"/>
        <w:tabs>
          <w:tab w:leader="none" w:pos="516"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Owners of wind facilities are eligible to claim the PTC, or an ITC in lieu of the PTC, provided that certain requirements are met. Similarly, owners of solar facilities are eligible to claim the ITC or, for facilities placed in service after August 16, 2022, either the ITC or, in lieu thereof, a PTC, provided certain requirements are met. Additionally, owners of BESS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In order to qualify for the full amount of these credits in the case of facilities whose construction began on or after January 28, 2023, certain prevailing wage and apprenticeship requirements generally must be satisfied.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GHG emissions cannot be greater than zero.</w:t>
      </w:r>
    </w:p>
    <w:p>
      <w:pPr>
        <w:spacing w:after="0" w:line="21" w:lineRule="exact"/>
        <w:rPr>
          <w:rFonts w:ascii="Times New Roman" w:cs="Times New Roman" w:eastAsia="Times New Roman" w:hAnsi="Times New Roman"/>
          <w:sz w:val="14"/>
          <w:szCs w:val="14"/>
          <w:color w:val="231F20"/>
        </w:rPr>
      </w:pPr>
    </w:p>
    <w:p>
      <w:pPr>
        <w:jc w:val="both"/>
        <w:ind w:left="520" w:hanging="260"/>
        <w:spacing w:after="0" w:line="264" w:lineRule="auto"/>
        <w:tabs>
          <w:tab w:leader="none" w:pos="516"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Pursuant to the U.S. federal Modified Accelerated Cost Recovery System, or MACRS, wind, solar and BESS facilities are generally depreciable for tax purposes over a five-year period (before taking into account certain conventions) even though the useful life of such facilities is generally much longer than five years. Federal income tax law also provides for immediate and 100% expensing and deductibility for eligible property acquired and placed in service after September 27, 2017, and before January 1, 2023, with phase downs permitting 80%, 60%, 40% and 20% expensing and deductibility for property acquired and placed in service during 2023, 2024, 2025 and 2026, respectively.</w:t>
      </w:r>
    </w:p>
    <w:p>
      <w:pPr>
        <w:spacing w:after="0" w:line="13" w:lineRule="exact"/>
        <w:rPr>
          <w:rFonts w:ascii="Times New Roman" w:cs="Times New Roman" w:eastAsia="Times New Roman" w:hAnsi="Times New Roman"/>
          <w:sz w:val="14"/>
          <w:szCs w:val="14"/>
          <w:color w:val="231F20"/>
        </w:rPr>
      </w:pPr>
    </w:p>
    <w:p>
      <w:pPr>
        <w:jc w:val="both"/>
        <w:ind w:left="520" w:hanging="260"/>
        <w:spacing w:after="0" w:line="270" w:lineRule="auto"/>
        <w:tabs>
          <w:tab w:leader="none" w:pos="516"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elimination of, loss of, or reduction in, the incentives discussed above could decrease the attractiveness of renewable energy facilities to developers, including, but not limited to, CEG, which could reduce the Company’s acquisition or development opportunities. Such an elimination, loss or reduction could also reduce the Company’s willingness to pursue or develop certain renewable energy facilities due to higher operating costs or decreased revenues under its PPAs.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 Similarly, the Company’s operations within Hawaii are not subject to rate regulation by FERC, as they are deemed to operate solely within the State of Hawaii and not in interstate commerce.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FERC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FERC, among other things, regulates the transmission and the wholesale sale of electricity in interstate commerce under the authority of the FPA. The transmission and sale of electric energy occurring wholly within ERCOT and Hawaii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and Hawaii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PUHCA provides FERC with certain authority over and access to books and records of public utility holding companies not otherwise exempt by virtue of their ownership of EWGs and QFs. The Company is exempt from many of the accounting, record retention, and reporting requirements of the PUHCA.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could change in the future. To the extent that proposed legislation and new or revised regulations restrict or otherwise impact the Company’s operations, the proposed legislation and regulations could have a negative impact on the Company’s financial performance.</w:t>
      </w:r>
    </w:p>
    <w:p>
      <w:pPr>
        <w:spacing w:after="0" w:line="10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Proposed Federal MBTA Incidental Take Legislation and Regulations </w:t>
      </w:r>
      <w:r>
        <w:rPr>
          <w:rFonts w:ascii="Times New Roman" w:cs="Times New Roman" w:eastAsia="Times New Roman" w:hAnsi="Times New Roman"/>
          <w:sz w:val="14"/>
          <w:szCs w:val="14"/>
          <w:color w:val="auto"/>
        </w:rPr>
        <w:t>— On October 4, 2021, U.S. Fish and Wildlife Service, or FWS, issued the final MBTA rule, effective December 3, 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restoring the MBTA to prohibit the incidental take of migratory birds. In 2021, FWS issued an advance notice of proposed rulemaking advising that it intends to gather information necessary to develop proposed regulations to authorize the incidental take of migratory birds under prescribed conditions and prepare a draft environmental review pursuant to the National Environmental Policy Act, or NEPA. Throughout 2022, FWS sought comments on the content of the proposed rule. In November 2023, FWS withdrew the draft MBTA permit program rule from the Office of Information and Regulatory Affairs to address technical comments received from agencies. To date, a new rule has not been published by FWS.</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Federal Eagle Incidental Take Permit Rule </w:t>
      </w:r>
      <w:r>
        <w:rPr>
          <w:rFonts w:ascii="Times New Roman" w:cs="Times New Roman" w:eastAsia="Times New Roman" w:hAnsi="Times New Roman"/>
          <w:sz w:val="14"/>
          <w:szCs w:val="14"/>
          <w:color w:val="auto"/>
        </w:rPr>
        <w:t>— On September 30, 2022, FWS published in the Federal Register a draft rule revising the eagle incidental take permit program. Comments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revised rule continued to be accepted during 2023. The final eagle incidental take permit rule was published in the Federal Register on February 12, 2024 and became effective on April 13, 2024. As anticipated, the final rule provided expedited eagle take permitting and a lower cost pathway to permit issuance for many wind facilities but not all. Facility specific permits will still be required for some facilities. The wind industry continues to work with FWS to improve this process.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Local California Air District Rules </w:t>
      </w:r>
      <w:r>
        <w:rPr>
          <w:rFonts w:ascii="Times New Roman" w:cs="Times New Roman" w:eastAsia="Times New Roman" w:hAnsi="Times New Roman"/>
          <w:sz w:val="14"/>
          <w:szCs w:val="14"/>
          <w:color w:val="auto"/>
        </w:rPr>
        <w:t>— Air districts, including the San Diego Air Pollution Control District, have recently proposed and/or updated new source review permitting requirements,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to incorporate public notice requirements as well as updates to programs addressing toxic air contaminants.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cap and trade program in the next few years. The Company’s facilities in the Flexible Generation segment meet the district’s existing and proposed amendments to command-and-control regulations. Proposed updates to local California Air District Rules are not expected to affect the operations nor compliance of the Company’s facilities.</w:t>
      </w:r>
    </w:p>
    <w:p>
      <w:pPr>
        <w:spacing w:after="0" w:line="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Amendments to NEPA </w:t>
      </w:r>
      <w:r>
        <w:rPr>
          <w:rFonts w:ascii="Times New Roman" w:cs="Times New Roman" w:eastAsia="Times New Roman" w:hAnsi="Times New Roman"/>
          <w:sz w:val="14"/>
          <w:szCs w:val="14"/>
          <w:color w:val="auto"/>
        </w:rPr>
        <w:t>— On June 3, 2023, the Fiscal Responsibility Act of 2023, or FRA, was signed into law, which includes amendments to the NEPA, aimed at streamlining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environmental review process, or the Phase 1 Rule. Following the FRA, on July 31, 2023, the White House Council on Environmental Quality, or CEQ, published a proposed rule, the Bipartisan Permitting Reform Implementation Rule, which sought to revise, update and modernize the existing regulations under the NEPA and included provisions regarding robust public involvement and expanding both environmental justice and climate change, or the Phase 2 Rule. The Phase 2 Rule was finalized on May 1, 2024. The renewable energy industry generally supported both the Phase 1 Rule and the Phase 2 Rule, however, the final Phase 2 Rule was challenged in Federal District Court and the D.C. Circuit. In February 2025, the U.S. District Court for the District of North Dakota held that the CEQ has no legal authority to issue federal regulations, and as a result, CEQ’s final Phase 2 Rule exceeded the agency’s authority. As a result of the U.S. District Court’s order, CEQ’s final rule was vacated and its NEPA regulations were invalidated. This outcome did not result in a material effect on the Company, as it maintains status quo for the NEPA implementation.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sells its electricity and environmental attributes, including RECs, primarily to customers located across 26 states under contractual arrangements. The Company’s customer base includes 38 local utilities and 26 commercial and industrial customers delivered through its utility-scale generation fleet, as well as thousands of additional customers for products delivered from its distributed solar fleet. During the year ended December 31, 2024, the Company’s largest customers as a percentage of consolidated revenue were SCE and PG&amp;E, which represented approximately 24% and 17%, respectively, with the next five largest customers representing a total of approximately 30% of consolidated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the Company had 60 employees. The Company also depends upon personnel of CEG for the provision of asset management, administration and O&amp;M services.</w:t>
      </w:r>
    </w:p>
    <w:p>
      <w:pPr>
        <w:spacing w:after="0" w:line="13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to the personnel of CEG, the Company relies on other third-party service providers in the daily operations of its facilities in the Flexible Generation segment, as well as certain renewable facilities.</w:t>
      </w:r>
    </w:p>
    <w:p>
      <w:pPr>
        <w:spacing w:after="0" w:line="8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and CEG focus on attracting, developing and retaining a team of highly talented and motivated employees. The Company and CEG seek to attract and retain employees with industry experience and relevant skills to support operations, which in certain areas requires specific professional or technical skills and experience. The Company’s and CEG’s programs to attract and recruit qualified candidates focus on identifying qualified candidates from a variety of backgrounds with the requisite skills and experience to bring value to the Company. The Company regularly conducts assessments of its compensation and benefit practices and pay levels to help ensure that staff members are compensated equitably and competitively. The Company devotes extensive resources to staff development and training, including tuition assistance for career-enhancing academic and professional programs. The Company and CEG utilize various programs for developing and retaining employees that focus on employee engagement and belonging, as well as continuing education. Employee performance is measured in part based on goals that are aligned with the Company’s annual objectives. The Company recognizes that its success is based on the talents and dedication of those it employs, and the Company is highly invested in their success.</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and CEG are committed to maintaining a workplace that acknowledges, encourages and values its employees as individuals. The Company and CEG believe that individual differences, experiences, and strengths enrich the Company’s culture and help the Company to better understand the needs of its customers and the communities in which it operates.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 (ESG)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committed to engaging with its stakeholders on environmental, social and governance, or ESG, matters in a proactive, holistic and integrated manner. The Company strives to provide recent, credible and comparable data to investors around ESG issues and to comply with ESG disclosure requirements. The Company’s Board of Directors reviews developing trends and emerging ESG matters as well as the Company’s strategies, activities, policies and communications regarding ESG matters, and reviews and considers potential actions the Company could take regarding ESG matters.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Aligned with the Company’s strategy of owning and acquiring environmentally-sound assets, in 2024, approximately 86% of the Company’s total operating revenues were not tied to the dispatch of power generation emitting GHGs. This non-GHG emitting operating revenue included renewable energy generation and grid reliability services in the Company’s Renewables segment and grid reliability services in the Flexible Generation segment at the El Segundo, Marsh Landing and Walnut Creek facilities. Also in 2024, 96% of the Company’s total generation was attributable to renewable energy and storage assets. The Company has also issued $2,125 million of corporate green bonds under a green bond framework that applies the net proceeds to finance or refinance, in part or in full, new and existing facilities and assets meeting certain criteria focused on the supply of energy from renewable resources, including solar energy and wind energy.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the Company’s website,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as soon as reasonably practicable after they are electronically filed with, or furnished to, the SEC. The Company also routinely posts press releases, presentations, webcasts, and other information regarding the Company on its website. The information posted on the Company’s website is not a part of this report.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The Company’s business is subject to numerous risks and uncertainties, discussed in more detail in the following section. These risks include, among others, the following key risks: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96"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grow and make investments or acquisitions through cash on hand is limited.</w:t>
      </w:r>
    </w:p>
    <w:p>
      <w:pPr>
        <w:spacing w:after="0" w:line="40" w:lineRule="exact"/>
        <w:rPr>
          <w:rFonts w:ascii="Times New Roman" w:cs="Times New Roman" w:eastAsia="Times New Roman" w:hAnsi="Times New Roman"/>
          <w:sz w:val="14"/>
          <w:szCs w:val="14"/>
          <w:color w:val="auto"/>
        </w:rPr>
      </w:pPr>
    </w:p>
    <w:p>
      <w:pPr>
        <w:jc w:val="both"/>
        <w:ind w:left="520" w:hanging="260"/>
        <w:spacing w:after="0" w:line="26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Counterparties to the Company’s offtake agreements may not fulfill their obligations and, as the contracts expire or terminate, the Company may not be able to replace them with agreements on similar terms, or at all.</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effectively consummate future investments or acquisitions will also depend on the Company’s ability to arrange the required or desired financing for investments or acquisitions.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indebtedness could adversely affect its ability to raise additional capital to fund the Company’s operations or pay dividends.</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expansion and refurbishment of electric generation facilities involve significant risks that could result in unplanned power outages or reduced output.</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Supplier concentration at certain of the Company’s facilities and the inability of suppliers to meet their obligations may expose the Company to significant financial credit or performance risks.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own all of the land on which its facilities are located, which could result in disruption to its operations. The Company’s use and enjoyment of real property rights for its facilities may be adversely affected by the rights of lienholders and leaseholders that are superior to those of the grantors of those real property rights to the Company.</w:t>
      </w:r>
    </w:p>
    <w:p>
      <w:pPr>
        <w:spacing w:after="0" w:line="1"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businesses are subject to physical, market and economic risks relating to potential effects of climate change and public and governmental initiatives to address climate change.</w:t>
      </w:r>
    </w:p>
    <w:p>
      <w:pPr>
        <w:spacing w:after="0" w:line="194"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business, financial condition, results of operations and cash flows.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the Company’s businesses is subject to cyber-based security and integrity risk.</w:t>
      </w:r>
    </w:p>
    <w:p>
      <w:pPr>
        <w:spacing w:after="0" w:line="29"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potentially be adversely affected by emerging technologies that may over time impact capacity markets and the energy industry overall.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 with GIP, TotalEnergies and CEG</w:t>
      </w:r>
    </w:p>
    <w:p>
      <w:pPr>
        <w:spacing w:after="0" w:line="96" w:lineRule="exact"/>
        <w:rPr>
          <w:sz w:val="20"/>
          <w:szCs w:val="20"/>
          <w:color w:val="auto"/>
        </w:rPr>
      </w:pPr>
    </w:p>
    <w:p>
      <w:pPr>
        <w:ind w:left="520" w:hanging="260"/>
        <w:spacing w:after="0" w:line="268"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GIP and TotalEnergies, through their equal ownership of CEG, the Company’s controlling stockholder, exercise substantial influence over the Company. The Company is highly dependent on GIP, TotalEnergies and CEG.</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CEG controls the Company and has the ability to designate a majority of the members of the Company’s Board of Directors.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consummate future acquisitions from CEG.</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be unable to terminate the CEG Master Services Agreement, in certain circumstances.</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96"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business is subject to restrictions resulting from environmental, health and safety laws and regulations.</w:t>
      </w:r>
    </w:p>
    <w:p>
      <w:pPr>
        <w:spacing w:after="0" w:line="40" w:lineRule="exact"/>
        <w:rPr>
          <w:rFonts w:ascii="Times New Roman" w:cs="Times New Roman" w:eastAsia="Times New Roman" w:hAnsi="Times New Roman"/>
          <w:sz w:val="14"/>
          <w:szCs w:val="14"/>
          <w:b w:val="1"/>
          <w:bCs w:val="1"/>
          <w:color w:val="auto"/>
        </w:rPr>
      </w:pPr>
    </w:p>
    <w:p>
      <w:pPr>
        <w:ind w:left="520" w:hanging="260"/>
        <w:spacing w:after="0" w:line="27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 is subject to complex and evolving U.S. laws and regulations regarding privacy and data protection.</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regulations providing incentives for renewable power generation could change at any time and such changes may negatively impact the Company’s growth strategy.</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foreign trade policies may materially and adversely affect the Company’s business,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Common Stock</w:t>
      </w:r>
    </w:p>
    <w:p>
      <w:pPr>
        <w:spacing w:after="0" w:line="96" w:lineRule="exact"/>
        <w:rPr>
          <w:sz w:val="20"/>
          <w:szCs w:val="20"/>
          <w:color w:val="auto"/>
        </w:rPr>
      </w:pPr>
    </w:p>
    <w:p>
      <w:pPr>
        <w:jc w:val="both"/>
        <w:ind w:left="520" w:hanging="260"/>
        <w:spacing w:after="0" w:line="26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continue paying comparable or growing cash dividends to holders of its common stock in the future. The Company is a holding company and its primary asset is its interest in Clearway Energy LLC, and the Company is accordingly dependent upon distributions from Clearway Energy LLC and its subsidiaries to pay dividends and taxes and other expenses.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interest rates may have an effect on the value of the Company’s Class A and Class C common stock.</w:t>
      </w:r>
    </w:p>
    <w:p>
      <w:pPr>
        <w:spacing w:after="0" w:line="40"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volatility and reports by securities and industry analysts may affect the price of the Company’s Class A and Class C common stock, and the future issuance of additional shares of common stock or sales of common stock by CEG may cause dilution of investors’ ownership interest or cause the price of the Company’s Class A or Class C common stock to fall.</w:t>
      </w:r>
    </w:p>
    <w:p>
      <w:pPr>
        <w:spacing w:after="0" w:line="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96" w:lineRule="exact"/>
        <w:rPr>
          <w:sz w:val="20"/>
          <w:szCs w:val="20"/>
          <w:color w:val="auto"/>
        </w:rPr>
      </w:pPr>
    </w:p>
    <w:p>
      <w:pPr>
        <w:jc w:val="both"/>
        <w:ind w:left="520" w:hanging="260"/>
        <w:spacing w:after="0" w:line="26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 The Company may incur contractual obligations from the indemnification of third parties if tax authorities challenge the amount or availability of ITCs, PTCs or related tax benefits that the Company is obligated to provide to such third parties under such contractual arrangements.</w:t>
      </w:r>
    </w:p>
    <w:p>
      <w:pPr>
        <w:spacing w:after="0" w:line="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use NOLs to offset future income may be limited.</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valuation allowance may be required for the Company’s deferred tax assets.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holders of the Company’s Class A and Class C common stock may be taxable.</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comply with tax laws and policies may depend on its contractual arrangements and information provided by third parties and may require significant resources.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Pursuant to the Company’s cash dividend policy, the Company intends to distribute a significant amount of the CAFD through regular quarterly distributions and dividends, and the Company’s ability to grow and make investments and acquisitions through cash on hand is limited.</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investments, acquisitions and growth capital expenditures. The Company may be precluded from pursuing otherwise attractive investments or acquisitions if the projected short-term cash flow from the investment or acquisition is not adequate to service the capital raised to fund the investment or acquisition, after giving effect to the Company’s available cash reserves. To the extent the Company issues additional equity securities in connection with any investments,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operating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business strategy includes growth through the investments in, and acquisitions of, additional generation assets (including through corporate acquisitions). This strategy depends on the Company’s ability to successfully identify and evaluate investment and acquisition opportunities and consummate investments and acquisitions on favorable terms. However, the number of investment and acquisition opportunities is limited. In addition, the Company will compete with other companies for these limited investment and acquisition opportunities, which may increase the Company’s cost of making investments or acquisitions or cause the Company to refrain from making investments or acquisitions at all. Some of the Company’s competitors for investments and acquisitions are much larger than the Company with substantially greater resources. These companies may be able to pay more for investments or acquisitions and may be able to identify, evaluate, bid for and purchase a greater number of assets than the Company’s financial or human resources permit. If the Company is unable to identify and consummate future investments or acquisitions, it will impede the Company’s ability to execute its growth strategy and limit the Company’s ability to increase the amount of dividends paid to holders of the Company’s common stock.</w:t>
      </w:r>
    </w:p>
    <w:p>
      <w:pPr>
        <w:spacing w:after="0" w:line="10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ability to invest in or acquire future renewable facilities may depend on the financial viability of renewable energy assets generally. The financial viability of these assets may, from time to time, be impacted by public policy mechanisms, including PTCs,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investment in, or acquisition of, companies and assets are subject to substantial risks, including the failure to identify material problems during due diligence (for which the Company may not be indemnified post-closing) and the risk of overpaying for assets (or not making investments or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investments or acquisitions will perform as expected or that the returns from such investments or acquisitions will support the financing utilized to invest in, acquire or maintain them. A failure to achieve the financial returns the Company expects when it invests in or acquires generation assets could have a material adverse effect on the Company’s ability to grow its business and make cash distributions to its stockholders. Any failure of the Company’s acquired generation assets to be accretive or difficulty in integrating such acquisition into the Company’s business could have a material adverse effect on the Company’s ability to grow its business and make cash distributions to its stockholders. As a result, the consummation of acquisitions could have a material adverse effect on the Company’s business, financial condition, results of operations, cash flows and ability to pay dividends to holders of the Company’s common stock.</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 w:name="page17"/>
    <w:bookmarkEnd w:id="16"/>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Counterparties to the Company’s offtake agreements may not fulfill their obligations and, as the contracts expire or terminate, the Company may not be able to replace them with agreements on similar terms, or at all.</w:t>
      </w:r>
    </w:p>
    <w:p>
      <w:pPr>
        <w:spacing w:after="0" w:line="8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majority of the electric power the Company generates within the Renewables segment is sold under long-term offtake agreements with public utilities or industrial or commercial end-users, with a weighted average remaining duration, based on CAFD, of approximately 12 years. As of December 31, 2024, the largest customers of the Company’s power generation and BESS assets, including assets in which the Company has less than a 100% membership interest, were SCE and PG&amp;E, which represented 24% and 17%, respectively, of total consolidated revenues generated by the Company during the year ended December 31, 2024.</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increasing competition among generators for offtake agreements has contributed to variability in electricity prices in certain markets. As a result, when an existing offtake agreement expires or is terminated, the Company may not be able to secure a replacement agreement on comparable terms and conditions, and the pricing under any such replacement agreement may vary significantly from the expired or terminated agreement, potentially impacting the profitability of the related facility. In addition, the Company’s competitors may be able to respond more quickly to evolving standards or customer requirements or adopt more advanced technology that reduces their production costs, resulting in their ability to compete for, or secure favorable terms in,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ability to effectively consummate future investments or acquisitions will also depend on the Company’s ability to arrange the required or desired financing for investments or acquisitions.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may not have sufficient credit availability under the Company’s financing arrangements or have access to facility-level financing on commercially reasonable terms when investment or acquisition opportunities arise. An inability to obtain the required or desired financing could significantly limit the Company’s ability to consummate future investments or acquisitions and effectuate the Company’s growth strategy. If financing is available, utilization of the Company’s credit available under its financing arrangements or facility-level financing for all or a portion of the purchase price of an investment or acquisition could significantly increase the Company’s interest expense, impose additional or more restrictive covenants and reduce CAFD. Similarly, the issuance of additional equity securities as consideration for investments or acquisitions could cause significant stockholder dilution and reduce the Company’s dividends if the investments or acquisitions are not sufficiently accretive. The Company’s ability to consummate future investments or acquisitions may also depend on the Company’s ability to obtain any required regulatory approvals for such investments or acquisitions.</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had approximately $7,235 million of total consolidated indebtedness, $5,110 million of which was incurred by the Company’s non-guarantor subsidiaries. In addition, the Company’s share of its unconsolidated affiliates’ total indebtedness and letters of credit outstanding as of December 31, 2024, totaled approximately $282 million and $39 million, respectively (calculated as the Company’s unconsolidated affiliates’ total indebtedness as of such date multiplied by the Company’s percentage membership interest in such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4"/>
          <w:szCs w:val="14"/>
          <w:color w:val="auto"/>
        </w:rPr>
        <w:t>The Company’s substantial debt could have important negative consequences on the Company’s financial condition, including:</w:t>
      </w:r>
    </w:p>
    <w:p>
      <w:pPr>
        <w:spacing w:after="0" w:line="94"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Company’s vulnerability to general economic and industry conditions;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enter into long-term power sales or fuel purchases which require credit support;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fund operations or future investments or acquisitions;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the Company to the risk of increased interest rates because certain of the Company’s borrowings, which may include borrowings under the Company’s revolving credit facility, are at variable rates of interest;</w:t>
      </w: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obtain additional financing for working capital including collateral postings, capital expenditures, debt service requirements, investments, acquisitions and general corporate or other purposes; and</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adjust to changing market conditions and placing it at a competitive disadvantage compared to the Company’s competitors who have less debt.</w:t>
      </w:r>
    </w:p>
    <w:p>
      <w:pPr>
        <w:spacing w:after="0" w:line="13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agreements governing the Company’s facility-level financing contain financial and other restrictive covenants that limit the Company’s operating subsidiaries’ ability to make distributions to the Company or otherwise engage in activities that may be in the Company’s long-term best interests. The facility-level financing agreements generally prohibit distributions from the operating subsidiaries to the Company unless certain specific conditions are met, including the satisfaction of certain financial ratios. The Company’s inability to satisfy certain financial covenants may prevent cash distributions by the particular operating subsidiary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operating subsidiaries, it would likely have a material adverse effect on the Company’s ability to pay dividends to holders of the Company’s common stock.</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Letter of credit facilities to support contractual obligations of operating subsidiaries generally have a limited term that may require future renewal, at which time the Company or relevant operating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facility-level financing arrangements, restrict the ability of the operating subsidiary to make distributions to it and/or reduce the amount of cash available at such subsidiary to make distributions to the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ind w:firstLine="318"/>
        <w:spacing w:after="0" w:line="287" w:lineRule="auto"/>
        <w:rPr>
          <w:sz w:val="20"/>
          <w:szCs w:val="20"/>
          <w:color w:val="auto"/>
        </w:rPr>
      </w:pPr>
      <w:r>
        <w:rPr>
          <w:rFonts w:ascii="Times New Roman" w:cs="Times New Roman" w:eastAsia="Times New Roman" w:hAnsi="Times New Roman"/>
          <w:sz w:val="14"/>
          <w:szCs w:val="14"/>
          <w:color w:val="auto"/>
        </w:rPr>
        <w:t>In addition, the Company’s ability to arrange financing, either at the corporate level or at a non-recourse operating subsidiary, and the costs of such capital, are dependent on numerous factors, including:</w:t>
      </w:r>
    </w:p>
    <w:p>
      <w:pPr>
        <w:spacing w:after="0" w:line="39"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capital market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availability from banks and other financial institutions;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Company, its partners, GIP and TotalEnergies, through CEG, the Company’s principal stockholder (on a combined voting basis);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regional wholesale power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financial performance and the financial performance of the Company subsidiaries;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level of indebtedness and compliance with covenants in debt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acceptable credit ratings or credit quality;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tax and securities laws that may impact raising capital.</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may not be successful in obtaining additional capital for these or other reasons. Furthermore, the Company may be unable to refinance or replace facility-level financing arrangements or other credit facilities on favorable terms or at all upon the expiration or termination thereof. The Company’s failure, or the failure of any of the Company’s facilities,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the Company’s long-term bilateral contracts result from state-mandated procurements and could be declared invalid by a court of competent jurisdiction.</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generation of electric energy from solar and wind energy sources depends heavily on suitable meteorological conditions.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or freezing temperatures and other winter weather conditions. Unfavorable weather and atmospheric conditions could impair the effectiveness of the Company’s assets or reduce their output beneath their rated capacity or require shutdown of key equipment, impeding operation of the Company’s renewable energy assets. For example, in February 2021, many electricity generating assets, including the Company’s wind facilities in Texas, were unable to operate and experienced outages for a few days as a result of the extreme winter weather conditions. In addition, climate change may have the long-term effect of changing wind patterns at the Company’s facilities. Changing wind patterns could cause changes in expected electricity generation. These events could also degrade equipment or components and the interconnection and transmission facilities’ lives or maintenance costs.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In addition, replacement and spare parts for key components may be difficult or costly to acquire or may be unavailable.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substitute RA or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0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earthquakes, floods, lightning, hurricanes and strong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facilities may operate, wholly or partially, without long-term power sales agreements.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economic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Maintenance, expansion and refurbishment of electric generation facilities involve significant risks that could result in unplanned power outages or reduced output.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If the Company makes any major modifications to its facilities in the Flexible Generation segment, it may be required to install the best available control technology or to achieve the lowest achievable emission rates as such terms are defined under the new source review provisions of the Clean Air Act in the future. Any such modifications could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concentration at certain of the Company’s facilities and the inability of suppliers to meet their obligations may expose the Company to significant financial credit or performance risks.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failure of any supplier to fulfill its contractual obligations to the Company could have a material adverse effect on its financial results. Consequently, the financial performance of the Company’s facilities is dependent on the credit quality of, and continued performance by, the Company’s suppliers and vendors.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7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As described in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Company has limited control over the management and operation of certain of its assets, because the Company does not beneficially own all of the membership interests in such assets. The Company may seek to acquire additional assets in which it owns less than all of the related membership interests in the future. In these investments, the Company will seek to exert a degree of influence with respect to the management and operation of assets in which it owns less than all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1" w:name="page22"/>
    <w:bookmarkEnd w:id="21"/>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uses interest rate swaps to manage interest rate risk and uses energy-related financial instruments to manage variability in earnings due to fluctuations in market prices.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does not own all of the land on which its facilities are located, which could result in disruption to its operations.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does not own all of the land on which its facilities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assets.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use and enjoyment of real property rights for its facilities may be adversely affected by the rights of lienholders and leaseholders that are superior to those of the grantors of those real property rights to the Company.</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Generation facilities generally are, and are likely to be, located on land occupied by the facility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facility’s easements and leases. As a result, the facility’s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facilities are located, which could have a material adverse effect on the Company’s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wildfires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governmental, scientific and public concern over the threat of climate change arising from GHG emissions may limit the Company’s access to natural gas or decrease demand for energy generated by the Company’s assets in the Flexible Generation segment.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business, financial condition, results of operations and cash flows.</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0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Furthermore, certain of the Company’s assets are located in active earthquake zones in California and Arizona, and certain facilities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operation of the Company’s businesses is subject to cyber-based security and integrity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the Company’s business is dependent upon the computer systems of third-party providers to process certain data necessary to conduct business, including sensitive employee information, credit card transaction information and other sensitive data.</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From time to time, the Company engages a range of third parties as a part of its cybersecurity risk management. While such engagements are aimed at bolstering the effectiveness of the Company’s risk management processes, they introduce inherent risks and complexities that warrant careful consideration. Any oversight or failure on the part of these third parties could compromise the security of the Company’s sensitive data, proprietary information and critical business processes, leading to potential data breaches or unauthorized access. Additionally, the reliance on external entities introduces complexities in coordinating risk management efforts, data sharing and maintaining confidentiality. Any mismanagement or inadequate coordination between the Company’s internal teams and third-party vendors could result in delays in responding to cybersecurity threats or gaps in its risk mitigation strategies. In addition, while the Company and its third-party service providers commit resources to the design, implementation and monitoring of the Company’s computer systems, there is no guarantee that these security measures will provide absolute security. Despite these security measures, the Company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3" w:name="page24"/>
    <w:bookmarkEnd w:id="23"/>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Potential disruptive actions could result from cyberspace breaches, ransomware or other malware, phishing or social engineering schemes or attacks or other cybersecurity threats, attacks or intrusions, including by computer hackers, foreign governments and cyber terrorists, or otherwise be compromised by unintentional events with respect to the Company or any of its contractors or customers. If the Company or its third-party providers’ systems for protecting against cyber incidents prove to be insufficient, current or planned business operations could be interrupted, property could be damaged and confidential, proprietary or other sensitive information, including employee, customer or supplier information could be lost, stolen, or corrupted, causing the Company to incur significant losses of revenues, other substantial liabilities and damages, costs to replace or repair damaged equipment and damage to the Company’s reputation. The Company’s insurance may not fully protect it against such losses, and costs for insurance may also increase as a result of cybersecurity threats. In addition, the Company may experience increased capital and operating costs to implement increased security for its cyber systems and generating assets.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cyberattacks against the Company or others in its industry could result in additional regulations, which could lead to increased regulatory compliance costs, insurance coverage cost or capital expenditures. Any failure by the Company to comply with these additional regulations could subject it to regulatory investigations or litigation and could result in significant penalties and liability. The Company cannot predict the potential impact to its business or the energy industry resulting from such additional regulations.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9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facilities under construction.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Delivery of fuels to fuel the facilities in the Flexible Generation segment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80"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The Company believes its current operations and future success depend largely on the continued services of key personnel employed by the Company and CEG. Although the Company currently has access to the resources of CEG, the loss of key personnel employed by the Company or CEG could have a material adverse effect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potentially be adversely affected by emerging technologies that may over time impact capacity markets and the energy industry overall.</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Relationships with GIP, TotalEnergies and CEG</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GIP and TotalEnergies, through their equal ownership of CEG, the Company’s controlling stockholder, exercise substantial influence over the Company. The Company is highly dependent on CEG.</w:t>
      </w:r>
    </w:p>
    <w:p>
      <w:pPr>
        <w:spacing w:after="0" w:line="8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CEG owns all of the Company’s outstanding Class B and Class D common stock. The Company’s outstanding Class B and Class D common stock is entitled to one vote per share and 1/100th of a vote per share, respectively. As a result of its ownership of the Class B and Class D common stock, CEG owns 54.91% of the combined voting power of the Company’s common stock as of December 31, 2024. CEG is equally owned by GIP and TotalEnergies. On October 1, 2024, BlackRock acquired 100% of the business and assets of GIM, which is the investment manager of the GIP funds that own an interest in CEG.</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As a result of this ownership, CEG has substantial influence on the Company’s affairs and CEG’s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CEG has the right to elect all of the Company’s directors. CEG may cause corporate actions to be taken that do not fully align with the interests of the Company’s other stockholders (including holders of the Company’s Class A and Class C common stock).</w:t>
      </w:r>
    </w:p>
    <w:p>
      <w:pPr>
        <w:spacing w:after="0" w:line="10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Furthermore, effective January 1, 2025, the Company effected a reorganization pursuant to which all of the employees of the Company transferred to CEG. As a result, the Company depends solely on the services provided by or under the direction of CEG under the CEG Master Services Agreement to carry out its operations.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controls the Company and has the ability to designate a majority of the members of the Company’s Board of Directors.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Due to CEG’s approximate 54.91% combined voting power in the Company, the ability of other holders of the Company’s Class A and Class C common stock to exercise control over the corporate governance of the Company is limited. CEG has a substantial influence on the Company’s affairs and CEG’s voting power constitutes a large percentage of any quorum of the Company’s stockholders voting on any matter requiring the approval of the Company’s stockholders. It is possible that the interests of CEG and its affiliates may in certain circumstances differ from the interests of the Company or other holders of the Company’s Class A and Class C common stock.</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consummate future acquisitions from CEG.</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ability to grow through acquisitions depends, in part, on CEG’s ability to identify and present the Company with acquisition opportunities. There are a number of factors that could materially and adversely impact the extent to which suitable acquisition opportunities are made available from CEG. For example, due to factors inside or outside the Company’s control, CEG may be unable to develop or construct facilities that are ultimately compatible with the Company’s operational requirements or that otherwise result in suitable acquisition opportunities for the Company, or CEG may not be able to develop facilities that provide cash flows that would support the Company’s investment requirements due to numerous factors impacting the economics of the facilities, including negotiation of engineering, procurement and construction and offtake contracts, as well as securing long-term financing for the facilities.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be unable to terminate the CEG Master Services Agreement, in certain circumstances.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gross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90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8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relies on CEG to provide certain services under the CEG Master Services Agreement, including the provision of information technology services. The CEG Master Services Agreement provides that CEG may terminate the agreement upon 180 days prior written notice of termination to the Company (i) if the Company defaults in the performance or observance of any material term, condition or covenant contained in the agreement in a manner that results in material harm to CEG and the default continues unremedied for a period of 30 days after written notice of the breach is given; or (ii) upon the happening of certain events relating to the bankruptcy or insolvency of the Company. If CEG terminates the CEG Master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 In connection with the provision of services under the CEG Master Services Agreement, CEG is in the process of implementing an enterprise resource planning, or ERP, application to support its core business processes and data. The implementation of an ERP application requires significant human resources, which could impact CEG’s ability to provide services to the Company under the CEG Master Services Agreement. In addition, the Company will rely on CEG’s ERP application to support its core business processes, data, financial accounting, financial reporting and internal controls. If CEG is unable to complete an effective implementation of its ERP application in a timely manner, it could adversely impact the Company and its ability to meet its financial reporting and internal control requirements.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liability of CEG is limited under the Company’s arrangements with it, and the Company has agreed to indemnify CEG against claims that it may face in connection with such arrangements, which require the Company to satisfy significant indemnification obligations.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the Company assuming greater risks when CEG makes decisions relating to the Company. The indemnification arrangements may give rise to legal claims for indemnification that are adverse to the Company and holders of its common stock, and, depending on the scope and magnitude of these claims, the Company may incur significant expenses and other financial obligations to cover such claims.</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of the Company’s PPAs and facility-level financing arrangements include provisions that would permit the counterparty to terminate the contract or accelerate maturity in the event CEG ceases to control or own, directly or indirectly, a majority of the voting power of the Company.</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Certain of the Company’s PPAs and facility-level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CEG ceases to own, directly or indirectly, capital stock representing more than 50% of the voting power of the Company’s capital stock outstanding on such date, or, in some cases, if CEG ceases to be the majority owner, directly or indirectly, of the applicable facility. As a result, if CEG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facility-level financing could have a material adverse effect on the Company’s business, financial condition, results of operations and cash flow.</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As of December 31, 2024, CEG controls 54.91%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of Directors to be independent, (ii) 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Company’s compensation committee is not comprised entirely of independent directors. Therefore, the Company’s stockholders may not have the same protections afforded to stockholders of companies that are subject to all of the applicable NYSE listing requirements.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restrictions resulting from environmental, health and safety laws and regulations.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indemnify it for environmental liabilities the operators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Local, state and federal regulations may focus on areas such as monitoring and restricting GHG emissions, regulating methane emissions and transitioning away from reliance on fossil fuels. Alternatively, local, state and federal regulations may also target restricting the development of renewable energy capacity through restrictions on land use, interconnection and removal of government incentives for renewable energy. Significant changes to local, state and federal regulations may have material impacts on the Company’s cost of compliance with these regulations on the Company’s ability to operate its existing assets economically. In addition, the Company may be adversely affected by changes to regulations that restrict the Company’s ability to acquire or invest in new facilities. The effect on the Company of any new legislative or regulatory measures will depend on the particular provisions that are ultimately adopted. In addition, sudden changes to local, state or federal regulations may result in the Company’s inability to quickly react and respond to these changes.</w:t>
      </w:r>
    </w:p>
    <w:p>
      <w:pPr>
        <w:spacing w:after="0" w:line="103"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Companies across all industries may face increased scrutiny from the public, stakeholders and government agencies related to their environmental, social, and governance, or ESG, practices and commitments to address climate change. For example, in March 2024, the SEC adopted new rules that would require a wide range of climate-related disclosures in SEC filings, including certain climate-related risks, climate-related metrics and GHG emissions, information about climate-related targets and goals, transition plans, if any, and extensive attestation requirements. Although the SEC issued an order in April 2024 staying implementation of the new rules pending the resolution of certain legal challenges, the outcome of these legal challenges is uncertain, including with respect to the content of any portion of the rules that may be upheld and the ultimate timing of required compliance with such rules. On February 11, 2025, however, the SEC notified the U.S. Court of Appeals of a statement issued by the SEC’s Acting Chairman regarding, among other things, the fact that the majority of current SEC Commissioners had previously voted against adopting the rules and requested that the U.S. Court of Appeals not schedule the case for argument to provide time for the SEC to deliberate and determine the appropriate next steps in the cases. Additionally, in September 2023, California passed climate-related disclosure mandates, which are broader than the SEC’s proposed rules. In the event the SEC’s climate disclosure rules go into effect or states in which the Company operates or does business adopt climate disclosure requirements, the Company could incur significant additional costs relating to the assessment and disclosure of climate-related risks.</w:t>
      </w:r>
    </w:p>
    <w:p>
      <w:pPr>
        <w:spacing w:after="0" w:line="273"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assets in the Flexible Generation segment or decrease the demand for the energy generated by these assets. In addition, the additional disclosure requirements involve a significant recordkeeping requirement, which could result in the need for additional resources to support compliance. The Company will also be reliant upon its vendors in providing the necessary information for compliance, which may provide additional challenges in meeting compliance requirements. Further, failure or a perception of failure to implement the Company’s ESG practices or achieve sustainability goals and targets it has set could damage the Company’s reputation, causing investors or customers to lose confidence in the Company, and negatively impact the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8" w:name="page29"/>
    <w:bookmarkEnd w:id="28"/>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9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must-offer rules,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11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revenues related to GenConn are established each year by the Connecticut Public Utilities Regulatory Authority. While such regulatory oversight is generally premised on the recovery of prudently incurred costs and a reasonable rate of return on invested capital, there can be no assurance that the applicable regulatory authorities approve rates or revenues that fully recover costs or provide an adequate return on the Company’s capital investments. This risk of inadequate cost recovery could have a material adverse effect on the Company’s business, financial condition, results of operations and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9" w:name="page30"/>
    <w:bookmarkEnd w:id="29"/>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complex and evolving U.S. laws and regulations regarding privacy and data protection. Many of these laws and regulations are subject to change and uncertain interpretation, and could result in claims, increased cost of operations, or otherwise harm the Company’s business.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Government regulations providing incentives for renewable power generation and battery energy storage could change at any time and such changes may negatively impact the Company’s growth strategy.</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facilities and they could be changed, reduced or eliminated at any time. These incentives make the development of renewable power generation facilities more competitive by providing tax credits or grants and accelerated depreciation for a portion of the development costs, decreasing the costs and risks associated with developing such facilities or creating demand for renewable power assets through RPS programs.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elimination or loss of, or reduction in, such incentives could (i) decrease the attractiveness of renewable power generation or BESS facilities to developers, including, but not limited to, CEG, which could reduce the Company’s acquisition opportunities, (ii) reduce the Company’s willingness to pursue or develop certain renewable power facilities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4"/>
          <w:szCs w:val="14"/>
          <w:color w:val="auto"/>
        </w:rPr>
        <w:t>Any of the foregoing could have a material adverse effect on the Company’s business, financial condition, results of operations and ability to grow its business and make cash distributions.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U.S. foreign trade policies, including the imposition of additional tariffs and other trade barriers, and efforts to withdraw from or materially modify international trade agreements, may materially and adversely affect the Company’s business, operations and financial condition.</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Changes in U.S. foreign trade policies could lead to the imposition of additional trade barriers and tariffs on the foreign import of certain materials and products. For example, effective February 4, 2025, the U.S. government implemented an additional tariff on goods being imported from China and announced additional tariffs for goods imported into the U.S. from Mexico and Canada beginning in March 2025. The Company cannot predict what additional changes to trade policy will be made by the presidential administration or Congress, including whether existing tariff policies will be maintained or modified, what products may be subject to such policies or whether the entry into new bilateral or multilateral trade agreements will occur, nor can the Company predict the effects that any such changes would have on its business. However, such steps, if adopted, could increase the Company’s costs and adversely impact its business and operations. In addition, changes in U.S. trade policy have resulted, and could again result, in reactions from U.S. trading partners, including adopting responsive trade policies. For example, in response to the U.S. government’s additional tariff on imports from China, on February 4, 2025, the Chinese government announced that it would implement a tariff on certain goods being imported into China from the U.S. There can be no assurance that such changes in U.S. or foreign trade policy or in laws and policies governing foreign trade, and any resulting negative sentiments towards the U.S. as a result of such changes, would not materially and adversely affect the Company’s business, financial condition, results of operations and liquidity.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continue paying comparable or growing cash dividends to holders of its common stock in the future.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amount of CAFD principally depends upon the amount of cash the Company generates from its operations, which will fluctuate from quarter to quarter based on, among other things:</w:t>
      </w:r>
    </w:p>
    <w:p>
      <w:pPr>
        <w:spacing w:after="0" w:line="51"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revenues generated by the business, due to seasonality, weather, unplanned plant outages, contractual pricing structures or otherwise;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and timing of capital expenditures the Company makes;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operating and general and administrative expenses, including reimbursements to CEG for services provided to the Company in accordance with the CEG Master Services Agreement;</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service requirements and other liabilities;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funds and access capital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contained in the Company’s debt agreements (including facility-level financing and, if applicable, corporate debt);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business risks affecting cash levels.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facility-level financing. For example, as a result of the bankruptcy of PG&amp;E, between early 2019 and mid-2020, certain of the Company’s assets and investments were unable to make distributions to the Company. The facility-level financing agreements generally prohibit distributions from the operating subsidiaries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LLC’s cash flow will likely fluctuate from quarter to quarter, in some cases significantly, due to seasonality, weather volatility and other factors.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a holding company and its primary asset is its interest in Clearway Energy LLC, and the Company is accordingly dependent upon distributions from Clearway Energy LLC and its subsidiaries to pay dividends and taxes and other expenses.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is a holding company and its primary asset is its ownership of membership interests in Clearway Energy LLC, a holding company that has no material assets other than its interest in Clearway Energy Operating LLC, whose sole material assets are the operating subsidiaries. None of the Company, Clearway Energy LLC 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interest rates may have an effect on the value of the Company’s Class A and Class C common stock.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volatility and reports by securities or industry analysts may affect the price of the Company’s Class A and Class C common stock.</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CEG or its owners, the Company’s business and the Company’s assets; the Company’s level of indebtedness and/or adverse market reaction to any indebtedness that the Company may incur in the future; the Company’s ability to raise capital on favorable terms or at all; loss of any major funding source; changes in market valuations of similar power generation companies; and speculation in the press or investment community regarding the Company or CEG (or its owners).</w:t>
      </w:r>
    </w:p>
    <w:p>
      <w:pPr>
        <w:spacing w:after="0" w:line="10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any significant disruption to the Company’s ability to access the capital markets, or a significant increase in interest rates, could make it difficult for the Company to successfully acquire attractive facilities from third parties and may also limit the Company’s ability to obtain debt or equity financing to complete such acquisitions. If the Company is unable to raise adequate proceeds when needed to fund such acquisitions, the ability to grow the Company’s operating portfolio may be limited, which could have a material adverse effect on the Company’s ability to implement its growth strategy and, ultimately, its business, financial condition, results of operations and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 w:name="page33"/>
    <w:bookmarkEnd w:id="32"/>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could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93"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through written consent;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stockholders be called upon a resolution approved by a majority of the Company’s directors then in office;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stockholder proposals and nominations;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authority of the Board of Directors to issue preferred stock with such terms as the Board of Directors may determine.</w:t>
      </w:r>
    </w:p>
    <w:p>
      <w:pPr>
        <w:spacing w:after="0" w:line="13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Section 203 of the Delaware General Corporation Law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in open market transactions or otherwise. A purchaser of the Company’s securities which is a holding company will need to determine whether a given purchase of the Company’s securities may require prior FERC approval.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Investors may experience dilution of ownership interest due to the future issuance of additional shares of the Company’s Class A or Class C common stock.</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the Company’s Class A or Class C common stock by CEG may cause the price of the Company’s Class A or Class C common stock to fall.</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market price of the Company’s Class A or Class C common stock could decline as a result of sales by CEG of such shares (issuable to CEG upon the exchange of some or all of its Clearway Energy LLC Class B or Class D units, respectively) in the market, or the perception that these sales could occur.</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market price of the Company’s Class A or Class C common stock may also decline as a result of CEG disposing or transferring some or all of the Company’s outstanding Class B or Class D common stock, which disposals or transfers would reduce CEG’s ownership interest in, and voting control over, the Company. These sales might also make it more difficult for the Company to sell equity securities at a time and price that the Company deems appropriate. CEG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could have a material adverse effect on the market price of the Company’s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 The Company may incur contractual obligations from the indemnification of third parties if tax authorities challenge the amount or availability of ITCs, PTCs or related tax benefits that the Company is obligated to provide to such third parties under such contractual arrangements.</w:t>
      </w:r>
    </w:p>
    <w:p>
      <w:pPr>
        <w:spacing w:after="0" w:line="9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expects to (i) carryforward prior year NOL balances to offset future taxable income and (ii) generate tax credits and carryforward prior year tax credits to offset future income tax liabilities. Based on the Company’s current portfolio of assets, which include renewable energy assets that benefit from accelerated tax depreciation deductions and federal tax credits, the Company estimates it will not pay material income tax payments through 2026.</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While the Company expects its NOLs and tax credits will be available as a future benefit, in the event that they are not generated as expected, successfully challenged by the IRS or state and local jurisdictions (in a tax audit or otherwise) or subject to future limitations from a potential change in ownership, the Company’s ability to realize these benefits may be limited. In addition, the Company’s ability to realize state and local tax exemptions, including property or sales and use tax exemptions, is subject to various tax law requirements. If these exemptions are successfully challenged by state and local jurisdictions or if a change in tax law occurs, the Company’s ability to realize these exemptions could be affected. A reduction in the Company’s expected NOLs or tax credits, a limitation on the Company’s ability to use such losses or tax credits and challenges by tax authorities to the Company’s tax positions may result in a material increase in the Company’s estimated future income, sales/use and property tax liability and may negatively impact the Company’s liquidity and financial condition.</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addition, the Company routinely enters into arrangements with third parties that provide tax equity financing to, or acquire tax credits, including ITCs or PTCs, from, the Company where tax credits and related tax benefits represent a material portion of the economic benefit of the arrangement to such other party. In certain circumstances, as is customary in the industry, the Company has guaranteed and may have to guarantee the economic benefit of such tax credits and other tax benefits to such party. A reduction in expected tax credits or tax benefits resulting from successful challenges by the IRS could result in an obligation under the Company’s contractual arrangements that could have a material impact on the Company’s financial condition, results of operations and liquidity.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use NOLs to offset future income may be limited.</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NOLs equal to the equity value of the corporation immediately before the ownership change, multiplied by the long-term tax-exempt rate for the month in which the ownership change occurs, increased by certain adjustments for built-in gains at the time of the ownership change. Future sales of any class of the Company’s common stock by CEG, as well as future issuances by the Company, could contribute to a potential ownership change.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A valuation allowance may be required for the Company’s deferred tax assets.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its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to holders of the Company’s Class A and Class C common stock may be taxable.</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amount of distributions to holders of the Company’s Class A and Class C common stock that will be treated as taxable for U.S. federal income tax purposes to such holders will depend on the amount of the Company’s current and accumulated earnings and profits. It is difficult to predict whether the Company will generate earnings and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Distributions in excess of the Company’s current and accumulated earnings and profits will constitute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10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For U.S. tax purposes, a portion of the Company’s distributions to its stockholders in 2023 were classified as taxable dividends and the remaining distributions were classified as a nontaxable return of capital and reduction of a U.S. stockholder’s tax basis, to the extent of a U.S. stockholder’s tax basis in each of the Company’s common shares, with any remaining amount being taxed as a capital gain. The Company was in a cumulative earnings and profits deficit position as of the end of 2023 and did not generate any current earnings and profits during 2024. As a result, distributions made to holders of the Company’s Class A and Class C Common stock in 2024 were treated as a nontaxable return of capital or capital gain for U.S. federal income tax purposes. The classification of distributions made after 2024 will depend upon a number of factors, including but not limited to, the Company’s overall performance and the gross amount of any distributions made to stockholders in 2025 and beyond.</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Company’s provision for income taxes and reporting of tax-related assets and liabilities require significant judgments and the use of estimates. Amounts of tax-related assets and liabilities involve judgments and estimates of the timing and probability of recognition of income, deductions and tax credits, including, but not limited to, estimates for potential adverse outcomes regarding tax positions that have been taken and the ability to utilize tax benefit carryforwards, such as NOL and tax credit carryforwards. Actual income taxes could vary significantly from estimated amounts due to the future impacts of, among other things, changes in tax laws, guidance or policies, including changes in corporate income tax rates, the financial conditions and results of operations of the Company, and the resolution of audit issues raised by taxing authorities. These factors, including the ultimate resolution of income tax matters, may result in material adjustments to tax-related assets and liabilities, which could materially adversely affect the Company’s business, financial condition, results of operations and prospects.</w:t>
      </w:r>
    </w:p>
    <w:p>
      <w:pPr>
        <w:spacing w:after="0" w:line="103"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Federal tax legislation enacted in 2022 contains a number of revisions to the Internal Revenue Code, including (i) a 15% corporate minimum income tax for certain taxpayers, (ii) a 1% excise tax on corporate stock repurchases in tax years beginning after December 31, 2022 and (iii) business tax credits and incentives for the development of clean energy facilities and the production of clean energy. In order to qualify for the full amount of business tax credits and incentives for clean energy facilities whose construction began on or after January 28, 2023, certain wage and apprenticeship requirements must be met. The Company continues to analyze the potential impact of these tax provisions and monitor guidance that may be issued by the United States Department of the Treasury.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comply with tax laws and policies may depend on its contractual arrangements and information provided by third parties and may require significant resources.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order to qualify for tax credits and incentives available for the development of clean energy facilities and the production of clean energy, the Company must satisfy stringent compliance, recordkeeping and certification requirements. Additionally, in order to qualify for the full amount of available credits, the Company must comply with prevailing wage and apprenticeship requirements applicable to facilities on which construction began on or after January 28, 2023. Applicable tax rules permit certain defects in meeting the requirements to be timely cured under certain conditions rather than causing a loss of the tax credits.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Moreover, the documentation required for this compliance will come from third-party vendors, including equipment manufacturers and engineering, procurement and construction contractors and subcontractors as well as the Company’s internal sources. In addition, if there are defects in compliance with the prevailing wages and apprenticeship requirements, the payments to cure such deficiencies will need to be made by these third parties to their employees. The conduct of these third parties can also impact the right to claim tax credits and/or the exposure to penalties if they fail to adequately comply with the tax laws.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While the Company has secured and will continue to attempt to secure the necessary access to the information required to meet its compliance and certification requirements under the tax law and has included and will continue to include in contracts with third parties rights to have third parties make cure payments if necessary, the Company may not be able to control whether appropriate documentation is actually available or provided in a timely manner and/or whether cure actions are taken by a third party in a timely fashion. This may result in the incurrence of penalties and loss of tax credits. It is also possible that the terms negotiated with third parties fail to meet the requirements of tax law either with respect to compliance requirements, documentation or conduct of third-parties. The impact of such noncompliance could materially adversely affect the Company’s business, financial condition and results of operations.</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Moreover, the costs and resources required to adequately comply with the aforementioned requirements and to monitor the activities of third parties are still to be determined as the Company puts in place its compliance and documentation program and as guidance from the Treasury in the form of notices and regulations continues to be issued.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3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and the following:</w:t>
      </w:r>
    </w:p>
    <w:p>
      <w:pPr>
        <w:spacing w:after="0" w:line="274"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dividend;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CEG and its owners;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investment opportunities, as well as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CEG;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 Unresolved Staff Comments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Item 1C — 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recognizes the critical importance of developing, implementing and maintaining robust cybersecurity measures to safeguard information systems and protect the confidentiality, integrity and availability of data.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Managing Material Risks &amp; Integrated Overall Risk Management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has strategically integrated cybersecurity risk management into its broader risk management framework to promote a company-wide culture of cybersecurity risk management. The Company’s risk management team works closely with the IT department to continuously evaluate and address cybersecurity risks in alignment with business objectives and operational needs. In addition, the Company follows the National Institute of Standards and Technology (NIST) Cybersecurity Framework (CSF).</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Engage Third Parties on Risk Management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Recognizing the complexity and evolving nature of cybersecurity threats, the Company engages with a range of external experts, including cybersecurity consultants in evaluating and testing its risk management systems. The Company’s collaboration with these third parties includes regular audits; threat and vulnerability assessments; incident response plan testing; company-wide monitoring of cybersecurity risks; and consultation on security enhancements.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Oversee Third-Party Risk</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Due to the risks associated with the engagement of third-party vendors, service providers and business partners, the Company applies stringent processes to manage these risks. Thorough security assessments of all third-party providers with access to internal data and information systems occurs before engagement, as well as ongoing monitoring to ensure compliance with relevant cybersecurity standards. The monitoring includes annual assessments by CEG’s Vice President of Information Technology and its Director of Cybersecurity and assessments on an ongoing basis by the internal cybersecurity team. These services are provided to the Company pursuant to the CEG Master Services Agreement. This approach is designed to mitigate risks related to data breaches or other security incidents originating from third parties.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Risks from Cybersecurity Threats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As of February 24, 2025, the Company was not aware of any cybersecurity threats or incidents that have materially affected, or are reasonably likely to materially affect the Company, including its business strategy, results of operations or financial standing. However, there can be no assurance that the Company’s cybersecurity processes will prevent or mitigate cybersecurity incidents or threats and that the Company’s efforts will always be successful. For further discussion regarding the Company’s cybersecurity risks, see Item 1A — Risk Factors, </w:t>
      </w:r>
      <w:r>
        <w:rPr>
          <w:rFonts w:ascii="Times New Roman" w:cs="Times New Roman" w:eastAsia="Times New Roman" w:hAnsi="Times New Roman"/>
          <w:sz w:val="14"/>
          <w:szCs w:val="14"/>
          <w:i w:val="1"/>
          <w:iCs w:val="1"/>
          <w:color w:val="auto"/>
        </w:rPr>
        <w:t>Risks Related to the Company’s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Oversight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Board of Directors has oversight of cybersecurity risks and is well informed with respect to the nature and scope of such risks. The Board of Directors is acutely aware of the critical nature of managing risks associated with cybersecurity threats. The Board of Directors has established oversight mechanisms to ensure effective governance in managing risks associated with cybersecurity as they recognize the significance of these risks and threats to operational integrity and stakeholder confidence.</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Reporting to Board of Directors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play a pivotal role in informing the Board of Directors on cybersecurity risks. They provide briefings to the Board of Directors on a regular basis, with a minimum frequency of once per year. These briefings encompass a broad range of topics, including:</w:t>
      </w:r>
    </w:p>
    <w:p>
      <w:pPr>
        <w:spacing w:after="0" w:line="82"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cybersecurity threat landscape and emerging threats;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Status of ongoing cybersecurity initiatives and strategies;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Incident reports and learnings from any meaningful cybersecurity events;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status and efforts with regulatory requirements and industry standards.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8" w:name="page39"/>
    <w:bookmarkEnd w:id="38"/>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addition to scheduled meetings, the Board of Directors, the Vice President of Information Technology and the Director of Cybersecurity maintain an ongoing dialogue regarding emerging cybersecurity risks. Together, they receive updates on significant developments in the cybersecurity domain. The Board of Directors actively participates in strategic decisions related to cybersecurity, offering guidance and approval for major strategic decisions and initiatives. This involvement advances the Company’s overall strategy that cybersecurity considerations are integrated into its broader strategic objectives. The Board of Directors conducts an annual review of the Company’s cybersecurity posture and the effectiveness of its risk management strategies through the information, findings and recommendations from the Company’s internal cybersecurity team as well as third-party audits, penetration tests and incident response plan testing outcomes. This review helps identify areas for improvement and helps align cybersecurity efforts with the overall risk management framework.</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Cybersecurity Risk Management Personnel</w:t>
      </w:r>
    </w:p>
    <w:p>
      <w:pPr>
        <w:spacing w:after="0" w:line="12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Primary responsibility for assessing, monitoring and managing cybersecurity risks is overseen by the Vice President of Information Technology and Director of Cybersecurity, whose services are provided to the Company under the CEG Master Services Agreement.</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With over 20 years of experience in the field of cybersecurity, the current Vice President of Information Technology brings a wealth of expertise to their role. Their background includes extensive experience in information technology, and their in-depth knowledge and experience are instrumental in developing and executing the Company’s cybersecurity strategies. They oversee the Company’s IT governance programs; test compliance with internal, industry and regulatory standards; remediate known risks; and lead the Company’s employee training program.</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current Director of Cybersecurity has over 30 years of experience in information technology across a variety of industries and compliance programs. The Director of Cybersecurity has been heavily focused on cybersecurity in regulated industries for the past 10 years.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Management’s Role Managing Cybersecurity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regularly inform the Company’s management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of Directors, ensuring that they have insight and can provide guidance on critical cybersecurity issues.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Monitor Cybersecurity Incidents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are continually informed about the latest developments in cybersecurity, including emerging threats and innovative risk management techniques. They implement and oversee processes for the regular monitoring of the Company’s information systems. This includes the deployment of advanced security measures and regular system audits to identify potential vulnerabilities. In the event of a cybersecurity incident, the Company is equipped with a defined and practiced incident response plan, which includes retainers from respected third parties. This plan includes immediate actions to mitigate the impact of the incident, long-term strategies for remediation and the prevention of future incidents.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Item 2 — Properties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Listed below are descriptions of the Company’s interests in operating facilities as of December 31,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Rated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Borders>
              <w:bottom w:val="single" w:sz="8" w:color="auto"/>
            </w:tcBorders>
          </w:tcPr>
          <w:p>
            <w:pPr>
              <w:spacing w:after="0"/>
              <w:rPr>
                <w:sz w:val="16"/>
                <w:szCs w:val="16"/>
                <w:color w:val="auto"/>
              </w:rPr>
            </w:pPr>
          </w:p>
        </w:tc>
      </w:tr>
      <w:tr>
        <w:trPr>
          <w:trHeight w:val="18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MW</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160"/>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Flexible Generation</w:t>
            </w:r>
          </w:p>
        </w:tc>
        <w:tc>
          <w:tcPr>
            <w:tcW w:w="26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Carlsbad </w:t>
            </w:r>
            <w:r>
              <w:rPr>
                <w:rFonts w:ascii="Times New Roman" w:cs="Times New Roman" w:eastAsia="Times New Roman" w:hAnsi="Times New Roman"/>
                <w:sz w:val="14"/>
                <w:szCs w:val="14"/>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Carlsbad,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527</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2018</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El Segundo </w:t>
            </w:r>
            <w:r>
              <w:rPr>
                <w:rFonts w:ascii="Times New Roman" w:cs="Times New Roman" w:eastAsia="Times New Roman" w:hAnsi="Times New Roman"/>
                <w:sz w:val="14"/>
                <w:szCs w:val="14"/>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 Segundo,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2027 - 2029</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GenConn Devon </w:t>
            </w:r>
            <w:r>
              <w:rPr>
                <w:rFonts w:ascii="Times New Roman" w:cs="Times New Roman" w:eastAsia="Times New Roman" w:hAnsi="Times New Roman"/>
                <w:sz w:val="14"/>
                <w:szCs w:val="14"/>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Milford, CT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June 2010</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GenConn Middletown </w:t>
            </w:r>
            <w:r>
              <w:rPr>
                <w:rFonts w:ascii="Times New Roman" w:cs="Times New Roman" w:eastAsia="Times New Roman" w:hAnsi="Times New Roman"/>
                <w:sz w:val="14"/>
                <w:szCs w:val="14"/>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Middletown, CT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June 2011</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Marsh Landing </w:t>
            </w:r>
            <w:r>
              <w:rPr>
                <w:rFonts w:ascii="Times New Roman" w:cs="Times New Roman" w:eastAsia="Times New Roman" w:hAnsi="Times New Roman"/>
                <w:sz w:val="14"/>
                <w:szCs w:val="14"/>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Antioch,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May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2026 - 2030</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Walnut Creek </w:t>
            </w:r>
            <w:r>
              <w:rPr>
                <w:rFonts w:ascii="Times New Roman" w:cs="Times New Roman" w:eastAsia="Times New Roman" w:hAnsi="Times New Roman"/>
                <w:sz w:val="14"/>
                <w:szCs w:val="14"/>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City of Industry, CA</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May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2026 - 2027</w:t>
            </w:r>
          </w:p>
        </w:tc>
      </w:tr>
      <w:tr>
        <w:trPr>
          <w:trHeight w:val="149"/>
        </w:trPr>
        <w:tc>
          <w:tcPr>
            <w:tcW w:w="234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Flexible Generation</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2,774</w:t>
            </w:r>
          </w:p>
        </w:tc>
        <w:tc>
          <w:tcPr>
            <w:tcW w:w="8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2,584</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Agua Caliente</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Dateland, AZ</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June 2014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Alpine</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Lancaster,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January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March - June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2026 - 2041</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Avenal</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Avenal,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2011</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Avra Valley</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Pima County, AZ</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2012</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Tucson Electric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2009</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Borrego</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Borrego Springs,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February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Fort Stockton, TX</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2018</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City of Georgetown, TX</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CVSR</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Luis Obispo,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October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2023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July - November 2023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Desert Sunlight 250</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Desert Center,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2014</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Desert Sunlight 300</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Desert Center,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Enterprise</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Providence,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Escalante I</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Helper,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Escalante II</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Milforad,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Escalante III</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Delta,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Granite Mountain East</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Cedar City,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September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Granite Mountain West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Cedar City,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Iron Springs</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Cedar City,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Kansas South</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Lemoore,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June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2022</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Oahu Solar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Oahu, HI</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2019</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Roadrunner</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Santa Teresa, NM</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2011</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 Paso Electric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2020</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2035 - 2047</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 High Desert</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Lancaster,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March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1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Kent County, TX</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252</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2023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2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Kent County, TX</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February 2024</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March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January 2023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r>
      <w:tr>
        <w:trPr>
          <w:trHeight w:val="149"/>
        </w:trPr>
        <w:tc>
          <w:tcPr>
            <w:tcW w:w="234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Utility Scale Solar</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3,740</w:t>
            </w:r>
          </w:p>
        </w:tc>
        <w:tc>
          <w:tcPr>
            <w:tcW w:w="8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2,166</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BESS</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March - June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2039 - 2041</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2023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July - November 2023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2022</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9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June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Rated MW</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8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50"/>
        </w:trPr>
        <w:tc>
          <w:tcPr>
            <w:tcW w:w="2120" w:type="dxa"/>
            <w:vAlign w:val="bottom"/>
            <w:tcBorders>
              <w:top w:val="single" w:sz="8" w:color="auto"/>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(c)</w:t>
            </w: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Riverside, CA</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2024</w:t>
            </w:r>
          </w:p>
        </w:tc>
        <w:tc>
          <w:tcPr>
            <w:tcW w:w="1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9"/>
        </w:trPr>
        <w:tc>
          <w:tcPr>
            <w:tcW w:w="2220" w:type="dxa"/>
            <w:vAlign w:val="bottom"/>
            <w:tcBorders>
              <w:bottom w:val="single" w:sz="8" w:color="CCEEFF"/>
            </w:tcBorders>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4"/>
                <w:szCs w:val="14"/>
                <w:color w:val="auto"/>
                <w:vertAlign w:val="superscript"/>
              </w:rPr>
              <w:t>(c)</w:t>
            </w:r>
          </w:p>
        </w:tc>
        <w:tc>
          <w:tcPr>
            <w:tcW w:w="1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January 2023</w:t>
            </w:r>
          </w:p>
        </w:tc>
        <w:tc>
          <w:tcPr>
            <w:tcW w:w="2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2043</w:t>
            </w:r>
          </w:p>
        </w:tc>
        <w:tc>
          <w:tcPr>
            <w:tcW w:w="0" w:type="dxa"/>
            <w:vAlign w:val="bottom"/>
          </w:tcPr>
          <w:p>
            <w:pPr>
              <w:spacing w:after="0"/>
              <w:rPr>
                <w:sz w:val="1"/>
                <w:szCs w:val="1"/>
                <w:color w:val="auto"/>
              </w:rPr>
            </w:pPr>
          </w:p>
        </w:tc>
      </w:tr>
      <w:tr>
        <w:trPr>
          <w:trHeight w:val="150"/>
        </w:trPr>
        <w:tc>
          <w:tcPr>
            <w:tcW w:w="222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Utility Scale BESS</w:t>
            </w: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DGPV Funds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ind w:left="20"/>
              <w:spacing w:after="0" w:line="111" w:lineRule="exact"/>
              <w:rPr>
                <w:sz w:val="20"/>
                <w:szCs w:val="20"/>
                <w:color w:val="auto"/>
              </w:rPr>
            </w:pPr>
            <w:r>
              <w:rPr>
                <w:rFonts w:ascii="Times New Roman" w:cs="Times New Roman" w:eastAsia="Times New Roman" w:hAnsi="Times New Roman"/>
                <w:sz w:val="11"/>
                <w:szCs w:val="11"/>
                <w:color w:val="auto"/>
              </w:rPr>
              <w:t>September 2015 - March</w:t>
            </w:r>
          </w:p>
        </w:tc>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2030 - 2044</w:t>
            </w:r>
          </w:p>
        </w:tc>
        <w:tc>
          <w:tcPr>
            <w:tcW w:w="0" w:type="dxa"/>
            <w:vAlign w:val="bottom"/>
          </w:tcPr>
          <w:p>
            <w:pPr>
              <w:spacing w:after="0"/>
              <w:rPr>
                <w:sz w:val="1"/>
                <w:szCs w:val="1"/>
                <w:color w:val="auto"/>
              </w:rPr>
            </w:pPr>
          </w:p>
        </w:tc>
      </w:tr>
      <w:tr>
        <w:trPr>
          <w:trHeight w:val="155"/>
        </w:trPr>
        <w:tc>
          <w:tcPr>
            <w:tcW w:w="2220" w:type="dxa"/>
            <w:vAlign w:val="bottom"/>
            <w:gridSpan w:val="2"/>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2019</w:t>
            </w:r>
          </w:p>
        </w:tc>
        <w:tc>
          <w:tcPr>
            <w:tcW w:w="100" w:type="dxa"/>
            <w:vAlign w:val="bottom"/>
            <w:shd w:val="clear" w:color="auto" w:fill="CCEEFF"/>
          </w:tcPr>
          <w:p>
            <w:pPr>
              <w:spacing w:after="0"/>
              <w:rPr>
                <w:sz w:val="13"/>
                <w:szCs w:val="13"/>
                <w:color w:val="auto"/>
              </w:rPr>
            </w:pPr>
          </w:p>
        </w:tc>
        <w:tc>
          <w:tcPr>
            <w:tcW w:w="218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 Power Partners (SPP)</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2008 - June 2012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2026 - 2037</w:t>
            </w:r>
          </w:p>
        </w:tc>
        <w:tc>
          <w:tcPr>
            <w:tcW w:w="0" w:type="dxa"/>
            <w:vAlign w:val="bottom"/>
          </w:tcPr>
          <w:p>
            <w:pPr>
              <w:spacing w:after="0"/>
              <w:rPr>
                <w:sz w:val="1"/>
                <w:szCs w:val="1"/>
                <w:color w:val="auto"/>
              </w:rPr>
            </w:pPr>
          </w:p>
        </w:tc>
      </w:tr>
      <w:tr>
        <w:trPr>
          <w:trHeight w:val="116"/>
        </w:trPr>
        <w:tc>
          <w:tcPr>
            <w:tcW w:w="2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DG Facilities</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December 2010 - October</w:t>
            </w:r>
          </w:p>
        </w:tc>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2025 - 2039</w:t>
            </w:r>
          </w:p>
        </w:tc>
        <w:tc>
          <w:tcPr>
            <w:tcW w:w="0" w:type="dxa"/>
            <w:vAlign w:val="bottom"/>
          </w:tcPr>
          <w:p>
            <w:pPr>
              <w:spacing w:after="0"/>
              <w:rPr>
                <w:sz w:val="1"/>
                <w:szCs w:val="1"/>
                <w:color w:val="auto"/>
              </w:rPr>
            </w:pPr>
          </w:p>
        </w:tc>
      </w:tr>
      <w:tr>
        <w:trPr>
          <w:trHeight w:val="160"/>
        </w:trPr>
        <w:tc>
          <w:tcPr>
            <w:tcW w:w="2220" w:type="dxa"/>
            <w:vAlign w:val="bottom"/>
            <w:gridSpan w:val="2"/>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2015</w:t>
            </w:r>
          </w:p>
        </w:tc>
        <w:tc>
          <w:tcPr>
            <w:tcW w:w="100" w:type="dxa"/>
            <w:vAlign w:val="bottom"/>
            <w:shd w:val="clear" w:color="auto" w:fill="CCEEFF"/>
          </w:tcPr>
          <w:p>
            <w:pPr>
              <w:spacing w:after="0"/>
              <w:rPr>
                <w:sz w:val="13"/>
                <w:szCs w:val="13"/>
                <w:color w:val="auto"/>
              </w:rPr>
            </w:pPr>
          </w:p>
        </w:tc>
        <w:tc>
          <w:tcPr>
            <w:tcW w:w="218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III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IV</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2011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V</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April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X</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XI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Mineral and Grant Counties, WV</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Toyota and Google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Broken Bow</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Custer County,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Buffalo Bear</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Buffalo, OK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Cedar Creek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Bingham County, ID</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2049</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Cedro Hill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Webb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 December 2024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CPS Energy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Crofton Bluffs</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Knox County,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November 2012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Howard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Elkhorn Ridge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Bloomfield,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66.7 %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Forward</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Berlin, 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Goat Wind</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Sterling City,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April 2008 - June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Dow Pipeline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Christoval,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Goldman Sachs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Laredo Ridge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Petersburg,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Lookout</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Berlin, 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Callahan County,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2033 - 2036</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Fisher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2032 - 2035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Mountain Wind 1</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Uinta County, Wyoming</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2008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Mountain Wind 2</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Uinta County, Wyoming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September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Mt. Storm</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Grant County, WV</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2008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Citigroup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Ocotillo</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Forsan,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Keyser, WV</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9"/>
                <w:szCs w:val="9"/>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Maryland Department of General Services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55"/>
        </w:trPr>
        <w:tc>
          <w:tcPr>
            <w:tcW w:w="222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and University System of Maryland</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4"/>
                <w:szCs w:val="14"/>
                <w:color w:val="auto"/>
                <w:vertAlign w:val="superscript"/>
              </w:rPr>
              <w:t>(c) (d)</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Ritzville, WA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Avista Corporation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14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Juan Mesa</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Elida, NM</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80" w:type="dxa"/>
            <w:vAlign w:val="bottom"/>
          </w:tcPr>
          <w:p>
            <w:pPr>
              <w:spacing w:after="0"/>
              <w:rPr>
                <w:sz w:val="12"/>
                <w:szCs w:val="1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2005</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Rated MW</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8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50"/>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Sleeping Bear</w:t>
            </w: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Woodward, OK</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2007</w:t>
            </w:r>
          </w:p>
        </w:tc>
        <w:tc>
          <w:tcPr>
            <w:tcW w:w="1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 Trent</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Sweetwater,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January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Spanish Fork</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Spanish Fork, UT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Spring Canyon II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Logan County, CO</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2014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Spring Canyon III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Logan County, CO</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Taloga</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Putnam, OK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16"/>
        </w:trPr>
        <w:tc>
          <w:tcPr>
            <w:tcW w:w="2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Vega, TX</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December 2019 - January</w:t>
            </w:r>
          </w:p>
        </w:tc>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60"/>
        </w:trPr>
        <w:tc>
          <w:tcPr>
            <w:tcW w:w="2220" w:type="dxa"/>
            <w:vAlign w:val="bottom"/>
            <w:gridSpan w:val="2"/>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shd w:val="clear" w:color="auto" w:fill="CCEEFF"/>
          </w:tcPr>
          <w:p>
            <w:pPr>
              <w:spacing w:after="0"/>
              <w:rPr>
                <w:sz w:val="13"/>
                <w:szCs w:val="13"/>
                <w:color w:val="auto"/>
              </w:rPr>
            </w:pPr>
          </w:p>
        </w:tc>
        <w:tc>
          <w:tcPr>
            <w:tcW w:w="218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tcBorders>
              <w:bottom w:val="single" w:sz="8" w:color="CCEEFF"/>
            </w:tcBorders>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6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4,306</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3,807</w:t>
            </w: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Clearway Energy, Inc.</w:t>
            </w:r>
          </w:p>
        </w:tc>
        <w:tc>
          <w:tcPr>
            <w:tcW w:w="1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11,839</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9,143</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Net capacity represents the maximum, or rated, generating capacity or storage capacity of the facility multiplied by the Company’s percentage ownership in the facility as of December 31, 2024.</w:t>
      </w:r>
    </w:p>
    <w:p>
      <w:pPr>
        <w:spacing w:after="0" w:line="34"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The primary fuel type for these facilities is natural gas, with the exception of GenConn Devon and GenConn Middletown, which also use oil.</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line="200" w:lineRule="auto"/>
        <w:tabs>
          <w:tab w:leader="none" w:pos="1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Facilities are part of tax equity arrangements, as further described in Item 15 — Note 2, </w:t>
      </w:r>
      <w:r>
        <w:rPr>
          <w:rFonts w:ascii="Times New Roman" w:cs="Times New Roman" w:eastAsia="Times New Roman" w:hAnsi="Times New Roman"/>
          <w:sz w:val="10"/>
          <w:szCs w:val="10"/>
          <w:i w:val="1"/>
          <w:iCs w:val="1"/>
          <w:color w:val="auto"/>
        </w:rPr>
        <w:t>Summary of Significant Accounting Policies</w:t>
      </w:r>
      <w:r>
        <w:rPr>
          <w:rFonts w:ascii="Times New Roman" w:cs="Times New Roman" w:eastAsia="Times New Roman" w:hAnsi="Times New Roman"/>
          <w:sz w:val="10"/>
          <w:szCs w:val="10"/>
          <w:color w:val="auto"/>
        </w:rPr>
        <w:t xml:space="preserve">, and Note 5, </w:t>
      </w:r>
      <w:r>
        <w:rPr>
          <w:rFonts w:ascii="Times New Roman" w:cs="Times New Roman" w:eastAsia="Times New Roman" w:hAnsi="Times New Roman"/>
          <w:sz w:val="10"/>
          <w:szCs w:val="10"/>
          <w:i w:val="1"/>
          <w:iCs w:val="1"/>
          <w:color w:val="auto"/>
        </w:rPr>
        <w:t>Investments Accounted for by the Equity Method and Variable Interest Entities</w:t>
      </w:r>
      <w:r>
        <w:rPr>
          <w:rFonts w:ascii="Times New Roman" w:cs="Times New Roman" w:eastAsia="Times New Roman" w:hAnsi="Times New Roman"/>
          <w:sz w:val="10"/>
          <w:szCs w:val="10"/>
          <w:color w:val="auto"/>
        </w:rPr>
        <w:t>.</w:t>
      </w:r>
    </w:p>
    <w:p>
      <w:pPr>
        <w:spacing w:after="0" w:line="3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Rattlesnake has a deliverable capacity of 144 MW.</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Item 3 — Legal Proceedings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43" w:name="page44"/>
    <w:bookmarkEnd w:id="43"/>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Equity Holders and Dividends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As of January 31, 2025, there were two holders of record of the Class A common stock, one holder of record of the Class B common stock, three holders of record of the Class C common stock and one holder of record of the Class D common stock.</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On February 17, 2025, the Company declared a quarterly dividend on its Class A and Class C common stock of $0.4312 per share payable on March 17, 2025 to stockholders of record as of March 3, 2025.</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performance graph below compares the Company’s cumulative total stockholder return on the Company’s Class A common stock and Class C common stock from December 31, 2019 through December 31, 2024, with the cumulative total return of the Standard &amp; Poor’s 500 Composite Stock Price Index, or S&amp;P 500, and the Philadelphia Utility Sector Index, or UTY.</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performance graph shown below is being furnished and compares each period assuming that $100 was invested on December 31, 2019 in each of the Class A common stock of the Company, the Class C common stock of the Company, the stocks included in the S&amp;P 500 and the stocks included in the UTY,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61595</wp:posOffset>
            </wp:positionV>
            <wp:extent cx="4608195" cy="2014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0819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2019</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2020</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Clearway Energy, Inc. Class A common stock</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162.51</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166.07</w:t>
            </w: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Inc. Class C common stock</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166.54</w:t>
            </w: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197.02</w:t>
            </w:r>
          </w:p>
        </w:tc>
      </w:tr>
      <w:tr>
        <w:trPr>
          <w:trHeight w:val="184"/>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UTY</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134.24</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Item 7 — Management’s Discussion and Analysis of Financial Condition and the Results of Operations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you read this discussion and analysis, refer to the Company’s Consolidated Statements of Income to this Form 10-K. Also refer to Item 1 —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which include detailed discussions of various items impacting the Company’s business, results of operations and financial condition. Discussions of the year ended December 31, 2022 that are not included in this Annual Report on Form 10-K and year-to-year comparisons of the year ended December 31, 2023 and the year ended December 31, 2022 can be found in “Management’s Discussion and Analysis of Financial Condition and the Results of Operations” in Part II, Item 7 of the Company’s Annual Report on Form 10-K for the year ended December 31, 2023.</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315"/>
        <w:spacing w:after="0"/>
        <w:tabs>
          <w:tab w:leader="none" w:pos="102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315"/>
        <w:spacing w:after="0"/>
        <w:tabs>
          <w:tab w:leader="none" w:pos="102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income;</w:t>
      </w:r>
    </w:p>
    <w:p>
      <w:pPr>
        <w:spacing w:after="0" w:line="51" w:lineRule="exact"/>
        <w:rPr>
          <w:rFonts w:ascii="Times New Roman" w:cs="Times New Roman" w:eastAsia="Times New Roman" w:hAnsi="Times New Roman"/>
          <w:sz w:val="14"/>
          <w:szCs w:val="14"/>
          <w:color w:val="231F20"/>
        </w:rPr>
      </w:pPr>
    </w:p>
    <w:p>
      <w:pPr>
        <w:ind w:left="1020" w:hanging="315"/>
        <w:spacing w:after="0"/>
        <w:tabs>
          <w:tab w:leader="none" w:pos="102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315"/>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auto"/>
        </w:rPr>
      </w:pPr>
    </w:p>
    <w:p>
      <w:pPr>
        <w:ind w:left="580" w:right="220" w:firstLine="125"/>
        <w:spacing w:after="0" w:line="287" w:lineRule="auto"/>
        <w:tabs>
          <w:tab w:leader="none" w:pos="102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 Company’s Renewables segment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2024 </w:t>
      </w:r>
      <w:r>
        <w:rPr>
          <w:rFonts w:ascii="Times New Roman" w:cs="Times New Roman" w:eastAsia="Times New Roman" w:hAnsi="Times New Roman"/>
          <w:sz w:val="14"/>
          <w:szCs w:val="14"/>
          <w:color w:val="231F20"/>
        </w:rPr>
        <w:t>based on CAFD.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Third-Party Acquisition</w:t>
      </w:r>
    </w:p>
    <w:p>
      <w:pPr>
        <w:spacing w:after="0" w:line="149" w:lineRule="exact"/>
        <w:rPr>
          <w:sz w:val="20"/>
          <w:szCs w:val="20"/>
          <w:color w:val="auto"/>
        </w:rPr>
      </w:pPr>
    </w:p>
    <w:p>
      <w:pPr>
        <w:jc w:val="both"/>
        <w:ind w:left="520" w:hanging="260"/>
        <w:spacing w:after="0" w:line="237" w:lineRule="auto"/>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On November 25, 2024, the Company entered into a binding agreement to acquire the Tuolumne wind facility, a 137 MW operating facility located in Klickitat County, Washington, from an investment-grade regulated entity for approximately $219 million. After factoring in estimated closing adjustments and new non-recourse facility-level debt, the Company expects its total long-term corporate capital commitment to acquire the facility to be between $70 million and $75 million, which the Company expects to fund with existing sources of liquidity. Tuolumne reached commercial operations in 2009. As part of the acquisition, the Company will enter into a 15-year PPA with the seller of the facility. The Company also has received a PPA contractual extension option to enable a potential future repowering of the facility. The consummation of the transaction is subject to customary closing conditions and certain third-party approvals and is expected in the first half of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59"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12, 2025, the Company, through an indirect subsidiary, entered into an agreement with Clearway Renew to sell its membership interests in Mt. Storm, a 264 MW wind facility that is located in Grant County, West Virginia, for $121 million in cash consideration in order for Clearway Renew to repower the facility, which will occur in two phases. The consummation of the transaction is subject to customary conditions and third-party approvals and is expected in the second half of 2025. Additionally, the agreement contains an exclusive option for the Company to purchase the Class B membership interests in the tax equity fund that upon mechanical completion of the first phase of the repowering of the facility will own Mt. Storm. Mechanical completion of the first phase of the Mt. Storm repowering is expected to occur in the second half of 2026 with the second phase of the repowering expected to occur in the second half of 2027. The repowering of the facility is expected to increase the facility’s capacity to 335 MW.</w:t>
      </w:r>
    </w:p>
    <w:p>
      <w:pPr>
        <w:spacing w:after="0" w:line="10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20, 2024, the Company, through an indirect subsidiary, entered into an agreement with Clearway Renew to acquire the Class A membership interests in the Honeycomb Portfolio, which includes four BESS facilities under construction in Utah, representing 320 MW of capacity, for $78 million in cash consideration. The consummation of the transaction is subject to customary closing conditions and certain third-party approvals and is expected in the first half of 2026.</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November 18, 2024, the Company, through its indirect subsidiary, Dan’s Mountain Parent Holdco LLC, acquired the Class A membership interests in Dan’s Mountain TargetCo LLC, the indirect owner of Dan’s Mountain, a 55 MW wind facility, that is currently under construction in Allegany County, Maryland,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7" w:name="page48"/>
    <w:bookmarkEnd w:id="47"/>
    <w:p>
      <w:pPr>
        <w:jc w:val="both"/>
        <w:ind w:left="520" w:hanging="260"/>
        <w:spacing w:after="0" w:line="26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through an indirect subsidiary, entered into an agreement with Clearway Renew to acquire the Class A membership interests in Pine Forest TE Holdco LLC, a tax equity fund that upon mechanical completion will own Pine Forest, a 300 MW solar facility that will be paired with a 200 MW BESS facility currently under construction in Hopkins County, Texas, for $46 million in cash consideration, subject to closing adjustments. Also, on October 28, 2024, the Company, through an indirect subsidiary, entered into an agreement with Clearway Renew to acquire 50% of the Class B membership interests in Pine Forest TE Holdco LLC for $90 million in cash consideration, subject to closing adjustments. The consummation of the transaction is subject to customary closing conditions and certain third-party approvals and is expected in the second half of 2025.</w:t>
      </w:r>
    </w:p>
    <w:p>
      <w:pPr>
        <w:spacing w:after="0" w:line="90"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27, 2024, the Company, through an indirect subsidiary, entered into an agreement with Clearway Renew to acquire the Class A membership interests in Luna Valley, a 200 MW solar facility currently under construction in Fresno County, California, and Daggett 1, a 114 MW BESS facility currently under construction in San Bernardino, California, for $143 million in cash consideration, subject to closing adjustments. The consummation of the transaction is subject to customary closing conditions and certain third-party approvals and is expected in the first half of 2025.</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7, 2024, the Company, through an indirect subsidiary, entered into an agreement with Clearway Renew to acquire the Class A membership interests in Rosamond South I, a 140 MW solar facility that will be paired with a 117 MW BESS facility currently under construction in Rosamond, California, for $21 million in cash consideration, subject to closing adjustments. The consummation of the transaction is subject to customary closing conditions and certain third-party approvals and is expected in the first half of 2025.</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 Agreements</w:t>
      </w:r>
    </w:p>
    <w:p>
      <w:pPr>
        <w:spacing w:after="0" w:line="138" w:lineRule="exact"/>
        <w:rPr>
          <w:sz w:val="20"/>
          <w:szCs w:val="20"/>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December 2029. El Segundo is now contracted for 100% of its capacity through 2027 and approximately 50% of its capacity through 2028.</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2024, the Company contracted with a load serving entity to sell approximately 97 MW of Walnut Creek’s RA commencing in January 2027 and ending in December 2027. Walnut Creek is contracted for 100% of its capacity through 2026 and is now contracted for approximately 20% of its capacity through 2027.</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28, 2024, the Company contracted with a load serving entity to sell approximately 90 MW of Marsh Landing’s RA commencing in September 2026 and ending in December 2030. On July 31, 2024, the Company contracted with an additional load serving entity to sell approximately 195 MW of Marsh Landing’s RA commencing in October 2026 and ending in December 2028. Marsh Landing is now contracted for approximately 99% of its capacity through 2027 and approximately 49% of its capacity through 2028.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Facility-level Financing Activities</w:t>
      </w:r>
    </w:p>
    <w:p>
      <w:pPr>
        <w:spacing w:after="0" w:line="136" w:lineRule="exact"/>
        <w:rPr>
          <w:sz w:val="20"/>
          <w:szCs w:val="20"/>
          <w:color w:val="auto"/>
        </w:rPr>
      </w:pPr>
    </w:p>
    <w:p>
      <w:pPr>
        <w:ind w:left="520" w:hanging="260"/>
        <w:spacing w:after="0" w:line="290" w:lineRule="auto"/>
        <w:tabs>
          <w:tab w:leader="none" w:pos="516"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connection with the 2024 Drop Downs of Texas Solar Nova 2, Cedar Creek and Dan’s Mountain, the Company assumed non-recourse facility-level debt.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 associated with each facility.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8" w:name="page49"/>
    <w:bookmarkEnd w:id="48"/>
    <w:p>
      <w:pPr>
        <w:jc w:val="both"/>
        <w:ind w:left="520" w:hanging="260"/>
        <w:spacing w:after="0" w:line="26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December 27, 2024, when the repowering of the Cedro Hill wind facility reached substantial completion, tax equity investors contributed $152 million to acquire the Class A membership interests in Cedro Hill TE Holdco LLC, a tax equity fund that owns the Cedro Hill wind facility. The tax equity proceeds were utilized, along with $54 million in construction loan proceeds, to repay the tax equity bridge loan and cash equity bridge loan, to fund construction completion and related reserves, to pay construction invoices and to pay associated fees with the remaining $26 million distributed to CEG.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transactions.</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Company utilized the proceeds from the term loan to pay off the existing debt related to Broken Bow and Crofton Bluffs and to pay related financing costs.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financing arrangement.</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and freed up capacity on the Company’s corporate revolving credit facility. See </w:t>
      </w:r>
      <w:r>
        <w:rPr>
          <w:rFonts w:ascii="Times New Roman" w:cs="Times New Roman" w:eastAsia="Times New Roman" w:hAnsi="Times New Roman"/>
          <w:sz w:val="14"/>
          <w:szCs w:val="14"/>
          <w:color w:val="231F20"/>
        </w:rPr>
        <w:t xml:space="preserve">Item 15 </w:t>
      </w:r>
      <w:r>
        <w:rPr>
          <w:rFonts w:ascii="Times New Roman" w:cs="Times New Roman" w:eastAsia="Times New Roman" w:hAnsi="Times New Roman"/>
          <w:sz w:val="14"/>
          <w:szCs w:val="14"/>
          <w:color w:val="000000"/>
        </w:rPr>
        <w:t>—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000000"/>
        </w:rPr>
        <w:t>, for further discussion of the letter of credit facility.</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516" w:val="left"/>
        </w:tabs>
        <w:numPr>
          <w:ilvl w:val="0"/>
          <w:numId w:val="2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Clearway Renew utilized the proceeds to repay the loan that was previously issued to its consolidated subsidiary by Rosie Class B LLC and to redeem Rosie Class B LLC’s entire equity investment in Rosie Central BESS. The Company utilized proceeds from Clearway Renew, along with $39 million held previously in escrow and $56 million of the Company’s additional purchase price contributed back to the Company by CEG, to repay the tax equity bridge loan, to make a distribution to the cash equity investor, to fund construction completion reserves and to pay associated fees.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5, </w:t>
      </w:r>
      <w:r>
        <w:rPr>
          <w:rFonts w:ascii="Times New Roman" w:cs="Times New Roman" w:eastAsia="Times New Roman" w:hAnsi="Times New Roman"/>
          <w:sz w:val="14"/>
          <w:szCs w:val="14"/>
          <w:i w:val="1"/>
          <w:iCs w:val="1"/>
          <w:color w:val="auto"/>
        </w:rPr>
        <w:t>Investments Accounted for by the Equity Method and Variable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Entities</w:t>
      </w:r>
      <w:r>
        <w:rPr>
          <w:rFonts w:ascii="Times New Roman" w:cs="Times New Roman" w:eastAsia="Times New Roman" w:hAnsi="Times New Roman"/>
          <w:sz w:val="14"/>
          <w:szCs w:val="14"/>
          <w:color w:val="auto"/>
        </w:rPr>
        <w:t>, and Note 10,</w:t>
      </w:r>
      <w:r>
        <w:rPr>
          <w:rFonts w:ascii="Times New Roman" w:cs="Times New Roman" w:eastAsia="Times New Roman" w:hAnsi="Times New Roman"/>
          <w:sz w:val="14"/>
          <w:szCs w:val="14"/>
          <w:i w:val="1"/>
          <w:iCs w:val="1"/>
          <w:color w:val="auto"/>
        </w:rPr>
        <w:t xml:space="preserve"> Long-term Debt</w:t>
      </w:r>
      <w:r>
        <w:rPr>
          <w:rFonts w:ascii="Times New Roman" w:cs="Times New Roman" w:eastAsia="Times New Roman" w:hAnsi="Times New Roman"/>
          <w:sz w:val="14"/>
          <w:szCs w:val="14"/>
          <w:color w:val="auto"/>
        </w:rPr>
        <w:t>, for further discussion of the transactions.</w:t>
      </w:r>
    </w:p>
    <w:p>
      <w:pPr>
        <w:spacing w:after="0" w:line="104"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June 11, 2024, the Company, through its indirect subsidiary, NIMH Solar LLC, refinanced its amended and restated credit agreement, which was scheduled to mature in September 2024, resulting in the issuance of a $137 million term loan facility, as well as $17 million in letters of credit in support of debt service and facility obligations. The Company utilized the proceeds from the term loan and existing sources of liquidity to pay off the existing debt.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refinanced credit agreement.</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2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transactions.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 and Regulatory Matters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Details of environmental matters and regulatory matters are presented in Item 1 — </w:t>
      </w:r>
      <w:r>
        <w:rPr>
          <w:rFonts w:ascii="Times New Roman" w:cs="Times New Roman" w:eastAsia="Times New Roman" w:hAnsi="Times New Roman"/>
          <w:sz w:val="14"/>
          <w:szCs w:val="14"/>
          <w:i w:val="1"/>
          <w:iCs w:val="1"/>
          <w:color w:val="auto"/>
        </w:rPr>
        <w:t>Business, Regulatory Matters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Details of some of this information relate to costs that may impact the Company’s financial results.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r>
      <w:tr>
        <w:trPr>
          <w:trHeight w:val="16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Revenues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Energy and capacity revenues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revenues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Contract amortization</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58"/>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operating revenues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5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fuels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costs of operations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Development costs</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1,012</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on sale of business</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r>
      <w:tr>
        <w:trPr>
          <w:trHeight w:val="15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1,470</w:t>
            </w:r>
          </w:p>
        </w:tc>
      </w:tr>
      <w:tr>
        <w:trPr>
          <w:trHeight w:val="15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interest income (expense)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interest expense</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w:t>
            </w:r>
          </w:p>
        </w:tc>
      </w:tr>
      <w:tr>
        <w:trPr>
          <w:trHeight w:val="163"/>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expense, net</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r>
      <w:tr>
        <w:trPr>
          <w:trHeight w:val="158"/>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Income Before Income Taxes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333333"/>
              </w:rPr>
              <w:t>(33)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15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w:t>
            </w:r>
          </w:p>
        </w:tc>
      </w:tr>
      <w:tr>
        <w:trPr>
          <w:trHeight w:val="16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 and redeemable noncontrolling interests</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r>
      <w:tr>
        <w:trPr>
          <w:trHeight w:val="163"/>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Clearway Energy, Inc.</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metrics:</w:t>
            </w: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00" w:type="dxa"/>
            <w:vAlign w:val="bottom"/>
            <w:gridSpan w:val="3"/>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62"/>
        </w:trPr>
        <w:tc>
          <w:tcPr>
            <w:tcW w:w="7520" w:type="dxa"/>
            <w:vAlign w:val="bottom"/>
            <w:tcBorders>
              <w:top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3"/>
                <w:szCs w:val="13"/>
                <w:color w:val="auto"/>
              </w:rPr>
              <w:t xml:space="preserve">Solar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8,658</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5,425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4,991</w:t>
            </w:r>
          </w:p>
        </w:tc>
        <w:tc>
          <w:tcPr>
            <w:tcW w:w="0" w:type="dxa"/>
            <w:vAlign w:val="bottom"/>
          </w:tcPr>
          <w:p>
            <w:pPr>
              <w:spacing w:after="0"/>
              <w:rPr>
                <w:sz w:val="1"/>
                <w:szCs w:val="1"/>
                <w:color w:val="auto"/>
              </w:rPr>
            </w:pPr>
          </w:p>
        </w:tc>
      </w:tr>
      <w:tr>
        <w:trPr>
          <w:trHeight w:val="170"/>
        </w:trPr>
        <w:tc>
          <w:tcPr>
            <w:tcW w:w="75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Wind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9,951</w:t>
            </w:r>
          </w:p>
        </w:tc>
        <w:tc>
          <w:tcPr>
            <w:tcW w:w="13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9,414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9,343</w:t>
            </w:r>
          </w:p>
        </w:tc>
        <w:tc>
          <w:tcPr>
            <w:tcW w:w="0" w:type="dxa"/>
            <w:vAlign w:val="bottom"/>
          </w:tcPr>
          <w:p>
            <w:pPr>
              <w:spacing w:after="0"/>
              <w:rPr>
                <w:sz w:val="1"/>
                <w:szCs w:val="1"/>
                <w:color w:val="auto"/>
              </w:rPr>
            </w:pPr>
          </w:p>
        </w:tc>
      </w:tr>
      <w:tr>
        <w:trPr>
          <w:trHeight w:val="185"/>
        </w:trPr>
        <w:tc>
          <w:tcPr>
            <w:tcW w:w="7520" w:type="dxa"/>
            <w:vAlign w:val="bottom"/>
            <w:tcBorders>
              <w:top w:val="single" w:sz="8" w:color="CCEEFF"/>
              <w:bottom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 xml:space="preserve">Renewables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18,609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14,839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14,334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Solar weighted-average capacity factor </w:t>
            </w:r>
            <w:r>
              <w:rPr>
                <w:rFonts w:ascii="Times New Roman" w:cs="Times New Roman" w:eastAsia="Times New Roman" w:hAnsi="Times New Roman"/>
                <w:sz w:val="16"/>
                <w:szCs w:val="16"/>
                <w:color w:val="auto"/>
                <w:vertAlign w:val="superscript"/>
              </w:rPr>
              <w:t>(b)</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520" w:type="dxa"/>
            <w:vAlign w:val="bottom"/>
            <w:vMerge w:val="continue"/>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29.8 %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27.5 %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28.4 %</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Wind weighted-average capacity factor </w:t>
            </w:r>
            <w:r>
              <w:rPr>
                <w:rFonts w:ascii="Times New Roman" w:cs="Times New Roman" w:eastAsia="Times New Roman" w:hAnsi="Times New Roman"/>
                <w:sz w:val="16"/>
                <w:szCs w:val="16"/>
                <w:color w:val="auto"/>
                <w:vertAlign w:val="superscript"/>
              </w:rPr>
              <w:t>(c)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30.1 %</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29.9 %</w:t>
            </w:r>
          </w:p>
        </w:tc>
        <w:tc>
          <w:tcPr>
            <w:tcW w:w="0" w:type="dxa"/>
            <w:vAlign w:val="bottom"/>
          </w:tcPr>
          <w:p>
            <w:pPr>
              <w:spacing w:after="0"/>
              <w:rPr>
                <w:sz w:val="1"/>
                <w:szCs w:val="1"/>
                <w:color w:val="auto"/>
              </w:rPr>
            </w:pPr>
          </w:p>
        </w:tc>
      </w:tr>
      <w:tr>
        <w:trPr>
          <w:trHeight w:val="170"/>
        </w:trPr>
        <w:tc>
          <w:tcPr>
            <w:tcW w:w="7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Thermal MWt sold (in thousands) </w:t>
            </w:r>
            <w:r>
              <w:rPr>
                <w:rFonts w:ascii="Times New Roman" w:cs="Times New Roman" w:eastAsia="Times New Roman" w:hAnsi="Times New Roman"/>
                <w:sz w:val="16"/>
                <w:szCs w:val="16"/>
                <w:color w:val="auto"/>
                <w:vertAlign w:val="superscript"/>
              </w:rPr>
              <w:t>(d)</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835</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Thermal MWh sold (in thousands) </w:t>
            </w:r>
            <w:r>
              <w:rPr>
                <w:rFonts w:ascii="Times New Roman" w:cs="Times New Roman" w:eastAsia="Times New Roman" w:hAnsi="Times New Roman"/>
                <w:sz w:val="16"/>
                <w:szCs w:val="16"/>
                <w:color w:val="auto"/>
                <w:vertAlign w:val="superscript"/>
              </w:rPr>
              <w:t>(d)</w:t>
            </w: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0"/>
        </w:trPr>
        <w:tc>
          <w:tcPr>
            <w:tcW w:w="7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Flexible Generation MWh generated (in thousands) </w:t>
            </w:r>
            <w:r>
              <w:rPr>
                <w:rFonts w:ascii="Times New Roman" w:cs="Times New Roman" w:eastAsia="Times New Roman" w:hAnsi="Times New Roman"/>
                <w:sz w:val="16"/>
                <w:szCs w:val="16"/>
                <w:color w:val="auto"/>
                <w:vertAlign w:val="superscript"/>
              </w:rPr>
              <w:t>(a) (e)</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847</w:t>
            </w:r>
          </w:p>
        </w:tc>
        <w:tc>
          <w:tcPr>
            <w:tcW w:w="13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996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1,236</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Flexible Generation equivalent availability factor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90.6 %</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9" w:lineRule="exact"/>
        <w:rPr>
          <w:sz w:val="20"/>
          <w:szCs w:val="20"/>
          <w:color w:val="auto"/>
        </w:rPr>
      </w:pPr>
    </w:p>
    <w:p>
      <w:pPr>
        <w:ind w:left="180" w:hanging="111"/>
        <w:spacing w:after="0"/>
        <w:tabs>
          <w:tab w:leader="none" w:pos="180" w:val="left"/>
        </w:tabs>
        <w:numPr>
          <w:ilvl w:val="0"/>
          <w:numId w:val="2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13" w:lineRule="exact"/>
        <w:rPr>
          <w:rFonts w:ascii="Times New Roman" w:cs="Times New Roman" w:eastAsia="Times New Roman" w:hAnsi="Times New Roman"/>
          <w:sz w:val="15"/>
          <w:szCs w:val="15"/>
          <w:color w:val="auto"/>
          <w:vertAlign w:val="superscript"/>
        </w:rPr>
      </w:pPr>
    </w:p>
    <w:p>
      <w:pPr>
        <w:ind w:left="180" w:hanging="111"/>
        <w:spacing w:after="0" w:line="200" w:lineRule="auto"/>
        <w:tabs>
          <w:tab w:leader="none" w:pos="180" w:val="left"/>
        </w:tabs>
        <w:numPr>
          <w:ilvl w:val="0"/>
          <w:numId w:val="2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Typical average capacity factors for solar facilities is 25%. The weighted-average capacity factors can vary based on seasonality and weather.</w:t>
      </w:r>
    </w:p>
    <w:p>
      <w:pPr>
        <w:spacing w:after="0" w:line="1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2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Typical average capacity factors for wind facilities is 25-45%. The weighted-average capacity factors can vary based on seasonality and weather.</w:t>
      </w:r>
    </w:p>
    <w:p>
      <w:pPr>
        <w:spacing w:after="0" w:line="10"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2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On May 1, 2022, the Company completed the sale of 100% of its interests in the Thermal Business to KKR.</w:t>
      </w:r>
    </w:p>
    <w:p>
      <w:pPr>
        <w:spacing w:after="0" w:line="22"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2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Volumes generated in 2022 were not sold as the Flexible Generation facilities sold only capacity rather than energy prior to 2023.</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Management’s discussion of the results of operations for the years ended December 31, 2024 and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Operating revenues increased by $57 million for the year ended December 31, 2024, compared to the same period in 2023, due to a combination of the drivers summarized in the table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20"/>
        </w:trPr>
        <w:tc>
          <w:tcPr>
            <w:tcW w:w="236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Flexible Generation Segment</w:t>
            </w:r>
          </w:p>
        </w:tc>
        <w:tc>
          <w:tcPr>
            <w:tcW w:w="7560" w:type="dxa"/>
            <w:vAlign w:val="bottom"/>
            <w:shd w:val="clear" w:color="auto" w:fill="CCEEFF"/>
          </w:tcPr>
          <w:p>
            <w:pPr>
              <w:ind w:left="300"/>
              <w:spacing w:after="0" w:line="120" w:lineRule="exact"/>
              <w:rPr>
                <w:sz w:val="20"/>
                <w:szCs w:val="20"/>
                <w:color w:val="auto"/>
              </w:rPr>
            </w:pPr>
            <w:r>
              <w:rPr>
                <w:rFonts w:ascii="Times New Roman" w:cs="Times New Roman" w:eastAsia="Times New Roman" w:hAnsi="Times New Roman"/>
                <w:sz w:val="13"/>
                <w:szCs w:val="13"/>
                <w:color w:val="auto"/>
              </w:rPr>
              <w:t>Decrease primarily driven by lower prices for capacity revenue due to the expiration of PPAs and commencement of RA</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spacing w:after="0"/>
              <w:rPr>
                <w:sz w:val="12"/>
                <w:szCs w:val="12"/>
                <w:color w:val="auto"/>
              </w:rPr>
            </w:pPr>
          </w:p>
        </w:tc>
        <w:tc>
          <w:tcPr>
            <w:tcW w:w="7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capacity revenue at the Walnut Creek and Marsh Landing facilities during the second quarter of 2023 and the El Segundo</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facility during the third quarter of 2023.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38"/>
        </w:trPr>
        <w:tc>
          <w:tcPr>
            <w:tcW w:w="2360" w:type="dxa"/>
            <w:vAlign w:val="bottom"/>
          </w:tcPr>
          <w:p>
            <w:pPr>
              <w:spacing w:after="0"/>
              <w:rPr>
                <w:sz w:val="11"/>
                <w:szCs w:val="11"/>
                <w:color w:val="auto"/>
              </w:rPr>
            </w:pPr>
          </w:p>
        </w:tc>
        <w:tc>
          <w:tcPr>
            <w:tcW w:w="7560" w:type="dxa"/>
            <w:vAlign w:val="bottom"/>
          </w:tcPr>
          <w:p>
            <w:pPr>
              <w:ind w:left="300"/>
              <w:spacing w:after="0" w:line="138" w:lineRule="exact"/>
              <w:rPr>
                <w:sz w:val="20"/>
                <w:szCs w:val="20"/>
                <w:color w:val="auto"/>
              </w:rPr>
            </w:pPr>
            <w:r>
              <w:rPr>
                <w:rFonts w:ascii="Times New Roman" w:cs="Times New Roman" w:eastAsia="Times New Roman" w:hAnsi="Times New Roman"/>
                <w:sz w:val="14"/>
                <w:szCs w:val="14"/>
                <w:color w:val="auto"/>
              </w:rPr>
              <w:t>Decrease driven by the sales-type lease revenue recognition of the Marsh Landing Black Start addition during the second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quarter of 2023.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spacing w:after="0"/>
              <w:rPr>
                <w:sz w:val="12"/>
                <w:szCs w:val="12"/>
                <w:color w:val="auto"/>
              </w:rPr>
            </w:pPr>
          </w:p>
        </w:tc>
        <w:tc>
          <w:tcPr>
            <w:tcW w:w="7560" w:type="dxa"/>
            <w:vAlign w:val="bottom"/>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Increase primarily driven by higher energy revenue due to the commencement of merchant operations following the expiration</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of PPAs at the Walnut Creek, Marsh Landing and El Segundo facilities during 2023.</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8"/>
        </w:trPr>
        <w:tc>
          <w:tcPr>
            <w:tcW w:w="23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Renewables Segment</w:t>
            </w:r>
          </w:p>
        </w:tc>
        <w:tc>
          <w:tcPr>
            <w:tcW w:w="7560" w:type="dxa"/>
            <w:vAlign w:val="bottom"/>
          </w:tcPr>
          <w:p>
            <w:pPr>
              <w:ind w:left="300"/>
              <w:spacing w:after="0" w:line="138" w:lineRule="exact"/>
              <w:rPr>
                <w:sz w:val="20"/>
                <w:szCs w:val="20"/>
                <w:color w:val="auto"/>
              </w:rPr>
            </w:pPr>
            <w:r>
              <w:rPr>
                <w:rFonts w:ascii="Times New Roman" w:cs="Times New Roman" w:eastAsia="Times New Roman" w:hAnsi="Times New Roman"/>
                <w:sz w:val="14"/>
                <w:szCs w:val="14"/>
                <w:color w:val="auto"/>
              </w:rPr>
              <w:t>Increase driven by the Daggett 2, Daggett 3, Victory Pass and Arica solar and BESS acquisitions, which reached commercial</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756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operations in December 2023, July 2023, March 2024 and April 2024, respectively, the acquisition of Texas Solar Nova 1 and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75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Texas Solar Nova 2 in December 2023 and March 2024, respectively, and the Rosamond Central BESS acquisition, which</w:t>
            </w:r>
          </w:p>
        </w:tc>
        <w:tc>
          <w:tcPr>
            <w:tcW w:w="2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reached commercial operations in June 2024.</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spacing w:after="0"/>
              <w:rPr>
                <w:sz w:val="15"/>
                <w:szCs w:val="15"/>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Increase primarily driven by higher wind production at the Alta wind facilities.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driven by the acquisition of the Cedar Creek wind facility in April 2024.</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amortization</w:t>
            </w: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Increase primarily driven by the Walnut Creek PPA, which was fully amortized during the second quarter of 2023.</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Mark-to-market economic hedges</w:t>
            </w: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Decrease primarily driven by an increase in forward power prices in the ERCOT and PJM markets.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spacing w:after="0"/>
              <w:rPr>
                <w:sz w:val="11"/>
                <w:szCs w:val="11"/>
                <w:color w:val="auto"/>
              </w:rPr>
            </w:pPr>
          </w:p>
        </w:tc>
        <w:tc>
          <w:tcPr>
            <w:tcW w:w="7560" w:type="dxa"/>
            <w:vAlign w:val="bottom"/>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Increase due to heat rate call option contracts entered into by El Segundo, Marsh Landing and Walnut Creek during the third</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quarter of 2023.</w:t>
            </w: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fuels decreased by $17 million during the year ended December 31, 2024, compared to the same period in 2023, primarily due to the associated costs of the sales-type lease recognition of the Marsh Landing Black Start addition during the second quarter of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Expense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Operations and maintenance expense increased by $32 million during the year ended December 31, 2024, compared to the same period in 2023, primarily due to the solar and BESS acquisitions referenced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and Accretion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Depreciation, amortization and accretion increased by $101 million during the year ended December 31, 2024, compared to the same period in 2023, primarily due to the solar and BESS acquisitions referenced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 Earnings of Unconsolidated Affiliates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Equity in earnings of unconsolidated affiliates increased by $23 million during the year ended December 31, 2024, compared to the same period in 2023, due to changes in the fair value of interest rate swaps, lower depreciation expense and higher wind production.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decreased by $30 million during the year ended December 31, 2024, compared to the same period in 2023, primarily due to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an increase in principal balances for the Renewables segment primarily due to solar and BESS acquisitions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99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9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the Company recorded an income tax expense of $30 million on pretax loss of $33 million. For the same period in 2023, the Company recorded an income tax benefit of $2 million on pretax loss of $16 million.</w:t>
      </w:r>
    </w:p>
    <w:p>
      <w:pPr>
        <w:spacing w:after="0" w:line="8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As further described in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the Company has elected to prospectively adopt the guidance in ASU No. 2023-09, </w:t>
      </w:r>
      <w:r>
        <w:rPr>
          <w:rFonts w:ascii="Times New Roman" w:cs="Times New Roman" w:eastAsia="Times New Roman" w:hAnsi="Times New Roman"/>
          <w:sz w:val="14"/>
          <w:szCs w:val="14"/>
          <w:i w:val="1"/>
          <w:iCs w:val="1"/>
          <w:color w:val="auto"/>
        </w:rPr>
        <w:t>Income Taxes (Topic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740): Improvements to Income Taxes Disclosures</w:t>
      </w:r>
      <w:r>
        <w:rPr>
          <w:rFonts w:ascii="Times New Roman" w:cs="Times New Roman" w:eastAsia="Times New Roman" w:hAnsi="Times New Roman"/>
          <w:sz w:val="14"/>
          <w:szCs w:val="14"/>
          <w:color w:val="auto"/>
        </w:rPr>
        <w:t>, or ASU 2023-09. The following table is a reconciliation of the U.S. federal statutory rate of 21% to the Company’s effective rate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in accordance with the guidance in ASU No. 2023-09:</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r>
      <w:tr>
        <w:trPr>
          <w:trHeight w:val="150"/>
        </w:trPr>
        <w:tc>
          <w:tcPr>
            <w:tcW w:w="84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r>
      <w:tr>
        <w:trPr>
          <w:trHeight w:val="139"/>
        </w:trPr>
        <w:tc>
          <w:tcPr>
            <w:tcW w:w="8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67"/>
        </w:trPr>
        <w:tc>
          <w:tcPr>
            <w:tcW w:w="8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1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21%</w:t>
            </w: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0"/>
        </w:trPr>
        <w:tc>
          <w:tcPr>
            <w:tcW w:w="840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State taxes, net of federal benefit </w:t>
            </w:r>
            <w:r>
              <w:rPr>
                <w:rFonts w:ascii="Times New Roman" w:cs="Times New Roman" w:eastAsia="Times New Roman" w:hAnsi="Times New Roman"/>
                <w:sz w:val="16"/>
                <w:szCs w:val="16"/>
                <w:color w:val="auto"/>
                <w:vertAlign w:val="superscript"/>
              </w:rPr>
              <w:t>(a)</w:t>
            </w:r>
          </w:p>
        </w:tc>
        <w:tc>
          <w:tcPr>
            <w:tcW w:w="440" w:type="dxa"/>
            <w:vAlign w:val="bottom"/>
          </w:tcPr>
          <w:p>
            <w:pPr>
              <w:spacing w:after="0"/>
              <w:rPr>
                <w:sz w:val="14"/>
                <w:szCs w:val="14"/>
                <w:color w:val="auto"/>
              </w:rPr>
            </w:pPr>
          </w:p>
        </w:tc>
        <w:tc>
          <w:tcPr>
            <w:tcW w:w="96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7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credits</w:t>
            </w: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12.1 %</w:t>
            </w:r>
          </w:p>
        </w:tc>
      </w:tr>
      <w:tr>
        <w:trPr>
          <w:trHeight w:val="168"/>
        </w:trPr>
        <w:tc>
          <w:tcPr>
            <w:tcW w:w="8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Nontaxable/nondeductible items: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HLBV impact</w:t>
            </w: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r>
      <w:tr>
        <w:trPr>
          <w:trHeight w:val="168"/>
        </w:trPr>
        <w:tc>
          <w:tcPr>
            <w:tcW w:w="8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Employee share-based payments</w:t>
            </w:r>
          </w:p>
        </w:tc>
        <w:tc>
          <w:tcPr>
            <w:tcW w:w="440" w:type="dxa"/>
            <w:vAlign w:val="bottom"/>
          </w:tcPr>
          <w:p>
            <w:pPr>
              <w:spacing w:after="0"/>
              <w:rPr>
                <w:sz w:val="14"/>
                <w:szCs w:val="14"/>
                <w:color w:val="auto"/>
              </w:rPr>
            </w:pPr>
          </w:p>
        </w:tc>
        <w:tc>
          <w:tcPr>
            <w:tcW w:w="96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3"/>
        </w:trPr>
        <w:tc>
          <w:tcPr>
            <w:tcW w:w="8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 expense</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2"/>
        </w:trPr>
        <w:tc>
          <w:tcPr>
            <w:tcW w:w="840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Effective income tax rate</w:t>
            </w: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9" w:lineRule="exact"/>
        <w:rPr>
          <w:sz w:val="20"/>
          <w:szCs w:val="20"/>
          <w:color w:val="auto"/>
        </w:rPr>
      </w:pPr>
    </w:p>
    <w:p>
      <w:pPr>
        <w:ind w:left="180" w:hanging="111"/>
        <w:spacing w:after="0"/>
        <w:tabs>
          <w:tab w:leader="none" w:pos="180" w:val="left"/>
        </w:tabs>
        <w:numPr>
          <w:ilvl w:val="0"/>
          <w:numId w:val="2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State taxes in California made up the majority of the tax effect in this category.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2" w:name="page53"/>
    <w:bookmarkEnd w:id="52"/>
    <w:p>
      <w:pPr>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is a reconciliation of the U.S. federal statutory rate of 21% to the Company’s effective rate for the year ended December 31, 2023 in accordance with the guidance prior to the adoption of ASU 2023-09:</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0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0"/>
        </w:trPr>
        <w:tc>
          <w:tcPr>
            <w:tcW w:w="90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9"/>
        </w:trPr>
        <w:tc>
          <w:tcPr>
            <w:tcW w:w="9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77"/>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r>
      <w:tr>
        <w:trPr>
          <w:trHeight w:val="67"/>
        </w:trPr>
        <w:tc>
          <w:tcPr>
            <w:tcW w:w="9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80" w:type="dxa"/>
            <w:vAlign w:val="bottom"/>
          </w:tcPr>
          <w:p>
            <w:pPr>
              <w:spacing w:after="0"/>
              <w:rPr>
                <w:sz w:val="5"/>
                <w:szCs w:val="5"/>
                <w:color w:val="auto"/>
              </w:rPr>
            </w:pPr>
          </w:p>
        </w:tc>
      </w:tr>
      <w:tr>
        <w:trPr>
          <w:trHeight w:val="17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21%</w:t>
            </w:r>
          </w:p>
        </w:tc>
        <w:tc>
          <w:tcPr>
            <w:tcW w:w="28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 taxes, net of federal benefit</w:t>
            </w:r>
          </w:p>
        </w:tc>
        <w:tc>
          <w:tcPr>
            <w:tcW w:w="280" w:type="dxa"/>
            <w:vAlign w:val="bottom"/>
          </w:tcPr>
          <w:p>
            <w:pPr>
              <w:spacing w:after="0"/>
              <w:rPr>
                <w:sz w:val="14"/>
                <w:szCs w:val="14"/>
                <w:color w:val="auto"/>
              </w:rPr>
            </w:pPr>
          </w:p>
        </w:tc>
        <w:tc>
          <w:tcPr>
            <w:tcW w:w="1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Impact of non-taxable partnership earnings</w:t>
            </w:r>
          </w:p>
        </w:tc>
        <w:tc>
          <w:tcPr>
            <w:tcW w:w="28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r>
      <w:tr>
        <w:trPr>
          <w:trHeight w:val="168"/>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Valuation allowance</w:t>
            </w:r>
          </w:p>
        </w:tc>
        <w:tc>
          <w:tcPr>
            <w:tcW w:w="280" w:type="dxa"/>
            <w:vAlign w:val="bottom"/>
          </w:tcPr>
          <w:p>
            <w:pPr>
              <w:spacing w:after="0"/>
              <w:rPr>
                <w:sz w:val="14"/>
                <w:szCs w:val="14"/>
                <w:color w:val="auto"/>
              </w:rPr>
            </w:pPr>
          </w:p>
        </w:tc>
        <w:tc>
          <w:tcPr>
            <w:tcW w:w="19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tax credits</w:t>
            </w:r>
          </w:p>
        </w:tc>
        <w:tc>
          <w:tcPr>
            <w:tcW w:w="28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r>
      <w:tr>
        <w:trPr>
          <w:trHeight w:val="170"/>
        </w:trPr>
        <w:tc>
          <w:tcPr>
            <w:tcW w:w="902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Production tax credits </w:t>
            </w:r>
            <w:r>
              <w:rPr>
                <w:rFonts w:ascii="Times New Roman" w:cs="Times New Roman" w:eastAsia="Times New Roman" w:hAnsi="Times New Roman"/>
                <w:sz w:val="16"/>
                <w:szCs w:val="16"/>
                <w:color w:val="auto"/>
                <w:vertAlign w:val="superscript"/>
              </w:rPr>
              <w:t>(a)</w:t>
            </w:r>
          </w:p>
        </w:tc>
        <w:tc>
          <w:tcPr>
            <w:tcW w:w="280" w:type="dxa"/>
            <w:vAlign w:val="bottom"/>
          </w:tcPr>
          <w:p>
            <w:pPr>
              <w:spacing w:after="0"/>
              <w:rPr>
                <w:sz w:val="14"/>
                <w:szCs w:val="14"/>
                <w:color w:val="auto"/>
              </w:rPr>
            </w:pPr>
          </w:p>
        </w:tc>
        <w:tc>
          <w:tcPr>
            <w:tcW w:w="1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r>
      <w:tr>
        <w:trPr>
          <w:trHeight w:val="170"/>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Rate change</w:t>
            </w:r>
          </w:p>
        </w:tc>
        <w:tc>
          <w:tcPr>
            <w:tcW w:w="28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9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 taxes assessed at subsidiaries</w:t>
            </w:r>
          </w:p>
        </w:tc>
        <w:tc>
          <w:tcPr>
            <w:tcW w:w="280" w:type="dxa"/>
            <w:vAlign w:val="bottom"/>
          </w:tcPr>
          <w:p>
            <w:pPr>
              <w:spacing w:after="0"/>
              <w:rPr>
                <w:sz w:val="14"/>
                <w:szCs w:val="14"/>
                <w:color w:val="auto"/>
              </w:rPr>
            </w:pPr>
          </w:p>
        </w:tc>
        <w:tc>
          <w:tcPr>
            <w:tcW w:w="1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r>
      <w:tr>
        <w:trPr>
          <w:trHeight w:val="170"/>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9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 benefit</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52"/>
        </w:trPr>
        <w:tc>
          <w:tcPr>
            <w:tcW w:w="90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Effective income tax rate</w:t>
            </w:r>
          </w:p>
        </w:tc>
        <w:tc>
          <w:tcPr>
            <w:tcW w:w="280" w:type="dxa"/>
            <w:vAlign w:val="bottom"/>
            <w:shd w:val="clear" w:color="auto" w:fill="CCEEFF"/>
          </w:tcPr>
          <w:p>
            <w:pPr>
              <w:spacing w:after="0"/>
              <w:rPr>
                <w:sz w:val="13"/>
                <w:szCs w:val="1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80" w:hanging="111"/>
        <w:spacing w:after="0"/>
        <w:tabs>
          <w:tab w:leader="none" w:pos="18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On December 6, 2023, the Company executed an agreement with a third party to sell the PTCs generated by the Alta X and Alta XI wind facilities, which resulted in a $14 million income tax benefit (reduction to income tax expense).</w:t>
      </w:r>
    </w:p>
    <w:p>
      <w:pPr>
        <w:spacing w:after="0" w:line="14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and Redeemable Noncontrolling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2024, the Company had a net loss of $151 million attributable to noncontrolling interests and redeemable noncontrolling interests comprised of the following:</w:t>
      </w:r>
    </w:p>
    <w:p>
      <w:pPr>
        <w:sectPr>
          <w:pgSz w:w="11900" w:h="16838" w:orient="portrait"/>
          <w:cols w:equalWidth="0" w:num="1">
            <w:col w:w="11280"/>
          </w:cols>
          <w:pgMar w:left="300" w:top="730" w:right="319" w:bottom="1440" w:gutter="0" w:footer="0" w:header="0"/>
        </w:sectPr>
      </w:pPr>
    </w:p>
    <w:p>
      <w:pPr>
        <w:spacing w:after="0" w:line="253"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VP-Arica TE Holdco LLC and Rosie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161530" cy="208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VP-Arica TE Holdco LLC and Rosie TE Holdco LLC HLBV losses)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31"/>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67" w:lineRule="exact"/>
        <w:rPr>
          <w:sz w:val="20"/>
          <w:szCs w:val="20"/>
          <w:color w:val="auto"/>
        </w:rPr>
      </w:pPr>
    </w:p>
    <w:p>
      <w:pPr>
        <w:ind w:left="1031" w:hanging="1031"/>
        <w:spacing w:after="0"/>
        <w:tabs>
          <w:tab w:leader="none" w:pos="1031"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(404)</w:t>
      </w:r>
    </w:p>
    <w:p>
      <w:pPr>
        <w:spacing w:after="0" w:line="34"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168</w:t>
      </w:r>
    </w:p>
    <w:p>
      <w:pPr>
        <w:spacing w:after="0" w:line="19" w:lineRule="exact"/>
        <w:rPr>
          <w:rFonts w:ascii="Times New Roman" w:cs="Times New Roman" w:eastAsia="Times New Roman" w:hAnsi="Times New Roman"/>
          <w:sz w:val="13"/>
          <w:szCs w:val="13"/>
          <w:color w:val="auto"/>
        </w:rPr>
      </w:pPr>
    </w:p>
    <w:p>
      <w:pPr>
        <w:ind w:left="115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86931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6" w:lineRule="exact"/>
        <w:rPr>
          <w:sz w:val="20"/>
          <w:szCs w:val="20"/>
          <w:color w:val="auto"/>
        </w:rPr>
      </w:pPr>
    </w:p>
    <w:p>
      <w:pPr>
        <w:ind w:left="1031" w:hanging="1031"/>
        <w:spacing w:after="0"/>
        <w:tabs>
          <w:tab w:leader="none" w:pos="1031"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wp:posOffset>
            </wp:positionV>
            <wp:extent cx="86931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931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42545</wp:posOffset>
            </wp:positionV>
            <wp:extent cx="86931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269"/>
            <w:col w:w="1351"/>
          </w:cols>
          <w:pgMar w:left="300" w:top="730" w:right="319" w:bottom="1440" w:gutter="0" w:footer="0" w:header="0"/>
          <w:type w:val="continuous"/>
        </w:sectPr>
      </w:pP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2023, the Company had a net loss of $93 million attributable to noncontrolling interests and redeemable noncontrolling interests comprised of the following:</w:t>
      </w:r>
    </w:p>
    <w:p>
      <w:pPr>
        <w:sectPr>
          <w:pgSz w:w="11900" w:h="16838" w:orient="portrait"/>
          <w:cols w:equalWidth="0" w:num="1">
            <w:col w:w="11280"/>
          </w:cols>
          <w:pgMar w:left="300" w:top="730" w:right="319" w:bottom="1440" w:gutter="0" w:footer="0" w:header="0"/>
          <w:type w:val="continuous"/>
        </w:sectPr>
      </w:pPr>
    </w:p>
    <w:p>
      <w:pPr>
        <w:spacing w:after="0" w:line="253"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HLBV method (primarily due to Daggett TE Holdco LLC and Daggett 2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161530" cy="2089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Daggett TE Holdco LLC and Daggett 2 TE Holdco LLC HLBV losses)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31"/>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67" w:lineRule="exact"/>
        <w:rPr>
          <w:sz w:val="20"/>
          <w:szCs w:val="20"/>
          <w:color w:val="auto"/>
        </w:rPr>
      </w:pPr>
    </w:p>
    <w:p>
      <w:pPr>
        <w:ind w:left="1031" w:hanging="1031"/>
        <w:spacing w:after="0"/>
        <w:tabs>
          <w:tab w:leader="none" w:pos="103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(388)</w:t>
      </w:r>
    </w:p>
    <w:p>
      <w:pPr>
        <w:spacing w:after="0" w:line="34"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226</w:t>
      </w:r>
    </w:p>
    <w:p>
      <w:pPr>
        <w:spacing w:after="0" w:line="19" w:lineRule="exact"/>
        <w:rPr>
          <w:rFonts w:ascii="Times New Roman" w:cs="Times New Roman" w:eastAsia="Times New Roman" w:hAnsi="Times New Roman"/>
          <w:sz w:val="13"/>
          <w:szCs w:val="13"/>
          <w:color w:val="auto"/>
        </w:rPr>
      </w:pPr>
    </w:p>
    <w:p>
      <w:pPr>
        <w:ind w:left="115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86931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6" w:lineRule="exact"/>
        <w:rPr>
          <w:sz w:val="20"/>
          <w:szCs w:val="20"/>
          <w:color w:val="auto"/>
        </w:rPr>
      </w:pPr>
    </w:p>
    <w:p>
      <w:pPr>
        <w:ind w:left="1091" w:hanging="1091"/>
        <w:spacing w:after="0"/>
        <w:tabs>
          <w:tab w:leader="none" w:pos="109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86931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931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86931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369"/>
            <w:col w:w="1351"/>
          </w:cols>
          <w:pgMar w:left="300" w:top="730" w:right="31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Times New Roman" w:cs="Times New Roman" w:eastAsia="Times New Roman" w:hAnsi="Times New Roman"/>
          <w:sz w:val="14"/>
          <w:szCs w:val="14"/>
          <w:color w:val="000000"/>
        </w:rPr>
        <w:t>As a normal part of the Company’s business, depending on market conditions, the Company will from time to time consider opportunities to repay, redeem, repurchase 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31F20"/>
        </w:rPr>
        <w:t>, the Company’s liquidity was approximately $1,330 million and $1,505 million, respectively, comprised of cash, restricted cash and availability under the Company’s revolving credit facility.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800" w:type="dxa"/>
            <w:vAlign w:val="bottom"/>
            <w:tcBorders>
              <w:bottom w:val="single" w:sz="8" w:color="auto"/>
            </w:tcBorders>
          </w:tcPr>
          <w:p>
            <w:pPr>
              <w:spacing w:after="0"/>
              <w:rPr>
                <w:sz w:val="14"/>
                <w:szCs w:val="14"/>
                <w:color w:val="auto"/>
              </w:rPr>
            </w:pPr>
          </w:p>
        </w:tc>
      </w:tr>
      <w:tr>
        <w:trPr>
          <w:trHeight w:val="161"/>
        </w:trPr>
        <w:tc>
          <w:tcPr>
            <w:tcW w:w="85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60"/>
        </w:trPr>
        <w:tc>
          <w:tcPr>
            <w:tcW w:w="8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Pr>
          <w:p>
            <w:pPr>
              <w:spacing w:after="0"/>
              <w:rPr>
                <w:sz w:val="13"/>
                <w:szCs w:val="13"/>
                <w:color w:val="auto"/>
              </w:rPr>
            </w:pP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Clearway Energy, Inc. and Clearway Energy LLC, excluding subsidiaries</w:t>
            </w:r>
          </w:p>
        </w:tc>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r>
      <w:tr>
        <w:trPr>
          <w:trHeight w:val="172"/>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r>
      <w:tr>
        <w:trPr>
          <w:trHeight w:val="169"/>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accounts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Reserves, including debt service, distributions, performance obligations and other reserves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6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Revolving credit facility availability</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w:t>
            </w:r>
          </w:p>
        </w:tc>
      </w:tr>
      <w:tr>
        <w:trPr>
          <w:trHeight w:val="18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liquidity</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Company’s liquidity includes $401 million and $516 million of restricted cash balances as of December 31, 2024 and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31F20"/>
        </w:rPr>
        <w:t xml:space="preserve">,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4"/>
          <w:szCs w:val="14"/>
          <w:color w:val="000000"/>
        </w:rPr>
        <w:t>December 31, 2024, these restricted funds were comprised of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$184 million designated to fund operating expenses, approximately $37 million designated for current debt service payments, and $102 million restricted for reserves, including debt service, performance obligations and other reserves, as well as capital expenditures. The remaining $78 million is held in distribution reserve accounts.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12529"/>
        </w:rPr>
        <w:t>Clearway Energy LLC and Clearway Energy Operating LLC Revolving Credit Facility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had no outstanding borrowings under its revolving credit facility and $103 million in letters of credit outstanding. The facility will continue to be used for general corporate purposes, including financing of future investments or acquisitions and posting letters of credit.</w:t>
      </w:r>
    </w:p>
    <w:p>
      <w:pPr>
        <w:spacing w:after="0" w:line="8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credit ratings for the Company and its Senior Notes as of December 31, 2024. The ratings outlook is stable.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80" w:type="dxa"/>
            <w:vAlign w:val="bottom"/>
          </w:tcPr>
          <w:p>
            <w:pPr>
              <w:spacing w:after="0"/>
              <w:rPr>
                <w:sz w:val="13"/>
                <w:szCs w:val="13"/>
                <w:color w:val="auto"/>
              </w:rPr>
            </w:pPr>
          </w:p>
        </w:tc>
        <w:tc>
          <w:tcPr>
            <w:tcW w:w="158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8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Clearway Energy, Inc.</w:t>
            </w:r>
          </w:p>
        </w:tc>
        <w:tc>
          <w:tcPr>
            <w:tcW w:w="15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4.750% Senior Notes, due 2028</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3.750% Senior Notes, due 2031</w:t>
            </w: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3.750% Senior Notes, due 2032</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w:t>
      </w:r>
      <w:r>
        <w:rPr>
          <w:rFonts w:ascii="Times New Roman" w:cs="Times New Roman" w:eastAsia="Times New Roman" w:hAnsi="Times New Roman"/>
          <w:sz w:val="14"/>
          <w:szCs w:val="14"/>
          <w:color w:val="000000"/>
        </w:rPr>
        <w:t>—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the Company’s financing arrangements consist of corporate level debt, which includes Senior Notes and the revolving credit facility; the ATM Program; and facility-level financings for its various assets.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31F20"/>
        </w:rPr>
        <w:t>Capistrano Portfolio Holdco LLC Financing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Company utilized the proceeds from the term loan to pay off the existing debt in the amount of $63 million related to Broken Bow and Crofton Bluffs and to pay related financing costs.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and freed up capacity on the Company’s corporate revolving credit facility. The letter of credit facility has an initial term of three years and the option for two additional one-year extensions. As of December 31, 2024, $105 million was outstanding under the letter of credit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Item 15 </w:t>
      </w:r>
      <w:r>
        <w:rPr>
          <w:rFonts w:ascii="Times New Roman" w:cs="Times New Roman" w:eastAsia="Times New Roman" w:hAnsi="Times New Roman"/>
          <w:sz w:val="14"/>
          <w:szCs w:val="14"/>
          <w:color w:val="000000"/>
        </w:rPr>
        <w:t>— Note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(ii) capital expenditures; (iii) off-balance sheet arrangements; (iv) acquisitions and investments, as described more fully in Item 15</w:t>
      </w:r>
      <w:r>
        <w:rPr>
          <w:rFonts w:ascii="Times New Roman" w:cs="Times New Roman" w:eastAsia="Times New Roman" w:hAnsi="Times New Roman"/>
          <w:sz w:val="14"/>
          <w:szCs w:val="14"/>
          <w:color w:val="000000"/>
        </w:rPr>
        <w:t xml:space="preserve"> — Note 3, </w:t>
      </w:r>
      <w:r>
        <w:rPr>
          <w:rFonts w:ascii="Times New Roman" w:cs="Times New Roman" w:eastAsia="Times New Roman" w:hAnsi="Times New Roman"/>
          <w:sz w:val="14"/>
          <w:szCs w:val="14"/>
          <w:i w:val="1"/>
          <w:iCs w:val="1"/>
          <w:color w:val="000000"/>
        </w:rPr>
        <w:t>Acquisitions</w:t>
      </w:r>
      <w:r>
        <w:rPr>
          <w:rFonts w:ascii="Times New Roman" w:cs="Times New Roman" w:eastAsia="Times New Roman" w:hAnsi="Times New Roman"/>
          <w:sz w:val="14"/>
          <w:szCs w:val="14"/>
          <w:color w:val="000000"/>
        </w:rPr>
        <w:t xml:space="preserve"> and Note 5, </w:t>
      </w:r>
      <w:r>
        <w:rPr>
          <w:rFonts w:ascii="Times New Roman" w:cs="Times New Roman" w:eastAsia="Times New Roman" w:hAnsi="Times New Roman"/>
          <w:sz w:val="14"/>
          <w:szCs w:val="14"/>
          <w:i w:val="1"/>
          <w:iCs w:val="1"/>
          <w:color w:val="000000"/>
        </w:rPr>
        <w:t>Investments Accounted for by the Equity Method and Variable Interest Entities</w:t>
      </w:r>
      <w:r>
        <w:rPr>
          <w:rFonts w:ascii="Times New Roman" w:cs="Times New Roman" w:eastAsia="Times New Roman" w:hAnsi="Times New Roman"/>
          <w:sz w:val="14"/>
          <w:szCs w:val="14"/>
          <w:color w:val="231F20"/>
        </w:rPr>
        <w:t>; and (v) cash dividends to investors.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Debt Service Obligations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Principal payments on debt as of December 31, 2024, are due in the following periods: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80" w:type="dxa"/>
            <w:vAlign w:val="bottom"/>
          </w:tcPr>
          <w:p>
            <w:pPr>
              <w:spacing w:after="0"/>
              <w:rPr>
                <w:sz w:val="12"/>
                <w:szCs w:val="12"/>
                <w:color w:val="auto"/>
              </w:rPr>
            </w:pPr>
          </w:p>
        </w:tc>
        <w:tc>
          <w:tcPr>
            <w:tcW w:w="6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1"/>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Corporate-level debt: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2028</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2031</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2032</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3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Corporate-level debt</w:t>
            </w: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r>
      <w:tr>
        <w:trPr>
          <w:trHeight w:val="169"/>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Facility-level debt: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Borrego, due 2038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Buckthorn Solar, due 2025</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Capistrano Portfolio Holdco LLC, due 2033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Cedar Creek,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Cedro Hill, due 2029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CVSR, due 2037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Daggett 2, due 2028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Daggett 3, due 2028</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 xml:space="preserve">Dan’s Mountain, due 2025 </w:t>
            </w:r>
            <w:r>
              <w:rPr>
                <w:rFonts w:ascii="Times New Roman" w:cs="Times New Roman" w:eastAsia="Times New Roman" w:hAnsi="Times New Roman"/>
                <w:sz w:val="16"/>
                <w:szCs w:val="16"/>
                <w:color w:val="auto"/>
                <w:vertAlign w:val="superscript"/>
              </w:rPr>
              <w:t>(a)</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NIMH Solar, due 2031 and 2033</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Rosie Class B LLC, due 2029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TSN1 Class B Member LLC,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68"/>
        </w:trPr>
        <w:tc>
          <w:tcPr>
            <w:tcW w:w="20" w:type="dxa"/>
            <w:vAlign w:val="bottom"/>
            <w:tcBorders>
              <w:bottom w:val="single" w:sz="8" w:color="CCEEFF"/>
            </w:tcBorders>
          </w:tcPr>
          <w:p>
            <w:pPr>
              <w:spacing w:after="0"/>
              <w:rPr>
                <w:sz w:val="14"/>
                <w:szCs w:val="14"/>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60"/>
        </w:trPr>
        <w:tc>
          <w:tcPr>
            <w:tcW w:w="20" w:type="dxa"/>
            <w:vAlign w:val="bottom"/>
            <w:shd w:val="clear" w:color="auto" w:fill="CCEEFF"/>
          </w:tcPr>
          <w:p>
            <w:pPr>
              <w:spacing w:after="0"/>
              <w:rPr>
                <w:sz w:val="13"/>
                <w:szCs w:val="13"/>
                <w:color w:val="auto"/>
              </w:rPr>
            </w:pPr>
          </w:p>
        </w:tc>
        <w:tc>
          <w:tcPr>
            <w:tcW w:w="5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facility-level debt</w:t>
            </w: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5,110</w:t>
            </w:r>
          </w:p>
        </w:tc>
      </w:tr>
      <w:tr>
        <w:trPr>
          <w:trHeight w:val="163"/>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7,235</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At December 31, 2024, amount includes $125 million of construction-related financings recorded in long-term debt on the Company’s consolidated balance sheet that is being funded through long-term equity contributions.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6" w:name="page57"/>
    <w:bookmarkEnd w:id="56"/>
    <w:p>
      <w:pPr>
        <w:jc w:val="both"/>
        <w:ind w:firstLine="318"/>
        <w:spacing w:after="0" w:line="258" w:lineRule="auto"/>
        <w:rPr>
          <w:sz w:val="20"/>
          <w:szCs w:val="20"/>
          <w:color w:val="auto"/>
        </w:rPr>
      </w:pPr>
      <w:r>
        <w:rPr>
          <w:rFonts w:ascii="Times New Roman" w:cs="Times New Roman" w:eastAsia="Times New Roman" w:hAnsi="Times New Roman"/>
          <w:sz w:val="14"/>
          <w:szCs w:val="14"/>
          <w:color w:val="231F20"/>
        </w:rPr>
        <w:t xml:space="preserve">For the years ended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and 2023, the Company used approximately $287 million and $212 million, respectively, to fund capital expenditures, primarily in the Renewables segment, funded through construction-related financing. Growth capital expenditures included $107 million incurred in connection with the Victory Pass and Arica solar and BESS facilities, $54 million incurred in connection with the repowering of the Cedro Hill wind facility, $41 million incurred in connection with the Rosamond Central BESS facility, $23 million incurred in connection with Dan’s Mountain, $14 million incurred in connection with the Texas Solar Nova 1 and Texas Solar Nova 2 facilities, $14 million incurred in connection with the Daggett 2 solar and BESS facility, $10 million incurred in connection with the Daggett 3 solar and BESS facility, $7 million incurred in connection with the Cedar Creek wind facility and $6 million incurred by other facilities. In addition, for the years ended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and 2023, the Company incurred </w:t>
      </w:r>
      <w:r>
        <w:rPr>
          <w:rFonts w:ascii="Times New Roman" w:cs="Times New Roman" w:eastAsia="Times New Roman" w:hAnsi="Times New Roman"/>
          <w:sz w:val="14"/>
          <w:szCs w:val="14"/>
          <w:color w:val="000000"/>
        </w:rPr>
        <w:t>$11 million and $22 million, respectively, of maintenance capital expenditures, which are net of credits received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from equipment manufacturers.</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estimates $24 million of maintenance capital expenditures for 2025. </w:t>
      </w:r>
      <w:r>
        <w:rPr>
          <w:rFonts w:ascii="Times New Roman" w:cs="Times New Roman" w:eastAsia="Times New Roman" w:hAnsi="Times New Roman"/>
          <w:sz w:val="14"/>
          <w:szCs w:val="14"/>
          <w:color w:val="000000"/>
        </w:rPr>
        <w:t>These estimates are subject to continuing review and adjustment and actual capital expenditures may vary</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from these estimates.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2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December 31, 2024, the Company has several investments with an ownership interest percentage of 50% or less. GenConn is a VIE for which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Company is not the primary beneficiary. The Company’s pro-rata share of non-recourse debt held by unconsolidated affiliates was approximately $282 million as of December 31, 2024. This indebtedness may restrict the ability of these subsidiaries to issue dividends or distributions to the Company. See also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Variable Interest Entities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and Note 17,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for additional discussion.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By Remaining Maturity at December 31,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Contractual Cash Obligations</w:t>
            </w:r>
          </w:p>
        </w:tc>
        <w:tc>
          <w:tcPr>
            <w:tcW w:w="220" w:type="dxa"/>
            <w:vAlign w:val="bottom"/>
          </w:tcPr>
          <w:p>
            <w:pPr>
              <w:spacing w:after="0"/>
              <w:rPr>
                <w:sz w:val="8"/>
                <w:szCs w:val="8"/>
                <w:color w:val="auto"/>
              </w:rPr>
            </w:pPr>
          </w:p>
        </w:tc>
        <w:tc>
          <w:tcPr>
            <w:tcW w:w="920" w:type="dxa"/>
            <w:vAlign w:val="bottom"/>
            <w:gridSpan w:val="2"/>
          </w:tcPr>
          <w:p>
            <w:pPr>
              <w:ind w:left="140"/>
              <w:spacing w:after="0" w:line="102" w:lineRule="exact"/>
              <w:rPr>
                <w:sz w:val="20"/>
                <w:szCs w:val="20"/>
                <w:color w:val="auto"/>
              </w:rPr>
            </w:pPr>
            <w:r>
              <w:rPr>
                <w:rFonts w:ascii="Times New Roman" w:cs="Times New Roman" w:eastAsia="Times New Roman" w:hAnsi="Times New Roman"/>
                <w:sz w:val="11"/>
                <w:szCs w:val="11"/>
                <w:b w:val="1"/>
                <w:bCs w:val="1"/>
                <w:color w:val="auto"/>
              </w:rPr>
              <w:t>Under</w:t>
            </w:r>
          </w:p>
        </w:tc>
        <w:tc>
          <w:tcPr>
            <w:tcW w:w="200" w:type="dxa"/>
            <w:vAlign w:val="bottom"/>
          </w:tcPr>
          <w:p>
            <w:pPr>
              <w:spacing w:after="0"/>
              <w:rPr>
                <w:sz w:val="8"/>
                <w:szCs w:val="8"/>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1-3 Years</w:t>
            </w:r>
          </w:p>
        </w:tc>
        <w:tc>
          <w:tcPr>
            <w:tcW w:w="100" w:type="dxa"/>
            <w:vAlign w:val="bottom"/>
          </w:tcPr>
          <w:p>
            <w:pPr>
              <w:spacing w:after="0"/>
              <w:rPr>
                <w:sz w:val="8"/>
                <w:szCs w:val="8"/>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3-5 Years</w:t>
            </w:r>
          </w:p>
        </w:tc>
        <w:tc>
          <w:tcPr>
            <w:tcW w:w="300" w:type="dxa"/>
            <w:vAlign w:val="bottom"/>
          </w:tcPr>
          <w:p>
            <w:pPr>
              <w:spacing w:after="0"/>
              <w:rPr>
                <w:sz w:val="8"/>
                <w:szCs w:val="8"/>
                <w:color w:val="auto"/>
              </w:rPr>
            </w:pPr>
          </w:p>
        </w:tc>
        <w:tc>
          <w:tcPr>
            <w:tcW w:w="840" w:type="dxa"/>
            <w:vAlign w:val="bottom"/>
            <w:gridSpan w:val="2"/>
          </w:tcPr>
          <w:p>
            <w:pPr>
              <w:jc w:val="center"/>
              <w:ind w:right="400"/>
              <w:spacing w:after="0" w:line="102" w:lineRule="exact"/>
              <w:rPr>
                <w:sz w:val="20"/>
                <w:szCs w:val="20"/>
                <w:color w:val="auto"/>
              </w:rPr>
            </w:pPr>
            <w:r>
              <w:rPr>
                <w:rFonts w:ascii="Times New Roman" w:cs="Times New Roman" w:eastAsia="Times New Roman" w:hAnsi="Times New Roman"/>
                <w:sz w:val="11"/>
                <w:szCs w:val="11"/>
                <w:b w:val="1"/>
                <w:bCs w:val="1"/>
                <w:color w:val="auto"/>
              </w:rPr>
              <w:t>Over</w:t>
            </w:r>
          </w:p>
        </w:tc>
        <w:tc>
          <w:tcPr>
            <w:tcW w:w="240" w:type="dxa"/>
            <w:vAlign w:val="bottom"/>
          </w:tcPr>
          <w:p>
            <w:pPr>
              <w:spacing w:after="0"/>
              <w:rPr>
                <w:sz w:val="8"/>
                <w:szCs w:val="8"/>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8"/>
                <w:szCs w:val="8"/>
                <w:color w:val="auto"/>
              </w:rPr>
            </w:pPr>
          </w:p>
        </w:tc>
        <w:tc>
          <w:tcPr>
            <w:tcW w:w="820" w:type="dxa"/>
            <w:vAlign w:val="bottom"/>
            <w:vMerge w:val="restart"/>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1"/>
                <w:szCs w:val="11"/>
                <w:b w:val="1"/>
                <w:bCs w:val="1"/>
                <w:color w:val="auto"/>
              </w:rPr>
              <w:t>1 Year</w:t>
            </w: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5 Years</w:t>
            </w:r>
          </w:p>
        </w:tc>
        <w:tc>
          <w:tcPr>
            <w:tcW w:w="2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(including estimated interest)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Natural gas transportation obligations </w:t>
            </w:r>
            <w:r>
              <w:rPr>
                <w:rFonts w:ascii="Times New Roman" w:cs="Times New Roman" w:eastAsia="Times New Roman" w:hAnsi="Times New Roman"/>
                <w:sz w:val="18"/>
                <w:szCs w:val="18"/>
                <w:color w:val="auto"/>
                <w:vertAlign w:val="superscript"/>
              </w:rPr>
              <w:t>(a)</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38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liabilities </w:t>
            </w:r>
            <w:r>
              <w:rPr>
                <w:rFonts w:ascii="Times New Roman" w:cs="Times New Roman" w:eastAsia="Times New Roman" w:hAnsi="Times New Roman"/>
                <w:sz w:val="18"/>
                <w:szCs w:val="18"/>
                <w:color w:val="auto"/>
                <w:vertAlign w:val="superscript"/>
              </w:rPr>
              <w:t>(b)</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These contractual cash obligations relate to reservation charges under the backbone transportation service contracts. In 2024, these contracts were amended to a volumetric approach and only incur charges when dispatched.</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water right agreements, service and maintenance agreements and LTSA commitments.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7" w:name="page58"/>
    <w:bookmarkEnd w:id="57"/>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Investments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8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Cedro Hill Repowering Financing Activities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December 27, 2024, when the repowering of the Cedro Hill wind facility reached substantial completion, tax equity investors contributed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$152 million to acquire the Class A membership interests in Cedro Hill TE Holdco LLC, a tax equity fund that owns the Cedro Hill wind facility. The tax equity proceeds were utilized, along with $54 million in construction loan proceeds, to repay the tax equity bridge loan and cash equity bridge loan, to fund construction completion and related reserves, to pay construction invoices and to pay associated fees with the remaining $26 million distributed to CEG. Also at substantial completion, the outstanding construction loans were converted to a term loan. Under the financing agreement, the Company borrowed an additional $88 million during 2024.</w:t>
      </w:r>
    </w:p>
    <w:p>
      <w:pPr>
        <w:spacing w:after="0" w:line="97"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212529"/>
        </w:rPr>
        <w:t xml:space="preserve">Tuolumne Third-Party Acquisition </w:t>
      </w:r>
      <w:r>
        <w:rPr>
          <w:rFonts w:ascii="Times New Roman" w:cs="Times New Roman" w:eastAsia="Times New Roman" w:hAnsi="Times New Roman"/>
          <w:sz w:val="14"/>
          <w:szCs w:val="14"/>
          <w:b w:val="1"/>
          <w:bCs w:val="1"/>
          <w:i w:val="1"/>
          <w:iCs w:val="1"/>
          <w:color w:val="000000"/>
        </w:rPr>
        <w:t>—</w:t>
      </w:r>
      <w:r>
        <w:rPr>
          <w:rFonts w:ascii="Times New Roman" w:cs="Times New Roman" w:eastAsia="Times New Roman" w:hAnsi="Times New Roman"/>
          <w:sz w:val="14"/>
          <w:szCs w:val="14"/>
          <w:i w:val="1"/>
          <w:iCs w:val="1"/>
          <w:color w:val="212529"/>
        </w:rPr>
        <w:t xml:space="preserve"> </w:t>
      </w:r>
      <w:r>
        <w:rPr>
          <w:rFonts w:ascii="Times New Roman" w:cs="Times New Roman" w:eastAsia="Times New Roman" w:hAnsi="Times New Roman"/>
          <w:sz w:val="14"/>
          <w:szCs w:val="14"/>
          <w:color w:val="000000"/>
        </w:rPr>
        <w:t>On November 25, 2024, the Company entered into a binding agreement to acquire the Tuolumne wind facility, a 137 MW operating facility located in</w:t>
      </w:r>
      <w:r>
        <w:rPr>
          <w:rFonts w:ascii="Times New Roman" w:cs="Times New Roman" w:eastAsia="Times New Roman" w:hAnsi="Times New Roman"/>
          <w:sz w:val="14"/>
          <w:szCs w:val="14"/>
          <w:i w:val="1"/>
          <w:iCs w:val="1"/>
          <w:color w:val="212529"/>
        </w:rPr>
        <w:t xml:space="preserve"> </w:t>
      </w:r>
      <w:r>
        <w:rPr>
          <w:rFonts w:ascii="Times New Roman" w:cs="Times New Roman" w:eastAsia="Times New Roman" w:hAnsi="Times New Roman"/>
          <w:sz w:val="14"/>
          <w:szCs w:val="14"/>
          <w:color w:val="000000"/>
        </w:rPr>
        <w:t>Klickitat County, Washington, from an investment-grade regulated entity for approximately $219 million. After factoring in estimated closing adjustments and new non-recourse facility-level debt, the Company expects its total long-term corporate capital commitment to acquire the facility to be between $70 million and $75 million, which the Company expects to fund with existing sources of liquidity. Tuolumne reached commercial operations in 2009. As part of the acquisition, the Company will enter into a 15-year PPA with the seller of the facility. The Company also has received a PPA contractual extension option to enable a potential future repowering of the facility. The consummation of the transaction is subject to customary closing conditions and certain third-party approvals and is expected in the first half of 2025.</w:t>
      </w:r>
    </w:p>
    <w:p>
      <w:pPr>
        <w:spacing w:after="0" w:line="9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Dan’s Mountain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November 18, 2024, the Company, through its indirect subsidiary, Dan’s Mountain Parent Holdco LLC, acquired the Class A membership interests in Dan’s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Mountain TargetCo LLC, the indirect owner of the Dan’s Mountain wind facility,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Dan’s Mountain has a 12-year PPA with an investment-grade utility that will commence when the underlying operating assets reach commercial operations, which is expected to occur in the first half of 2025. The acquisition was funded with existing sources of liquidity. As part of the acquisition of Dan’s Mountain, the Company assumed the facility’s financing agreement, which included a cash equity bridge loan that was partially paid off at acquisition date and a tax equity bridge loan, both of which will be completely paid off when the facility reaches substantial completion. Subsequent to the acquisition, the Company borrowed an additional $24 million in tax equity bridge loans.</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Rosamond Central BESS Drop Down and Financing Activities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June 13, 2024, when the Rosamond Central BESS facility reached substantial completion, the Company paid $279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Including the additional purchase price, the Company’s total purchase price was $349 million, $80 million of which was funded by the Company with the remaining $269 million funded through contributions from third-party investors. Clearway Renew utilized the additional proceeds to repay the balance of $184 million on the loan previously issued to its consolidated subsidiary by Rosie Class B LLC and to redeem Rosie Class B LLC’s entire equity investment in Rosie Central BESS of $28 million. The Company utilized proceeds from Clearway Renew, along with $39 million held previously in escrow and $56 million of the Company’s additional purchase price that was contributed back to the Company by CEG, to repay the tax equity bridge loan, to make a distribution to the cash equity investor, to fund construction completion reserves and to pay associated fees. Additionally, on June 13, 2024, the outstanding construction loans were converted to a term loan. Under the financing agreement, the Company borrowed an additional $30 million during 2024.</w:t>
      </w:r>
    </w:p>
    <w:p>
      <w:pPr>
        <w:spacing w:after="0" w:line="27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Victory Pass and Arica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Renew as additional purchase price in connection with the Company’s acquisition of the Class A membership interests in VP-Arica TargetCo LLC on October 31, 2023, which was funded with existing sources of liquidity.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Prior to the repayment of the tax equity bridge loan, the Company borrowed an additional $62 million during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8" w:name="page59"/>
    <w:bookmarkEnd w:id="58"/>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Cedar Creek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acquisition was funded with existing sources of liquidity. Additionally, the Company assumed the facility’s financing agreement, which included a construction loan that converted to a term loan at acquisition date along with a cash equity bridge loan and tax equity bridge loan that were both repaid at acquisition date.</w:t>
      </w:r>
    </w:p>
    <w:p>
      <w:pPr>
        <w:spacing w:after="0" w:line="97"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Texas Solar Nova 2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Texas Solar Nova 2 has an 18-year PPA with an investment-grade counterparty that commenced in February 2024. The Company’s portion of the purchase price was funded with existing sources of liquidity. Additionally, the Company assumed the facility’s financing agreement, which included a tax equity bridge loan that was repaid at acquisition date and a term loan.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Cash Dividends to Investors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4"/>
          <w:szCs w:val="14"/>
          <w:color w:val="000000"/>
        </w:rPr>
        <w:t>he Class A common stock and Class C common stock are subject to available capital, market conditions and compliance with associated laws, regulations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other contractual obligations. The Company expects that, based on current circumstances, comparable cash dividends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common stock and Class C common stock during the year ended December 31,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2024</w:t>
            </w:r>
          </w:p>
        </w:tc>
        <w:tc>
          <w:tcPr>
            <w:tcW w:w="14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4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60" w:type="dxa"/>
            <w:vAlign w:val="bottom"/>
          </w:tcPr>
          <w:p>
            <w:pPr>
              <w:spacing w:after="0"/>
              <w:rPr>
                <w:sz w:val="13"/>
                <w:szCs w:val="13"/>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February 17, 2025, the Company declared a quarterly dividend on its Class A and Class C common stock of $0.4312 per share payable on March 17, 2025 to stockholders of record as of March 3,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changes in cash flows for the comparative periods: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00" w:type="dxa"/>
            <w:vAlign w:val="bottom"/>
          </w:tcPr>
          <w:p>
            <w:pPr>
              <w:spacing w:after="0"/>
              <w:rPr>
                <w:sz w:val="13"/>
                <w:szCs w:val="13"/>
                <w:color w:val="auto"/>
              </w:rPr>
            </w:pPr>
          </w:p>
        </w:tc>
        <w:tc>
          <w:tcPr>
            <w:tcW w:w="22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400" w:type="dxa"/>
            <w:vAlign w:val="bottom"/>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7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2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770</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0"/>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(725)</w:t>
            </w:r>
          </w:p>
        </w:tc>
        <w:tc>
          <w:tcPr>
            <w:tcW w:w="920" w:type="dxa"/>
            <w:vAlign w:val="bottom"/>
          </w:tcPr>
          <w:p>
            <w:pPr>
              <w:spacing w:after="0"/>
              <w:rPr>
                <w:sz w:val="15"/>
                <w:szCs w:val="15"/>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(363)</w:t>
            </w:r>
          </w:p>
        </w:tc>
        <w:tc>
          <w:tcPr>
            <w:tcW w:w="9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371"/>
        </w:trPr>
        <w:tc>
          <w:tcPr>
            <w:tcW w:w="74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tc>
        <w:tc>
          <w:tcPr>
            <w:tcW w:w="8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operating income after adjusting for non-cash items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38"/>
        </w:trPr>
        <w:tc>
          <w:tcPr>
            <w:tcW w:w="9600" w:type="dxa"/>
            <w:vAlign w:val="bottom"/>
            <w:gridSpan w:val="4"/>
          </w:tcPr>
          <w:p>
            <w:pPr>
              <w:ind w:left="100"/>
              <w:spacing w:after="0" w:line="138" w:lineRule="exact"/>
              <w:rPr>
                <w:sz w:val="20"/>
                <w:szCs w:val="20"/>
                <w:color w:val="auto"/>
              </w:rPr>
            </w:pPr>
            <w:r>
              <w:rPr>
                <w:rFonts w:ascii="Times New Roman" w:cs="Times New Roman" w:eastAsia="Times New Roman" w:hAnsi="Times New Roman"/>
                <w:sz w:val="14"/>
                <w:szCs w:val="14"/>
                <w:color w:val="auto"/>
              </w:rPr>
              <w:t>Increase in working capital primarily driven by the timing of accounts receivable collections and payments of current liabilities, including accounts payable and current</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1"/>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distributions from unconsolidated affiliates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4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tc>
        <w:tc>
          <w:tcPr>
            <w:tcW w:w="8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cash paid for Drop Down Assets, net of cash acquired</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80"/>
        </w:trPr>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capital expenditures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note receivable – affiliate related to the Rosie Class B LLC loan issued to Clearway Renew</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80"/>
        </w:trPr>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for equipment deposit from affiliate in 2023 related to the Cedro Hill wind facility</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investments in unconsolidated affiliates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the return of investment from unconsolidated affiliates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for equipment deposit in 2023 related to the Cedro Hill wind facility</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7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tc>
        <w:tc>
          <w:tcPr>
            <w:tcW w:w="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4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net cash used in financing activities were driven by:</w:t>
            </w:r>
          </w:p>
        </w:tc>
        <w:tc>
          <w:tcPr>
            <w:tcW w:w="8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payments for long-term debt and a decrease in proceeds from issuance of long-term debt</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80"/>
        </w:trPr>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dividends paid to common stockholders and distributions paid to CEG unit holders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contributions from noncontrolling interests, net of distributions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80"/>
        </w:trPr>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tax-related distributions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buyouts of noncontrolling interest and redeemable noncontrolling interest</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payments of debt issuance costs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auto"/>
              </w:rPr>
              <w:t>60</w:t>
            </w: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74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NOLs, Deferred Tax Assets and Uncertain Tax Position Implications, under ASC 740</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2024, the Company has a cumulative federal NOL carryforward balance of $278 million for financial statement purposes, none of which are subject to expiration. Additionally, as of December 31, 2024, the Company has a cumulative state NOL carryforward balance of $99 million for financial statement purposes, which will expire between 2025 and 2041 if unutilized. The Company does not anticipate material income tax payments through 2026. In addition, as of December 31, 2024, the Company had PTC and ITC carryforward balances totaling $23 million, which will expire between 2035 and 2044 if unutilized.</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has an interest disallowance carryforward of $82 million as a result of Internal Revenue Code §163(j). The disallowed interest deduction has an indefinite carryforward period and any limitations on the utilization of this carryforward have been factored into the Company’s valuation allowance analysis. As of December 31, 2023, the Company had an interest disallowance carryforward of $75 million</w:t>
      </w:r>
      <w:r>
        <w:rPr>
          <w:rFonts w:ascii="Times New Roman" w:cs="Times New Roman" w:eastAsia="Times New Roman" w:hAnsi="Times New Roman"/>
          <w:sz w:val="12"/>
          <w:szCs w:val="12"/>
          <w:color w:val="auto"/>
        </w:rPr>
        <w:t>.</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after the utilization of NOL and tax credit carryforwards, paid $1 million in income taxes during the year ended December 31, 2024. The Company does not anticipate being subject to the corporate minimum tax on financial statement income, which is discussed in further detail below.</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Federal tax legislation enacted in 2022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facilities and the production of clean energy. The Company continues to analyze the potential impact of this tax legislation and monitor guidance that may be issued by the United States Department of the Treasury, but it does not anticipate the corporate minimum tax will apply to it or that the foregoing tax provisions will otherwise have a material impact on its consolidated financial statements.</w:t>
      </w:r>
    </w:p>
    <w:p>
      <w:pPr>
        <w:spacing w:after="0" w:line="9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2024, the U.S. federal partnership returns of three of the Company’s subsidiaries are under audit by the IRS. The IRS has issued proposed adjustments with respect to one of the subsidiaries under audit. The Company believes that such proposed adjustments are without merit and in any case would not impact the Company’s tax liability or the tax liability of such subsidiary. The IRS has not yet issued any proposed adjustments with respect to the other two subsidiaries under audit. The Company believes that the ultimate resolution of each of these audits will not be material to the Company’s financial condition, results of operations or liquidity, and thus no material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no material uncertain tax benefits.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8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Item 15</w:t>
      </w:r>
      <w:r>
        <w:rPr>
          <w:rFonts w:ascii="Times New Roman" w:cs="Times New Roman" w:eastAsia="Times New Roman" w:hAnsi="Times New Roman"/>
          <w:sz w:val="14"/>
          <w:szCs w:val="14"/>
          <w:color w:val="000000"/>
        </w:rPr>
        <w:t xml:space="preserve"> — Note 6</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Instruments</w:t>
      </w:r>
      <w:r>
        <w:rPr>
          <w:rFonts w:ascii="Times New Roman" w:cs="Times New Roman" w:eastAsia="Times New Roman" w:hAnsi="Times New Roman"/>
          <w:sz w:val="14"/>
          <w:szCs w:val="14"/>
          <w:color w:val="231F20"/>
        </w:rPr>
        <w:t>.</w:t>
      </w:r>
    </w:p>
    <w:p>
      <w:pPr>
        <w:spacing w:after="0" w:line="254" w:lineRule="exact"/>
        <w:rPr>
          <w:sz w:val="20"/>
          <w:szCs w:val="20"/>
          <w:color w:val="auto"/>
        </w:rPr>
      </w:pPr>
    </w:p>
    <w:p>
      <w:pPr>
        <w:ind w:left="20"/>
        <w:spacing w:after="0"/>
        <w:tabs>
          <w:tab w:leader="none" w:pos="10400" w:val="left"/>
        </w:tabs>
        <w:rPr>
          <w:sz w:val="20"/>
          <w:szCs w:val="20"/>
          <w:color w:val="auto"/>
        </w:rPr>
      </w:pPr>
      <w:r>
        <w:rPr>
          <w:rFonts w:ascii="Times New Roman" w:cs="Times New Roman" w:eastAsia="Times New Roman" w:hAnsi="Times New Roman"/>
          <w:sz w:val="11"/>
          <w:szCs w:val="11"/>
          <w:b w:val="1"/>
          <w:bCs w:val="1"/>
          <w:u w:val="single" w:color="auto"/>
          <w:color w:val="auto"/>
        </w:rPr>
        <w:t>Derivative Activity (Losses)/Gains</w:t>
      </w:r>
      <w:r>
        <w:rPr>
          <w:sz w:val="20"/>
          <w:szCs w:val="20"/>
          <w:color w:val="auto"/>
        </w:rPr>
        <w:tab/>
      </w:r>
      <w:r>
        <w:rPr>
          <w:rFonts w:ascii="Times New Roman" w:cs="Times New Roman" w:eastAsia="Times New Roman" w:hAnsi="Times New Roman"/>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2023</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Changes in fair value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u w:val="single" w:color="auto"/>
          <w:color w:val="auto"/>
        </w:rPr>
        <w:t>Fair Value Hierarchy Losses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0"/>
        </w:trPr>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4"/>
        </w:trPr>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
        </w:trPr>
        <w:tc>
          <w:tcPr>
            <w:tcW w:w="118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4"/>
        </w:trPr>
        <w:tc>
          <w:tcPr>
            <w:tcW w:w="1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4"/>
          </w:tcPr>
          <w:p>
            <w:pPr>
              <w:jc w:val="center"/>
              <w:ind w:right="189"/>
              <w:spacing w:after="0"/>
              <w:rPr>
                <w:sz w:val="20"/>
                <w:szCs w:val="20"/>
                <w:color w:val="auto"/>
              </w:rPr>
            </w:pPr>
            <w:r>
              <w:rPr>
                <w:rFonts w:ascii="Times New Roman" w:cs="Times New Roman" w:eastAsia="Times New Roman" w:hAnsi="Times New Roman"/>
                <w:sz w:val="11"/>
                <w:szCs w:val="11"/>
                <w:b w:val="1"/>
                <w:bCs w:val="1"/>
                <w:color w:val="auto"/>
              </w:rPr>
              <w:t>Fair value of contracts as of December 31, 2024</w:t>
            </w:r>
          </w:p>
        </w:tc>
        <w:tc>
          <w:tcPr>
            <w:tcW w:w="920" w:type="dxa"/>
            <w:vAlign w:val="bottom"/>
            <w:tcBorders>
              <w:bottom w:val="single" w:sz="8" w:color="auto"/>
            </w:tcBorders>
          </w:tcPr>
          <w:p>
            <w:pPr>
              <w:spacing w:after="0"/>
              <w:rPr>
                <w:sz w:val="24"/>
                <w:szCs w:val="24"/>
                <w:color w:val="auto"/>
              </w:rPr>
            </w:pPr>
          </w:p>
        </w:tc>
      </w:tr>
      <w:tr>
        <w:trPr>
          <w:trHeight w:val="154"/>
        </w:trPr>
        <w:tc>
          <w:tcPr>
            <w:tcW w:w="1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6"/>
        </w:trPr>
        <w:tc>
          <w:tcPr>
            <w:tcW w:w="1180" w:type="dxa"/>
            <w:vAlign w:val="bottom"/>
          </w:tcPr>
          <w:p>
            <w:pPr>
              <w:spacing w:after="0"/>
              <w:rPr>
                <w:sz w:val="11"/>
                <w:szCs w:val="11"/>
                <w:color w:val="auto"/>
              </w:rPr>
            </w:pPr>
          </w:p>
        </w:tc>
        <w:tc>
          <w:tcPr>
            <w:tcW w:w="1360" w:type="dxa"/>
            <w:vAlign w:val="bottom"/>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Greater Than 1 Year</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Greater Than 3 Years</w:t>
            </w: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Total Fair</w:t>
            </w:r>
          </w:p>
        </w:tc>
      </w:tr>
      <w:tr>
        <w:trPr>
          <w:trHeight w:val="159"/>
        </w:trPr>
        <w:tc>
          <w:tcPr>
            <w:tcW w:w="118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1360" w:type="dxa"/>
            <w:vAlign w:val="bottom"/>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to 3 Years</w:t>
            </w:r>
          </w:p>
        </w:tc>
        <w:tc>
          <w:tcPr>
            <w:tcW w:w="130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to 5 Years</w:t>
            </w:r>
          </w:p>
        </w:tc>
        <w:tc>
          <w:tcPr>
            <w:tcW w:w="1640" w:type="dxa"/>
            <w:vAlign w:val="bottom"/>
            <w:gridSpan w:val="2"/>
          </w:tcPr>
          <w:p>
            <w:pPr>
              <w:jc w:val="right"/>
              <w:ind w:right="389"/>
              <w:spacing w:after="0"/>
              <w:rPr>
                <w:sz w:val="20"/>
                <w:szCs w:val="20"/>
                <w:color w:val="auto"/>
              </w:rPr>
            </w:pPr>
            <w:r>
              <w:rPr>
                <w:rFonts w:ascii="Times New Roman" w:cs="Times New Roman" w:eastAsia="Times New Roman" w:hAnsi="Times New Roman"/>
                <w:sz w:val="11"/>
                <w:szCs w:val="11"/>
                <w:b w:val="1"/>
                <w:bCs w:val="1"/>
                <w:color w:val="auto"/>
              </w:rPr>
              <w:t>Greater Than 5 Years</w:t>
            </w: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-802640</wp:posOffset>
            </wp:positionV>
            <wp:extent cx="7161530"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406273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62730" cy="6985"/>
                    </a:xfrm>
                    <a:prstGeom prst="rect">
                      <a:avLst/>
                    </a:prstGeom>
                    <a:noFill/>
                  </pic:spPr>
                </pic:pic>
              </a:graphicData>
            </a:graphic>
          </wp:anchor>
        </w:drawing>
      </w:r>
    </w:p>
    <w:p>
      <w:pPr>
        <w:spacing w:after="0" w:line="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42" w:lineRule="exact"/>
        <w:rPr>
          <w:sz w:val="20"/>
          <w:szCs w:val="20"/>
          <w:color w:val="auto"/>
        </w:rPr>
      </w:pPr>
    </w:p>
    <w:p>
      <w:pPr>
        <w:sectPr>
          <w:pgSz w:w="11900" w:h="16838" w:orient="portrait"/>
          <w:cols w:equalWidth="0" w:num="2">
            <w:col w:w="4160" w:space="720"/>
            <w:col w:w="6400"/>
          </w:cols>
          <w:pgMar w:left="300" w:top="897" w:right="31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w w:val="99"/>
              </w:rPr>
              <w:t>35</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5"/>
              </w:rPr>
              <w:t>166</w:t>
            </w: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Level 3</w:t>
            </w: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color w:val="auto"/>
                <w:w w:val="98"/>
              </w:rPr>
              <w:t>(362)</w:t>
            </w:r>
          </w:p>
        </w:tc>
      </w:tr>
      <w:tr>
        <w:trPr>
          <w:trHeight w:val="196"/>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8"/>
              </w:rPr>
              <w:t>(196)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has elected to disclose derivative assets and liabilities on a trade-by-trade basis and does not offset amounts at the counterparty master agreement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Company’s significant accounting policies are summarized in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determining the fair value of financial instruments.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type w:val="continuous"/>
        </w:sectPr>
      </w:pPr>
    </w:p>
    <w:bookmarkStart w:id="62" w:name="page63"/>
    <w:bookmarkEnd w:id="62"/>
    <w:tbl>
      <w:tblPr>
        <w:tblLayout w:type="fixed"/>
        <w:tblInd w:w="20" w:type="dxa"/>
        <w:tblCellMar>
          <w:top w:w="0" w:type="dxa"/>
          <w:left w:w="0" w:type="dxa"/>
          <w:bottom w:w="0" w:type="dxa"/>
          <w:right w:w="0" w:type="dxa"/>
        </w:tblCellMar>
      </w:tblPr>
      <w:tr>
        <w:trPr>
          <w:trHeight w:val="126"/>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Accounting Policy</w:t>
            </w:r>
          </w:p>
        </w:tc>
        <w:tc>
          <w:tcPr>
            <w:tcW w:w="5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Judgments/Uncertainties Affecting Application</w:t>
            </w:r>
          </w:p>
        </w:tc>
      </w:tr>
      <w:tr>
        <w:trPr>
          <w:trHeight w:val="22"/>
        </w:trPr>
        <w:tc>
          <w:tcPr>
            <w:tcW w:w="88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r>
        <w:trPr>
          <w:trHeight w:val="24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Taxes and Valuation Allowance for Deferred Tax Assets</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Ability to withstand legal challenges of tax authority decisions or appeals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Anticipated future decisions of tax authorities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Application of tax statutes and regulations to transactions</w:t>
            </w:r>
          </w:p>
        </w:tc>
      </w:tr>
      <w:tr>
        <w:trPr>
          <w:trHeight w:val="142"/>
        </w:trPr>
        <w:tc>
          <w:tcPr>
            <w:tcW w:w="8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2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Ability to utilize tax benefits through carry backs to prior periods and carryforwards to</w:t>
            </w:r>
          </w:p>
        </w:tc>
      </w:tr>
      <w:tr>
        <w:trPr>
          <w:trHeight w:val="184"/>
        </w:trPr>
        <w:tc>
          <w:tcPr>
            <w:tcW w:w="8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periods</w:t>
            </w:r>
          </w:p>
        </w:tc>
      </w:tr>
      <w:tr>
        <w:trPr>
          <w:trHeight w:val="18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Hypothetical Liquidation at Book Value (HLBV)</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Estimates of taxable income (loss) and tax capital accounts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calculation of specified target investor returns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Application of liquidation provisions of operating agreements</w:t>
            </w:r>
          </w:p>
        </w:tc>
      </w:tr>
      <w:tr>
        <w:trPr>
          <w:trHeight w:val="142"/>
        </w:trPr>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Financial Instruments</w:t>
            </w:r>
          </w:p>
        </w:tc>
        <w:tc>
          <w:tcPr>
            <w:tcW w:w="52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Use of unobservable market inputs such as future electricity prices, future interest rates and</w:t>
            </w:r>
          </w:p>
        </w:tc>
      </w:tr>
      <w:tr>
        <w:trPr>
          <w:trHeight w:val="184"/>
        </w:trPr>
        <w:tc>
          <w:tcPr>
            <w:tcW w:w="8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Income Taxes and Valuation Allowance for Deferred Tax Assets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determining whether a valuation allowance is required for deferred tax assets, the Company must assess whether it believes it is more likely than not that the results of future operations will generate sufficient taxable income which includes the future reversal of existing taxable temporary differences to realize deferred tax assets. The Company considers the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 Judgment is also required to continually assess changing tax regulations, interpretations and new legislation to determine the impact on the Company’s tax position.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Hypothetical Liquidation at Book Value (HLBV)</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Certain portions of the Company’s noncontrolling interest represent third-party interests in the net assets under tax equity arrangements, which are consolidated by the Company, that were established to finance the cost of facilities eligible for certain tax credits and benefits. The Company has determined that the provisions in the contractual agreements of these noncontrolling interests represent substantive profit sharing arrangements. Further, the Company has determined that the appropriate methodology for calculating the noncontrolling interest that reflects the substantive profit sharing arrangements is a balance sheet approach utilizing the HLBV method. Under the HLBV method, the amounts reported as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 In certain cases, the Company must apply judgment in determining the methodology for applying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income.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63" w:name="page64"/>
    <w:bookmarkEnd w:id="63"/>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natural gas prices, future interest rates and discount rates. As these inputs are based on estimates, fair values may not reflect the amounts actually realized from the related transaction.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Item 7A — Quantitative and Qualitative Disclosures About Market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color w:val="231F20"/>
        </w:rPr>
        <w:t>, for more information.</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color w:val="231F20"/>
        </w:rPr>
        <w:t xml:space="preserve"> for more information.</w:t>
      </w:r>
    </w:p>
    <w:p>
      <w:pPr>
        <w:spacing w:after="0" w:line="267"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231F20"/>
        </w:rPr>
        <w:t xml:space="preserve">Most of the Company’s subsidiaries enter into interest rate swaps intended to hedge the risks associated with interest rates on non-recourse facility 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Debt</w:t>
      </w:r>
      <w:r>
        <w:rPr>
          <w:rFonts w:ascii="Times New Roman" w:cs="Times New Roman" w:eastAsia="Times New Roman" w:hAnsi="Times New Roman"/>
          <w:sz w:val="14"/>
          <w:szCs w:val="14"/>
          <w:color w:val="231F20"/>
        </w:rPr>
        <w:t>, for more information about interest rate swaps of the Company’s subsidiaries.</w:t>
      </w:r>
    </w:p>
    <w:p>
      <w:pPr>
        <w:spacing w:after="0" w:line="8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above swaps had been discontinued on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the counterparties would have owed the Company $168 million.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a 1% change in interest rates would result in an approximately $2 million change in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the fair value of the Company’s debt was $6,715 million and the carrying value was $7,237 million. The Company estimates that a 1% decrease in market interest rates would have increased the fair value of its long-term debt by $294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for more information about concentration of credit risk.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 Financial Statements and Supplementary Data</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financial statements and schedules are listed in Part IV, Item 15 of this Form 10-K.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Item 9 — Changes in and Disagreements with Accountants on Accounting and Financial Disclosure</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As previously reported in the Company’s Current Report on Form 8-K filed on May 10, 2024, the Audit Committee of the Board of Directors of the Company dismissed Ernst &amp; Young LLP as the Company’s independent registered public accounting firm and appointed PricewaterhouseCoopers LLP, an independent registered public accounting firm, to audit the consolidated financial statements of the Company and its subsidiaries for the fiscal year ending December 31, 2024. For more information, please refer to the Company’s Current Report on Form 8-K filed on May 10, 2024.</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its principal financial officer and its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December 31, 2024, the end of the period covered by this Annual Report on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or 15d-15(f) under the Exchange Act) during the quarter ended December 31, 2024, that materially affected, or are reasonably likely to materially affect, the Company’s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Inherent Limitations over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internal control over financial reporting is a process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82" w:lineRule="exact"/>
        <w:rPr>
          <w:sz w:val="20"/>
          <w:szCs w:val="20"/>
          <w:color w:val="auto"/>
        </w:rPr>
      </w:pPr>
    </w:p>
    <w:p>
      <w:pPr>
        <w:ind w:left="460" w:hanging="137"/>
        <w:spacing w:after="0"/>
        <w:tabs>
          <w:tab w:leader="none" w:pos="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Company’s assets;</w:t>
      </w:r>
    </w:p>
    <w:p>
      <w:pPr>
        <w:spacing w:after="0" w:line="136" w:lineRule="exact"/>
        <w:rPr>
          <w:rFonts w:ascii="Times New Roman" w:cs="Times New Roman" w:eastAsia="Times New Roman" w:hAnsi="Times New Roman"/>
          <w:sz w:val="14"/>
          <w:szCs w:val="14"/>
          <w:color w:val="auto"/>
        </w:rPr>
      </w:pPr>
    </w:p>
    <w:p>
      <w:pPr>
        <w:ind w:firstLine="323"/>
        <w:spacing w:after="0" w:line="287" w:lineRule="auto"/>
        <w:tabs>
          <w:tab w:leader="none" w:pos="46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81" w:lineRule="exact"/>
        <w:rPr>
          <w:rFonts w:ascii="Times New Roman" w:cs="Times New Roman" w:eastAsia="Times New Roman" w:hAnsi="Times New Roman"/>
          <w:sz w:val="14"/>
          <w:szCs w:val="14"/>
          <w:color w:val="auto"/>
        </w:rPr>
      </w:pPr>
    </w:p>
    <w:p>
      <w:pPr>
        <w:ind w:firstLine="323"/>
        <w:spacing w:after="0" w:line="287" w:lineRule="auto"/>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consolidated financial statements.</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Company’s management is responsible for establishing and maintaining adequate internal control over financial reporting, as such term is defined in Exchange Act Rule 13a-15(f) or 15d-15(f). Under the supervision and with the participation of the Company’s management, including its principal executive officer, its principal financial officer and its principal accounting officer, the Company conducted an evaluation of the effectiveness of the Company’s internal control over financial reporting based on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this evaluation under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the Company’s management concluded that the Company’s internal control over financial reporting was effective as of December 31, 2024.</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effectiveness of the Company’s internal control over financial reporting as of December 31, 2024, has been audited by PricewaterhouseCoopers LLP, an independent registered public accounting firm, as stated in their report which is included in this Annual Report on Form 10-K.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Item 9B — Other Information</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2024,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Information about Directors, Executive Officers and Corporate Governance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Nathaniel Anschuetz, 37, </w:t>
      </w:r>
      <w:r>
        <w:rPr>
          <w:rFonts w:ascii="Times New Roman" w:cs="Times New Roman" w:eastAsia="Times New Roman" w:hAnsi="Times New Roman"/>
          <w:sz w:val="14"/>
          <w:szCs w:val="14"/>
          <w:color w:val="auto"/>
        </w:rPr>
        <w:t>has served as a director since August 2018. Mr. Anschuetz is a Partner at GIP. Prior to joining GIP in 2012, Mr. Anschuetz was an Analyst in the Power &amp; Utilities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Coverage Group at Citigroup from June 2010 through June 2012. Mr. Anschuetz is also a member of the board of directors of Zephyr Acquisition Holdings, L.P., or Zephyr Acquisition Holdings, the indirect parent of CEG and Eolian, L.P. Mr. Anschuetz served as a board member on the board of directors of SunPower Corporation from September 2022 to October 2024.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Jonathan Bram, 59, </w:t>
      </w:r>
      <w:r>
        <w:rPr>
          <w:rFonts w:ascii="Times New Roman" w:cs="Times New Roman" w:eastAsia="Times New Roman" w:hAnsi="Times New Roman"/>
          <w:sz w:val="14"/>
          <w:szCs w:val="14"/>
          <w:color w:val="auto"/>
        </w:rPr>
        <w:t>has served as a director and Chairman of the Company’s Board of Directors since August 2018. Mr. Bram is a Senior Managing Director and Founding Partner at GIP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serves on its Equity and Credit Investment Committees.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and Chile Renovables, SpA. He previously served on the boards of Terra-Gen Power, Guacolda Energy, Channelview Cogeneration and SunPower Corporation. Mr. Bram holds a B.A.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100"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Brian R. Ford, 76, </w:t>
      </w:r>
      <w:r>
        <w:rPr>
          <w:rFonts w:ascii="Times New Roman" w:cs="Times New Roman" w:eastAsia="Times New Roman" w:hAnsi="Times New Roman"/>
          <w:sz w:val="14"/>
          <w:szCs w:val="14"/>
          <w:color w:val="auto"/>
        </w:rPr>
        <w:t>has served as a director since July 2013 and Lead Independent Director since January 2019. Mr. Ford was the Chief Executive Officer of Washington Philadelphia Partners,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Bruce MacLennan, 58, </w:t>
      </w:r>
      <w:r>
        <w:rPr>
          <w:rFonts w:ascii="Times New Roman" w:cs="Times New Roman" w:eastAsia="Times New Roman" w:hAnsi="Times New Roman"/>
          <w:sz w:val="14"/>
          <w:szCs w:val="14"/>
          <w:color w:val="auto"/>
        </w:rPr>
        <w:t>has served as a director since August 2018. Mr. MacLennan is a Partner at GIP and focuses on the energy and power sectors. Prior to joining GIP at its formation in 2006,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previously served on the boards of Competitive Power Ventures and Zephyr Acquisition Holdings. Mr. MacLennan’s significant experience in investment banking for, and investments in, energy and power companies, as well as his leadership role at GIP, provide strong financial and transactional experience to the Company’s Board of Directors.</w:t>
      </w:r>
    </w:p>
    <w:p>
      <w:pPr>
        <w:spacing w:after="0" w:line="27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Daniel B. More, 68, </w:t>
      </w:r>
      <w:r>
        <w:rPr>
          <w:rFonts w:ascii="Times New Roman" w:cs="Times New Roman" w:eastAsia="Times New Roman" w:hAnsi="Times New Roman"/>
          <w:sz w:val="14"/>
          <w:szCs w:val="14"/>
          <w:color w:val="auto"/>
        </w:rPr>
        <w:t>has served as a director since February 2019. Mr. More has been a Senior Advisor with Guggenheim Securities since October 2015. Mr. More retired as a Managing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8" w:name="page69"/>
    <w:bookmarkEnd w:id="68"/>
    <w:p>
      <w:pPr>
        <w:jc w:val="both"/>
        <w:ind w:firstLine="318"/>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E. Stanley O’Neal, 73, </w:t>
      </w:r>
      <w:r>
        <w:rPr>
          <w:rFonts w:ascii="Times New Roman" w:cs="Times New Roman" w:eastAsia="Times New Roman" w:hAnsi="Times New Roman"/>
          <w:sz w:val="14"/>
          <w:szCs w:val="14"/>
          <w:color w:val="auto"/>
        </w:rPr>
        <w:t>has served as a director since August 2018. Mr. O’Neal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6"/>
          <w:szCs w:val="16"/>
          <w:color w:val="auto"/>
        </w:rPr>
        <w:t>s</w:t>
      </w:r>
      <w:r>
        <w:rPr>
          <w:rFonts w:ascii="Times New Roman" w:cs="Times New Roman" w:eastAsia="Times New Roman" w:hAnsi="Times New Roman"/>
          <w:sz w:val="14"/>
          <w:szCs w:val="14"/>
          <w:color w:val="auto"/>
        </w:rPr>
        <w:t>erved as Chairman of the Board and Chief Executive Officer of Merrill Lynch &amp; Co., Inc. until October 2007. 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of Hut 8 Corp, a cryptocurrency mining company, which was formed in November 2023 as a merger between Hut 8 Mining Corp and U.S. Data Mining Group, Inc. Mr. O’Neal was a director of General Motors Corporation from 2001 to 2006, chairman of the board of Merrill Lynch &amp; Co., Inc. from 2003 to 2007, and a director of American Beacon Advisors, Inc. (investment advisor registered with the SEC) from 2009 to September 2012. Mr. O’Neal’s extensive executive experience, financial expertise and leadership skills enable him to provide unique guidance to the Board of Directors and the Company’s management team.</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Jennifer Lowry, 56, </w:t>
      </w:r>
      <w:r>
        <w:rPr>
          <w:rFonts w:ascii="Times New Roman" w:cs="Times New Roman" w:eastAsia="Times New Roman" w:hAnsi="Times New Roman"/>
          <w:sz w:val="14"/>
          <w:szCs w:val="14"/>
          <w:color w:val="auto"/>
        </w:rPr>
        <w:t>has served as a director since February 2022. Ms. Lowry served as Vice President of Risk, Treasury and Corporate Finance for McCormick &amp; Company, Inc. from October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Chair of the Maryland Zoo Board of Trustees. Ms. Lowry served on the board of Electriq Power Holdings, Inc. from August 2023 to May 2024 and served on its compensation committee. Ms. Lowry has also been a member of the board of directors of MYR Group, Inc. since 2018, and is currently chair of its Audit Committee. Ms. Lowry’s financial and energy industry experience provides significant value to the Company’s Board of Directors.</w:t>
      </w:r>
    </w:p>
    <w:p>
      <w:pPr>
        <w:spacing w:after="0" w:line="10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Emmanuel Barrois, 42, </w:t>
      </w:r>
      <w:r>
        <w:rPr>
          <w:rFonts w:ascii="Times New Roman" w:cs="Times New Roman" w:eastAsia="Times New Roman" w:hAnsi="Times New Roman"/>
          <w:sz w:val="14"/>
          <w:szCs w:val="14"/>
          <w:color w:val="auto"/>
        </w:rPr>
        <w:t>has served as a director since October 2022. Mr. Barrois has 18 years of experience in the energy industry. Starting as a petroleum engineer in France and in Nigeria, 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moved on to management positions in the Republic of Congo and the UAE. In 2019, he joined the strategy team in the Exploration &amp; Production branch of TotalEnergies, where he led the Long Term Business Plan team. Since 2022, he has been in charge of TotalEnergies’ Renewables portfolio management team. Mr. Barrois served as a director on the board of directors of SunPower Corporation from February 2024 to November 2024. He holds Masters of Engineering from Ecole Nationale des Ponts et Chaussées and Ecole Nationale Supérieure des Pétroles et Moteurs, and a Master of Science from Colorado School of Mines. Mr. Barrois’ engineering, energy and leadership experience provides significant value to the Company’s Board of Directors.</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 xml:space="preserve">Olivier Jouny, 44, </w:t>
      </w:r>
      <w:r>
        <w:rPr>
          <w:rFonts w:ascii="Times New Roman" w:cs="Times New Roman" w:eastAsia="Times New Roman" w:hAnsi="Times New Roman"/>
          <w:sz w:val="14"/>
          <w:szCs w:val="14"/>
          <w:color w:val="auto"/>
        </w:rPr>
        <w:t>has served as a director since October 2024. Mr. Jouny currently serves as Senior Vice President of the Renewables division of TotalEnergies. He began his career in the Gas</w:t>
      </w:r>
    </w:p>
    <w:p>
      <w:pPr>
        <w:spacing w:after="0" w:line="25" w:lineRule="exact"/>
        <w:rPr>
          <w:sz w:val="20"/>
          <w:szCs w:val="20"/>
          <w:color w:val="auto"/>
        </w:rPr>
      </w:pPr>
    </w:p>
    <w:p>
      <w:pPr>
        <w:jc w:val="both"/>
        <w:ind w:firstLine="5"/>
        <w:spacing w:after="0" w:line="255" w:lineRule="auto"/>
        <w:tabs>
          <w:tab w:leader="none" w:pos="16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Division of TotalEnergies, serving in marketing activities on the European gas markets and then LNG downstream developments in North &amp; Central Americas. In 2008, he joined the Exploration &amp; Production branch where he held several positions in Yemen, France and the Republic of Congo. He was successively Commercial Manager of Yemen LNG, Head of E&amp;P New Ventures Economics Department and Business Development Manager of Total E&amp;P Congo based in Pointe Noire. In September 2016, he joined the Marketing &amp; Services branch where he was appointed Managing Director of Total Marine Fuels, TotalEnergies’ worldwide business unit in charge of bunkering activities, based in Singapore. Mr. Jouny then served as Managing Director of TotalEnergies E&amp;P in Angola. He was, during this period, also the country chair for TotalEnergies in Angola. From January 2023 to August 2024, he was Senior Vice President of the Integrated Power division of TotalEnergies within the Gas, Renewables and Power branch, where he developed an expertise in electricity markets and flexible power generation assets. Mr. Jouny graduated as a mechanical engineer from the Mines Paris Tech. Mr. Jouny’s engineering, energy and leadership experience provides significant value to the Company’s Board of Directors.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9" w:name="page70"/>
    <w:bookmarkEnd w:id="69"/>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Marc-Antoine Pignon, 40, </w:t>
      </w:r>
      <w:r>
        <w:rPr>
          <w:rFonts w:ascii="Times New Roman" w:cs="Times New Roman" w:eastAsia="Times New Roman" w:hAnsi="Times New Roman"/>
          <w:sz w:val="14"/>
          <w:szCs w:val="14"/>
          <w:color w:val="auto"/>
        </w:rPr>
        <w:t>has served as a director since December 2024. Mr. Pignon currently serves as Chief Executive Officer of TotalEnergies Renewables USA. He has been employed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TotalEnergies since 2006, when he joined as an economist for upstream operations in Congo and the Middle East. Between 2008 and 2016, Mr. Pignon was successively appointed as Business Development Economist at TotalEnergies EP Norge AS, EPC Manager at TotalEnergies EP Nigeria Ltd and Head of Development &amp; Long-Term Planning at TotalEnergies EP Australia. In 2016, he became Head of TotalEnergies Solar France, which is the French renewables arm of TotalEnergies. In 2019, he moved to the United States within SunPower Corporation and then TotalEnergies Renewables USA to lead TotalEnergies’ renewables efforts in the U.S. He served as a director on the Board of Directors of SunPower Corporation from July 2024 to November 2024. Mr. Pignon is a science and executive engineering graduate from Mines ParisTech. Mr. Pignon’s economics, engineering and leadership experience provides significant value to the Company’s Board of Directors.</w:t>
      </w:r>
    </w:p>
    <w:p>
      <w:pPr>
        <w:spacing w:after="0" w:line="9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Craig Cornelius, 45, </w:t>
      </w:r>
      <w:r>
        <w:rPr>
          <w:rFonts w:ascii="Times New Roman" w:cs="Times New Roman" w:eastAsia="Times New Roman" w:hAnsi="Times New Roman"/>
          <w:sz w:val="14"/>
          <w:szCs w:val="14"/>
          <w:color w:val="auto"/>
        </w:rPr>
        <w:t>has served as President and Chief Executive Officer of the Company since July 2024 and as a director of the Company since July 2024. He has been CEG’s chief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since its formation through a spin-out of NRG Energy, Inc.’s clean energy businesses in 2018. Previously,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As President and Chief Executive Officer of the Company, Mr. Cornelius provides the Board of Directors with management’s perspective regarding the Company’s day to day operations and overall strategic plan.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Craig Cornelius </w:t>
      </w:r>
      <w:r>
        <w:rPr>
          <w:rFonts w:ascii="Times New Roman" w:cs="Times New Roman" w:eastAsia="Times New Roman" w:hAnsi="Times New Roman"/>
          <w:sz w:val="14"/>
          <w:szCs w:val="14"/>
          <w:color w:val="auto"/>
        </w:rPr>
        <w:t>has served as President and Chief Executive Officer and as a director of the Company since July 2024. For additional biographical information for Mr. Cornelius, see above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“Directors.”</w:t>
      </w:r>
    </w:p>
    <w:p>
      <w:pPr>
        <w:spacing w:after="0" w:line="7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Sarah Rubenstein, 47, </w:t>
      </w:r>
      <w:r>
        <w:rPr>
          <w:rFonts w:ascii="Times New Roman" w:cs="Times New Roman" w:eastAsia="Times New Roman" w:hAnsi="Times New Roman"/>
          <w:sz w:val="14"/>
          <w:szCs w:val="14"/>
          <w:color w:val="auto"/>
        </w:rPr>
        <w:t>has served as Executive Vice President and Chief Financial Officer of the Company since April 2023 and previously served as Senior Vice President and Chief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99"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Kevin P. Malcarney, 58, </w:t>
      </w:r>
      <w:r>
        <w:rPr>
          <w:rFonts w:ascii="Times New Roman" w:cs="Times New Roman" w:eastAsia="Times New Roman" w:hAnsi="Times New Roman"/>
          <w:sz w:val="14"/>
          <w:szCs w:val="14"/>
          <w:color w:val="auto"/>
        </w:rPr>
        <w:t>has served as the Company’s General Counsel, Corporate Secretary and Chief Compliance Officer since May 2018, and was promoted from Senior Vice President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Vice President in January 2022. He was previously Vice President and Deputy General Counsel at NRG responsible for new businesses, mergers and acquisitions, divestitures and project financings, and managed a large team of lawyers that operated across all geographic regions and business areas of the company. Prior to NRG, Mr. Malcarney worked at two AmLaw 100 firms in Princeton, New Jersey and Philadelphia, Pennsylvania, and handled mergers and acquisitions, project financing and general corporate matters. Mr. Malcarney received his JD/MBA from Rutgers University School of Law, Camden, and his BBA in Marketing from the Wharton School, University of Pennsylvania.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has adopted a code of ethics entitled “Clearway Energy, Inc. Code of Business Conduct and Ethics” that applies to all of the Company’s directors and employees, including the Company’s Officers (e.g., CEO, CFO, and Principal Accounting Officer). It may be accessed through the “Corporate Governance” section of the Company’s website at </w:t>
      </w:r>
      <w:r>
        <w:rPr>
          <w:rFonts w:ascii="Times New Roman" w:cs="Times New Roman" w:eastAsia="Times New Roman" w:hAnsi="Times New Roman"/>
          <w:sz w:val="14"/>
          <w:szCs w:val="14"/>
          <w:i w:val="1"/>
          <w:iCs w:val="1"/>
          <w:color w:val="auto"/>
        </w:rPr>
        <w:t xml:space="preserve">http://www.clearwayenergy.com. </w:t>
      </w:r>
      <w:r>
        <w:rPr>
          <w:rFonts w:ascii="Times New Roman" w:cs="Times New Roman" w:eastAsia="Times New Roman" w:hAnsi="Times New Roman"/>
          <w:sz w:val="14"/>
          <w:szCs w:val="14"/>
          <w:color w:val="auto"/>
        </w:rPr>
        <w:t>The Company also elects to disclose the information required by Form 8-K, Item 5.05, “Amendments to the Registrant’s Code of Ethics, or Waiver of a Provision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Other information required by this Item will be incorporated by reference to the similarly named section of the Company’s Definitive Proxy Statement for its 2025 Annual Meeting of Stockholders.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Item 11 — Executive Compensation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incorporated by reference to the similarly named section of the Company’s Definitive Proxy Statement for its 2025 Annual Meeting of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the Clearway Energy, Inc. Amended and Restated 2013 Equity Compensation Plan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w:t>
            </w: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(b)</w:t>
            </w:r>
          </w:p>
        </w:tc>
        <w:tc>
          <w:tcPr>
            <w:tcW w:w="19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Remaining Available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9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w:t>
            </w:r>
          </w:p>
        </w:tc>
        <w:tc>
          <w:tcPr>
            <w:tcW w:w="20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9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for Future Issuance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9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to be Issued Upon</w:t>
            </w:r>
          </w:p>
        </w:tc>
        <w:tc>
          <w:tcPr>
            <w:tcW w:w="200" w:type="dxa"/>
            <w:vAlign w:val="bottom"/>
          </w:tcPr>
          <w:p>
            <w:pPr>
              <w:spacing w:after="0"/>
              <w:rPr>
                <w:sz w:val="10"/>
                <w:szCs w:val="10"/>
                <w:color w:val="auto"/>
              </w:rPr>
            </w:pPr>
          </w:p>
        </w:tc>
        <w:tc>
          <w:tcPr>
            <w:tcW w:w="180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9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Under Equity Compensation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9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Exercise of</w:t>
            </w:r>
          </w:p>
        </w:tc>
        <w:tc>
          <w:tcPr>
            <w:tcW w:w="200" w:type="dxa"/>
            <w:vAlign w:val="bottom"/>
          </w:tcPr>
          <w:p>
            <w:pPr>
              <w:spacing w:after="0"/>
              <w:rPr>
                <w:sz w:val="9"/>
                <w:szCs w:val="9"/>
                <w:color w:val="auto"/>
              </w:rPr>
            </w:pPr>
          </w:p>
        </w:tc>
        <w:tc>
          <w:tcPr>
            <w:tcW w:w="18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Price of Outstanding</w:t>
            </w:r>
          </w:p>
        </w:tc>
        <w:tc>
          <w:tcPr>
            <w:tcW w:w="19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Plans (Excluding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9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Options,</w:t>
            </w:r>
          </w:p>
        </w:tc>
        <w:tc>
          <w:tcPr>
            <w:tcW w:w="200" w:type="dxa"/>
            <w:vAlign w:val="bottom"/>
          </w:tcPr>
          <w:p>
            <w:pPr>
              <w:spacing w:after="0"/>
              <w:rPr>
                <w:sz w:val="9"/>
                <w:szCs w:val="9"/>
                <w:color w:val="auto"/>
              </w:rPr>
            </w:pPr>
          </w:p>
        </w:tc>
        <w:tc>
          <w:tcPr>
            <w:tcW w:w="18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Options, Warrants and</w:t>
            </w:r>
          </w:p>
        </w:tc>
        <w:tc>
          <w:tcPr>
            <w:tcW w:w="19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Securities Reflected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gridSpan w:val="2"/>
            <w:vMerge w:val="continue"/>
          </w:tcPr>
          <w:p>
            <w:pPr>
              <w:spacing w:after="0"/>
              <w:rPr>
                <w:sz w:val="10"/>
                <w:szCs w:val="10"/>
                <w:color w:val="auto"/>
              </w:rPr>
            </w:pPr>
          </w:p>
        </w:tc>
        <w:tc>
          <w:tcPr>
            <w:tcW w:w="1980" w:type="dxa"/>
            <w:vAlign w:val="bottom"/>
            <w:gridSpan w:val="2"/>
          </w:tcPr>
          <w:p>
            <w:pPr>
              <w:jc w:val="center"/>
              <w:ind w:right="80"/>
              <w:spacing w:after="0" w:line="97" w:lineRule="exact"/>
              <w:rPr>
                <w:sz w:val="20"/>
                <w:szCs w:val="20"/>
                <w:color w:val="auto"/>
              </w:rPr>
            </w:pPr>
            <w:r>
              <w:rPr>
                <w:rFonts w:ascii="Times New Roman" w:cs="Times New Roman" w:eastAsia="Times New Roman" w:hAnsi="Times New Roman"/>
                <w:sz w:val="11"/>
                <w:szCs w:val="11"/>
                <w:b w:val="1"/>
                <w:bCs w:val="1"/>
                <w:color w:val="auto"/>
              </w:rPr>
              <w:t>Warrants and Rights</w:t>
            </w:r>
          </w:p>
        </w:tc>
        <w:tc>
          <w:tcPr>
            <w:tcW w:w="200" w:type="dxa"/>
            <w:vAlign w:val="bottom"/>
          </w:tcPr>
          <w:p>
            <w:pPr>
              <w:spacing w:after="0"/>
              <w:rPr>
                <w:sz w:val="10"/>
                <w:szCs w:val="10"/>
                <w:color w:val="auto"/>
              </w:rPr>
            </w:pPr>
          </w:p>
        </w:tc>
        <w:tc>
          <w:tcPr>
            <w:tcW w:w="1800" w:type="dxa"/>
            <w:vAlign w:val="bottom"/>
            <w:gridSpan w:val="2"/>
          </w:tcPr>
          <w:p>
            <w:pPr>
              <w:jc w:val="center"/>
              <w:ind w:right="280"/>
              <w:spacing w:after="0" w:line="97" w:lineRule="exact"/>
              <w:rPr>
                <w:sz w:val="20"/>
                <w:szCs w:val="20"/>
                <w:color w:val="auto"/>
              </w:rPr>
            </w:pPr>
            <w:r>
              <w:rPr>
                <w:rFonts w:ascii="Times New Roman" w:cs="Times New Roman" w:eastAsia="Times New Roman" w:hAnsi="Times New Roman"/>
                <w:sz w:val="11"/>
                <w:szCs w:val="11"/>
                <w:b w:val="1"/>
                <w:bCs w:val="1"/>
                <w:color w:val="auto"/>
              </w:rPr>
              <w:t>Rights</w:t>
            </w:r>
          </w:p>
        </w:tc>
        <w:tc>
          <w:tcPr>
            <w:tcW w:w="1900" w:type="dxa"/>
            <w:vAlign w:val="bottom"/>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rPr>
              <w:t xml:space="preserve">in Column (a)) </w:t>
            </w:r>
            <w:r>
              <w:rPr>
                <w:rFonts w:ascii="Times New Roman" w:cs="Times New Roman" w:eastAsia="Times New Roman" w:hAnsi="Times New Roman"/>
                <w:sz w:val="11"/>
                <w:szCs w:val="11"/>
                <w:b w:val="1"/>
                <w:bCs w:val="1"/>
                <w:color w:val="auto"/>
                <w:vertAlign w:val="superscript"/>
              </w:rPr>
              <w:t>(1)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 - Class A common stock</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center"/>
              <w:ind w:left="1417"/>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 - Class C common stock</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601,504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left="1317"/>
              <w:spacing w:after="0"/>
              <w:rPr>
                <w:sz w:val="20"/>
                <w:szCs w:val="20"/>
                <w:color w:val="auto"/>
              </w:rPr>
            </w:pPr>
            <w:r>
              <w:rPr>
                <w:rFonts w:ascii="Times New Roman" w:cs="Times New Roman" w:eastAsia="Times New Roman" w:hAnsi="Times New Roman"/>
                <w:sz w:val="14"/>
                <w:szCs w:val="14"/>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2,786,041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left="1297"/>
              <w:spacing w:after="0"/>
              <w:rPr>
                <w:sz w:val="20"/>
                <w:szCs w:val="20"/>
                <w:color w:val="auto"/>
              </w:rPr>
            </w:pPr>
            <w:r>
              <w:rPr>
                <w:rFonts w:ascii="Times New Roman" w:cs="Times New Roman" w:eastAsia="Times New Roman" w:hAnsi="Times New Roman"/>
                <w:sz w:val="14"/>
                <w:szCs w:val="14"/>
                <w:color w:val="auto"/>
                <w:w w:val="99"/>
              </w:rPr>
              <w:t>N/A</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609,658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tcPr>
          <w:p>
            <w:pPr>
              <w:jc w:val="center"/>
              <w:ind w:left="1417"/>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2,786,041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8" w:lineRule="exact"/>
        <w:rPr>
          <w:sz w:val="20"/>
          <w:szCs w:val="20"/>
          <w:color w:val="auto"/>
        </w:rPr>
      </w:pPr>
    </w:p>
    <w:p>
      <w:pPr>
        <w:ind w:left="200" w:hanging="131"/>
        <w:spacing w:after="0"/>
        <w:tabs>
          <w:tab w:leader="none" w:pos="20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Beginning in May 2015, awards to be granted and associated dividend equivalent rights to be issued under the Clearway Energy, Inc. Amended and Restated 2013 Equity Incentive Plan convert to Class C common stock upon vesting.</w:t>
      </w:r>
    </w:p>
    <w:p>
      <w:pPr>
        <w:spacing w:after="0" w:line="12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Other information required by this Item will be incorporated by reference to the similarly named section of the Company’s Definitive Proxy Statement for its 2025 Annual Meeting of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Relationships and Related Transactions, and Director Independence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incorporated by reference to the similarly named section of the Company’s Definitive Proxy Statement for its 2025 Annual Meeting of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 Principal Accounting Fees and Services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incorporated by reference to the similarly named section of the Company’s Definitive Proxy Statement for its 2025 Annual Meeting of Stockholders.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 Exhibits, Financial Statement Schedules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136" w:lineRule="exact"/>
        <w:rPr>
          <w:sz w:val="20"/>
          <w:szCs w:val="20"/>
          <w:color w:val="auto"/>
        </w:rPr>
      </w:pPr>
    </w:p>
    <w:p>
      <w:pPr>
        <w:jc w:val="center"/>
        <w:ind w:left="880"/>
        <w:spacing w:after="0" w:line="287" w:lineRule="auto"/>
        <w:rPr>
          <w:sz w:val="20"/>
          <w:szCs w:val="20"/>
          <w:color w:val="auto"/>
        </w:rPr>
      </w:pPr>
      <w:r>
        <w:rPr>
          <w:rFonts w:ascii="Times New Roman" w:cs="Times New Roman" w:eastAsia="Times New Roman" w:hAnsi="Times New Roman"/>
          <w:sz w:val="14"/>
          <w:szCs w:val="14"/>
          <w:color w:val="auto"/>
        </w:rPr>
        <w:t>The following consolidated financial statements of Clearway Energy, Inc. and related notes thereto, together with the Report of Independent Registered Public Accounting Firm of PricewaterhouseCoopers LLP (PCAOB ID: 238) and Report of Independent Registered Public Accounting Firm of Ernst &amp; Young LLP (PCAOB ID: 42) thereon, are included herein:</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Income — Years ended December 31, 2024, 2023 and 2022</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Comprehensive Income — Years ended December 31, 2024, 2023 and 2022</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Balance Sheets — As of December 31,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Cash Flows — Years ended December 31, 2024, 2023 and 2022</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Stockholders’ Equity — Years ended December 31, 2024, 2023 and 2022</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(a)(2) Financial Statement Schedules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schedules of Clearway Energy, Inc. are filed as part of Item 15 of this report and should be read in conjunction with the Consolidated Financial Statements:</w:t>
      </w:r>
    </w:p>
    <w:p>
      <w:pPr>
        <w:spacing w:after="0" w:line="136"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Schedule I — Clearway Energy, Inc. (Parent) Condensed Financial Statements as of December 31, 2024 and 2023 and for the years ended December 31, 2024, 2023 and 2022, are included in Clearway Energy, Inc.’s Annual Report on Form 10-K pursuant to the requirements of Rule 5-04(c) of Regulation S-X</w:t>
      </w:r>
    </w:p>
    <w:p>
      <w:pPr>
        <w:spacing w:after="0" w:line="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Schedule II — Valuation and Qualifying Accounts for the years ended December 31, 2024, 2023 and 2022</w:t>
      </w:r>
    </w:p>
    <w:p>
      <w:pPr>
        <w:spacing w:after="0" w:line="136"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(a)(3) Exhibits: See Exhibit Index submitted as a separate section of this report</w:t>
      </w:r>
    </w:p>
    <w:p>
      <w:pPr>
        <w:spacing w:after="0" w:line="136" w:lineRule="exact"/>
        <w:rPr>
          <w:sz w:val="20"/>
          <w:szCs w:val="20"/>
          <w:color w:val="auto"/>
        </w:rPr>
      </w:pPr>
    </w:p>
    <w:p>
      <w:pPr>
        <w:ind w:left="580" w:hanging="193"/>
        <w:spacing w:after="0"/>
        <w:tabs>
          <w:tab w:leader="none" w:pos="5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36"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Index submitted as a separate section of this report</w:t>
      </w:r>
    </w:p>
    <w:p>
      <w:pPr>
        <w:spacing w:after="0" w:line="136"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2" w:name="page73"/>
    <w:bookmarkEnd w:id="72"/>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Clearway Energy,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 of Clearway Energy, Inc. and its subsidiaries (the “Company”) as of December 31, 2024, and the related consolidated statements of income, of comprehensive income, of stockholders’ equity and of cash flows for the year then ended, including the related notes and the schedule of Clearway Energy, Inc. (Parent) condensed financial information of registrant as of December 31, 2024 and for the year then ended and the schedule of valuation and qualifying accounts for the year ended December 31, 2024 appearing under Item 15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(COSO).</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2024,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COSO.</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r>
        <w:rPr>
          <w:rFonts w:ascii="Times New Roman" w:cs="Times New Roman" w:eastAsia="Times New Roman" w:hAnsi="Times New Roman"/>
          <w:sz w:val="14"/>
          <w:szCs w:val="14"/>
          <w:b w:val="1"/>
          <w:bCs w:val="1"/>
          <w:color w:val="auto"/>
        </w:rPr>
        <w: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w:t>
      </w:r>
      <w:r>
        <w:rPr>
          <w:rFonts w:ascii="Times New Roman" w:cs="Times New Roman" w:eastAsia="Times New Roman" w:hAnsi="Times New Roman"/>
          <w:sz w:val="14"/>
          <w:szCs w:val="14"/>
          <w:i w:val="1"/>
          <w:iCs w:val="1"/>
          <w:color w:val="auto"/>
        </w:rPr>
        <w:t>g</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of Level 3 Long-Term Power Commodity Contrac</w:t>
      </w:r>
      <w:r>
        <w:rPr>
          <w:rFonts w:ascii="Times New Roman" w:cs="Times New Roman" w:eastAsia="Times New Roman" w:hAnsi="Times New Roman"/>
          <w:sz w:val="14"/>
          <w:szCs w:val="14"/>
          <w:color w:val="auto"/>
        </w:rPr>
        <w:t>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described in Notes 2 and 6 to the consolidated financial statements, the Company uses energy-related derivative financial instruments to mitigate variability in earnings due to fluctuations in power market prices or natural gas market prices. As disclosed by management, the fair value of the Company’s financial instruments is determined using discounted cash flow models. The Company’s significant positions classified as Level 3 relate to physical and financial energy-related commodity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As of December 31, 2024, the fair value of the Company’s Level 3 long-term power commodity contracts was $366 million.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valuation of Level 3 long-term power commodity contracts is a critical audit matter are (i) the significant judgment by management when developing the fair value estimate of the Level 3 long-term power commodity contracts; (ii) a high degree of auditor judgment, subjectivity, and effort in performing procedures and evaluating audit evidence related to (a) management’s significant unobservable inputs related to illiquid power tenors and (b) the discounted cash flow models used in developing the fair value estimate of the Level 3 long-term power commodity contracts; and (iii) the audit effort involved the use of professionals with specialized skill and knowledge.</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Level 3 long-term power commodity contracts, including controls over the discounted cash flow models and illiquid power tenors. These procedures also included, among others (i) testing the completeness and accuracy of underlying data used by management and (ii) the involvement of professionals with specialized skill and knowledge to assist in evaluating the reasonableness of management’s estimate by (a) evaluating the reasonableness of the illiquid power tenors, (b) evaluating the appropriateness of the discounted cash flow models used in developing the fair value estimate of the Level 3 long-term power commodity contracts and (c) developing an independent estimate of the Level 3 long-term power commodity contracts using independently determined illiquid power tenors and comparing the independent estimate to management’s estimate.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Hypothetical Liquidation at Book Value (HLBV) Calculation of Net Loss Attributable to Noncontrolling Interests in Tax Equity Arrangements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described in Note 2 to the consolidated financial statements, certain portions of the Company’s noncontrolling interest represent third-party interests in the net assets under tax equity arrangements, which are consolidated by the Company, that have been entered into to finance the cost of facilities eligible for certain tax credits and benefits. Management has determined that the provisions in the contractual agreements of these noncontrolling interests represent substantive profit-sharing arrangements, for which management uses a balance sheet approach utilizing the HLBV method to calculate the noncontrolling interest. Under the HLBV method, the amounts reported as noncontrolling interest represent the amounts the investors to the tax equity arrangements would hypothetically receive at each balance sheet date under the liquidation provisions of the contractual agreements. As disclosed by management, management must apply judgment in determining the methodology for applying the HLBV method and changes in certain factors may have a significant impact on the amounts that an investor would receive upon a hypothetical liquidation. For the year ended December 31, 2024, the net loss attributable to noncontrolling interests and redeemable noncontrolling interests was $151 million, of which a majority represents third-party interests in the net assets under tax equity arrangements.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HLBV calculation of net loss attributable to noncontrolling interests in tax equity arrangements is a critical audit matter are (i) the significant judgment by management in applying the HLBV method to determine the income or loss each noncontrolling interest would hypothetically receive at each balance sheet date under the liquidation provisions of the contractual agreements; (ii) a high degree of auditor judgment, subjectivity, and effort in performing procedures and evaluating audit evidence related to management’s judgments applied in using the HLBV method to calculate the noncontrolling interests in tax equity arrangements; and (iii) the audit effort involved the use of professionals with specialized skill and knowledge.</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HLBV calculation of the noncontrolling interests in tax equity arrangements. These procedures also included, among others (i) testing the completeness and accuracy of the underlying data used by management and (ii) the involvement of professionals with specialized skill and knowledge to assist in (a) evaluating the appropriateness of the HLBV method based on the terms of the contractual agreements and (b) developing independent calculations of the income or loss attributable to the noncontrolling interests based on the terms of the contractual agreements and comparing the independent calculations to management's calculations.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5" w:name="page76"/>
    <w:bookmarkEnd w:id="75"/>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Clearway Energy,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Clearway Energy, Inc. (the Company) as of December 31, 2023, the related consolidated statements of income, comprehensive income, stockholders’ equity and cash flows for each of the two years in the period ended December 31, 2023, and the related notes and financial statement schedules listed in the Index at Item 15(a)</w:t>
      </w:r>
    </w:p>
    <w:p>
      <w:pPr>
        <w:spacing w:after="0" w:line="1" w:lineRule="exact"/>
        <w:rPr>
          <w:sz w:val="20"/>
          <w:szCs w:val="20"/>
          <w:color w:val="auto"/>
        </w:rPr>
      </w:pPr>
    </w:p>
    <w:p>
      <w:pPr>
        <w:jc w:val="both"/>
        <w:ind w:firstLine="5"/>
        <w:spacing w:after="0" w:line="259" w:lineRule="auto"/>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(collectively referred to as the “consolidated financial statements”). In our opinion, the consolidated financial statements present fairly, in all material respects, the financial position of the Company at December 31, 2023 and the results of its operations and its cash flows for each of the two years in the period ended December 31, 2023, in conformity with U.S. generally accepted accounting principles.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2021 to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w w:val="99"/>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6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0" w:type="dxa"/>
            <w:vAlign w:val="bottom"/>
          </w:tcPr>
          <w:p>
            <w:pPr>
              <w:spacing w:after="0"/>
              <w:rPr>
                <w:sz w:val="1"/>
                <w:szCs w:val="1"/>
                <w:color w:val="auto"/>
              </w:rPr>
            </w:pPr>
          </w:p>
        </w:tc>
      </w:tr>
      <w:tr>
        <w:trPr>
          <w:trHeight w:val="16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Development costs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0"/>
        </w:trPr>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business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0" w:type="dxa"/>
            <w:vAlign w:val="bottom"/>
          </w:tcPr>
          <w:p>
            <w:pPr>
              <w:spacing w:after="0"/>
              <w:rPr>
                <w:sz w:val="1"/>
                <w:szCs w:val="1"/>
                <w:color w:val="auto"/>
              </w:rPr>
            </w:pP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60"/>
        </w:trPr>
        <w:tc>
          <w:tcPr>
            <w:tcW w:w="7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(Loss) Income Before Income Taxes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 and redeemable noncontrolling interests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8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Inc.</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 Attributable to Clearway Energy, Inc. Class A and Class C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number of Class A common shares outstanding - basic and diluted</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number of Class C common shares outstanding - basic and diluted</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Earnings per Weighted Average Class A and Class C Common Share - Basic and Diluted</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Common Share</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940" w:type="dxa"/>
            <w:vAlign w:val="bottom"/>
            <w:vMerge w:val="continue"/>
          </w:tcPr>
          <w:p>
            <w:pPr>
              <w:spacing w:after="0"/>
              <w:rPr>
                <w:sz w:val="11"/>
                <w:szCs w:val="11"/>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4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Dividends Per Class C Common Share</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0"/>
        </w:trPr>
        <w:tc>
          <w:tcPr>
            <w:tcW w:w="804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9"/>
        </w:trPr>
        <w:tc>
          <w:tcPr>
            <w:tcW w:w="8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66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340" w:type="dxa"/>
            <w:vAlign w:val="bottom"/>
            <w:gridSpan w:val="3"/>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w:t>
            </w:r>
          </w:p>
        </w:tc>
      </w:tr>
      <w:tr>
        <w:trPr>
          <w:trHeight w:val="169"/>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(Loss) Income, net of tax</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Unrealized (loss) gain on derivatives and changes in accumulated OCI/OCL, net of income tax (benefit) expense of $(1), $(1) and $5</w:t>
            </w:r>
          </w:p>
        </w:tc>
        <w:tc>
          <w:tcPr>
            <w:tcW w:w="6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8"/>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comprehensive (loss) income</w:t>
            </w: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 Income</w:t>
            </w: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r>
      <w:tr>
        <w:trPr>
          <w:trHeight w:val="168"/>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Less: Comprehensive (loss) income attributable to noncontrolling interests and redeemable noncontrolling interests</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18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 Attributable to Clearway Energy, Inc.</w:t>
            </w: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shares)</w:t>
            </w: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0"/>
        </w:trPr>
        <w:tc>
          <w:tcPr>
            <w:tcW w:w="764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Inventory</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 receivable — affiliate</w:t>
            </w:r>
          </w:p>
        </w:tc>
        <w:tc>
          <w:tcPr>
            <w:tcW w:w="2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9,526</w:t>
            </w:r>
          </w:p>
        </w:tc>
        <w:tc>
          <w:tcPr>
            <w:tcW w:w="0" w:type="dxa"/>
            <w:vAlign w:val="bottom"/>
          </w:tcPr>
          <w:p>
            <w:pPr>
              <w:spacing w:after="0"/>
              <w:rPr>
                <w:sz w:val="1"/>
                <w:szCs w:val="1"/>
                <w:color w:val="auto"/>
              </w:rPr>
            </w:pPr>
          </w:p>
        </w:tc>
      </w:tr>
      <w:tr>
        <w:trPr>
          <w:trHeight w:val="15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Intangible assets for power purchase agreements, net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Right-of-use assets, net</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 — trade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 affiliates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interest expense</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Long-term debt</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8,800</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8,765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Redeemable noncontrolling interest in subsidiaries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9"/>
        </w:trPr>
        <w:tc>
          <w:tcPr>
            <w:tcW w:w="76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w:t>
            </w:r>
          </w:p>
        </w:tc>
        <w:tc>
          <w:tcPr>
            <w:tcW w:w="26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6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Class A, Class B, Class C and Class D common stock, $0.01 par value; 3,000,000,000 shares authorized (Class A 500,000,000, Class B</w:t>
            </w:r>
          </w:p>
        </w:tc>
        <w:tc>
          <w:tcPr>
            <w:tcW w:w="2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4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rPr>
              <w:t>500,000,000, Class C 1,000,000,000, Class D 1,000,000,000); 202,147,579 shares issued and outstanding (Class A 34,613,853, Class B</w:t>
            </w:r>
          </w:p>
        </w:tc>
        <w:tc>
          <w:tcPr>
            <w:tcW w:w="2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4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w w:val="98"/>
              </w:rPr>
              <w:t>42,738,750, Class C 82,833,226, Class D 41,961,750) at December 31, 2024 and 202,080,794 shares issued and outstanding (Class A 34,613,853,</w:t>
            </w:r>
          </w:p>
        </w:tc>
        <w:tc>
          <w:tcPr>
            <w:tcW w:w="26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Class B 42,738,750, Class C 82,391,441, Class D 42,336,750) at December 31, 2023</w:t>
            </w:r>
          </w:p>
        </w:tc>
        <w:tc>
          <w:tcPr>
            <w:tcW w:w="26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4,994</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center"/>
              <w:ind w:left="67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0"/>
        </w:trPr>
        <w:tc>
          <w:tcPr>
            <w:tcW w:w="8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7"/>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w:t>
            </w:r>
          </w:p>
        </w:tc>
      </w:tr>
      <w:tr>
        <w:trPr>
          <w:trHeight w:val="168"/>
        </w:trPr>
        <w:tc>
          <w:tcPr>
            <w:tcW w:w="81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(loss) income to net cash provided by operating activities: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Distributions from unconsolidated affiliates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financing costs and debt discounts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Reduction in carrying amount of right-of-use assets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on sale of business</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Impairment losses</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 in deferred income taxes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Changes in derivative instruments and amortization of accumulated OCI/OCL</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68"/>
        </w:trPr>
        <w:tc>
          <w:tcPr>
            <w:tcW w:w="8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Changes in other working capital</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r>
      <w:tr>
        <w:trPr>
          <w:trHeight w:val="149"/>
        </w:trPr>
        <w:tc>
          <w:tcPr>
            <w:tcW w:w="81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Acquisition of Drop Down Assets, net of cash acquired</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Acquisition of Capistrano Wind Portfolio, net of cash acquired</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Capital expenditures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Payment for equipment deposit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 for equipment deposit and asset purchase from affiliate</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Return of investments from unconsolidated affiliates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Decrease (increase) in note receivable — affiliate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sale of business</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w:t>
            </w:r>
          </w:p>
        </w:tc>
      </w:tr>
      <w:tr>
        <w:trPr>
          <w:trHeight w:val="168"/>
        </w:trPr>
        <w:tc>
          <w:tcPr>
            <w:tcW w:w="8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r>
      <w:tr>
        <w:trPr>
          <w:trHeight w:val="149"/>
        </w:trPr>
        <w:tc>
          <w:tcPr>
            <w:tcW w:w="81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Payments of dividends and distributions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Distributions to CEG of escrowed amounts</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Tax-related distributions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Buyouts of noncontrolling interest and redeemable noncontrolling interest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the revolving credit facility</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Payments for the revolving credit facility</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issuance of long-term debt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Payments for long-term debt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(1,510)</w:t>
            </w:r>
          </w:p>
        </w:tc>
      </w:tr>
      <w:tr>
        <w:trPr>
          <w:trHeight w:val="16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Increase in Cash, Cash Equivalents and Restricted Cash</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r>
      <w:tr>
        <w:trPr>
          <w:trHeight w:val="15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w:t>
            </w:r>
          </w:p>
        </w:tc>
      </w:tr>
      <w:tr>
        <w:trPr>
          <w:trHeight w:val="18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7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8"/>
        </w:trPr>
        <w:tc>
          <w:tcPr>
            <w:tcW w:w="8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paid, net of amount capitalized</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r>
      <w:tr>
        <w:trPr>
          <w:trHeight w:val="172"/>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paid, net of refunds received</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9"/>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Non-cash financing activity:</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adjustment for change in tax basis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0" w:type="dxa"/>
            <w:vAlign w:val="bottom"/>
          </w:tcPr>
          <w:p>
            <w:pPr>
              <w:spacing w:after="0"/>
              <w:rPr>
                <w:sz w:val="9"/>
                <w:szCs w:val="9"/>
                <w:color w:val="auto"/>
              </w:rPr>
            </w:pPr>
          </w:p>
        </w:tc>
        <w:tc>
          <w:tcPr>
            <w:tcW w:w="82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1120" w:type="dxa"/>
            <w:vAlign w:val="bottom"/>
            <w:gridSpan w:val="3"/>
          </w:tcPr>
          <w:p>
            <w:pPr>
              <w:jc w:val="center"/>
              <w:ind w:right="100"/>
              <w:spacing w:after="0" w:line="106" w:lineRule="exact"/>
              <w:rPr>
                <w:sz w:val="20"/>
                <w:szCs w:val="20"/>
                <w:color w:val="auto"/>
              </w:rPr>
            </w:pPr>
            <w:r>
              <w:rPr>
                <w:rFonts w:ascii="Times New Roman" w:cs="Times New Roman" w:eastAsia="Times New Roman" w:hAnsi="Times New Roman"/>
                <w:sz w:val="10"/>
                <w:szCs w:val="10"/>
                <w:b w:val="1"/>
                <w:bCs w:val="1"/>
                <w:color w:val="auto"/>
                <w:w w:val="99"/>
              </w:rPr>
              <w:t>(Accumulated Deficit)</w:t>
            </w:r>
          </w:p>
        </w:tc>
        <w:tc>
          <w:tcPr>
            <w:tcW w:w="80" w:type="dxa"/>
            <w:vAlign w:val="bottom"/>
          </w:tcPr>
          <w:p>
            <w:pPr>
              <w:spacing w:after="0"/>
              <w:rPr>
                <w:sz w:val="9"/>
                <w:szCs w:val="9"/>
                <w:color w:val="auto"/>
              </w:rPr>
            </w:pPr>
          </w:p>
        </w:tc>
        <w:tc>
          <w:tcPr>
            <w:tcW w:w="114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0"/>
                <w:szCs w:val="10"/>
                <w:b w:val="1"/>
                <w:bCs w:val="1"/>
                <w:color w:val="auto"/>
                <w:w w:val="98"/>
              </w:rPr>
              <w:t>Comprehensive (Loss)</w:t>
            </w:r>
          </w:p>
        </w:tc>
        <w:tc>
          <w:tcPr>
            <w:tcW w:w="60" w:type="dxa"/>
            <w:vAlign w:val="bottom"/>
          </w:tcPr>
          <w:p>
            <w:pPr>
              <w:spacing w:after="0"/>
              <w:rPr>
                <w:sz w:val="9"/>
                <w:szCs w:val="9"/>
                <w:color w:val="auto"/>
              </w:rPr>
            </w:pPr>
          </w:p>
        </w:tc>
        <w:tc>
          <w:tcPr>
            <w:tcW w:w="8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7"/>
              </w:rPr>
              <w:t>Non-controlling</w:t>
            </w:r>
          </w:p>
        </w:tc>
        <w:tc>
          <w:tcPr>
            <w:tcW w:w="140" w:type="dxa"/>
            <w:vAlign w:val="bottom"/>
          </w:tcPr>
          <w:p>
            <w:pPr>
              <w:spacing w:after="0"/>
              <w:rPr>
                <w:sz w:val="9"/>
                <w:szCs w:val="9"/>
                <w:color w:val="auto"/>
              </w:rPr>
            </w:pPr>
          </w:p>
        </w:tc>
        <w:tc>
          <w:tcPr>
            <w:tcW w:w="900" w:type="dxa"/>
            <w:vAlign w:val="bottom"/>
          </w:tcPr>
          <w:p>
            <w:pPr>
              <w:jc w:val="center"/>
              <w:ind w:right="104"/>
              <w:spacing w:after="0" w:line="106"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30"/>
        </w:trPr>
        <w:tc>
          <w:tcPr>
            <w:tcW w:w="430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Retained Earnings</w:t>
            </w:r>
          </w:p>
        </w:tc>
        <w:tc>
          <w:tcPr>
            <w:tcW w:w="80" w:type="dxa"/>
            <w:vAlign w:val="bottom"/>
          </w:tcPr>
          <w:p>
            <w:pPr>
              <w:spacing w:after="0"/>
              <w:rPr>
                <w:sz w:val="11"/>
                <w:szCs w:val="11"/>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6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40" w:type="dxa"/>
            <w:vAlign w:val="bottom"/>
          </w:tcPr>
          <w:p>
            <w:pPr>
              <w:spacing w:after="0"/>
              <w:rPr>
                <w:sz w:val="11"/>
                <w:szCs w:val="11"/>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1"/>
        </w:trPr>
        <w:tc>
          <w:tcPr>
            <w:tcW w:w="4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2021</w:t>
            </w:r>
          </w:p>
        </w:tc>
        <w:tc>
          <w:tcPr>
            <w:tcW w:w="30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20" w:type="dxa"/>
            <w:vAlign w:val="bottom"/>
            <w:tcBorders>
              <w:top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1,872</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3,300</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582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1,049</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Unrealized gain on derivatives and changes in accumulated OCL, net of tax</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Distributions to CEG, net of contributions, non-cash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Contributions from CEG, net of distributions,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Capistrano Wind Portfolio Acquisition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Kawailoa Sale to Clearway Renew</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Non-cash adjustment for change in tax basis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 dividends and distributions to CEG</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0" w:type="dxa"/>
            <w:vAlign w:val="bottom"/>
          </w:tcPr>
          <w:p>
            <w:pPr>
              <w:spacing w:after="0"/>
              <w:rPr>
                <w:sz w:val="1"/>
                <w:szCs w:val="1"/>
                <w:color w:val="auto"/>
              </w:rPr>
            </w:pPr>
          </w:p>
        </w:tc>
      </w:tr>
      <w:tr>
        <w:trPr>
          <w:trHeight w:val="156"/>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2022</w:t>
            </w: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4,026</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(loss)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Unrealized loss on derivatives and changes in accumulated OCL, net of tax</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CEG, net of contributions,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1,123</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286</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Buyout of redeemable noncontrolling interest</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Non-cash adjustments for change in tax basis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Common stock dividends and distributions to CEG unit holders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0" w:type="dxa"/>
            <w:vAlign w:val="bottom"/>
          </w:tcPr>
          <w:p>
            <w:pPr>
              <w:spacing w:after="0"/>
              <w:rPr>
                <w:sz w:val="1"/>
                <w:szCs w:val="1"/>
                <w:color w:val="auto"/>
              </w:rPr>
            </w:pPr>
          </w:p>
        </w:tc>
      </w:tr>
      <w:tr>
        <w:trPr>
          <w:trHeight w:val="144"/>
        </w:trPr>
        <w:tc>
          <w:tcPr>
            <w:tcW w:w="4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2023</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1,732</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2,893</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4,994</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Unrealized loss on derivatives and changes in accumulated OCI, net of tax</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CEG, net of distributions, 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194</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1,321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redeemable noncontrolling interest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Non-cash adjustments for change in tax basis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 dividends and distributions to CEG unit holders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0"/>
        </w:trPr>
        <w:tc>
          <w:tcPr>
            <w:tcW w:w="4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2024</w:t>
            </w: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3,501</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5,564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63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Nature of Business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2024, the Company owned 58.10% of the economic interests of Clearway Energy LLC, with CEG owning 41.90% of the economic interests of Clearway Energy LLC. For further discussion, see Note 12, </w:t>
      </w:r>
      <w:r>
        <w:rPr>
          <w:rFonts w:ascii="Times New Roman" w:cs="Times New Roman" w:eastAsia="Times New Roman" w:hAnsi="Times New Roman"/>
          <w:sz w:val="14"/>
          <w:szCs w:val="14"/>
          <w:i w:val="1"/>
          <w:iCs w:val="1"/>
          <w:color w:val="auto"/>
        </w:rPr>
        <w:t>Stockholders’ Equity.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2" w:name="page83"/>
    <w:bookmarkEnd w:id="82"/>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3435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08195" cy="343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consolidated financial statements have been prepared in accordance with GAAP. The FASB ASC is the source of authoritative GAAP to be applied by nongovernmental entities.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rules and interpretative releases of the SEC under authority of federal securities laws are also sources of authoritative GAAP for SEC registrants.</w:t>
      </w:r>
    </w:p>
    <w:p>
      <w:pPr>
        <w:spacing w:after="0" w:line="12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the majority of the voting interests of an entity. However, a controlling financial interest may also exist through arrangements that do not involve controlling voting interests. As such, the Company applies the guidance of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to determine when an entity that is insufficiently capitalized or not controlled through its voting interests, referred to as a variable interest entity, or VIE, should be consolidated.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subsidiary facilities was $194 million and $125 million as of December 31, 2024 and 2023,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6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r>
      <w:tr>
        <w:trPr>
          <w:trHeight w:val="154"/>
        </w:trPr>
        <w:tc>
          <w:tcPr>
            <w:tcW w:w="8680" w:type="dxa"/>
            <w:vAlign w:val="bottom"/>
          </w:tcPr>
          <w:p>
            <w:pPr>
              <w:spacing w:after="0"/>
              <w:rPr>
                <w:sz w:val="13"/>
                <w:szCs w:val="13"/>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60" w:type="dxa"/>
            <w:vAlign w:val="bottom"/>
          </w:tcPr>
          <w:p>
            <w:pPr>
              <w:spacing w:after="0"/>
              <w:rPr>
                <w:sz w:val="13"/>
                <w:szCs w:val="13"/>
                <w:color w:val="auto"/>
              </w:rPr>
            </w:pPr>
          </w:p>
        </w:tc>
      </w:tr>
      <w:tr>
        <w:trPr>
          <w:trHeight w:val="18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8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196"/>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facilities that are restricted in their use.</w:t>
      </w:r>
    </w:p>
    <w:p>
      <w:pPr>
        <w:spacing w:after="0" w:line="136"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As of December 31, 2024, these restricted funds were comprised of $184 million designated to fund operating expenses, $37 million designated for current debt service payments and $102 million restricted for reserves, including debt service, performance obligations and other reserves as well as capital expenditures. The remaining $78 million is held in distribution reserve accounts.</w:t>
      </w:r>
    </w:p>
    <w:p>
      <w:pPr>
        <w:spacing w:after="0" w:line="261"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As of December 31, 2023, these restricted funds were comprised of $176 million designated to fund operating expenses, $178 million designated for current debt service payments and $85 million restricted for reserves, including debt service, performance obligations and other reserves as well as capital expenditures. The remaining $77 million was held in distribution reserve accounts.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a disaggregation of the amounts classified as Acquisition of Drop Down Assets, net of cash acquired, shown in the consolidated statements of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6540" w:type="dxa"/>
            <w:vAlign w:val="bottom"/>
          </w:tcPr>
          <w:p>
            <w:pPr>
              <w:spacing w:after="0"/>
              <w:rPr>
                <w:sz w:val="13"/>
                <w:szCs w:val="13"/>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to acquire Drop Down Assets</w:t>
            </w: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center"/>
              <w:ind w:left="813"/>
              <w:spacing w:after="0"/>
              <w:rPr>
                <w:sz w:val="20"/>
                <w:szCs w:val="20"/>
                <w:color w:val="auto"/>
              </w:rPr>
            </w:pPr>
            <w:r>
              <w:rPr>
                <w:rFonts w:ascii="Times New Roman" w:cs="Times New Roman" w:eastAsia="Times New Roman" w:hAnsi="Times New Roman"/>
                <w:sz w:val="14"/>
                <w:szCs w:val="14"/>
                <w:color w:val="auto"/>
              </w:rPr>
              <w:t>(71)</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acquired from the acquisition of Drop Down Assets</w:t>
            </w: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center"/>
              <w:ind w:left="813"/>
              <w:spacing w:after="0"/>
              <w:rPr>
                <w:sz w:val="20"/>
                <w:szCs w:val="20"/>
                <w:color w:val="auto"/>
              </w:rPr>
            </w:pPr>
            <w:r>
              <w:rPr>
                <w:rFonts w:ascii="Times New Roman" w:cs="Times New Roman" w:eastAsia="Times New Roman" w:hAnsi="Times New Roman"/>
                <w:sz w:val="14"/>
                <w:szCs w:val="14"/>
                <w:color w:val="auto"/>
              </w:rPr>
              <w:t>(71)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 Trade and Allowance for Credit Losses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Accounts receivable — trade are reported on the consolidated balance sheet at the invoiced amount adjusted for any write-offs and the allowance for credit losses. The majority of the Company’s customers typically receive invoices monthly with payment due within 30 days. The allowance for credit losses is reviewed periodically based on amounts past due and their significance. The allowance for credit losses was immaterial as of December 31, 2024 and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income. For further discussion of the Company’s property, plant and equipment refer to Note 4,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Interest incurred on funds borrowed to finance capital projects is capitalized until the project under construction is ready for its intended use. The amount of interest capitalized for the years ended December 31, 2024, 2023 and 2022 was $28 million, $36 million and $2 million,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Impairments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Long-lived assets that are held and used are reviewed for impairment whenever events or changes in circumstances indicate their carrying amounts may not be recoverable. Such reviews are performed 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xml:space="preserve">. An impairment loss is indicated if the total future estimated undiscounted cash flows expected from an asset are less than its carrying amount. An impairment charge is measured as the excess of an asset’s carrying amount over its fair value with the difference recorded in operating costs and expenses in the consolidated statements of income. Fair values are determined by a variety of valuation methods, including appraisals, sales prices of similar assets and present value techniques. For further discussion of the Company’s long-lived asset impairments, refer to Note 9, </w:t>
      </w:r>
      <w:r>
        <w:rPr>
          <w:rFonts w:ascii="Times New Roman" w:cs="Times New Roman" w:eastAsia="Times New Roman" w:hAnsi="Times New Roman"/>
          <w:sz w:val="14"/>
          <w:szCs w:val="14"/>
          <w:i w:val="1"/>
          <w:iCs w:val="1"/>
          <w:color w:val="auto"/>
        </w:rPr>
        <w:t>Asset Impairments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Investments accounted for by the equity method are reviewed for impairment in accordance with ASC 323, </w:t>
      </w:r>
      <w:r>
        <w:rPr>
          <w:rFonts w:ascii="Times New Roman" w:cs="Times New Roman" w:eastAsia="Times New Roman" w:hAnsi="Times New Roman"/>
          <w:sz w:val="14"/>
          <w:szCs w:val="14"/>
          <w:i w:val="1"/>
          <w:iCs w:val="1"/>
          <w:color w:val="auto"/>
        </w:rPr>
        <w:t>Investments-Equity Method and Joint Ventures</w:t>
      </w:r>
      <w:r>
        <w:rPr>
          <w:rFonts w:ascii="Times New Roman" w:cs="Times New Roman" w:eastAsia="Times New Roman" w:hAnsi="Times New Roman"/>
          <w:sz w:val="14"/>
          <w:szCs w:val="14"/>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Intangible assets represent contractual rights held by the Company. The Company recognizes specifically identifiable intangible assets, including PPAs,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Times New Roman" w:cs="Times New Roman" w:eastAsia="Times New Roman" w:hAnsi="Times New Roman"/>
          <w:sz w:val="14"/>
          <w:szCs w:val="14"/>
          <w:i w:val="1"/>
          <w:iCs w:val="1"/>
          <w:color w:val="auto"/>
        </w:rPr>
        <w:t>Intangible Assets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 from Contracts with Customers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applies the guidance in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5" w:name="page86"/>
    <w:bookmarkEnd w:id="85"/>
    <w:p>
      <w:pPr>
        <w:ind w:left="320"/>
        <w:spacing w:after="0"/>
        <w:rPr>
          <w:sz w:val="20"/>
          <w:szCs w:val="20"/>
          <w:color w:val="auto"/>
        </w:rPr>
      </w:pPr>
      <w:r>
        <w:rPr>
          <w:rFonts w:ascii="Times New Roman" w:cs="Times New Roman" w:eastAsia="Times New Roman" w:hAnsi="Times New Roman"/>
          <w:sz w:val="14"/>
          <w:szCs w:val="14"/>
          <w:i w:val="1"/>
          <w:iCs w:val="1"/>
          <w:color w:val="auto"/>
        </w:rPr>
        <w:t>Flexible Generation Segment Revenues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majority of the facilities in the Flexible Generation segment commenced merchant operations during 2023 following the expiration of the PPAs. These facilities generate revenues from selling electricity and/or RA to the CAISO and to public utility and load serving entities, as the power is delivered at the interconnection point.</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Power Purchase Agreements, or PPAs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The majority of the Company’s revenues are obtained through PPAs or similar contractual agreements. Energy, capacity and, where applicable, renewable attributes, from the majority of the Company’s renewable energy assets and certain facilities in the Flexible Generation segment are sold through long-term PPAs and tolling agreements to a single counterparty, which is often a utility or commercial customer. Certain revenue agreements also provide for the sale of BESS capacity. As discussed above, the majority of the facilities in the Flexible Generation segment commenced merchant operations during 2023 following the expiration of the PPAs.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ASC 842 requires the minimum lease payments received to be amortized over the term of the lease and contingent rentals are recorded when the achievement of the contingency becomes probable. The Company’s BESS arrangements include variable payments not based on an index or rate and sales-type lease treatment would result in a loss at lease commencement. As a result, the Company accounts for these arrangements as operating leases under ASC 842.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finance lease.</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2024, 2023 and 2022 was $831 million, $780 million and $850 million, respectively. See Note 17,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 related to the Company’s PPAs accounted for as leases.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Renewable Energy Credits, or RECs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unnecessary to allocate transaction price to multiple performance obligations.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Thermal Revenues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May 1, 2022, the Company completed the sale of 100% of its interests in the Thermal Business to KKR. Prior to the sale, steam and chilled water revenue was recognized as the Company transferred the product to the customer, based on customer usage as determined by meter readings taken at month-end. Some locations read customer meters throughout the month and recognized estimated revenue for the period between meter read date and month-end. For thermal contracts, the Company’s performance obligation to deliver steam and chilled water was satisfied over time and revenue was recognized based on the invoiced amount. The Thermal Business subsidiaries collected and remitted state and local taxes associated with sales to their customers, as required by governmental authorities. These taxes were presented on a net basis in the consolidated statements of income.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6" w:name="page87"/>
    <w:bookmarkEnd w:id="86"/>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2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80" w:type="dxa"/>
            <w:vAlign w:val="bottom"/>
          </w:tcPr>
          <w:p>
            <w:pPr>
              <w:spacing w:after="0"/>
              <w:rPr>
                <w:sz w:val="13"/>
                <w:szCs w:val="13"/>
                <w:color w:val="auto"/>
              </w:rPr>
            </w:pPr>
          </w:p>
        </w:tc>
        <w:tc>
          <w:tcPr>
            <w:tcW w:w="1180" w:type="dxa"/>
            <w:vAlign w:val="bottom"/>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8"/>
        </w:trPr>
        <w:tc>
          <w:tcPr>
            <w:tcW w:w="6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w:t>
            </w:r>
          </w:p>
        </w:tc>
      </w:tr>
      <w:tr>
        <w:trPr>
          <w:trHeight w:val="22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17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8"/>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6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r>
      <w:tr>
        <w:trPr>
          <w:trHeight w:val="160"/>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w:t>
            </w:r>
          </w:p>
        </w:tc>
      </w:tr>
      <w:tr>
        <w:trPr>
          <w:trHeight w:val="20"/>
        </w:trPr>
        <w:tc>
          <w:tcPr>
            <w:tcW w:w="2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37" w:lineRule="exact"/>
        <w:rPr>
          <w:sz w:val="20"/>
          <w:szCs w:val="20"/>
          <w:color w:val="auto"/>
        </w:rPr>
      </w:pPr>
    </w:p>
    <w:p>
      <w:pPr>
        <w:ind w:left="200" w:hanging="131"/>
        <w:spacing w:after="0"/>
        <w:tabs>
          <w:tab w:leader="none" w:pos="200" w:val="left"/>
        </w:tabs>
        <w:numPr>
          <w:ilvl w:val="0"/>
          <w:numId w:val="3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1"/>
          <w:szCs w:val="11"/>
          <w:color w:val="auto"/>
        </w:rPr>
        <w:t>Note 17,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1"/>
          <w:szCs w:val="11"/>
          <w:i w:val="1"/>
          <w:iCs w:val="1"/>
          <w:color w:val="auto"/>
        </w:rPr>
        <w:t>Leases,</w:t>
      </w:r>
      <w:r>
        <w:rPr>
          <w:rFonts w:ascii="Times New Roman" w:cs="Times New Roman" w:eastAsia="Times New Roman" w:hAnsi="Times New Roman"/>
          <w:sz w:val="13"/>
          <w:szCs w:val="13"/>
          <w:color w:val="auto"/>
        </w:rPr>
        <w:t xml:space="preserve"> for the </w:t>
      </w:r>
      <w:r>
        <w:rPr>
          <w:rFonts w:ascii="Times New Roman" w:cs="Times New Roman" w:eastAsia="Times New Roman" w:hAnsi="Times New Roman"/>
          <w:sz w:val="11"/>
          <w:szCs w:val="11"/>
          <w:color w:val="auto"/>
        </w:rPr>
        <w:t>amounts of energy and capacity revenues that relate to leases and are accounted for under ASC 842.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2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80" w:type="dxa"/>
            <w:vAlign w:val="bottom"/>
          </w:tcPr>
          <w:p>
            <w:pPr>
              <w:spacing w:after="0"/>
              <w:rPr>
                <w:sz w:val="13"/>
                <w:szCs w:val="13"/>
                <w:color w:val="auto"/>
              </w:rPr>
            </w:pPr>
          </w:p>
        </w:tc>
        <w:tc>
          <w:tcPr>
            <w:tcW w:w="1180" w:type="dxa"/>
            <w:vAlign w:val="bottom"/>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8"/>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r>
      <w:tr>
        <w:trPr>
          <w:trHeight w:val="170"/>
        </w:trPr>
        <w:tc>
          <w:tcPr>
            <w:tcW w:w="64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Other revenues </w:t>
            </w:r>
            <w:r>
              <w:rPr>
                <w:rFonts w:ascii="Times New Roman" w:cs="Times New Roman" w:eastAsia="Times New Roman" w:hAnsi="Times New Roman"/>
                <w:sz w:val="16"/>
                <w:szCs w:val="16"/>
                <w:color w:val="auto"/>
                <w:vertAlign w:val="superscript"/>
              </w:rPr>
              <w:t>(a)</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7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8"/>
        </w:trPr>
        <w:tc>
          <w:tcPr>
            <w:tcW w:w="6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r>
      <w:tr>
        <w:trPr>
          <w:trHeight w:val="17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68"/>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w:t>
            </w:r>
          </w:p>
        </w:tc>
      </w:tr>
      <w:tr>
        <w:trPr>
          <w:trHeight w:val="163"/>
        </w:trPr>
        <w:tc>
          <w:tcPr>
            <w:tcW w:w="6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20"/>
        </w:trPr>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2" w:lineRule="exact"/>
        <w:rPr>
          <w:sz w:val="20"/>
          <w:szCs w:val="20"/>
          <w:color w:val="auto"/>
        </w:rPr>
      </w:pPr>
    </w:p>
    <w:p>
      <w:pPr>
        <w:ind w:left="200" w:hanging="131"/>
        <w:spacing w:after="0"/>
        <w:tabs>
          <w:tab w:leader="none" w:pos="200"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17,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the amounts of energy, capacity and other revenues that relate to leases and are accounted for under ASC 842.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6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8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8"/>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r>
      <w:tr>
        <w:trPr>
          <w:trHeight w:val="17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7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58"/>
        </w:trPr>
        <w:tc>
          <w:tcPr>
            <w:tcW w:w="6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7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68"/>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7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r>
      <w:tr>
        <w:trPr>
          <w:trHeight w:val="160"/>
        </w:trPr>
        <w:tc>
          <w:tcPr>
            <w:tcW w:w="6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17,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the amounts of energy and capacity revenues that relate to leases and are accounted for under ASC 842.</w:t>
      </w:r>
    </w:p>
    <w:p>
      <w:pPr>
        <w:spacing w:after="0" w:line="200" w:lineRule="exact"/>
        <w:rPr>
          <w:rFonts w:ascii="Times New Roman" w:cs="Times New Roman" w:eastAsia="Times New Roman" w:hAnsi="Times New Roman"/>
          <w:sz w:val="17"/>
          <w:szCs w:val="17"/>
          <w:color w:val="auto"/>
          <w:vertAlign w:val="superscript"/>
        </w:rPr>
      </w:pPr>
    </w:p>
    <w:p>
      <w:pPr>
        <w:spacing w:after="0" w:line="352"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7" w:name="page88"/>
    <w:bookmarkEnd w:id="87"/>
    <w:p>
      <w:pPr>
        <w:ind w:left="320"/>
        <w:spacing w:after="0"/>
        <w:rPr>
          <w:sz w:val="20"/>
          <w:szCs w:val="20"/>
          <w:color w:val="auto"/>
        </w:rPr>
      </w:pPr>
      <w:r>
        <w:rPr>
          <w:rFonts w:ascii="Times New Roman" w:cs="Times New Roman" w:eastAsia="Times New Roman" w:hAnsi="Times New Roman"/>
          <w:sz w:val="14"/>
          <w:szCs w:val="14"/>
          <w:i w:val="1"/>
          <w:iCs w:val="1"/>
          <w:color w:val="auto"/>
        </w:rPr>
        <w:t>Contract Amortization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contract assets included on the Company’s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Pr>
          <w:p>
            <w:pPr>
              <w:spacing w:after="0"/>
              <w:rPr>
                <w:sz w:val="13"/>
                <w:szCs w:val="13"/>
                <w:color w:val="auto"/>
              </w:rPr>
            </w:pPr>
          </w:p>
        </w:tc>
        <w:tc>
          <w:tcPr>
            <w:tcW w:w="150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0"/>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 - Contracts with customers</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Accounts receivable, net - Leases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88"/>
        </w:trPr>
        <w:tc>
          <w:tcPr>
            <w:tcW w:w="7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accounts receivable, net</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derivative financial instruments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deferred and recorded as a component of accumulated OCI until the hedged transactions occur and are recognized in earnings.</w:t>
      </w:r>
    </w:p>
    <w:p>
      <w:pPr>
        <w:spacing w:after="0" w:line="93"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Company’s primary derivative financial instruments are interest rate instruments used to mitigate variability in earnings due to fluctuations in interest rates and energy-related instruments used to mitigate variability in earnings due to fluctuations in power market prices or natural gas market prices.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financial instrument is terminated, the effective portion of this derivative deferred in accumulated OCI will be frozen until the underlying hedged item is delivered.</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flows from derivative financial instruments, including derivatives designated as cash flow hedges and derivatives not designated as cash flow hedges, are classified as operating activities in the consolidated statements of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concentrations of credit risk consist primarily of accounts receivable — trade and derivative financial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facilities have only one customer</w:t>
      </w:r>
      <w:r>
        <w:rPr>
          <w:rFonts w:ascii="Times New Roman" w:cs="Times New Roman" w:eastAsia="Times New Roman" w:hAnsi="Times New Roman"/>
          <w:sz w:val="14"/>
          <w:szCs w:val="14"/>
          <w:color w:val="1F497D"/>
        </w:rPr>
        <w:t>.</w:t>
      </w:r>
      <w:r>
        <w:rPr>
          <w:rFonts w:ascii="Times New Roman" w:cs="Times New Roman" w:eastAsia="Times New Roman" w:hAnsi="Times New Roman"/>
          <w:sz w:val="14"/>
          <w:szCs w:val="14"/>
          <w:color w:val="auto"/>
        </w:rPr>
        <w:t xml:space="preserve"> See Note 6, </w:t>
      </w:r>
      <w:r>
        <w:rPr>
          <w:rFonts w:ascii="Times New Roman" w:cs="Times New Roman" w:eastAsia="Times New Roman" w:hAnsi="Times New Roman"/>
          <w:sz w:val="14"/>
          <w:szCs w:val="14"/>
          <w:i w:val="1"/>
          <w:iCs w:val="1"/>
          <w:color w:val="auto"/>
        </w:rPr>
        <w:t>Fair Value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Instruments, </w:t>
      </w:r>
      <w:r>
        <w:rPr>
          <w:rFonts w:ascii="Times New Roman" w:cs="Times New Roman" w:eastAsia="Times New Roman" w:hAnsi="Times New Roman"/>
          <w:sz w:val="14"/>
          <w:szCs w:val="14"/>
          <w:color w:val="auto"/>
        </w:rPr>
        <w:t>for a further discussion of derivative concentrations and Note 13,</w:t>
      </w:r>
      <w:r>
        <w:rPr>
          <w:rFonts w:ascii="Times New Roman" w:cs="Times New Roman" w:eastAsia="Times New Roman" w:hAnsi="Times New Roman"/>
          <w:sz w:val="14"/>
          <w:szCs w:val="14"/>
          <w:i w:val="1"/>
          <w:iCs w:val="1"/>
          <w:color w:val="auto"/>
        </w:rPr>
        <w:t xml:space="preserve"> Segment Reporting</w:t>
      </w:r>
      <w:r>
        <w:rPr>
          <w:rFonts w:ascii="Times New Roman" w:cs="Times New Roman" w:eastAsia="Times New Roman" w:hAnsi="Times New Roman"/>
          <w:sz w:val="14"/>
          <w:szCs w:val="14"/>
          <w:color w:val="auto"/>
        </w:rPr>
        <w:t>, for concentration of counterparties.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38"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 xml:space="preserve">The carrying amount of cash and cash equivalents, restricted cash, accounts receivable — trade, accounts payable — trade, account payable — affiliates and accrued expenses and other current liabilities approximate fair value because of the short-term maturity of these instruments. 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a further discussion of fair value of financial instruments.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Asset retirement obligations, or AROs, are accounted for in accordance with ASC 410-20, </w:t>
      </w:r>
      <w:r>
        <w:rPr>
          <w:rFonts w:ascii="Times New Roman" w:cs="Times New Roman" w:eastAsia="Times New Roman" w:hAnsi="Times New Roman"/>
          <w:sz w:val="14"/>
          <w:szCs w:val="14"/>
          <w:i w:val="1"/>
          <w:iCs w:val="1"/>
          <w:color w:val="auto"/>
        </w:rPr>
        <w:t>Asset Retirement Obligations,</w:t>
      </w:r>
      <w:r>
        <w:rPr>
          <w:rFonts w:ascii="Times New Roman" w:cs="Times New Roman" w:eastAsia="Times New Roman" w:hAnsi="Times New Roman"/>
          <w:sz w:val="14"/>
          <w:szCs w:val="14"/>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9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represents the balance of AROs, along with the related activity: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74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incurred</w:t>
            </w:r>
          </w:p>
        </w:tc>
        <w:tc>
          <w:tcPr>
            <w:tcW w:w="7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9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Accretion expense</w:t>
            </w: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incurred</w:t>
            </w:r>
          </w:p>
        </w:tc>
        <w:tc>
          <w:tcPr>
            <w:tcW w:w="7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Liabilities settled</w:t>
            </w:r>
          </w:p>
        </w:tc>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Accretion expense</w:t>
            </w:r>
          </w:p>
        </w:tc>
        <w:tc>
          <w:tcPr>
            <w:tcW w:w="7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0"/>
        </w:trPr>
        <w:tc>
          <w:tcPr>
            <w:tcW w:w="9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Accounted for by the Equity Method</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has investments in various energy facilities accounted for by the equity method, several of which are VIEs, where the Company is not a primary beneficiary, as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equity method of accounting is applied to these investments in affiliates because the ownership structure prevents the Company from exercising a controlling influence over the operating and financial policies of the facilities.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i w:val="1"/>
          <w:iCs w:val="1"/>
          <w:color w:val="auto"/>
        </w:rPr>
        <w:t>Sale-Leaseback Arrangements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party to sale-leaseback arrangements that provide for the sale of certain assets to a third-party and simultaneous leaseback to the Company. In accordance with ASC 842-40, </w:t>
      </w:r>
      <w:r>
        <w:rPr>
          <w:rFonts w:ascii="Times New Roman" w:cs="Times New Roman" w:eastAsia="Times New Roman" w:hAnsi="Times New Roman"/>
          <w:sz w:val="14"/>
          <w:szCs w:val="14"/>
          <w:i w:val="1"/>
          <w:iCs w:val="1"/>
          <w:color w:val="auto"/>
        </w:rPr>
        <w:t>Sale-Leaseback Transactions</w:t>
      </w:r>
      <w:r>
        <w:rPr>
          <w:rFonts w:ascii="Times New Roman" w:cs="Times New Roman" w:eastAsia="Times New Roman" w:hAnsi="Times New Roman"/>
          <w:sz w:val="14"/>
          <w:szCs w:val="14"/>
          <w:color w:val="auto"/>
        </w:rPr>
        <w:t>, if the seller-lessee retains, through the leaseback, substantially all of the benefits and risks incident to the ownership of the property sold, the sale-leaseback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income taxes using the liability method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or ASC 740, which requires that the Company use the asset and liability method of accounting for deferred income taxes and provide deferred income taxes for all significant temporary differences.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two categories of income tax expense or benefit — current and deferred, as follows:</w:t>
      </w:r>
    </w:p>
    <w:p>
      <w:pPr>
        <w:spacing w:after="0" w:line="51" w:lineRule="exact"/>
        <w:rPr>
          <w:sz w:val="20"/>
          <w:szCs w:val="20"/>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income tax expense or benefit consists solely of current taxes payable less applicable tax credits,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income tax expense or benefit is the change in the net deferred income tax asset or liability, excluding amounts charged or credited to accumulated other comprehensive income (loss).</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the Company considered the profit before tax generated in recent years. A valuation allowance is recorded to reduce the net deferred tax assets to an amount that is more-likely-than-not to be realized.</w:t>
      </w:r>
    </w:p>
    <w:p>
      <w:pPr>
        <w:spacing w:after="0" w:line="10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w:t>
      </w:r>
    </w:p>
    <w:p>
      <w:pPr>
        <w:spacing w:after="0" w:line="91"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 accordance with ASC 740 and as discussed further in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changes to existing net deferred tax assets, valuation allowances, or changes to uncertain tax benefits, are recorded to income tax expense.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Acquisitions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its acquisitions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noncontrolling interest.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i w:val="1"/>
          <w:iCs w:val="1"/>
          <w:color w:val="auto"/>
        </w:rPr>
        <w:t>Tax Equity Arrangements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Certain portions of the Company’s noncontrolling interest represent third-party interests in the net assets under tax equity arrangements, which are consolidated by the Company, that have been entered into to finance the cost of facilities eligible for certain tax credits and benefits. The Company has determined that the provisions in the contractual agreements of these noncontrolling interests represent substantive profit sharing arrangements. Further, the Company has determined that the appropriate methodology for calculating the noncontrolling interest that reflects the substantive profit sharing arrangements is a balance sheet approach utilizing the hypothetical liquidation at book value, or HLBV, method. Under the HLBV method, the amounts reported as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Redeemable Noncontrolling Interest</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 xml:space="preserve">To the extent that a third party has the right to redeem their interests for cash or other assets, the Company has included the noncontrolling interest attributable to the third party as a component of temporary equity in the mezzanine section of the consolidated balance sheet. During the fourth quarter of 2024, the Company repurchased the remaining partner’s equity interest,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following table reflects the changes in the Company’s redeemable noncontrolling interest balance: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distributions to redeemable noncontrolling interests</w:t>
            </w:r>
          </w:p>
        </w:tc>
        <w:tc>
          <w:tcPr>
            <w:tcW w:w="3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 attributable to redeemable noncontrolling interests</w:t>
            </w: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9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Repurchase of redeemable noncontrolling interest</w:t>
            </w: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distributions to redeemable noncontrolling interests</w:t>
            </w:r>
          </w:p>
        </w:tc>
        <w:tc>
          <w:tcPr>
            <w:tcW w:w="3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 attributable to redeemable noncontrolling interests</w:t>
            </w: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9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Repurchase of redeemable noncontrolling interest</w:t>
            </w: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recording transactions and balances resulting from business operations, the Company uses estimates based on the best information available. Estimates are used for such items as plant depreciable lives, tax provisions,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The amendment improves income tax disclosure requirements by requiring public entities, on an annual basis, to provide disclosure of defined categories in the income tax rate reconciliation, as well as disclosure of income taxes paid, disaggregated by jurisdiction. This guidance must be applied prospectively and is effective for annual reporting periods in fiscal years beginning after December 15, 2024. As of December 31, 2024, the Company has elected to early adopt ASU 2023-09 prospectively and has enhanced its income tax disclosures included in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to comply with the requirements. The adoption did not have an impact on the Company’s financial statements.</w:t>
      </w:r>
    </w:p>
    <w:p>
      <w:pPr>
        <w:spacing w:after="0" w:line="97"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The amendment improves reportable segment disclosure requirements, primarily through enhanced disclosures about significant segment expense categories and details regarding information utilized to assess segment performance. Additionally, the amendment increases the frequency of disclosures by requiring Topic 280 to be applied to interim financial statements. This guidance must be applied retrospectively and is effective for annual reporting periods in fiscal years beginning after December 15, 2023, and interim reporting periods in fiscal years beginning after December 31, 2024. As of December 31, 2024, the Company has adopted ASU 2023-07 and has enhanced its reportable segment disclosures in Note 13,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to comply with the requirements. The adoption did not have an impact on the Company’s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Standards Not Yet Adopted</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In November 2024, the FASB issued ASU No 2024-03</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Statement - Reporting Comprehensive Income-Expense Disaggregation Disclosures (Subtopic 220-40).</w:t>
      </w:r>
      <w:r>
        <w:rPr>
          <w:rFonts w:ascii="Times New Roman" w:cs="Times New Roman" w:eastAsia="Times New Roman" w:hAnsi="Times New Roman"/>
          <w:sz w:val="14"/>
          <w:szCs w:val="14"/>
          <w:color w:val="auto"/>
        </w:rPr>
        <w:t xml:space="preserve"> The amendment requires certain expenses presented on the face of the income statement to be disaggregated in the notes to the financial statements. This guidance is effective for annual reporting periods beginning after December 15, 2026 and interim periods within annual reporting periods beginning after December 15, 2027. The amendments may be applied either prospectively to financial statements issued for reporting periods after the effective date of this ASU or retrospectively to all prior periods presented in the financial statements. As of December 31, 2024, the Company has not elected to early adopt the standard and is evaluating the effect of the new guidance on its consolidated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Acquisitions</w:t>
      </w:r>
    </w:p>
    <w:p>
      <w:pPr>
        <w:spacing w:after="0" w:line="13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4"/>
          <w:szCs w:val="14"/>
          <w:color w:val="auto"/>
        </w:rPr>
        <w:t xml:space="preserve">As further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records the assets acquired and liabilities assumed at acquisition-date fair value, except for acquisitions under common control by CEG, in which assets acquired and liabilities assumed are recorded at historical cost at the acquisition date, which for certain transactions represent the acquired cost.</w:t>
      </w:r>
    </w:p>
    <w:p>
      <w:pPr>
        <w:spacing w:after="0" w:line="25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Dan’s Mountain Drop Down — </w:t>
      </w:r>
      <w:r>
        <w:rPr>
          <w:rFonts w:ascii="Times New Roman" w:cs="Times New Roman" w:eastAsia="Times New Roman" w:hAnsi="Times New Roman"/>
          <w:sz w:val="14"/>
          <w:szCs w:val="14"/>
          <w:color w:val="auto"/>
        </w:rPr>
        <w:t>On November 18, 2024, the Company, through its indirect subsidiary, Dan’s Mountain Parent Holdco LLC, acquired the Class A membership interests in Dan’s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Mountain TargetCo LLC, the indirect owner of Dan’s Mountain, a 55 MW wind facility that is currently under construction in Allegany County, Maryland,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Dan’s Mountain has a 12-year PPA with an investment-grade utility that will commence when the underlying operating assets reach commercial operations, which is expected to occur in the first half of 2025. The Dan’s Mountain operations are reflected in the Company’s Renewables segment and the acquisition was funded with existing sources of liquidity. The acquisition was determined to be an asset acquisition and the Company consolidates Dan’s Mountain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initial cash consideration of $7 million and the historical cost of the Company’s net liabilities assumed of $2 million, less Clearway Renew’s investment of $1 million in Dan’s Mountain TargetCo LLC, was recorded as an adjustment to CEG’s noncontrolling interest balance. In addition, the Company reflected the entire $7 million purchase price, which was contributed back to the Company by CEG to pay down the acquired long-term debt, in the line item contributions from CEG, net of distributions, in the consolidated statements of stockholders’ equity.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2" w:name="page93"/>
    <w:bookmarkEnd w:id="92"/>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November 18,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Dan’s Mountain</w:t>
            </w:r>
          </w:p>
        </w:tc>
      </w:tr>
      <w:tr>
        <w:trPr>
          <w:trHeight w:val="173"/>
        </w:trPr>
        <w:tc>
          <w:tcPr>
            <w:tcW w:w="924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12"/>
        </w:trPr>
        <w:tc>
          <w:tcPr>
            <w:tcW w:w="9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0"/>
        </w:trPr>
        <w:tc>
          <w:tcPr>
            <w:tcW w:w="9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9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6"/>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$150 million.</w:t>
      </w:r>
    </w:p>
    <w:p>
      <w:pPr>
        <w:spacing w:after="0" w:line="45" w:lineRule="exact"/>
        <w:rPr>
          <w:rFonts w:ascii="Times New Roman" w:cs="Times New Roman" w:eastAsia="Times New Roman" w:hAnsi="Times New Roman"/>
          <w:sz w:val="17"/>
          <w:szCs w:val="17"/>
          <w:color w:val="auto"/>
          <w:vertAlign w:val="superscript"/>
        </w:rPr>
      </w:pPr>
    </w:p>
    <w:p>
      <w:pPr>
        <w:ind w:left="60" w:firstLine="9"/>
        <w:spacing w:after="0"/>
        <w:tabs>
          <w:tab w:leader="none" w:pos="206"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 $77 million cash equity bridge loan and a $49 million tax equity bridge loan, offset by $1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9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Rosamond Central BESS Drop Down </w:t>
      </w:r>
      <w:r>
        <w:rPr>
          <w:rFonts w:ascii="Times New Roman" w:cs="Times New Roman" w:eastAsia="Times New Roman" w:hAnsi="Times New Roman"/>
          <w:sz w:val="14"/>
          <w:szCs w:val="14"/>
          <w:color w:val="auto"/>
        </w:rPr>
        <w:t>— On December 1, 2023, the Rosamond Central solar facility acquired a 147 MW co-located BESS facility from Clearway Renew for initial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consideration of $70 million, $16 million of which was funded by the Company, with the remaining $54 million funded through contributions from the cash equity investor in Rosie TargetCo LLC and the tax equity investor in Rosie TE HoldCo LLC. On June 13, 2024, when the Rosamond Central BESS facility reached substantial completion, the Company paid $279 million to Clearway Renew as additional purchase price to complete its acquisition of the facility. The additional purchase price consisted of $64 million funded by the Company and $215 million funded through contributions from the cash equity and tax equity investors. In order to facilitate and fund the construction of the BESS facility, Rosie Class B LLC, the indirect owner of the Rosamond Central solar facility, utilizing the proceeds from borrowings received under the refinanced debt facility, issued a loan to Clearway Renew, as further discussed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and also made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contributions to Rosie BESS Devco LLC, or Rosie Central BESS, which were accounted for as investments under the equity method of accounting, as further discussed in </w:t>
      </w:r>
      <w:r>
        <w:rPr>
          <w:rFonts w:ascii="Times New Roman" w:cs="Times New Roman" w:eastAsia="Times New Roman" w:hAnsi="Times New Roman"/>
          <w:sz w:val="14"/>
          <w:szCs w:val="14"/>
          <w:color w:val="000000"/>
        </w:rPr>
        <w:t>Note 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Investments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Accounted for by the Equity Method and Variable Interest Entities</w:t>
      </w:r>
      <w:r>
        <w:rPr>
          <w:rFonts w:ascii="Times New Roman" w:cs="Times New Roman" w:eastAsia="Times New Roman" w:hAnsi="Times New Roman"/>
          <w:sz w:val="14"/>
          <w:szCs w:val="14"/>
          <w:color w:val="000000"/>
        </w:rPr>
        <w:t>. The BESS facility has a 15-year PPA for capacity with an investment-grade utility that commenced in July 2024. The Rosamond</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 xml:space="preserve">Central BESS operations are reflected in the Company’s Renewables segment and the Company’s portion of the purchase price was funded with existing sources of liquidity. The acquisition was determined to be an asset acquisition and the Company consolidates the Rosamond Central BESS net assets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000000"/>
        </w:rPr>
        <w:t>Business Combinations - Related Issues</w:t>
      </w:r>
      <w:r>
        <w:rPr>
          <w:rFonts w:ascii="Times New Roman" w:cs="Times New Roman" w:eastAsia="Times New Roman" w:hAnsi="Times New Roman"/>
          <w:sz w:val="14"/>
          <w:szCs w:val="14"/>
          <w:color w:val="000000"/>
        </w:rPr>
        <w:t>. The difference between the historical cost of the Company’s net assets acquired of $266 million and the Company’s initial cash consideration of $70 million was recorded as an adjustment to CEG’s noncontrolling interest balance. The $279 million additional purchase price was also recorded as an adjustment to CEG’s noncontrolling interest balance.</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December 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Rosamond Central BESS</w:t>
            </w:r>
          </w:p>
        </w:tc>
      </w:tr>
      <w:tr>
        <w:trPr>
          <w:trHeight w:val="173"/>
        </w:trPr>
        <w:tc>
          <w:tcPr>
            <w:tcW w:w="900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71"/>
        </w:trPr>
        <w:tc>
          <w:tcPr>
            <w:tcW w:w="9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6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12"/>
        </w:trPr>
        <w:tc>
          <w:tcPr>
            <w:tcW w:w="9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80"/>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6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Construction in progress of $272 million.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3" w:name="page94"/>
    <w:bookmarkEnd w:id="93"/>
    <w:p>
      <w:pPr>
        <w:jc w:val="both"/>
        <w:ind w:left="60" w:firstLine="318"/>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Victory Pass and Arica Drop Down </w:t>
      </w:r>
      <w:r>
        <w:rPr>
          <w:rFonts w:ascii="Times New Roman" w:cs="Times New Roman" w:eastAsia="Times New Roman" w:hAnsi="Times New Roman"/>
          <w:sz w:val="14"/>
          <w:szCs w:val="14"/>
          <w:color w:val="auto"/>
        </w:rPr>
        <w:t xml:space="preserve">— On October 31, 2023, the Company, through its indirect subsidiary, VP-Arica Parent Holdco LLC, acquired the Class A membership interests in VP-Arica TargetCo LLC, a partnership and the indirect owner of Victory Pass, a 200 MW solar facility that is paired with a 50 MW BESS facility, and Arica, a 263 MW solar facility that is paired with a 136 MW BESS facility, both located in Riverside, California, from Clearway Renew for initial cash consideration of $46 million. Simultaneously, a cash equity investor acquired the Class B membership interests in VP-Arica TargetCo LLC from Clearway Renew for initial cash consideration of $87 million. On May 1, 2024, when the facilities reached substantial completion, the Company paid $165 million to Clearway Renew as additional purchase price and the cash equity investor contributed an additional $347 million. VP-Arica TargetCo LLC consolidates as primary beneficiary, VP-Arica TE Holdco LLC, a tax equity fund that owns the Victory Pass and Arica solar and BESS facilities, as further described in Note 5, </w:t>
      </w:r>
      <w:r>
        <w:rPr>
          <w:rFonts w:ascii="Times New Roman" w:cs="Times New Roman" w:eastAsia="Times New Roman" w:hAnsi="Times New Roman"/>
          <w:sz w:val="14"/>
          <w:szCs w:val="14"/>
          <w:i w:val="1"/>
          <w:iCs w:val="1"/>
          <w:color w:val="auto"/>
        </w:rPr>
        <w:t>Investments Accounted for by the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Method and Variable Interest Entities</w:t>
      </w:r>
      <w:r>
        <w:rPr>
          <w:rFonts w:ascii="Times New Roman" w:cs="Times New Roman" w:eastAsia="Times New Roman" w:hAnsi="Times New Roman"/>
          <w:sz w:val="14"/>
          <w:szCs w:val="14"/>
          <w:color w:val="auto"/>
        </w:rPr>
        <w:t>. Victory Pass and Arica each have PPAs with investment-grade counterparties that have a 15-year and 14-year weighted average contract duration,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that commenced between March 2024 and April 2024. The Victory Pass and Arica operations are reflected in the Company’s Renewables segment and the acquisition was funded with existing sources of liquidity. The acquisition was determined to be an asset acquisition and the Company consolidates Victory Pass and Arica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initial cash consideration of $46 million and the historical cost of the Company’s net liabilities assumed of $1 million was recorded as an adjustment to CEG’s noncontrolling interest balance. The $165 million additional purchase price was also recorded as an adjustment to CEG’s noncontrolling interest balance. In addition, the Company reflected the entire $46 million of the Company’s initial purchase price, which was contributed back to the Company by CEG to pay down the acquired long-term debt, in the line item distributions to CEG, net of contributions, in the consolidated statements of stockholders’ equity. The Company also reflected the entire $165 million of the Company’s additional purchase price, which was contributed back to the Company by CEG to pay down long-term debt, in the line item contributions to CEG, net of distributions, in the consolidated statements of stockholders’ equity.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October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Victory Pass and Arica</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212"/>
        </w:trPr>
        <w:tc>
          <w:tcPr>
            <w:tcW w:w="9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4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4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$893 million.</w:t>
      </w:r>
    </w:p>
    <w:p>
      <w:pPr>
        <w:spacing w:after="0" w:line="45" w:lineRule="exact"/>
        <w:rPr>
          <w:rFonts w:ascii="Times New Roman" w:cs="Times New Roman" w:eastAsia="Times New Roman" w:hAnsi="Times New Roman"/>
          <w:sz w:val="17"/>
          <w:szCs w:val="17"/>
          <w:color w:val="auto"/>
          <w:vertAlign w:val="superscript"/>
        </w:rPr>
      </w:pPr>
    </w:p>
    <w:p>
      <w:pPr>
        <w:ind w:left="60" w:firstLine="9"/>
        <w:spacing w:after="0"/>
        <w:tabs>
          <w:tab w:leader="none" w:pos="206" w:val="left"/>
        </w:tabs>
        <w:numPr>
          <w:ilvl w:val="0"/>
          <w:numId w:val="4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 $483 million cash equity bridge loan and $385 million tax equity bridge loan, offset by $4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4" w:name="page95"/>
    <w:bookmarkEnd w:id="94"/>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Creek, a 160 MW wind facility that is located in Bingham County, Idaho, from Clearway Renew for cash consideration of $117 million. Cedar Creek Holdco LLC consolidates as primary beneficiary, Cedar Creek TE Holdco LLC, a tax equity fund that owns the Cedar Creek wind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Cedar Creek has a 25-year PPA with an investment-grade utility that commenced in March 2024. The Cedar Creek operations are reflected in the Company’s Renewables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Issues</w:t>
      </w:r>
      <w:r>
        <w:rPr>
          <w:rFonts w:ascii="Times New Roman" w:cs="Times New Roman" w:eastAsia="Times New Roman" w:hAnsi="Times New Roman"/>
          <w:sz w:val="14"/>
          <w:szCs w:val="14"/>
          <w:color w:val="auto"/>
        </w:rPr>
        <w:t>. The difference between the Company’s cash paid of $117 million and the historical cost of the Company’s net assets acquired of $17 million was recorded as an adjustment to CEG’s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noncontrolling interest balance. In addition, the Company reflected the entire $117 million purchase price, which was contributed back to the Company by CEG to pay down the acquired long-term debt, in the line item contributions from CEG, net of distributions, in the consolidated statements of stockholders’ equity.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16,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Cedar Creek</w:t>
            </w:r>
          </w:p>
        </w:tc>
      </w:tr>
      <w:tr>
        <w:trPr>
          <w:trHeight w:val="173"/>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2"/>
        </w:trPr>
        <w:tc>
          <w:tcPr>
            <w:tcW w:w="2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0"/>
        </w:trPr>
        <w:tc>
          <w:tcPr>
            <w:tcW w:w="92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9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2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7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60" w:type="dxa"/>
            <w:vAlign w:val="bottom"/>
          </w:tcPr>
          <w:p>
            <w:pPr>
              <w:spacing w:after="0"/>
              <w:rPr>
                <w:sz w:val="10"/>
                <w:szCs w:val="10"/>
                <w:color w:val="auto"/>
              </w:rPr>
            </w:pPr>
          </w:p>
        </w:tc>
      </w:tr>
    </w:tbl>
    <w:p>
      <w:pPr>
        <w:spacing w:after="0" w:line="76" w:lineRule="exact"/>
        <w:rPr>
          <w:sz w:val="20"/>
          <w:szCs w:val="20"/>
          <w:color w:val="auto"/>
        </w:rPr>
      </w:pPr>
    </w:p>
    <w:p>
      <w:pPr>
        <w:ind w:left="60" w:firstLine="9"/>
        <w:spacing w:after="0" w:line="230" w:lineRule="auto"/>
        <w:tabs>
          <w:tab w:leader="none" w:pos="190" w:val="left"/>
        </w:tabs>
        <w:numPr>
          <w:ilvl w:val="0"/>
          <w:numId w:val="4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$112 million construction loan, a $91 million cash equity bridge loan, and a $109 million tax equity bridge loan, offset by $3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11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located in Kent County, Texas, from Clearway Renew for cash consideration of $112 million, of which $17 million was funded by the Company, with the remaining $95 million funded through a contribution from the cash equity investor in Lighthouse Renewable Holdco 2 LLC, a partnership. Lighthouse Renewable Holdco 2 LLC indirectly consolidates as primary beneficiary, TSN1 TE Holdco LLC, a tax equity fund that owns Texas Solar Nova 1 and Texas Solar Nova 2,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Texas Solar Nova 2 has an 18-year PPA with an investment-grade counterparty that commenced in February 2024. The Texas Solar Nova 2 operations are reflected in the Company’s Renewables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Company’s cash paid of $112 million and the historical cost of the Company’s net assets acquired of $72 million was recorded as an adjustment to CEG’s noncontrolling interest balance. In addition, the Company reflected $9 million of the Company’s purchase price, which was contributed back to the Company by CEG to pay down the acquired long-term debt, in the line item contributions from CEG, net of distributions, in the 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5" w:name="page96"/>
    <w:bookmarkEnd w:id="95"/>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15,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2</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12"/>
        </w:trPr>
        <w:tc>
          <w:tcPr>
            <w:tcW w:w="9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4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an $80 million term loan and a $115 million tax equity bridge loan, offset by $1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1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1 Drop Down </w:t>
      </w:r>
      <w:r>
        <w:rPr>
          <w:rFonts w:ascii="Times New Roman" w:cs="Times New Roman" w:eastAsia="Times New Roman" w:hAnsi="Times New Roman"/>
          <w:sz w:val="14"/>
          <w:szCs w:val="14"/>
          <w:color w:val="auto"/>
        </w:rPr>
        <w:t>— On December 28, 2023, the Company, through its indirect subsidiary, Lighthouse Renewable Holdco 2 LLC, acquired TSN1 BL Borrower Holdco LLC,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indirect owner of Texas Solar Nova 1, a 252 MW solar facility that is located in Kent County, Texas, from Clearway Renew for cash consideration of $23 million. Lighthouse Renewable Holdco 2 LLC is a partnership between the Company and a cash equity investor. The cash equity investor contributed cash consideration of $109 million to acquire their portion of the acquired entity. TSN1 BL Borrower Holdco LLC consolidates as primary beneficiary, TSN1 TE Holdco LLC, a tax equity fund that owns the Texas Solar Nova 1 solar facility, as further described in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Accounted for by the Equity Method and Variable Interest Entities</w:t>
      </w:r>
      <w:r>
        <w:rPr>
          <w:rFonts w:ascii="Times New Roman" w:cs="Times New Roman" w:eastAsia="Times New Roman" w:hAnsi="Times New Roman"/>
          <w:sz w:val="14"/>
          <w:szCs w:val="14"/>
          <w:color w:val="auto"/>
        </w:rPr>
        <w:t>. Texas Solar Nova 1 has an 18-year PPA with an investment-grade counterparty that commenced in January 2024. The Texas Solar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Nova 1 operations are reflected in the Company’s Renewables segment and the acquisition was funded with existing sources of liquidity. The acquisition was determined to be an asset acquisition and the Company consolidates Texas Solar Nova 1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cash paid of $23 million and the historical cost of the Company’s net liabilities assumed of $6 million was recorded as an adjustment to CEG’s noncontrolling interest balance. In addition, the Company reflected the entire $23 million of the Company’s purchase price, which was contributed back to the Company by CEG to pay down the acquired long-term debt, in the line item distributions to CEG, net of contributions, in the consolidated statements of stockholders’ equity.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6" w:name="page97"/>
    <w:bookmarkEnd w:id="96"/>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December 28,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1</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212"/>
        </w:trPr>
        <w:tc>
          <w:tcPr>
            <w:tcW w:w="9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3" w:lineRule="exact"/>
        <w:rPr>
          <w:sz w:val="20"/>
          <w:szCs w:val="20"/>
          <w:color w:val="auto"/>
        </w:rPr>
      </w:pPr>
    </w:p>
    <w:p>
      <w:pPr>
        <w:ind w:left="60" w:firstLine="9"/>
        <w:spacing w:after="0" w:line="230" w:lineRule="auto"/>
        <w:tabs>
          <w:tab w:leader="none" w:pos="190" w:val="left"/>
        </w:tabs>
        <w:numPr>
          <w:ilvl w:val="0"/>
          <w:numId w:val="4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$90 million construction loan, $109 million cash equity bridge loan and $151 million tax equity bridge loan, offset by $1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119" w:lineRule="exact"/>
        <w:rPr>
          <w:sz w:val="20"/>
          <w:szCs w:val="20"/>
          <w:color w:val="auto"/>
        </w:rPr>
      </w:pPr>
    </w:p>
    <w:p>
      <w:pPr>
        <w:jc w:val="both"/>
        <w:ind w:left="60" w:firstLine="31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Daggett 2 Drop Down </w:t>
      </w:r>
      <w:r>
        <w:rPr>
          <w:rFonts w:ascii="Times New Roman" w:cs="Times New Roman" w:eastAsia="Times New Roman" w:hAnsi="Times New Roman"/>
          <w:sz w:val="14"/>
          <w:szCs w:val="14"/>
          <w:color w:val="auto"/>
        </w:rPr>
        <w:t>— On August 30, 2023, the Company, through its indirect subsidiary, Daggett Solar Investment LLC, acquired the Class A membership interests in Daggett 2 TargetCo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LLC, a partnership and the indirect owner of Daggett 2, a 182 MW solar facility that is paired with a 131 MW BESS facility located in San Bernardino, California, from CEG for cash consideration of $13 million. Daggett 2 TargetCo LLC consolidates as primary beneficiary, Daggett 2 TE Holdco LLC, a tax equity fund that owns the Daggett 2 solar facility, as further described in Note 5, </w:t>
      </w:r>
      <w:r>
        <w:rPr>
          <w:rFonts w:ascii="Times New Roman" w:cs="Times New Roman" w:eastAsia="Times New Roman" w:hAnsi="Times New Roman"/>
          <w:sz w:val="14"/>
          <w:szCs w:val="14"/>
          <w:i w:val="1"/>
          <w:iCs w:val="1"/>
          <w:color w:val="auto"/>
        </w:rPr>
        <w:t xml:space="preserve">Investments Accounted for by the Equity Method and Variable Interest Entities. </w:t>
      </w:r>
      <w:r>
        <w:rPr>
          <w:rFonts w:ascii="Times New Roman" w:cs="Times New Roman" w:eastAsia="Times New Roman" w:hAnsi="Times New Roman"/>
          <w:sz w:val="14"/>
          <w:szCs w:val="14"/>
          <w:color w:val="auto"/>
        </w:rPr>
        <w:t>Daggett 2 has PPAs with investment-grade counterparties that have a 15-year weighted average contract duration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commenced in December 2023. The Daggett 2 operations are reflected in the Company’s Renewables segment and the acquisition was funded with existing sources of liquidity. The acquisition was determined to be an asset acquisition and the Company consolidates Daggett 2 on a prospective basis in its financial statements. The assets, liabilities and noncontrolling interests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historical cost of the Company’s acquired interests of $29 million and the cash paid of $13 million was recorded as an adjustment to CEG’s noncontrolling interest balance.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7" w:name="page98"/>
    <w:bookmarkEnd w:id="97"/>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August 30,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Daggett 2</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(a)</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4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212"/>
        </w:trPr>
        <w:tc>
          <w:tcPr>
            <w:tcW w:w="9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171"/>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96"/>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acquired less noncontrolling interests</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firstLine="9"/>
        <w:spacing w:after="0" w:line="212" w:lineRule="auto"/>
        <w:tabs>
          <w:tab w:leader="none" w:pos="201" w:val="left"/>
        </w:tabs>
        <w:numPr>
          <w:ilvl w:val="0"/>
          <w:numId w:val="4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funds that were contributed by the cash equity investor and tax equity investor, which were primarily used to pay off the tax equity bridge loan when the facility reached substantial completion on December 22, 2023, as further discussed in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w:t>
      </w:r>
    </w:p>
    <w:p>
      <w:pPr>
        <w:spacing w:after="0" w:line="28" w:lineRule="exact"/>
        <w:rPr>
          <w:rFonts w:ascii="Times New Roman" w:cs="Times New Roman" w:eastAsia="Times New Roman" w:hAnsi="Times New Roman"/>
          <w:sz w:val="17"/>
          <w:szCs w:val="17"/>
          <w:color w:val="auto"/>
          <w:vertAlign w:val="superscript"/>
        </w:rPr>
      </w:pPr>
    </w:p>
    <w:p>
      <w:pPr>
        <w:ind w:left="200" w:hanging="131"/>
        <w:spacing w:after="0"/>
        <w:tabs>
          <w:tab w:leader="none" w:pos="200" w:val="left"/>
        </w:tabs>
        <w:numPr>
          <w:ilvl w:val="0"/>
          <w:numId w:val="4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$107 million construction loan and $204 million tax equity bridge loan, offset by $3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11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Daggett 3 Drop Down </w:t>
      </w:r>
      <w:r>
        <w:rPr>
          <w:rFonts w:ascii="Times New Roman" w:cs="Times New Roman" w:eastAsia="Times New Roman" w:hAnsi="Times New Roman"/>
          <w:sz w:val="14"/>
          <w:szCs w:val="14"/>
          <w:color w:val="auto"/>
        </w:rPr>
        <w:t>— On February 17, 2023, the Company, through its indirect subsidiary, Daggett Solar Investment LLC, acquired the Class A membership interests in Daggett TargetCo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LLC, the indirect owner of Daggett 3, a 300 MW solar facility that is paired with a 149 MW BESS facility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contributed their Class A and B membership interests, respectively, into Daggett Renewable Holdco LLC, a partnership that consolidates Daggett TargetCo LLC. Daggett TargetCo LLC consolidates as primary beneficiary, Daggett TE Holdco LLC, a tax equity fund that owns the Daggett 3 solar facility, as further described in Note 5, </w:t>
      </w:r>
      <w:r>
        <w:rPr>
          <w:rFonts w:ascii="Times New Roman" w:cs="Times New Roman" w:eastAsia="Times New Roman" w:hAnsi="Times New Roman"/>
          <w:sz w:val="14"/>
          <w:szCs w:val="14"/>
          <w:i w:val="1"/>
          <w:iCs w:val="1"/>
          <w:color w:val="auto"/>
        </w:rPr>
        <w:t>Investments Accounted for by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Equity Method and Variable Interest Entities. </w:t>
      </w:r>
      <w:r>
        <w:rPr>
          <w:rFonts w:ascii="Times New Roman" w:cs="Times New Roman" w:eastAsia="Times New Roman" w:hAnsi="Times New Roman"/>
          <w:sz w:val="14"/>
          <w:szCs w:val="14"/>
          <w:color w:val="auto"/>
        </w:rPr>
        <w:t>Daggett 3 has PPAs with investment-grade counterparties that have a 15-year weighted average contract duration that commenced between July 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November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cash paid of $21 million and the historical cost of the Company’s net assets acquired of $15 million was recorded as an adjustment to CEG’s noncontrolling interest balance. In addition, the Company reflected the entire $21 million of the Company’s purchase price, which was contributed back to the Company by CEG to pay down the acquired long-term debt, in the line item distributions to CEG, net of contributions, in the consolidated statements of stockholders’ equity.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February 17,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Daggett 3</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4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212"/>
        </w:trPr>
        <w:tc>
          <w:tcPr>
            <w:tcW w:w="9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80"/>
        </w:trPr>
        <w:tc>
          <w:tcPr>
            <w:tcW w:w="9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9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current and non-current liabilities </w:t>
            </w:r>
            <w:r>
              <w:rPr>
                <w:rFonts w:ascii="Times New Roman" w:cs="Times New Roman" w:eastAsia="Times New Roman" w:hAnsi="Times New Roman"/>
                <w:sz w:val="18"/>
                <w:szCs w:val="18"/>
                <w:color w:val="auto"/>
                <w:vertAlign w:val="superscript"/>
              </w:rPr>
              <w:t>(b)</w:t>
            </w:r>
          </w:p>
        </w:tc>
        <w:tc>
          <w:tcPr>
            <w:tcW w:w="4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1"/>
        </w:trPr>
        <w:tc>
          <w:tcPr>
            <w:tcW w:w="9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196"/>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3" w:lineRule="exact"/>
        <w:rPr>
          <w:sz w:val="20"/>
          <w:szCs w:val="20"/>
          <w:color w:val="auto"/>
        </w:rPr>
      </w:pPr>
    </w:p>
    <w:p>
      <w:pPr>
        <w:ind w:left="60" w:firstLine="9"/>
        <w:spacing w:after="0" w:line="230" w:lineRule="auto"/>
        <w:tabs>
          <w:tab w:leader="none" w:pos="190" w:val="left"/>
        </w:tabs>
        <w:numPr>
          <w:ilvl w:val="0"/>
          <w:numId w:val="4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$181 million construction loan, $75 million cash equity bridge loan and $229 million tax equity bridge loan, offset by $5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33" w:lineRule="exact"/>
        <w:rPr>
          <w:rFonts w:ascii="Times New Roman" w:cs="Times New Roman" w:eastAsia="Times New Roman" w:hAnsi="Times New Roman"/>
          <w:sz w:val="16"/>
          <w:szCs w:val="16"/>
          <w:color w:val="auto"/>
          <w:vertAlign w:val="superscript"/>
        </w:rPr>
      </w:pPr>
    </w:p>
    <w:p>
      <w:pPr>
        <w:ind w:left="60" w:firstLine="9"/>
        <w:spacing w:after="0"/>
        <w:tabs>
          <w:tab w:leader="none" w:pos="195" w:val="left"/>
        </w:tabs>
        <w:numPr>
          <w:ilvl w:val="0"/>
          <w:numId w:val="4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Includes $32 million of facility costs that were subsequently funded by CEG. Subsequent to the acquisition date, CEG funded an additional $22 million in facility costs. The combined $54 million funded by CEG was repaid to CEG in October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Property, Plant and Equipment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major classes of property, plant, and equipment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Depreciable Lives</w:t>
            </w:r>
          </w:p>
        </w:tc>
      </w:tr>
      <w:tr>
        <w:trPr>
          <w:trHeight w:val="154"/>
        </w:trPr>
        <w:tc>
          <w:tcPr>
            <w:tcW w:w="2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300" w:type="dxa"/>
            <w:vAlign w:val="bottom"/>
            <w:gridSpan w:val="3"/>
          </w:tcPr>
          <w:p>
            <w:pPr>
              <w:jc w:val="right"/>
              <w:ind w:right="133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8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Facilities and equipment</w:t>
            </w:r>
          </w:p>
        </w:tc>
        <w:tc>
          <w:tcPr>
            <w:tcW w:w="164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13,302</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15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11,426</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3 - 40 Years</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1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50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8"/>
                <w:szCs w:val="18"/>
                <w:color w:val="auto"/>
                <w:vertAlign w:val="superscript"/>
              </w:rPr>
              <w:t>(a) (b)</w:t>
            </w:r>
          </w:p>
        </w:tc>
        <w:tc>
          <w:tcPr>
            <w:tcW w:w="1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1"/>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14,030</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13,011</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1"/>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1640" w:type="dxa"/>
            <w:vAlign w:val="bottom"/>
            <w:tcBorders>
              <w:bottom w:val="single" w:sz="8" w:color="auto"/>
            </w:tcBorders>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15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10"/>
        </w:trPr>
        <w:tc>
          <w:tcPr>
            <w:tcW w:w="220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tcPr>
          <w:p>
            <w:pPr>
              <w:spacing w:after="0"/>
              <w:rPr>
                <w:sz w:val="9"/>
                <w:szCs w:val="9"/>
                <w:color w:val="auto"/>
              </w:rPr>
            </w:pPr>
          </w:p>
        </w:tc>
      </w:tr>
    </w:tbl>
    <w:p>
      <w:pPr>
        <w:spacing w:after="0" w:line="106" w:lineRule="exact"/>
        <w:rPr>
          <w:sz w:val="20"/>
          <w:szCs w:val="20"/>
          <w:color w:val="auto"/>
        </w:rPr>
      </w:pPr>
    </w:p>
    <w:p>
      <w:pPr>
        <w:ind w:left="60" w:firstLine="9"/>
        <w:spacing w:after="0" w:line="225" w:lineRule="auto"/>
        <w:tabs>
          <w:tab w:leader="none" w:pos="197" w:val="left"/>
        </w:tabs>
        <w:numPr>
          <w:ilvl w:val="0"/>
          <w:numId w:val="5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of December 31, 2024 and 2023, construction in progress included $23 million and $21 million, respectively, of capital expenditures that relate to prepaid long-term service agreements for facilities in the Flexible Generation segment.</w:t>
      </w:r>
    </w:p>
    <w:p>
      <w:pPr>
        <w:spacing w:after="0" w:line="18" w:lineRule="exact"/>
        <w:rPr>
          <w:rFonts w:ascii="Times New Roman" w:cs="Times New Roman" w:eastAsia="Times New Roman" w:hAnsi="Times New Roman"/>
          <w:sz w:val="17"/>
          <w:szCs w:val="17"/>
          <w:color w:val="auto"/>
          <w:vertAlign w:val="superscript"/>
        </w:rPr>
      </w:pPr>
    </w:p>
    <w:p>
      <w:pPr>
        <w:ind w:left="200" w:hanging="131"/>
        <w:spacing w:after="0"/>
        <w:tabs>
          <w:tab w:leader="none" w:pos="200" w:val="left"/>
        </w:tabs>
        <w:numPr>
          <w:ilvl w:val="0"/>
          <w:numId w:val="5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As of December 31, 2024 and 2023, construction in progress included $9 million and $72 million, respectively, of accrued non-cash capital expenditures.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Depreciation expense related to property, plant and equipment during the years ended December 31, 2024, 2023 and 2022 was $610 million, $514 million and $502 million, respectively.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Company recorded long-lived asset impairments during the years ended December 31, 2023 and 2022, as further described in Note 9, </w:t>
      </w:r>
      <w:r>
        <w:rPr>
          <w:rFonts w:ascii="Times New Roman" w:cs="Times New Roman" w:eastAsia="Times New Roman" w:hAnsi="Times New Roman"/>
          <w:sz w:val="14"/>
          <w:szCs w:val="14"/>
          <w:i w:val="1"/>
          <w:iCs w:val="1"/>
          <w:color w:val="auto"/>
        </w:rPr>
        <w:t>Asset Impairments.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Note 5 — 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Method Investments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Company’s equity investments in unconsolidated affiliates as of December 31, 2024: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2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Economic Interest</w:t>
            </w:r>
          </w:p>
        </w:tc>
        <w:tc>
          <w:tcPr>
            <w:tcW w:w="360" w:type="dxa"/>
            <w:vAlign w:val="bottom"/>
          </w:tcPr>
          <w:p>
            <w:pPr>
              <w:spacing w:after="0"/>
              <w:rPr>
                <w:sz w:val="16"/>
                <w:szCs w:val="16"/>
                <w:color w:val="auto"/>
              </w:rPr>
            </w:pPr>
          </w:p>
        </w:tc>
        <w:tc>
          <w:tcPr>
            <w:tcW w:w="206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 xml:space="preserve">Investment Balance </w:t>
            </w:r>
            <w:r>
              <w:rPr>
                <w:rFonts w:ascii="Times New Roman" w:cs="Times New Roman" w:eastAsia="Times New Roman" w:hAnsi="Times New Roman"/>
                <w:sz w:val="16"/>
                <w:szCs w:val="16"/>
                <w:b w:val="1"/>
                <w:bCs w:val="1"/>
                <w:color w:val="auto"/>
                <w:vertAlign w:val="superscript"/>
              </w:rPr>
              <w:t>(a)</w:t>
            </w:r>
          </w:p>
        </w:tc>
      </w:tr>
      <w:tr>
        <w:trPr>
          <w:trHeight w:val="159"/>
        </w:trPr>
        <w:tc>
          <w:tcPr>
            <w:tcW w:w="2200" w:type="dxa"/>
            <w:vAlign w:val="bottom"/>
            <w:tcBorders>
              <w:top w:val="single" w:sz="8" w:color="auto"/>
            </w:tcBorders>
          </w:tcPr>
          <w:p>
            <w:pPr>
              <w:spacing w:after="0"/>
              <w:rPr>
                <w:sz w:val="13"/>
                <w:szCs w:val="13"/>
                <w:color w:val="auto"/>
              </w:rPr>
            </w:pPr>
          </w:p>
        </w:tc>
        <w:tc>
          <w:tcPr>
            <w:tcW w:w="4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6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Desert Sunlight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0"/>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6340" w:type="dxa"/>
            <w:vAlign w:val="bottom"/>
            <w:gridSpan w:val="3"/>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(b)</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22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0"/>
        </w:trPr>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tcPr>
          <w:p>
            <w:pPr>
              <w:spacing w:after="0"/>
              <w:rPr>
                <w:sz w:val="8"/>
                <w:szCs w:val="8"/>
                <w:color w:val="auto"/>
              </w:rPr>
            </w:pPr>
          </w:p>
        </w:tc>
      </w:tr>
    </w:tbl>
    <w:p>
      <w:pPr>
        <w:spacing w:after="0" w:line="23" w:lineRule="exact"/>
        <w:rPr>
          <w:sz w:val="20"/>
          <w:szCs w:val="20"/>
          <w:color w:val="auto"/>
        </w:rPr>
      </w:pPr>
    </w:p>
    <w:p>
      <w:pPr>
        <w:ind w:left="200" w:hanging="131"/>
        <w:spacing w:after="0"/>
        <w:tabs>
          <w:tab w:leader="none" w:pos="200" w:val="left"/>
        </w:tabs>
        <w:numPr>
          <w:ilvl w:val="0"/>
          <w:numId w:val="5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Company’s maximum exposure to loss is limited to its investment balances.</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5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GenConn is a VIE.</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and 2023, the Company had $20 million and $17 million, respectively, of undistributed earnings from its equity method investments.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acquired its interest in Desert Sunlight on June 30, 2015, for $285 million, which resulted in a $181 million difference between the purchase price and the basis of the acquired assets and liabilities. The difference is attributable to the fair value of the property, plant and equipment and PPAs. The Company is amortizing the related basis differences to equity in earnings of unconsolidated subsidiaries over the related useful life of the underlying assets acquired. As of December 31, 2024, the carrying value of the basis difference is $115 million.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pro-rata share of non-recourse debt held by unconsolidated affiliates was $282 million as of December 31, 2024.</w:t>
      </w:r>
    </w:p>
    <w:p>
      <w:pPr>
        <w:spacing w:after="0" w:line="134"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Rosie Central BESS </w:t>
      </w:r>
      <w:r>
        <w:rPr>
          <w:rFonts w:ascii="Times New Roman" w:cs="Times New Roman" w:eastAsia="Times New Roman" w:hAnsi="Times New Roman"/>
          <w:sz w:val="14"/>
          <w:szCs w:val="14"/>
          <w:color w:val="auto"/>
        </w:rPr>
        <w:t>— On June 30, 2023, the Company, through its indirect subsidiary, Rosie Class B LLC, the indirect owner of the Rosamond Central solar facility, became the owner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Class B membership interests of Rosie Central BESS in order to facilitate and fund the construction of a BESS facility that is co-located at the Rosamond Central solar facility. Clearway Renew indirectly owns the Class A membership interests and controls Rosie Central BESS. The Company accounted for its investment in Rosie Central BESS as an equity method investment. On June 13, 2024, when the Rosamond Central BESS facility reached substantial completion, Clearway Renew redeemed Rosie Class B LLC’s entire investment of $28 million in Rosie Central BESS utilizing the additional purchase price paid by the Company,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Rosie Class B LLC’s equity investment in Rosie Central BESS was comprised of contributions from the Company and the cash equity investor in Rosie TargetCo LLC during the year ended December 31, 2023.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00" w:name="page101"/>
    <w:bookmarkEnd w:id="100"/>
    <w:p>
      <w:pPr>
        <w:ind w:left="320"/>
        <w:spacing w:after="0"/>
        <w:rPr>
          <w:sz w:val="20"/>
          <w:szCs w:val="20"/>
          <w:color w:val="auto"/>
        </w:rPr>
      </w:pPr>
      <w:r>
        <w:rPr>
          <w:rFonts w:ascii="Times New Roman" w:cs="Times New Roman" w:eastAsia="Times New Roman" w:hAnsi="Times New Roman"/>
          <w:sz w:val="14"/>
          <w:szCs w:val="14"/>
          <w:color w:val="auto"/>
        </w:rPr>
        <w:t>The following tables present summarized financial information for the Company’s equity method investments: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6440" w:type="dxa"/>
            <w:vAlign w:val="bottom"/>
          </w:tcPr>
          <w:p>
            <w:pPr>
              <w:spacing w:after="0"/>
              <w:rPr>
                <w:sz w:val="13"/>
                <w:szCs w:val="13"/>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7"/>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080" w:type="dxa"/>
            <w:vAlign w:val="bottom"/>
          </w:tcPr>
          <w:p>
            <w:pPr>
              <w:jc w:val="right"/>
              <w:ind w:right="94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202</w:t>
            </w: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146</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144</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5"/>
                <w:szCs w:val="15"/>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113</w:t>
            </w: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108</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70"/>
        </w:trPr>
        <w:tc>
          <w:tcPr>
            <w:tcW w:w="64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(a)</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080" w:type="dxa"/>
            <w:vAlign w:val="bottom"/>
          </w:tcPr>
          <w:p>
            <w:pPr>
              <w:spacing w:after="0"/>
              <w:rPr>
                <w:sz w:val="15"/>
                <w:szCs w:val="15"/>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95</w:t>
            </w: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94</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23</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2"/>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4"/>
                <w:szCs w:val="14"/>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13</w:t>
            </w: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8"/>
        </w:trPr>
        <w:tc>
          <w:tcPr>
            <w:tcW w:w="6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20" w:type="dxa"/>
            <w:vAlign w:val="bottom"/>
            <w:tcBorders>
              <w:bottom w:val="single" w:sz="8" w:color="auto"/>
            </w:tcBorders>
          </w:tcPr>
          <w:p>
            <w:pPr>
              <w:spacing w:after="0"/>
              <w:rPr>
                <w:sz w:val="13"/>
                <w:szCs w:val="13"/>
                <w:color w:val="auto"/>
              </w:rPr>
            </w:pPr>
          </w:p>
        </w:tc>
      </w:tr>
      <w:tr>
        <w:trPr>
          <w:trHeight w:val="150"/>
        </w:trPr>
        <w:tc>
          <w:tcPr>
            <w:tcW w:w="6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2"/>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20" w:type="dxa"/>
            <w:vAlign w:val="bottom"/>
          </w:tcPr>
          <w:p>
            <w:pPr>
              <w:spacing w:after="0"/>
              <w:rPr>
                <w:sz w:val="13"/>
                <w:szCs w:val="13"/>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81</w:t>
            </w: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1,086</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63</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726</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r>
      <w:tr>
        <w:trPr>
          <w:trHeight w:val="170"/>
        </w:trPr>
        <w:tc>
          <w:tcPr>
            <w:tcW w:w="64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(b)</w:t>
            </w: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63</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391</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27</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225</w:t>
            </w:r>
          </w:p>
        </w:tc>
        <w:tc>
          <w:tcPr>
            <w:tcW w:w="6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3" w:lineRule="exact"/>
        <w:rPr>
          <w:sz w:val="20"/>
          <w:szCs w:val="20"/>
          <w:color w:val="auto"/>
        </w:rPr>
      </w:pPr>
    </w:p>
    <w:p>
      <w:pPr>
        <w:ind w:left="200" w:hanging="131"/>
        <w:spacing w:after="0"/>
        <w:tabs>
          <w:tab w:leader="none" w:pos="200"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Avenal, Elkhorn Ridge, GenConn and San Juan Mesa.</w:t>
      </w:r>
    </w:p>
    <w:p>
      <w:pPr>
        <w:spacing w:after="0" w:line="3" w:lineRule="exact"/>
        <w:rPr>
          <w:rFonts w:ascii="Times New Roman" w:cs="Times New Roman" w:eastAsia="Times New Roman" w:hAnsi="Times New Roman"/>
          <w:sz w:val="17"/>
          <w:szCs w:val="17"/>
          <w:color w:val="auto"/>
          <w:vertAlign w:val="superscript"/>
        </w:rPr>
      </w:pPr>
    </w:p>
    <w:p>
      <w:pPr>
        <w:ind w:left="60" w:firstLine="9"/>
        <w:spacing w:after="0"/>
        <w:tabs>
          <w:tab w:leader="none" w:pos="195" w:val="left"/>
        </w:tabs>
        <w:numPr>
          <w:ilvl w:val="0"/>
          <w:numId w:val="5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Includes Avenal, Elkhorn Ridge, GenConn and San Juan Mesa as of December 31, 2024 and 2023. Includes Rosie Central BESS only as of December 31, 2023 since the equity investment was redeemed on June 13, 2024, as further described above.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Variable Interest Entities, or VIEs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significant activity during 2024 related to the Company’s consolidated VIEs: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DGPV Funds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December 31, 2024, Chestnut Fund Class B LLC, an indirect subsidiary of the Company, acquired 100% of the Class A membership interests in Chestnut Fund LLC, a tax equity fund that owns several distributed solar facilities, from the tax equity investor for $5 million. Prior to the acquisition, the Company consolidated Chestnut Fund LLC through its ownership of the Class B membership interests and role as managing member, and the Class A membership interests were reflected as redeemable noncontrolling interest on the Company’s consolidated balance sheet. The difference between the historical cost of the Company’s redeemable noncontrolling interest of $12 million and the cash paid of $5 million was recorded as adjustments to additional paid-in capital and CEG’s noncontrolling interest balance.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1" w:name="page102"/>
    <w:bookmarkEnd w:id="101"/>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Cedro Hill TE Holdco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On December 27, 2024, when the repowering of the Cedro Hill wind facility reached substantial completion, tax equity investors contributed $152 million to acquire the Class A membership interests in Cedro Hill TE Holdco LLC, as further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The Company, through its indirect subsidiary, Cedro Hill Class B Member LLC, consolidates as primary beneficiary, Cedro Hill TE Holdco LLC, a tax equity fund that owns the Cedro Hill wind facility. The Class A membership interests in Cedro Hill TE Holdco LLC are reflected as noncontrolling interest on the Company’s consolidated balance sheet.</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Spring Canyon</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December 17, 2024, Spring Canyon TE Holdco LLC, an indirect subsidiary of the Company, acquired 100% of the Class A membership interests in Spring Canyon Expansion Holdings LLC, a tax equity fund that owns the Spring Canyon wind facilities, from the tax equity investor for $7 million. Prior to the acquisition, the Company consolidated Spring Canyon Expansion Holdings LLC through its controlling interest in Spring Canyon Expansion Class B Holdings LLC, a partnership, which owns the Class B membership interests, and role as managing member, and the Class A membership interests were reflected as noncontrolling interest on the Company’s consolidated balance sheet. The difference between the cash paid of $7 million and the historical cost of the Company’s noncontrolling interest of $3 million was recorded as adjustments to additional paid-in capital and CEG’s noncontrolling interest balance.</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Dan’s Mountain TargetCo LLC</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November 18, 2024, Dan’s Mountain Parent Holdco LLC, an indirect subsidiary of the Company, acquired the Class A membership interests in Dan’s Mountain TargetCo LLC, which is a partnership between the Company and Clearway Renew. The Company consolidates Dan’s Mountain TargetCo LLC as a VIE as the Company is the primary beneficiary through its role as managing member. Through its membership interests in Dan’s Mountain TargetCo LLC, the Company receives 50% of distributable cash. The Company recorded the noncontrolling interest of Clearway Renew’s Class B membership interests in Dan’s Mountain TargetCo LLC at historical carrying amount, with the offset to additional paid-in capital. Dan’s Mountain TargetCo LLC consolidates as primary beneficiary and through its ownership of the Class B membership interests, Dan’s Mountain Tax Credit Holdco LLC, a tax equity fund that owns the Dan’s Mountain wind facility. The Class A membership interests in Dan’s Mountain Tax Credit Holdco LLC are held by a tax equity investor and are reflected as noncontrolling interest on the Company’s consolidated balance sheet.</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Cedar Creek TE Holdco LLC</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April 16, 2024, the Company, through its indirect subsidiary, Cedar Creek Wind Holdco LLC, acquired Cedar Creek Holdco LLC. Cedar Creek Holdco LLC consolidates as primary beneficiary, Cedar Creek TE Holdco LLC, a tax equity fund that owns the Cedar Creek wind facility. The Class A membership interests in Cedar Creek TE Holdco LLC are held by a tax equity investor and are reflected as noncontrolling interest on the Company’s consolidated balance sheet.</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Lighthouse Renewable Holdco 2 LLC</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March 15, 2024, TSN1 TE Holdco LLC, an indirect subsidiary of the Company, acquired Texas Solar Nova 2. The Company, through Lighthouse Renewable Holdco 2 LLC, a partnership, consolidates TSN1 TE Holdco LLC, a tax equity fund that owns Texas Solar Nova 1 and Texas Solar Nova 2. The Company recorded the noncontrolling interest of the cash equity investor in Lighthouse Renewable Holdco 2 LLC at historical carrying amount, with the offset to additional paid-in capital. The Class A membership interests in TSN1 TE Holdco LLC are held by a tax equity investor and are reflected as noncontrolling interest on the Company’s consolidated balance sheet.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Daggett Renewable Holdco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Effective January 1, 2024, the Company and the cash equity investor in Daggett Renewable HoldCo LLC and Daggett 2 TargetCo LLC, the indirect owner of the Daggett 2 solar and BESS facility, agreed to transfer Daggett 2 TargetCo LLC to Daggett Renewable Holdco LLC. As the transfer was among entities under common control, the transaction was recognized at historical cost and no gain or loss was recognized.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2" w:name="page103"/>
    <w:bookmarkEnd w:id="102"/>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December 31,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0"/>
                <w:szCs w:val="1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Buckthorn Holdings,</w:t>
            </w:r>
          </w:p>
        </w:tc>
        <w:tc>
          <w:tcPr>
            <w:tcW w:w="80" w:type="dxa"/>
            <w:vAlign w:val="bottom"/>
          </w:tcPr>
          <w:p>
            <w:pPr>
              <w:spacing w:after="0"/>
              <w:rPr>
                <w:sz w:val="10"/>
                <w:szCs w:val="1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Cedar Creek TE Holdco</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Cedro Hill TE Holdco</w:t>
            </w:r>
          </w:p>
        </w:tc>
        <w:tc>
          <w:tcPr>
            <w:tcW w:w="12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Daggett Renewable</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Lighthouse Renewable</w:t>
            </w:r>
          </w:p>
        </w:tc>
        <w:tc>
          <w:tcPr>
            <w:tcW w:w="120" w:type="dxa"/>
            <w:vAlign w:val="bottom"/>
          </w:tcPr>
          <w:p>
            <w:pPr>
              <w:spacing w:after="0"/>
              <w:rPr>
                <w:sz w:val="10"/>
                <w:szCs w:val="10"/>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w w:val="98"/>
              </w:rPr>
              <w:t>Lighthouse Renewable</w:t>
            </w:r>
          </w:p>
        </w:tc>
        <w:tc>
          <w:tcPr>
            <w:tcW w:w="0" w:type="dxa"/>
            <w:vAlign w:val="bottom"/>
          </w:tcPr>
          <w:p>
            <w:pPr>
              <w:spacing w:after="0"/>
              <w:rPr>
                <w:sz w:val="1"/>
                <w:szCs w:val="1"/>
                <w:color w:val="auto"/>
              </w:rPr>
            </w:pPr>
          </w:p>
        </w:tc>
      </w:tr>
      <w:tr>
        <w:trPr>
          <w:trHeight w:val="149"/>
        </w:trPr>
        <w:tc>
          <w:tcPr>
            <w:tcW w:w="2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LLC</w:t>
            </w:r>
          </w:p>
        </w:tc>
        <w:tc>
          <w:tcPr>
            <w:tcW w:w="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LLC</w:t>
            </w:r>
          </w:p>
        </w:tc>
        <w:tc>
          <w:tcPr>
            <w:tcW w:w="260" w:type="dxa"/>
            <w:vAlign w:val="bottom"/>
          </w:tcPr>
          <w:p>
            <w:pPr>
              <w:spacing w:after="0"/>
              <w:rPr>
                <w:sz w:val="12"/>
                <w:szCs w:val="12"/>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LLC</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 xml:space="preserve">Holdco LLC </w:t>
            </w:r>
            <w:r>
              <w:rPr>
                <w:rFonts w:ascii="Times New Roman" w:cs="Times New Roman" w:eastAsia="Times New Roman" w:hAnsi="Times New Roman"/>
                <w:sz w:val="12"/>
                <w:szCs w:val="12"/>
                <w:b w:val="1"/>
                <w:bCs w:val="1"/>
                <w:color w:val="auto"/>
                <w:w w:val="97"/>
                <w:vertAlign w:val="superscript"/>
              </w:rPr>
              <w:t>(a)</w:t>
            </w:r>
          </w:p>
        </w:tc>
        <w:tc>
          <w:tcPr>
            <w:tcW w:w="160" w:type="dxa"/>
            <w:vAlign w:val="bottom"/>
          </w:tcPr>
          <w:p>
            <w:pPr>
              <w:spacing w:after="0"/>
              <w:rPr>
                <w:sz w:val="12"/>
                <w:szCs w:val="12"/>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 xml:space="preserve">DGPV Funds </w:t>
            </w:r>
            <w:r>
              <w:rPr>
                <w:rFonts w:ascii="Times New Roman" w:cs="Times New Roman" w:eastAsia="Times New Roman" w:hAnsi="Times New Roman"/>
                <w:sz w:val="12"/>
                <w:szCs w:val="12"/>
                <w:b w:val="1"/>
                <w:bCs w:val="1"/>
                <w:color w:val="auto"/>
                <w:vertAlign w:val="superscript"/>
              </w:rPr>
              <w:t>(b)</w:t>
            </w:r>
          </w:p>
        </w:tc>
        <w:tc>
          <w:tcPr>
            <w:tcW w:w="16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 xml:space="preserve">Holdco LLC </w:t>
            </w:r>
            <w:r>
              <w:rPr>
                <w:rFonts w:ascii="Times New Roman" w:cs="Times New Roman" w:eastAsia="Times New Roman" w:hAnsi="Times New Roman"/>
                <w:sz w:val="12"/>
                <w:szCs w:val="12"/>
                <w:b w:val="1"/>
                <w:bCs w:val="1"/>
                <w:color w:val="auto"/>
                <w:w w:val="98"/>
                <w:vertAlign w:val="superscript"/>
              </w:rPr>
              <w:t>(c)</w:t>
            </w:r>
          </w:p>
        </w:tc>
        <w:tc>
          <w:tcPr>
            <w:tcW w:w="120" w:type="dxa"/>
            <w:vAlign w:val="bottom"/>
          </w:tcPr>
          <w:p>
            <w:pPr>
              <w:spacing w:after="0"/>
              <w:rPr>
                <w:sz w:val="12"/>
                <w:szCs w:val="12"/>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0"/>
                <w:szCs w:val="10"/>
                <w:b w:val="1"/>
                <w:bCs w:val="1"/>
                <w:color w:val="auto"/>
              </w:rPr>
              <w:t xml:space="preserve">Holdco 2 LLC </w:t>
            </w:r>
            <w:r>
              <w:rPr>
                <w:rFonts w:ascii="Times New Roman" w:cs="Times New Roman" w:eastAsia="Times New Roman" w:hAnsi="Times New Roman"/>
                <w:sz w:val="12"/>
                <w:szCs w:val="12"/>
                <w:b w:val="1"/>
                <w:bCs w:val="1"/>
                <w:color w:val="auto"/>
                <w:vertAlign w:val="superscript"/>
              </w:rPr>
              <w:t>(d)</w:t>
            </w: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80"/>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5" w:lineRule="exact"/>
        <w:rPr>
          <w:sz w:val="20"/>
          <w:szCs w:val="20"/>
          <w:color w:val="auto"/>
        </w:rPr>
      </w:pPr>
    </w:p>
    <w:p>
      <w:pPr>
        <w:ind w:left="200" w:hanging="131"/>
        <w:spacing w:after="0"/>
        <w:tabs>
          <w:tab w:leader="none" w:pos="200" w:val="left"/>
        </w:tabs>
        <w:numPr>
          <w:ilvl w:val="0"/>
          <w:numId w:val="5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Daggett Renewable Holdco LLC consolidates Daggett TE Holdco LLC and Daggett 2 TE Holdco LLC, which are consolidated VIEs.</w:t>
      </w:r>
    </w:p>
    <w:p>
      <w:pPr>
        <w:spacing w:after="0" w:line="3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5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DGPV Funds is comprised of Clearway &amp; EFS Distributed Solar LLC, Golden Puma Fund LLC and Renew Solar CS4 Fund LLC, which are all tax equity funds.</w:t>
      </w:r>
    </w:p>
    <w:p>
      <w:pPr>
        <w:spacing w:after="0" w:line="2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5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LLC consolidates Black Rock TE Holdco LLC and Mililani TE Holdco LLC, which are consolidated VIEs.</w:t>
      </w:r>
    </w:p>
    <w:p>
      <w:pPr>
        <w:spacing w:after="0" w:line="3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5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2 LLC consolidates Mesquite Sky TE Holdco LLC, Mesquite Star Tax Equity Holdco LLC and TSN1 TE Holdco LLC, which are consolidated VIEs.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Oahu Solar LLC</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Rattlesnake TE Holdco LLC</w:t>
            </w:r>
          </w:p>
        </w:tc>
        <w:tc>
          <w:tcPr>
            <w:tcW w:w="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Rosie TargetCo LLC</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 xml:space="preserve">VP-Arica TargetCo LLC </w:t>
            </w:r>
            <w:r>
              <w:rPr>
                <w:rFonts w:ascii="Times New Roman" w:cs="Times New Roman" w:eastAsia="Times New Roman" w:hAnsi="Times New Roman"/>
                <w:sz w:val="12"/>
                <w:szCs w:val="12"/>
                <w:b w:val="1"/>
                <w:bCs w:val="1"/>
                <w:color w:val="auto"/>
                <w:vertAlign w:val="superscript"/>
              </w:rPr>
              <w:t>(a)</w:t>
            </w: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Wildorado TE Holdco LLC</w:t>
            </w:r>
          </w:p>
        </w:tc>
        <w:tc>
          <w:tcPr>
            <w:tcW w:w="280" w:type="dxa"/>
            <w:vAlign w:val="bottom"/>
          </w:tcPr>
          <w:p>
            <w:pPr>
              <w:spacing w:after="0"/>
              <w:rPr>
                <w:sz w:val="14"/>
                <w:szCs w:val="14"/>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 xml:space="preserve">Other </w:t>
            </w:r>
            <w:r>
              <w:rPr>
                <w:rFonts w:ascii="Times New Roman" w:cs="Times New Roman" w:eastAsia="Times New Roman" w:hAnsi="Times New Roman"/>
                <w:sz w:val="12"/>
                <w:szCs w:val="12"/>
                <w:b w:val="1"/>
                <w:bCs w:val="1"/>
                <w:color w:val="auto"/>
                <w:vertAlign w:val="superscript"/>
              </w:rPr>
              <w:t>(b)</w:t>
            </w:r>
          </w:p>
        </w:tc>
      </w:tr>
      <w:tr>
        <w:trPr>
          <w:trHeight w:val="171"/>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r>
      <w:tr>
        <w:trPr>
          <w:trHeight w:val="18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2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80"/>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80"/>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6"/>
        </w:trPr>
        <w:tc>
          <w:tcPr>
            <w:tcW w:w="2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16" w:lineRule="exact"/>
        <w:rPr>
          <w:sz w:val="20"/>
          <w:szCs w:val="20"/>
          <w:color w:val="auto"/>
        </w:rPr>
      </w:pPr>
    </w:p>
    <w:p>
      <w:pPr>
        <w:ind w:left="200" w:hanging="131"/>
        <w:spacing w:after="0"/>
        <w:tabs>
          <w:tab w:leader="none" w:pos="200" w:val="left"/>
        </w:tabs>
        <w:numPr>
          <w:ilvl w:val="0"/>
          <w:numId w:val="5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VP-Arica TargetCo LLC consolidates VP-Arica TE Holdco LLC, a consolidated VIE that owns the Victory Pass and Arica solar and BESS facilities.</w:t>
      </w:r>
    </w:p>
    <w:p>
      <w:pPr>
        <w:spacing w:after="0" w:line="24" w:lineRule="exact"/>
        <w:rPr>
          <w:rFonts w:ascii="Times New Roman" w:cs="Times New Roman" w:eastAsia="Times New Roman" w:hAnsi="Times New Roman"/>
          <w:sz w:val="17"/>
          <w:szCs w:val="17"/>
          <w:color w:val="auto"/>
          <w:vertAlign w:val="superscript"/>
        </w:rPr>
      </w:pPr>
    </w:p>
    <w:p>
      <w:pPr>
        <w:ind w:left="60" w:firstLine="9"/>
        <w:spacing w:after="0"/>
        <w:tabs>
          <w:tab w:leader="none" w:pos="195"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Other is comprised of Dan’s Mountain TargetCo LLC, which consolidates Dan’s Mountain Tax Credit Holdco LLC, Elbow Creek TE Holdco LLC, Langford TE Partnership LLC, Pinnacle Repowering TE Holdco LLC and the Spring Canyon facilities.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94"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accounts payable — trade, accounts payable — affiliates and accrued expenses and other current liabilities, the carrying amounts approximates fair value because of the short-term maturity of those instruments and are classified as Level 1 within the fair value hierarchy.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3" w:name="page104"/>
    <w:bookmarkEnd w:id="103"/>
    <w:p>
      <w:pPr>
        <w:ind w:left="320"/>
        <w:spacing w:after="0"/>
        <w:rPr>
          <w:sz w:val="20"/>
          <w:szCs w:val="20"/>
          <w:color w:val="auto"/>
        </w:rPr>
      </w:pPr>
      <w:r>
        <w:rPr>
          <w:rFonts w:ascii="Times New Roman" w:cs="Times New Roman" w:eastAsia="Times New Roman" w:hAnsi="Times New Roman"/>
          <w:sz w:val="14"/>
          <w:szCs w:val="14"/>
          <w:color w:val="auto"/>
        </w:rPr>
        <w:t>The carrying amount and estimated fair value of the Company’s recorded financial instrument not carried at fair market value or that does not approximate fair value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4"/>
          </w:tcPr>
          <w:p>
            <w:pPr>
              <w:ind w:left="54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40" w:type="dxa"/>
            <w:vAlign w:val="bottom"/>
          </w:tcPr>
          <w:p>
            <w:pPr>
              <w:spacing w:after="0"/>
              <w:rPr>
                <w:sz w:val="13"/>
                <w:szCs w:val="13"/>
                <w:color w:val="auto"/>
              </w:rPr>
            </w:pPr>
          </w:p>
        </w:tc>
        <w:tc>
          <w:tcPr>
            <w:tcW w:w="23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91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including current portion </w:t>
            </w:r>
            <w:r>
              <w:rPr>
                <w:rFonts w:ascii="Times New Roman" w:cs="Times New Roman" w:eastAsia="Times New Roman" w:hAnsi="Times New Roman"/>
                <w:sz w:val="18"/>
                <w:szCs w:val="18"/>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7,237</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8,102</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138811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89" w:lineRule="exact"/>
        <w:rPr>
          <w:sz w:val="20"/>
          <w:szCs w:val="20"/>
          <w:color w:val="auto"/>
        </w:rPr>
      </w:pPr>
    </w:p>
    <w:p>
      <w:pPr>
        <w:ind w:left="200" w:hanging="131"/>
        <w:spacing w:after="0"/>
        <w:tabs>
          <w:tab w:leader="none" w:pos="200"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Excludes net debt issuance costs, which are recorded as a reduction to long-term debt on the Company’s consolidated balance sheets.</w:t>
      </w:r>
    </w:p>
    <w:p>
      <w:pPr>
        <w:spacing w:after="0" w:line="11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340" w:type="dxa"/>
            <w:vAlign w:val="bottom"/>
          </w:tcPr>
          <w:p>
            <w:pPr>
              <w:spacing w:after="0"/>
              <w:rPr>
                <w:sz w:val="13"/>
                <w:szCs w:val="13"/>
                <w:color w:val="auto"/>
              </w:rPr>
            </w:pPr>
          </w:p>
        </w:tc>
        <w:tc>
          <w:tcPr>
            <w:tcW w:w="21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1,922</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1,939</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269"/>
              <w:spacing w:after="0" w:line="163"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289"/>
              <w:spacing w:after="0" w:line="163"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60" w:type="dxa"/>
            <w:vAlign w:val="bottom"/>
          </w:tcPr>
          <w:p>
            <w:pPr>
              <w:spacing w:after="0"/>
              <w:rPr>
                <w:sz w:val="13"/>
                <w:szCs w:val="13"/>
                <w:color w:val="auto"/>
              </w:rPr>
            </w:pPr>
          </w:p>
        </w:tc>
        <w:tc>
          <w:tcPr>
            <w:tcW w:w="1500" w:type="dxa"/>
            <w:vAlign w:val="bottom"/>
            <w:gridSpan w:val="2"/>
          </w:tcPr>
          <w:p>
            <w:pPr>
              <w:ind w:left="260"/>
              <w:spacing w:after="0" w:line="161" w:lineRule="exact"/>
              <w:rPr>
                <w:sz w:val="20"/>
                <w:szCs w:val="20"/>
                <w:color w:val="auto"/>
              </w:rPr>
            </w:pPr>
            <w:r>
              <w:rPr>
                <w:rFonts w:ascii="Times New Roman" w:cs="Times New Roman" w:eastAsia="Times New Roman" w:hAnsi="Times New Roman"/>
                <w:sz w:val="13"/>
                <w:szCs w:val="13"/>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660" w:type="dxa"/>
            <w:vAlign w:val="bottom"/>
          </w:tcPr>
          <w:p>
            <w:pPr>
              <w:spacing w:after="0"/>
              <w:rPr>
                <w:sz w:val="13"/>
                <w:szCs w:val="13"/>
                <w:color w:val="auto"/>
              </w:rPr>
            </w:pPr>
          </w:p>
        </w:tc>
        <w:tc>
          <w:tcPr>
            <w:tcW w:w="1120" w:type="dxa"/>
            <w:vAlign w:val="bottom"/>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ind w:left="280"/>
              <w:spacing w:after="0" w:line="161" w:lineRule="exact"/>
              <w:rPr>
                <w:sz w:val="20"/>
                <w:szCs w:val="20"/>
                <w:color w:val="auto"/>
              </w:rPr>
            </w:pPr>
            <w:r>
              <w:rPr>
                <w:rFonts w:ascii="Times New Roman" w:cs="Times New Roman" w:eastAsia="Times New Roman" w:hAnsi="Times New Roman"/>
                <w:sz w:val="13"/>
                <w:szCs w:val="13"/>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660" w:type="dxa"/>
            <w:vAlign w:val="bottom"/>
          </w:tcPr>
          <w:p>
            <w:pPr>
              <w:spacing w:after="0"/>
              <w:rPr>
                <w:sz w:val="13"/>
                <w:szCs w:val="13"/>
                <w:color w:val="auto"/>
              </w:rPr>
            </w:pPr>
          </w:p>
        </w:tc>
        <w:tc>
          <w:tcPr>
            <w:tcW w:w="1120" w:type="dxa"/>
            <w:vAlign w:val="bottom"/>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w w:val="99"/>
              </w:rPr>
              <w:t>Level 3</w:t>
            </w:r>
          </w:p>
        </w:tc>
        <w:tc>
          <w:tcPr>
            <w:tcW w:w="0" w:type="dxa"/>
            <w:vAlign w:val="bottom"/>
          </w:tcPr>
          <w:p>
            <w:pPr>
              <w:spacing w:after="0"/>
              <w:rPr>
                <w:sz w:val="1"/>
                <w:szCs w:val="1"/>
                <w:color w:val="auto"/>
              </w:rPr>
            </w:pPr>
          </w:p>
        </w:tc>
      </w:tr>
      <w:tr>
        <w:trPr>
          <w:trHeight w:val="160"/>
        </w:trPr>
        <w:tc>
          <w:tcPr>
            <w:tcW w:w="3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8"/>
                <w:szCs w:val="8"/>
                <w:color w:val="auto"/>
              </w:rPr>
              <w:t>(c)</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8"/>
                <w:szCs w:val="8"/>
                <w:b w:val="1"/>
                <w:bCs w:val="1"/>
                <w:color w:val="auto"/>
              </w:rPr>
              <w:t>(d)</w:t>
            </w:r>
          </w:p>
        </w:tc>
        <w:tc>
          <w:tcPr>
            <w:tcW w:w="3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8"/>
                <w:szCs w:val="8"/>
                <w:color w:val="auto"/>
              </w:rPr>
              <w:t>(e)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80"/>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3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0" w:hanging="131"/>
        <w:spacing w:after="0"/>
        <w:tabs>
          <w:tab w:leader="none" w:pos="200" w:val="left"/>
        </w:tabs>
        <w:numPr>
          <w:ilvl w:val="0"/>
          <w:numId w:val="5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were no derivative assets or liabilities classified as Level 1 as of December 31, 2024 and 2023.</w:t>
      </w:r>
    </w:p>
    <w:p>
      <w:pPr>
        <w:spacing w:after="0" w:line="39"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5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Company’s interest rate swaps are measured at fair value using an income approach, which use readily observable inputs, such as forward interest rates (e.g., SOFR) and contractual terms to estimate fair value.</w:t>
      </w:r>
    </w:p>
    <w:p>
      <w:pPr>
        <w:spacing w:after="0" w:line="39" w:lineRule="exact"/>
        <w:rPr>
          <w:rFonts w:ascii="Times New Roman" w:cs="Times New Roman" w:eastAsia="Times New Roman" w:hAnsi="Times New Roman"/>
          <w:sz w:val="16"/>
          <w:szCs w:val="16"/>
          <w:color w:val="auto"/>
          <w:vertAlign w:val="superscript"/>
        </w:rPr>
      </w:pPr>
    </w:p>
    <w:p>
      <w:pPr>
        <w:ind w:left="200" w:hanging="131"/>
        <w:spacing w:after="0" w:line="185" w:lineRule="auto"/>
        <w:tabs>
          <w:tab w:leader="none" w:pos="200" w:val="left"/>
        </w:tabs>
        <w:numPr>
          <w:ilvl w:val="0"/>
          <w:numId w:val="5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long-term backbone transportation service contracts classified as Level 2 and heat rate call option contracts classified as Level 3.</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5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SREC contract.</w:t>
      </w:r>
    </w:p>
    <w:p>
      <w:pPr>
        <w:spacing w:after="0" w:line="39" w:lineRule="exact"/>
        <w:rPr>
          <w:rFonts w:ascii="Times New Roman" w:cs="Times New Roman" w:eastAsia="Times New Roman" w:hAnsi="Times New Roman"/>
          <w:sz w:val="16"/>
          <w:szCs w:val="16"/>
          <w:color w:val="auto"/>
          <w:vertAlign w:val="superscript"/>
        </w:rPr>
      </w:pPr>
    </w:p>
    <w:p>
      <w:pPr>
        <w:ind w:left="60" w:firstLine="9"/>
        <w:spacing w:after="0" w:line="231" w:lineRule="auto"/>
        <w:tabs>
          <w:tab w:leader="none" w:pos="194" w:val="left"/>
        </w:tabs>
        <w:numPr>
          <w:ilvl w:val="0"/>
          <w:numId w:val="5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long-term power commodity contracts and heat rate call option contracts classified as Level 3. As of December 31, 2024 and 2023, $366 million and $325 million related to long-term power commodity contracts, respectively, and $5 million related to heat rate call option contracts.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4" w:name="page105"/>
    <w:bookmarkEnd w:id="104"/>
    <w:p>
      <w:pPr>
        <w:ind w:left="32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360" w:type="dxa"/>
            <w:vAlign w:val="bottom"/>
            <w:tcBorders>
              <w:bottom w:val="single" w:sz="8" w:color="auto"/>
            </w:tcBorders>
          </w:tcPr>
          <w:p>
            <w:pPr>
              <w:spacing w:after="0"/>
              <w:rPr>
                <w:sz w:val="13"/>
                <w:szCs w:val="13"/>
                <w:color w:val="auto"/>
              </w:rPr>
            </w:pPr>
          </w:p>
        </w:tc>
      </w:tr>
      <w:tr>
        <w:trPr>
          <w:trHeight w:val="150"/>
        </w:trPr>
        <w:tc>
          <w:tcPr>
            <w:tcW w:w="6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 Inputs (Level 3)</w:t>
            </w:r>
          </w:p>
        </w:tc>
      </w:tr>
      <w:tr>
        <w:trPr>
          <w:trHeight w:val="17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2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losses for the period included in earnings</w:t>
            </w:r>
          </w:p>
        </w:tc>
        <w:tc>
          <w:tcPr>
            <w:tcW w:w="2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99"/>
        </w:trPr>
        <w:tc>
          <w:tcPr>
            <w:tcW w:w="6860" w:type="dxa"/>
            <w:vAlign w:val="bottom"/>
            <w:shd w:val="clear" w:color="auto" w:fill="CCEEFF"/>
          </w:tcPr>
          <w:p>
            <w:pPr>
              <w:ind w:left="120"/>
              <w:spacing w:after="0" w:line="100" w:lineRule="exact"/>
              <w:rPr>
                <w:sz w:val="20"/>
                <w:szCs w:val="20"/>
                <w:color w:val="auto"/>
              </w:rPr>
            </w:pPr>
            <w:r>
              <w:rPr>
                <w:rFonts w:ascii="Times New Roman" w:cs="Times New Roman" w:eastAsia="Times New Roman" w:hAnsi="Times New Roman"/>
                <w:sz w:val="11"/>
                <w:szCs w:val="11"/>
                <w:color w:val="auto"/>
              </w:rPr>
              <w:t>Change in unrealized losses included in earnings for derivatives and other financial instruments held as of December</w:t>
            </w:r>
          </w:p>
        </w:tc>
        <w:tc>
          <w:tcPr>
            <w:tcW w:w="22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r>
      <w:tr>
        <w:trPr>
          <w:trHeight w:val="191"/>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December 31, 2024, contracts valued with prices provided by models and other valuation techniques make up 5% of derivative assets, 100% of derivative liabilities and 100% of other financial instruments.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significant positions classified as Level 3 relate to physical and financial energy-related commodity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quantify the significant unobservable inputs used in developing the fair value of the Company’s Level 3 positions:</w:t>
      </w:r>
    </w:p>
    <w:p>
      <w:pPr>
        <w:spacing w:after="0" w:line="8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340" w:type="dxa"/>
            <w:vAlign w:val="bottom"/>
            <w:tcBorders>
              <w:top w:val="single" w:sz="8" w:color="auto"/>
              <w:bottom w:val="single" w:sz="8" w:color="auto"/>
            </w:tcBorders>
            <w:gridSpan w:val="2"/>
          </w:tcPr>
          <w:p>
            <w:pPr>
              <w:jc w:val="right"/>
              <w:ind w:right="14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Input/Range</w:t>
            </w: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6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320" w:type="dxa"/>
            <w:vAlign w:val="bottom"/>
          </w:tcPr>
          <w:p>
            <w:pPr>
              <w:spacing w:after="0"/>
              <w:rPr>
                <w:sz w:val="10"/>
                <w:szCs w:val="10"/>
                <w:color w:val="auto"/>
              </w:rPr>
            </w:pPr>
          </w:p>
        </w:tc>
        <w:tc>
          <w:tcPr>
            <w:tcW w:w="10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Low</w:t>
            </w:r>
          </w:p>
        </w:tc>
        <w:tc>
          <w:tcPr>
            <w:tcW w:w="200" w:type="dxa"/>
            <w:vAlign w:val="bottom"/>
          </w:tcPr>
          <w:p>
            <w:pPr>
              <w:spacing w:after="0"/>
              <w:rPr>
                <w:sz w:val="10"/>
                <w:szCs w:val="10"/>
                <w:color w:val="auto"/>
              </w:rPr>
            </w:pP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High</w:t>
            </w:r>
          </w:p>
        </w:tc>
        <w:tc>
          <w:tcPr>
            <w:tcW w:w="120" w:type="dxa"/>
            <w:vAlign w:val="bottom"/>
          </w:tcPr>
          <w:p>
            <w:pPr>
              <w:spacing w:after="0"/>
              <w:rPr>
                <w:sz w:val="10"/>
                <w:szCs w:val="10"/>
                <w:color w:val="auto"/>
              </w:rPr>
            </w:pPr>
          </w:p>
        </w:tc>
        <w:tc>
          <w:tcPr>
            <w:tcW w:w="12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10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366 Discounted Cash Flow</w:t>
            </w:r>
          </w:p>
        </w:tc>
        <w:tc>
          <w:tcPr>
            <w:tcW w:w="15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5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7"/>
              </w:rPr>
              <w:t>MWh)</w:t>
            </w:r>
          </w:p>
        </w:tc>
        <w:tc>
          <w:tcPr>
            <w:tcW w:w="3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9</w:t>
            </w:r>
          </w:p>
        </w:tc>
        <w:tc>
          <w:tcPr>
            <w:tcW w:w="660" w:type="dxa"/>
            <w:vAlign w:val="bottom"/>
          </w:tcPr>
          <w:p>
            <w:pPr>
              <w:spacing w:after="0"/>
              <w:rPr>
                <w:sz w:val="13"/>
                <w:szCs w:val="13"/>
                <w:color w:val="auto"/>
              </w:rPr>
            </w:pPr>
          </w:p>
        </w:tc>
        <w:tc>
          <w:tcPr>
            <w:tcW w:w="168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color w:val="auto"/>
              </w:rPr>
              <w:t>5 Option Model</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1,011.79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0" w:type="dxa"/>
            <w:vAlign w:val="bottom"/>
          </w:tcPr>
          <w:p>
            <w:pPr>
              <w:spacing w:after="0"/>
              <w:rPr>
                <w:sz w:val="1"/>
                <w:szCs w:val="1"/>
                <w:color w:val="auto"/>
              </w:rPr>
            </w:pPr>
          </w:p>
        </w:tc>
      </w:tr>
      <w:tr>
        <w:trPr>
          <w:trHeight w:val="16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10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0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7"/>
              </w:rPr>
              <w:t>MWh)</w:t>
            </w:r>
          </w:p>
        </w:tc>
        <w:tc>
          <w:tcPr>
            <w:tcW w:w="3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8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color w:val="auto"/>
              </w:rPr>
              <w:t>Option Model</w:t>
            </w:r>
          </w:p>
        </w:tc>
        <w:tc>
          <w:tcPr>
            <w:tcW w:w="1500" w:type="dxa"/>
            <w:vAlign w:val="bottom"/>
            <w:vMerge w:val="continue"/>
          </w:tcPr>
          <w:p>
            <w:pPr>
              <w:spacing w:after="0"/>
              <w:rPr>
                <w:sz w:val="6"/>
                <w:szCs w:val="6"/>
                <w:color w:val="auto"/>
              </w:rPr>
            </w:pP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0.85</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0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9"/>
              </w:rPr>
              <w:t>MMBtu)</w:t>
            </w:r>
          </w:p>
        </w:tc>
        <w:tc>
          <w:tcPr>
            <w:tcW w:w="3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500" w:type="dxa"/>
            <w:vAlign w:val="bottom"/>
            <w:shd w:val="clear" w:color="auto" w:fill="CCEEFF"/>
          </w:tcPr>
          <w:p>
            <w:pPr>
              <w:jc w:val="center"/>
              <w:ind w:left="16"/>
              <w:spacing w:after="0" w:line="129" w:lineRule="exact"/>
              <w:rPr>
                <w:sz w:val="20"/>
                <w:szCs w:val="20"/>
                <w:color w:val="auto"/>
              </w:rPr>
            </w:pPr>
            <w:r>
              <w:rPr>
                <w:rFonts w:ascii="Times New Roman" w:cs="Times New Roman" w:eastAsia="Times New Roman" w:hAnsi="Times New Roman"/>
                <w:sz w:val="13"/>
                <w:szCs w:val="13"/>
                <w:color w:val="auto"/>
                <w:w w:val="98"/>
              </w:rPr>
              <w:t>Forecast annual generation</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104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10</w:t>
            </w:r>
          </w:p>
        </w:tc>
        <w:tc>
          <w:tcPr>
            <w:tcW w:w="66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 Discounted Cash Flow</w:t>
            </w:r>
          </w:p>
        </w:tc>
        <w:tc>
          <w:tcPr>
            <w:tcW w:w="1500" w:type="dxa"/>
            <w:vAlign w:val="bottom"/>
            <w:shd w:val="clear" w:color="auto" w:fill="CCEEFF"/>
          </w:tcPr>
          <w:p>
            <w:pPr>
              <w:jc w:val="center"/>
              <w:ind w:left="16"/>
              <w:spacing w:after="0" w:line="128" w:lineRule="exact"/>
              <w:rPr>
                <w:sz w:val="20"/>
                <w:szCs w:val="20"/>
                <w:color w:val="auto"/>
              </w:rPr>
            </w:pPr>
            <w:r>
              <w:rPr>
                <w:rFonts w:ascii="Times New Roman" w:cs="Times New Roman" w:eastAsia="Times New Roman" w:hAnsi="Times New Roman"/>
                <w:sz w:val="13"/>
                <w:szCs w:val="13"/>
                <w:color w:val="auto"/>
                <w:w w:val="97"/>
              </w:rPr>
              <w:t>levels of certain DG solar</w:t>
            </w:r>
          </w:p>
        </w:tc>
        <w:tc>
          <w:tcPr>
            <w:tcW w:w="3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59,425 MWh</w:t>
            </w: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118,850 MWh</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111,091 MWh</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5" w:name="page106"/>
    <w:bookmarkEnd w:id="105"/>
    <w:p>
      <w:pPr>
        <w:ind w:left="626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340" w:type="dxa"/>
            <w:vAlign w:val="bottom"/>
            <w:tcBorders>
              <w:top w:val="single" w:sz="8" w:color="auto"/>
              <w:bottom w:val="single" w:sz="8" w:color="auto"/>
            </w:tcBorders>
            <w:gridSpan w:val="2"/>
          </w:tcPr>
          <w:p>
            <w:pPr>
              <w:jc w:val="right"/>
              <w:ind w:right="14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Input/Range</w:t>
            </w: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6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320" w:type="dxa"/>
            <w:vAlign w:val="bottom"/>
          </w:tcPr>
          <w:p>
            <w:pPr>
              <w:spacing w:after="0"/>
              <w:rPr>
                <w:sz w:val="10"/>
                <w:szCs w:val="10"/>
                <w:color w:val="auto"/>
              </w:rPr>
            </w:pPr>
          </w:p>
        </w:tc>
        <w:tc>
          <w:tcPr>
            <w:tcW w:w="10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Low</w:t>
            </w:r>
          </w:p>
        </w:tc>
        <w:tc>
          <w:tcPr>
            <w:tcW w:w="200" w:type="dxa"/>
            <w:vAlign w:val="bottom"/>
          </w:tcPr>
          <w:p>
            <w:pPr>
              <w:spacing w:after="0"/>
              <w:rPr>
                <w:sz w:val="10"/>
                <w:szCs w:val="10"/>
                <w:color w:val="auto"/>
              </w:rPr>
            </w:pP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High</w:t>
            </w:r>
          </w:p>
        </w:tc>
        <w:tc>
          <w:tcPr>
            <w:tcW w:w="120" w:type="dxa"/>
            <w:vAlign w:val="bottom"/>
          </w:tcPr>
          <w:p>
            <w:pPr>
              <w:spacing w:after="0"/>
              <w:rPr>
                <w:sz w:val="10"/>
                <w:szCs w:val="10"/>
                <w:color w:val="auto"/>
              </w:rPr>
            </w:pPr>
          </w:p>
        </w:tc>
        <w:tc>
          <w:tcPr>
            <w:tcW w:w="12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10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325 Discounted Cash Flow</w:t>
            </w:r>
          </w:p>
        </w:tc>
        <w:tc>
          <w:tcPr>
            <w:tcW w:w="15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w:t>
            </w: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5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7"/>
              </w:rPr>
              <w:t>MWh)</w:t>
            </w:r>
          </w:p>
        </w:tc>
        <w:tc>
          <w:tcPr>
            <w:tcW w:w="3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168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color w:val="auto"/>
              </w:rPr>
              <w:t>5 Option Model</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(43.96)</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343.61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64.34</w:t>
            </w:r>
          </w:p>
        </w:tc>
        <w:tc>
          <w:tcPr>
            <w:tcW w:w="0" w:type="dxa"/>
            <w:vAlign w:val="bottom"/>
          </w:tcPr>
          <w:p>
            <w:pPr>
              <w:spacing w:after="0"/>
              <w:rPr>
                <w:sz w:val="1"/>
                <w:szCs w:val="1"/>
                <w:color w:val="auto"/>
              </w:rPr>
            </w:pPr>
          </w:p>
        </w:tc>
      </w:tr>
      <w:tr>
        <w:trPr>
          <w:trHeight w:val="16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10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0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7"/>
              </w:rPr>
              <w:t>MWh)</w:t>
            </w:r>
          </w:p>
        </w:tc>
        <w:tc>
          <w:tcPr>
            <w:tcW w:w="3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8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color w:val="auto"/>
              </w:rPr>
              <w:t>Option Model</w:t>
            </w:r>
          </w:p>
        </w:tc>
        <w:tc>
          <w:tcPr>
            <w:tcW w:w="1500" w:type="dxa"/>
            <w:vAlign w:val="bottom"/>
            <w:vMerge w:val="continue"/>
          </w:tcPr>
          <w:p>
            <w:pPr>
              <w:spacing w:after="0"/>
              <w:rPr>
                <w:sz w:val="6"/>
                <w:szCs w:val="6"/>
                <w:color w:val="auto"/>
              </w:rPr>
            </w:pP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0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9"/>
              </w:rPr>
              <w:t>MMBtu)</w:t>
            </w:r>
          </w:p>
        </w:tc>
        <w:tc>
          <w:tcPr>
            <w:tcW w:w="3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500" w:type="dxa"/>
            <w:vAlign w:val="bottom"/>
            <w:shd w:val="clear" w:color="auto" w:fill="CCEEFF"/>
          </w:tcPr>
          <w:p>
            <w:pPr>
              <w:jc w:val="center"/>
              <w:ind w:left="16"/>
              <w:spacing w:after="0" w:line="129" w:lineRule="exact"/>
              <w:rPr>
                <w:sz w:val="20"/>
                <w:szCs w:val="20"/>
                <w:color w:val="auto"/>
              </w:rPr>
            </w:pPr>
            <w:r>
              <w:rPr>
                <w:rFonts w:ascii="Times New Roman" w:cs="Times New Roman" w:eastAsia="Times New Roman" w:hAnsi="Times New Roman"/>
                <w:sz w:val="13"/>
                <w:szCs w:val="13"/>
                <w:color w:val="auto"/>
                <w:w w:val="98"/>
              </w:rPr>
              <w:t>Forecast annual generation</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10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13</w:t>
            </w:r>
          </w:p>
        </w:tc>
        <w:tc>
          <w:tcPr>
            <w:tcW w:w="66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 Discounted Cash Flow</w:t>
            </w:r>
          </w:p>
        </w:tc>
        <w:tc>
          <w:tcPr>
            <w:tcW w:w="1500" w:type="dxa"/>
            <w:vAlign w:val="bottom"/>
            <w:shd w:val="clear" w:color="auto" w:fill="CCEEFF"/>
          </w:tcPr>
          <w:p>
            <w:pPr>
              <w:jc w:val="center"/>
              <w:ind w:left="16"/>
              <w:spacing w:after="0" w:line="128" w:lineRule="exact"/>
              <w:rPr>
                <w:sz w:val="20"/>
                <w:szCs w:val="20"/>
                <w:color w:val="auto"/>
              </w:rPr>
            </w:pPr>
            <w:r>
              <w:rPr>
                <w:rFonts w:ascii="Times New Roman" w:cs="Times New Roman" w:eastAsia="Times New Roman" w:hAnsi="Times New Roman"/>
                <w:sz w:val="13"/>
                <w:szCs w:val="13"/>
                <w:color w:val="auto"/>
                <w:w w:val="97"/>
              </w:rPr>
              <w:t>levels of certain DG solar</w:t>
            </w:r>
          </w:p>
        </w:tc>
        <w:tc>
          <w:tcPr>
            <w:tcW w:w="3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60,801 MWh</w:t>
            </w: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121,602 MWh</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115,622 MWh</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 provides the impact on the fair value measurements to increases/(decreases) in significant unobservable inputs as of December 31, 2024 and </w:t>
      </w:r>
      <w:r>
        <w:rPr>
          <w:rFonts w:ascii="Times New Roman" w:cs="Times New Roman" w:eastAsia="Times New Roman" w:hAnsi="Times New Roman"/>
          <w:sz w:val="12"/>
          <w:szCs w:val="12"/>
          <w:color w:val="auto"/>
        </w:rPr>
        <w:t>2023</w:t>
      </w:r>
      <w:r>
        <w:rPr>
          <w:rFonts w:ascii="Times New Roman" w:cs="Times New Roman" w:eastAsia="Times New Roman" w:hAnsi="Times New Roman"/>
          <w:sz w:val="14"/>
          <w:szCs w:val="14"/>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272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8"/>
              </w:rPr>
              <w:t>Significant Observable Input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Position</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Change In Input</w:t>
            </w:r>
          </w:p>
        </w:tc>
        <w:tc>
          <w:tcPr>
            <w:tcW w:w="2700" w:type="dxa"/>
            <w:vAlign w:val="bottom"/>
            <w:tcBorders>
              <w:bottom w:val="single" w:sz="8" w:color="auto"/>
            </w:tcBorders>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7"/>
              </w:rPr>
              <w:t>Impact on Fair Value Measurement</w:t>
            </w:r>
          </w:p>
        </w:tc>
      </w:tr>
      <w:tr>
        <w:trPr>
          <w:trHeight w:val="16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Energy-Related Commodity Contracts</w:t>
            </w:r>
          </w:p>
        </w:tc>
        <w:tc>
          <w:tcPr>
            <w:tcW w:w="27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7"/>
              </w:rPr>
              <w:t>Forward Market Price Power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Increase/(Decrease)</w:t>
            </w:r>
          </w:p>
        </w:tc>
        <w:tc>
          <w:tcPr>
            <w:tcW w:w="27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w w:val="97"/>
              </w:rPr>
              <w:t>Lower/(Higher)</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Energy-Related Commodity Contracts</w:t>
            </w:r>
          </w:p>
        </w:tc>
        <w:tc>
          <w:tcPr>
            <w:tcW w:w="272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Forward Market Price Gas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Increase/(Decrease)</w:t>
            </w:r>
          </w:p>
        </w:tc>
        <w:tc>
          <w:tcPr>
            <w:tcW w:w="27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7"/>
              </w:rPr>
              <w:t>Higher/(Lower)</w:t>
            </w:r>
          </w:p>
        </w:tc>
      </w:tr>
      <w:tr>
        <w:trPr>
          <w:trHeight w:val="17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27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7"/>
              </w:rPr>
              <w:t>Forecast Generation Levels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Increase/(Decrease)</w:t>
            </w:r>
          </w:p>
        </w:tc>
        <w:tc>
          <w:tcPr>
            <w:tcW w:w="27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w w:val="97"/>
              </w:rPr>
              <w:t>Higher/(Lower)</w:t>
            </w:r>
          </w:p>
        </w:tc>
      </w:tr>
    </w:tbl>
    <w:p>
      <w:pPr>
        <w:spacing w:after="0" w:line="17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2024, the non-performance reserve was a $16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06" w:name="page107"/>
    <w:bookmarkEnd w:id="106"/>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Accounting for Derivative Instruments and Hedging Activities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energy-related commodity contracts and interest rate swaps.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As of December 31, 2024, the Company had interest rate derivative instruments on non-recourse debt extending through 2033,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Commodity Contracts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had energy-related derivative instruments extending through 2033. At December 31, 2024, these contracts were not designated as cash flow or fair value hedges.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Volumetric Underlying Derivative Transactions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6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17"/>
        </w:trPr>
        <w:tc>
          <w:tcPr>
            <w:tcW w:w="20" w:type="dxa"/>
            <w:vAlign w:val="bottom"/>
          </w:tcPr>
          <w:p>
            <w:pPr>
              <w:spacing w:after="0"/>
              <w:rPr>
                <w:sz w:val="10"/>
                <w:szCs w:val="10"/>
                <w:color w:val="auto"/>
              </w:rPr>
            </w:pPr>
          </w:p>
        </w:tc>
        <w:tc>
          <w:tcPr>
            <w:tcW w:w="29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4560" w:type="dxa"/>
            <w:vAlign w:val="bottom"/>
            <w:gridSpan w:val="3"/>
          </w:tcPr>
          <w:p>
            <w:pPr>
              <w:ind w:left="2300"/>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0" w:type="dxa"/>
            <w:vAlign w:val="bottom"/>
          </w:tcPr>
          <w:p>
            <w:pPr>
              <w:spacing w:after="0"/>
              <w:rPr>
                <w:sz w:val="10"/>
                <w:szCs w:val="10"/>
                <w:color w:val="auto"/>
              </w:rPr>
            </w:pPr>
          </w:p>
        </w:tc>
        <w:tc>
          <w:tcPr>
            <w:tcW w:w="8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6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w:t>
            </w:r>
          </w:p>
        </w:tc>
        <w:tc>
          <w:tcPr>
            <w:tcW w:w="4560" w:type="dxa"/>
            <w:vAlign w:val="bottom"/>
            <w:gridSpan w:val="3"/>
            <w:shd w:val="clear" w:color="auto" w:fill="CCEEFF"/>
          </w:tcPr>
          <w:p>
            <w:pPr>
              <w:ind w:left="2300"/>
              <w:spacing w:after="0"/>
              <w:rPr>
                <w:sz w:val="20"/>
                <w:szCs w:val="20"/>
                <w:color w:val="auto"/>
              </w:rPr>
            </w:pPr>
            <w:r>
              <w:rPr>
                <w:rFonts w:ascii="Times New Roman" w:cs="Times New Roman" w:eastAsia="Times New Roman" w:hAnsi="Times New Roman"/>
                <w:sz w:val="14"/>
                <w:szCs w:val="14"/>
                <w:color w:val="auto"/>
              </w:rPr>
              <w:t>MWh</w:t>
            </w: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4560" w:type="dxa"/>
            <w:vAlign w:val="bottom"/>
            <w:gridSpan w:val="3"/>
          </w:tcPr>
          <w:p>
            <w:pPr>
              <w:ind w:left="2300"/>
              <w:spacing w:after="0"/>
              <w:rPr>
                <w:sz w:val="20"/>
                <w:szCs w:val="20"/>
                <w:color w:val="auto"/>
              </w:rPr>
            </w:pPr>
            <w:r>
              <w:rPr>
                <w:rFonts w:ascii="Times New Roman" w:cs="Times New Roman" w:eastAsia="Times New Roman" w:hAnsi="Times New Roman"/>
                <w:sz w:val="14"/>
                <w:szCs w:val="14"/>
                <w:color w:val="auto"/>
              </w:rPr>
              <w:t>MMBtu</w:t>
            </w:r>
          </w:p>
        </w:tc>
        <w:tc>
          <w:tcPr>
            <w:tcW w:w="140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4560" w:type="dxa"/>
            <w:vAlign w:val="bottom"/>
            <w:gridSpan w:val="3"/>
            <w:shd w:val="clear" w:color="auto" w:fill="CCEEFF"/>
          </w:tcPr>
          <w:p>
            <w:pPr>
              <w:ind w:left="2300"/>
              <w:spacing w:after="0"/>
              <w:rPr>
                <w:sz w:val="20"/>
                <w:szCs w:val="20"/>
                <w:color w:val="auto"/>
              </w:rPr>
            </w:pPr>
            <w:r>
              <w:rPr>
                <w:rFonts w:ascii="Times New Roman" w:cs="Times New Roman" w:eastAsia="Times New Roman" w:hAnsi="Times New Roman"/>
                <w:sz w:val="14"/>
                <w:szCs w:val="14"/>
                <w:color w:val="auto"/>
              </w:rPr>
              <w:t>Dollars</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1,769</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r>
      <w:tr>
        <w:trPr>
          <w:trHeight w:val="67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60" w:type="dxa"/>
            <w:vAlign w:val="bottom"/>
            <w:gridSpan w:val="3"/>
          </w:tcPr>
          <w:p>
            <w:pPr>
              <w:jc w:val="right"/>
              <w:ind w:right="1780"/>
              <w:spacing w:after="0"/>
              <w:rPr>
                <w:sz w:val="20"/>
                <w:szCs w:val="20"/>
                <w:color w:val="auto"/>
              </w:rPr>
            </w:pPr>
            <w:r>
              <w:rPr>
                <w:rFonts w:ascii="Times New Roman" w:cs="Times New Roman" w:eastAsia="Times New Roman" w:hAnsi="Times New Roman"/>
                <w:sz w:val="14"/>
                <w:szCs w:val="14"/>
                <w:color w:val="auto"/>
              </w:rPr>
              <w:t>107</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ind w:left="780"/>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140" w:type="dxa"/>
            <w:vAlign w:val="bottom"/>
          </w:tcPr>
          <w:p>
            <w:pPr>
              <w:spacing w:after="0"/>
              <w:rPr>
                <w:sz w:val="13"/>
                <w:szCs w:val="13"/>
                <w:color w:val="auto"/>
              </w:rPr>
            </w:pPr>
          </w:p>
        </w:tc>
        <w:tc>
          <w:tcPr>
            <w:tcW w:w="2560" w:type="dxa"/>
            <w:vAlign w:val="bottom"/>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r>
      <w:tr>
        <w:trPr>
          <w:trHeight w:val="150"/>
        </w:trPr>
        <w:tc>
          <w:tcPr>
            <w:tcW w:w="58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5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0"/>
        </w:trPr>
        <w:tc>
          <w:tcPr>
            <w:tcW w:w="5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current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long-term</w:t>
            </w: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71"/>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December 31, 2024 and 2023, the amount of outstanding collateral paid or received was immaterial.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gridSpan w:val="5"/>
          </w:tcPr>
          <w:p>
            <w:pPr>
              <w:jc w:val="center"/>
              <w:ind w:left="1592"/>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6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7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55"/>
        </w:trPr>
        <w:tc>
          <w:tcPr>
            <w:tcW w:w="4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5"/>
          </w:tcPr>
          <w:p>
            <w:pPr>
              <w:jc w:val="center"/>
              <w:ind w:left="1592"/>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6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tcBorders>
              <w:bottom w:val="single" w:sz="8" w:color="auto"/>
            </w:tcBorders>
            <w:shd w:val="clear" w:color="auto" w:fill="CCEEFF"/>
          </w:tcPr>
          <w:p>
            <w:pPr>
              <w:spacing w:after="0"/>
              <w:rPr>
                <w:sz w:val="15"/>
                <w:szCs w:val="15"/>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jc w:val="right"/>
              <w:ind w:right="1092"/>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OCI (OCL) balance attributable to interest rate swaps designated as cash flow hedge derivatives, net of tax:</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40" w:type="dxa"/>
            <w:vAlign w:val="bottom"/>
          </w:tcPr>
          <w:p>
            <w:pPr>
              <w:spacing w:after="0"/>
              <w:rPr>
                <w:sz w:val="13"/>
                <w:szCs w:val="13"/>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0"/>
        </w:trPr>
        <w:tc>
          <w:tcPr>
            <w:tcW w:w="7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(OCL) beginning balance</w:t>
            </w:r>
          </w:p>
        </w:tc>
        <w:tc>
          <w:tcPr>
            <w:tcW w:w="80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Reclassified from accumulated OCI (OCL) to income due to realization of previously deferred amounts</w:t>
            </w:r>
          </w:p>
        </w:tc>
        <w:tc>
          <w:tcPr>
            <w:tcW w:w="8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Capistrano Wind Portfolio Acquisition </w:t>
            </w:r>
            <w:r>
              <w:rPr>
                <w:rFonts w:ascii="Times New Roman" w:cs="Times New Roman" w:eastAsia="Times New Roman" w:hAnsi="Times New Roman"/>
                <w:sz w:val="18"/>
                <w:szCs w:val="18"/>
                <w:color w:val="auto"/>
                <w:vertAlign w:val="superscript"/>
              </w:rPr>
              <w:t>(a)</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ending balance, net of income tax expense of $1, $2 and $3, respectively</w:t>
            </w:r>
          </w:p>
        </w:tc>
        <w:tc>
          <w:tcPr>
            <w:tcW w:w="8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noncontrolling interests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760"/>
              <w:spacing w:after="0" w:line="143"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Clearway Energy, Inc.</w:t>
            </w:r>
          </w:p>
        </w:tc>
        <w:tc>
          <w:tcPr>
            <w:tcW w:w="80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Income expected to be realized from OCI during the next 12 months, net of income tax expense of $1</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740" w:type="dxa"/>
            <w:vAlign w:val="bottom"/>
            <w:vMerge w:val="continue"/>
          </w:tcPr>
          <w:p>
            <w:pPr>
              <w:spacing w:after="0"/>
              <w:rPr>
                <w:sz w:val="12"/>
                <w:szCs w:val="12"/>
                <w:color w:val="auto"/>
              </w:rPr>
            </w:pPr>
          </w:p>
        </w:tc>
        <w:tc>
          <w:tcPr>
            <w:tcW w:w="800" w:type="dxa"/>
            <w:vAlign w:val="bottom"/>
          </w:tcPr>
          <w:p>
            <w:pPr>
              <w:jc w:val="right"/>
              <w:ind w:right="653"/>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Represents $4 million attributable to Clearway Energy, Inc. and $3 million attributable to noncontrolling interests.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OCI (OCL) into income are recorded to 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Income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Mark-to-market gains/(losses) related to the Company’s derivatives are recorded in the consolidated statements of income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7740" w:type="dxa"/>
            <w:vAlign w:val="bottom"/>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77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Total operating revenues) </w:t>
            </w:r>
            <w:r>
              <w:rPr>
                <w:rFonts w:ascii="Times New Roman" w:cs="Times New Roman" w:eastAsia="Times New Roman" w:hAnsi="Times New Roman"/>
                <w:sz w:val="18"/>
                <w:szCs w:val="18"/>
                <w:color w:val="auto"/>
                <w:vertAlign w:val="superscript"/>
              </w:rPr>
              <w:t>(a)</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242424"/>
              </w:rPr>
              <w:t>23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0"/>
        </w:trPr>
        <w:tc>
          <w:tcPr>
            <w:tcW w:w="7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Cost of operations) </w:t>
            </w:r>
            <w:r>
              <w:rPr>
                <w:rFonts w:ascii="Times New Roman" w:cs="Times New Roman" w:eastAsia="Times New Roman" w:hAnsi="Times New Roman"/>
                <w:sz w:val="18"/>
                <w:szCs w:val="18"/>
                <w:color w:val="auto"/>
                <w:vertAlign w:val="superscript"/>
              </w:rPr>
              <w:t>(b)</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242424"/>
              </w:rPr>
              <w:t>2</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5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Relates to long-term energy-related commodity contracts at Elbow Creek, Mesquite Star, Mt. Storm, Langford and Mesquite Sky and heat rate call option energy-related commodity contracts at El Segundo, Marsh Landing and Walnut Creek.</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5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Relates to long-term backbone transportation service energy-related commodity contracts at El Segundo and Walnut Creek.</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Intangible Assets</w:t>
      </w:r>
    </w:p>
    <w:p>
      <w:pPr>
        <w:spacing w:after="0" w:line="136" w:lineRule="exact"/>
        <w:rPr>
          <w:sz w:val="20"/>
          <w:szCs w:val="20"/>
          <w:color w:val="auto"/>
        </w:rPr>
      </w:pPr>
    </w:p>
    <w:p>
      <w:pPr>
        <w:ind w:firstLine="318"/>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Intangible Assets </w:t>
      </w:r>
      <w:r>
        <w:rPr>
          <w:rFonts w:ascii="Times New Roman" w:cs="Times New Roman" w:eastAsia="Times New Roman" w:hAnsi="Times New Roman"/>
          <w:sz w:val="14"/>
          <w:szCs w:val="14"/>
          <w:color w:val="auto"/>
        </w:rPr>
        <w:t>— The Company’s intangible assets as of December 31, 2024 and 2023 primarily reflect intangible assets established from its business acquisitions and are comprised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w:t>
      </w:r>
    </w:p>
    <w:p>
      <w:pPr>
        <w:spacing w:after="0" w:line="1" w:lineRule="exact"/>
        <w:rPr>
          <w:sz w:val="20"/>
          <w:szCs w:val="20"/>
          <w:color w:val="auto"/>
        </w:rPr>
      </w:pPr>
    </w:p>
    <w:p>
      <w:pPr>
        <w:ind w:left="520" w:hanging="260"/>
        <w:spacing w:after="0" w:line="284" w:lineRule="auto"/>
        <w:tabs>
          <w:tab w:leader="none" w:pos="516" w:val="left"/>
        </w:tabs>
        <w:numPr>
          <w:ilvl w:val="0"/>
          <w:numId w:val="5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PPAs </w:t>
      </w:r>
      <w:r>
        <w:rPr>
          <w:rFonts w:ascii="Times New Roman" w:cs="Times New Roman" w:eastAsia="Times New Roman" w:hAnsi="Times New Roman"/>
          <w:sz w:val="14"/>
          <w:szCs w:val="14"/>
          <w:color w:val="auto"/>
        </w:rPr>
        <w:t>— Established predominantly with the acquisitions of the Alta Wind Portfolio, Tapestry, Laredo Ridge, Carlsbad Energy Center, Agua Caliente, the Utah Solar Portfolio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Capistrano Wind Portfolio. These represent the fair value of the PPAs acquired. These are amortized on a straight-line basis, over the term of the PPA.</w:t>
      </w:r>
    </w:p>
    <w:p>
      <w:pPr>
        <w:ind w:left="520" w:hanging="260"/>
        <w:spacing w:after="0" w:line="284"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Leasehold Rights </w:t>
      </w:r>
      <w:r>
        <w:rPr>
          <w:rFonts w:ascii="Times New Roman" w:cs="Times New Roman" w:eastAsia="Times New Roman" w:hAnsi="Times New Roman"/>
          <w:sz w:val="14"/>
          <w:szCs w:val="14"/>
          <w:color w:val="auto"/>
        </w:rPr>
        <w:t>— Established with the acquisition of the Alta Wind Portfolio, this represents the fair value of contractual rights to receive royalty payments equal to a percentage of PPA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from certain facilities. These are amortized as a reduction to operating revenue on a straight-line basis over the term of the PPAs.</w:t>
      </w:r>
    </w:p>
    <w:p>
      <w:pPr>
        <w:jc w:val="both"/>
        <w:ind w:left="520" w:hanging="260"/>
        <w:spacing w:after="0" w:line="271"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Emission Allowances </w:t>
      </w:r>
      <w:r>
        <w:rPr>
          <w:rFonts w:ascii="Times New Roman" w:cs="Times New Roman" w:eastAsia="Times New Roman" w:hAnsi="Times New Roman"/>
          <w:sz w:val="14"/>
          <w:szCs w:val="14"/>
          <w:color w:val="auto"/>
        </w:rPr>
        <w:t>— These intangibles primarily consist of SO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emission allowances established with the El Segundo, Walnut Creek and Carlsbad Energy Center acquisitions.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These emission allowances are held-for-use and are amortized to cost of operations, with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color w:val="auto"/>
        </w:rPr>
        <w:t xml:space="preserve"> allowances amortized on a straight-line basis and SO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allowances amortized based on units of production.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9" w:name="page110"/>
    <w:bookmarkEnd w:id="109"/>
    <w:p>
      <w:pPr>
        <w:jc w:val="both"/>
        <w:ind w:left="520" w:hanging="260"/>
        <w:spacing w:after="0" w:line="271" w:lineRule="auto"/>
        <w:tabs>
          <w:tab w:leader="none" w:pos="51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 Consists of a) the acquisition date fair value of the contractual rights to a ground lease for South Trent and to utilize certain interconnection facilities for Blythe as well as land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acquired in connection with the acquisition of Elbow Creek; b) development rights related to certain solar business acquisitions; c) purchased software for certain solar facilities; d) RECs acquired in connection with the acquisition of the Utah Solar Portfolio; and e) favorable land leases acquired in connection with the acquisition of the Utah Star Portfolio.</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components of intangible assets subject to amortization: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00" w:type="dxa"/>
            <w:vAlign w:val="bottom"/>
          </w:tcPr>
          <w:p>
            <w:pPr>
              <w:spacing w:after="0"/>
              <w:rPr>
                <w:sz w:val="11"/>
                <w:szCs w:val="1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6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Emission Allowances</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2024</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center"/>
              <w:ind w:left="7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2024</w:t>
            </w: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left="837"/>
              <w:spacing w:after="0"/>
              <w:rPr>
                <w:sz w:val="20"/>
                <w:szCs w:val="20"/>
                <w:color w:val="auto"/>
              </w:rPr>
            </w:pPr>
            <w:r>
              <w:rPr>
                <w:rFonts w:ascii="Times New Roman" w:cs="Times New Roman" w:eastAsia="Times New Roman" w:hAnsi="Times New Roman"/>
                <w:sz w:val="13"/>
                <w:szCs w:val="13"/>
                <w:color w:val="auto"/>
                <w:w w:val="92"/>
              </w:rPr>
              <w:t>(42)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0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6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Emission Allowances</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2023</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Walnut Creek PPA expiration</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left="7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left="7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31, 2023</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center"/>
              <w:ind w:left="837"/>
              <w:spacing w:after="0"/>
              <w:rPr>
                <w:sz w:val="20"/>
                <w:szCs w:val="20"/>
                <w:color w:val="auto"/>
              </w:rPr>
            </w:pPr>
            <w:r>
              <w:rPr>
                <w:rFonts w:ascii="Times New Roman" w:cs="Times New Roman" w:eastAsia="Times New Roman" w:hAnsi="Times New Roman"/>
                <w:sz w:val="13"/>
                <w:szCs w:val="13"/>
                <w:color w:val="auto"/>
                <w:w w:val="92"/>
              </w:rPr>
              <w:t>(38)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recorded amortization expense of $184 million, $186 million and $174 million during the years ended December 31, 2024, 2023 and 2022, respectively. Of these amounts, $178 million, $181 million and $168 million during the years ended December 31, 2024, 2023 and 2022, respectively, were related to the amortization of intangible assets for PPAs and were recorded to contract amortization expense, which reduced operating revenues in the consolidated statements of income. The Company estimates the future amortization expense for its intangibles for the next five years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63"/>
        </w:trPr>
        <w:tc>
          <w:tcPr>
            <w:tcW w:w="9100" w:type="dxa"/>
            <w:vAlign w:val="bottom"/>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2025</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72"/>
        </w:trPr>
        <w:tc>
          <w:tcPr>
            <w:tcW w:w="9100" w:type="dxa"/>
            <w:vAlign w:val="bottom"/>
            <w:shd w:val="clear" w:color="auto" w:fill="CCEEFF"/>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2026</w:t>
            </w:r>
          </w:p>
        </w:tc>
        <w:tc>
          <w:tcPr>
            <w:tcW w:w="4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68"/>
        </w:trPr>
        <w:tc>
          <w:tcPr>
            <w:tcW w:w="9100" w:type="dxa"/>
            <w:vAlign w:val="bottom"/>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2027</w:t>
            </w:r>
          </w:p>
        </w:tc>
        <w:tc>
          <w:tcPr>
            <w:tcW w:w="4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72"/>
        </w:trPr>
        <w:tc>
          <w:tcPr>
            <w:tcW w:w="9100" w:type="dxa"/>
            <w:vAlign w:val="bottom"/>
            <w:shd w:val="clear" w:color="auto" w:fill="CCEEFF"/>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2028</w:t>
            </w:r>
          </w:p>
        </w:tc>
        <w:tc>
          <w:tcPr>
            <w:tcW w:w="4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65"/>
        </w:trPr>
        <w:tc>
          <w:tcPr>
            <w:tcW w:w="9100" w:type="dxa"/>
            <w:vAlign w:val="bottom"/>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2029</w:t>
            </w:r>
          </w:p>
        </w:tc>
        <w:tc>
          <w:tcPr>
            <w:tcW w:w="4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color w:val="auto"/>
        </w:rPr>
        <w:t>Note 9 — Asset Impairments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Impairment Losses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During the fourth quarter of 2023,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facilities within the Renewables segment no longer supported the recoverability of the carrying value of the related long-lived assets. As such, the Company recorded an impairment loss of $12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Impairment Losses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impairment analysis indicated that the projected future cash flows for certain facilities within the Renewables segment no longer supported the recoverability of the carrying value of the related long-lived assets. As such, the Company recorded an impairment loss of $16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borrowings, including short-term and long-term portions, consisted of the following: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 xml:space="preserve">Interest rate % </w:t>
            </w:r>
            <w:r>
              <w:rPr>
                <w:rFonts w:ascii="Times New Roman" w:cs="Times New Roman" w:eastAsia="Times New Roman" w:hAnsi="Times New Roman"/>
                <w:sz w:val="14"/>
                <w:szCs w:val="14"/>
                <w:b w:val="1"/>
                <w:bCs w:val="1"/>
                <w:color w:val="auto"/>
                <w:vertAlign w:val="superscript"/>
              </w:rPr>
              <w:t>(a)(b)</w:t>
            </w:r>
          </w:p>
        </w:tc>
        <w:tc>
          <w:tcPr>
            <w:tcW w:w="170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Letters of Credit Outstanding at</w:t>
            </w:r>
          </w:p>
        </w:tc>
        <w:tc>
          <w:tcPr>
            <w:tcW w:w="0" w:type="dxa"/>
            <w:vAlign w:val="bottom"/>
          </w:tcPr>
          <w:p>
            <w:pPr>
              <w:spacing w:after="0"/>
              <w:rPr>
                <w:sz w:val="1"/>
                <w:szCs w:val="1"/>
                <w:color w:val="auto"/>
              </w:rPr>
            </w:pPr>
          </w:p>
        </w:tc>
      </w:tr>
      <w:tr>
        <w:trPr>
          <w:trHeight w:val="157"/>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45"/>
        </w:trPr>
        <w:tc>
          <w:tcPr>
            <w:tcW w:w="5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 Senior Notes</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2031 Senior Notes</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2032 Senior Notes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due 2028 </w:t>
            </w:r>
            <w:r>
              <w:rPr>
                <w:rFonts w:ascii="Times New Roman" w:cs="Times New Roman" w:eastAsia="Times New Roman" w:hAnsi="Times New Roman"/>
                <w:sz w:val="16"/>
                <w:szCs w:val="16"/>
                <w:color w:val="auto"/>
                <w:vertAlign w:val="superscript"/>
              </w:rPr>
              <w:t>(b)</w:t>
            </w: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S+1.500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Non-recourse facility level debt: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2.395-3.633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14</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S+2.775</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5.696-7.015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67</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Borrego, due 2038</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4</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Broken Bow, due 2031 </w:t>
            </w:r>
            <w:r>
              <w:rPr>
                <w:rFonts w:ascii="Times New Roman" w:cs="Times New Roman" w:eastAsia="Times New Roman" w:hAnsi="Times New Roman"/>
                <w:sz w:val="16"/>
                <w:szCs w:val="16"/>
                <w:color w:val="auto"/>
                <w:vertAlign w:val="superscript"/>
              </w:rPr>
              <w:t>(d)</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Buckthorn Solar, due 2025</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S+2.100</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20</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Capistrano Portfolio Holdco LLC, due 2033 </w:t>
            </w:r>
            <w:r>
              <w:rPr>
                <w:rFonts w:ascii="Times New Roman" w:cs="Times New Roman" w:eastAsia="Times New Roman" w:hAnsi="Times New Roman"/>
                <w:sz w:val="16"/>
                <w:szCs w:val="16"/>
                <w:color w:val="auto"/>
                <w:vertAlign w:val="superscript"/>
              </w:rPr>
              <w:t>(d)</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S+1.625</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42</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S+1.900</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63</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5</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Cedar Creek, due 2029</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S+1.625</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19</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Cedro Hill, due 2029</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S+1.750</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Crofton Bluffs, due 2031 </w:t>
            </w:r>
            <w:r>
              <w:rPr>
                <w:rFonts w:ascii="Times New Roman" w:cs="Times New Roman" w:eastAsia="Times New Roman" w:hAnsi="Times New Roman"/>
                <w:sz w:val="16"/>
                <w:szCs w:val="16"/>
                <w:color w:val="auto"/>
                <w:vertAlign w:val="superscript"/>
              </w:rPr>
              <w:t>(d)</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CVSR, due 2037</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2.339-3.775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12</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Daggett 2, due 2028</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2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S+1.762</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32</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3, due 2028</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S+1.762</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44</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Dan’s Mountain, due 2025</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S+1.250</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5</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30</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S+1.600</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18</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Natural Gas Holdco LC Facility, due 2027</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S+1.750</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105</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NIMH Solar, due 2031 and 2033</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S+2.000-2.125</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11</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S+1.775</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Rosie Class B LLC, due 2029</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S+1.750</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28</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Texas Solar Nova 1, due 2028 </w:t>
            </w:r>
            <w:r>
              <w:rPr>
                <w:rFonts w:ascii="Times New Roman" w:cs="Times New Roman" w:eastAsia="Times New Roman" w:hAnsi="Times New Roman"/>
                <w:sz w:val="16"/>
                <w:szCs w:val="16"/>
                <w:color w:val="auto"/>
                <w:vertAlign w:val="superscript"/>
              </w:rPr>
              <w:t>(c)</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0"/>
        </w:trPr>
        <w:tc>
          <w:tcPr>
            <w:tcW w:w="53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TSN1 Class B Member LLC, due 2029 </w:t>
            </w:r>
            <w:r>
              <w:rPr>
                <w:rFonts w:ascii="Times New Roman" w:cs="Times New Roman" w:eastAsia="Times New Roman" w:hAnsi="Times New Roman"/>
                <w:sz w:val="16"/>
                <w:szCs w:val="16"/>
                <w:color w:val="auto"/>
                <w:vertAlign w:val="superscript"/>
              </w:rPr>
              <w:t>(c)</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S+1.750</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52</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154</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S+1.475</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29</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Victory Pass and Arica, due 2024</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3"/>
                <w:szCs w:val="13"/>
                <w:color w:val="auto"/>
              </w:rPr>
              <w:t>Various</w:t>
            </w:r>
          </w:p>
        </w:tc>
        <w:tc>
          <w:tcPr>
            <w:tcW w:w="24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242424"/>
              </w:rPr>
              <w:t>49</w:t>
            </w:r>
          </w:p>
        </w:tc>
        <w:tc>
          <w:tcPr>
            <w:tcW w:w="0" w:type="dxa"/>
            <w:vAlign w:val="bottom"/>
          </w:tcPr>
          <w:p>
            <w:pPr>
              <w:spacing w:after="0"/>
              <w:rPr>
                <w:sz w:val="1"/>
                <w:szCs w:val="1"/>
                <w:color w:val="auto"/>
              </w:rPr>
            </w:pPr>
          </w:p>
        </w:tc>
      </w:tr>
      <w:tr>
        <w:trPr>
          <w:trHeight w:val="16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Subtotal non-recourse facility-level debt</w:t>
            </w: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5,974</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debt</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8,099</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(e)</w:t>
            </w: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long-term debt</w:t>
            </w: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80" w:hanging="111"/>
        <w:spacing w:after="0"/>
        <w:tabs>
          <w:tab w:leader="none" w:pos="180" w:val="left"/>
        </w:tabs>
        <w:numPr>
          <w:ilvl w:val="0"/>
          <w:numId w:val="6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As of December 31, 2024, S+ equals SOFR plus x%.</w:t>
      </w:r>
    </w:p>
    <w:p>
      <w:pPr>
        <w:spacing w:after="0" w:line="22"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6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Applicable rate is determined by the borrower leverage ratio, as defined in the credit agreement, and only applies to outstanding borrowings.</w:t>
      </w:r>
    </w:p>
    <w:p>
      <w:pPr>
        <w:spacing w:after="0" w:line="20" w:lineRule="exact"/>
        <w:rPr>
          <w:rFonts w:ascii="Times New Roman" w:cs="Times New Roman" w:eastAsia="Times New Roman" w:hAnsi="Times New Roman"/>
          <w:sz w:val="7"/>
          <w:szCs w:val="7"/>
          <w:color w:val="auto"/>
        </w:rPr>
      </w:pPr>
    </w:p>
    <w:p>
      <w:pPr>
        <w:ind w:left="180" w:hanging="111"/>
        <w:spacing w:after="0" w:line="221" w:lineRule="auto"/>
        <w:tabs>
          <w:tab w:leader="none" w:pos="180" w:val="left"/>
        </w:tabs>
        <w:numPr>
          <w:ilvl w:val="0"/>
          <w:numId w:val="6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On March 15, 2024, Texas Solar Nova 1’s financing agreement was amended to merge the facility-level debt of Texas Solar Nova 1 and Texas Solar Nova 2 as a combined term loan under TSN1 Class B Member LLC.</w:t>
      </w:r>
    </w:p>
    <w:p>
      <w:pPr>
        <w:spacing w:after="0" w:line="14" w:lineRule="exact"/>
        <w:rPr>
          <w:rFonts w:ascii="Times New Roman" w:cs="Times New Roman" w:eastAsia="Times New Roman" w:hAnsi="Times New Roman"/>
          <w:sz w:val="15"/>
          <w:szCs w:val="15"/>
          <w:color w:val="auto"/>
          <w:vertAlign w:val="superscript"/>
        </w:rPr>
      </w:pPr>
    </w:p>
    <w:p>
      <w:pPr>
        <w:ind w:left="180" w:hanging="111"/>
        <w:spacing w:after="0" w:line="200" w:lineRule="auto"/>
        <w:tabs>
          <w:tab w:leader="none" w:pos="180" w:val="left"/>
        </w:tabs>
        <w:numPr>
          <w:ilvl w:val="0"/>
          <w:numId w:val="6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On October 23, 2024, the outstanding debt of Broken Bow and Crofton Bluffs was paid off utilizing the proceeds from the Capistrano Portfolio Holdco LLC term loan that was issued on the same day.</w:t>
      </w:r>
    </w:p>
    <w:p>
      <w:pPr>
        <w:spacing w:after="0" w:line="14" w:lineRule="exact"/>
        <w:rPr>
          <w:rFonts w:ascii="Times New Roman" w:cs="Times New Roman" w:eastAsia="Times New Roman" w:hAnsi="Times New Roman"/>
          <w:sz w:val="14"/>
          <w:szCs w:val="14"/>
          <w:color w:val="auto"/>
          <w:vertAlign w:val="superscript"/>
        </w:rPr>
      </w:pPr>
    </w:p>
    <w:p>
      <w:pPr>
        <w:ind w:left="180" w:hanging="111"/>
        <w:spacing w:after="0" w:line="187" w:lineRule="auto"/>
        <w:tabs>
          <w:tab w:leader="none" w:pos="180" w:val="left"/>
        </w:tabs>
        <w:numPr>
          <w:ilvl w:val="0"/>
          <w:numId w:val="6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Premiums relate to the 2028 Senior Notes.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2" w:name="page113"/>
    <w:bookmarkEnd w:id="112"/>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respective arrangement. Under the facility-level financing arrangements, each facility is permitted to pay distributions out of available cash as long as certain conditions are satisfied, including that no default under the applicable arrangements has occurred and that each facility is otherwise in compliance with all relevant conditions under the financing agreements, including meeting required financial ratios, where applicable. The Company’s facility-level financing arrangements are non-recourse to the Company, thus, each facility pledges its underlying assets as collateral, and if a facility is in default of its financing arrangement, then the related lender could demand repayment of the facility or enforce their security interests with respect to the pledged collateral.</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the Company was in compliance with all of the required covenants.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Clearway Energy LLC and Clearway Energy Operating LLC Revolving Credit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Facility-level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Cedro Hill Repowering</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December 12, 2023, the Company entered into a financing agreement for non-recourse debt for a total commitment of $254 million, which consists of construction loans, a tax equity bridge loan and a cash equity bridge loan, related to the repowering of the Cedro Hill wind facility. The Company’s initial borrowing of $165 million was utilized to repay the $72 million of outstanding principal under the original financing agreement, to pay $55 million to Clearway Renew for the future delivery of equipment, which was included in other non-current assets on the Company’s consolidated balance sheet, to pay $27 million to a third party for the future delivery of equipment, which was included in other non-current assets on the Company’s consolidated balance sheet, to pay a $4 million development services fee to Clearway Renew, to pay for $4 million in debt issuance costs that were deferred and to pay for $3 million in capital expenditures. During 2024, the $82 million of equipment was delivered, and therefore, is now included in property, plant and equipment, net on the Company’s consolidated balance sheet as of December 31, 2024.</w:t>
      </w:r>
    </w:p>
    <w:p>
      <w:pPr>
        <w:spacing w:after="0" w:line="10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December 27, 2024, when the repowering of the Cedro Hill wind facility reached substantial completion, tax equity investors contributed $152 million to acquire the Class A membership interests in Cedro Hill TE Holdco LLC, a tax equity fund that owns the Cedro Hill wind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Entities</w:t>
      </w:r>
      <w:r>
        <w:rPr>
          <w:rFonts w:ascii="Times New Roman" w:cs="Times New Roman" w:eastAsia="Times New Roman" w:hAnsi="Times New Roman"/>
          <w:sz w:val="14"/>
          <w:szCs w:val="14"/>
          <w:color w:val="auto"/>
        </w:rPr>
        <w:t>. The tax equity proceeds were utilized, along with $54 million in construction loan proceeds, to repay the $138 million tax equity bridge loan, the $16 million cash equity bridge loan, to fund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$38 million in construction completion and related reserves, which is included in restricted cash on the Company’s consolidated balance sheet, to pay $11 million in construction invoices and to pay $4 million in associated fees with the remaining $26 million distributed to CEG. Also at substantial completion, the outstanding construction loans were converted to a term loan in the amount of $99 million. Under the new financing agreement, the Company borrowed $88 million during 2024.</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Dan’s Mountain</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November 18, 2024, as part of the acquisition of Dan’s Mountain,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the Company assumed the facility’s financing agreement, which included a $77 million cash equity bridge loan and a $49 million tax equity bridge loan, offset by $1 million in unamortized debt issuance costs. A partial payment of $7 million was made on the cash equity bridge loan at acquisition date utilizing all of the proceeds from the Company, which were contributed back to the Company by CEG. The tax equity bridge loan and the remaining cash equity bridge loan will be repaid with the final proceeds received from the tax equity investor and the Company’s additional purchase price upon Dan’s Mountain reaching substantial completion, which is expected to occur in the first half of 2025, along with the $18 million that was contributed into escrow by the tax equity investor at acquisition date, which is included in restricted cash on the Company’s consolidated balance sheet. Subsequent to the acquisition, the Company borrowed an additional $24 million in tax equity bridge loans.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3" w:name="page114"/>
    <w:bookmarkEnd w:id="113"/>
    <w:p>
      <w:pPr>
        <w:ind w:left="320"/>
        <w:spacing w:after="0"/>
        <w:rPr>
          <w:sz w:val="20"/>
          <w:szCs w:val="20"/>
          <w:color w:val="auto"/>
        </w:rPr>
      </w:pPr>
      <w:r>
        <w:rPr>
          <w:rFonts w:ascii="Times New Roman" w:cs="Times New Roman" w:eastAsia="Times New Roman" w:hAnsi="Times New Roman"/>
          <w:sz w:val="14"/>
          <w:szCs w:val="14"/>
          <w:i w:val="1"/>
          <w:iCs w:val="1"/>
          <w:color w:val="auto"/>
        </w:rPr>
        <w:t>Capistrano Portfolio Holdco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supported by the Company’s interests in the Broken Bow, Crofton Bluffs, Mountain Wind 1 and Mountain Wind 2 wind facilities. The Company utilized the proceeds from the term loan to pay off the existing debt in the amount of $63 million related to Broken Bow and Crofton Bluffs and to pay related financing costs.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The letter of credit facility has an initial term of three years and the option for two additional one-year extensions.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Central (Rosie Class B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June 30, 2023, Rosie Class B LLC, the indirect owner of the Rosamond Central solar facility, amended its financing agreement to provide for (i) a refinanced term loan in the amount of $77 million, (ii) construction loans up to $115 million, (iii) tax equity bridge loans up to $188 million, (iv) an increase to the letter of credit sublimit to $41 million and (v) an extension of the maturity date of the term loan and construction loans to June 13, 2029.</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On July 3, 2023, Rosie Class B LLC issued a loan to Clearway Renew, utilizing a portion of the loan proceeds under the amended financing agreement, in order to finance the construction of the BESS facility. On December 1, 2023, the Rosamond Central solar facility acquired the BESS facility from Clearway Renew for initial cash consideration of $70 million, as further discussed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and Clearway Renew utilized the funds to partially repay the loan.</w:t>
      </w:r>
    </w:p>
    <w:p>
      <w:pPr>
        <w:spacing w:after="0" w:line="9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Clearway Renew repaid the $184 million outstanding loan balance owed to Rosie Class B LLC utilizing the additional purchase price of $279 million paid by the Company,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utilized the proceeds from Clearway Renew, along with $39 million held previously in escrow and $56 million of the Company’s additional purchase price that was contributed back to the Company by CEG, to repay the $186 million tax equity bridge loan, to distribute $44 million to the cash equity investor, to fund $21 million in construction completion reserves, which is included in restricted cash on the Company’s consolidated balance sheet, and to pay $11 million in associated fees. Additionally, on June 13, 2024, the outstanding construction loans were converted to a term loan in the amount of $115 million. Under the amended financing agreement, the Company borrowed $271 million during 2023 and $30 million during 2024.</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NIMH Solar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On June 11, 2024, the Company, through its indirect subsidiary, NIMH Solar LLC, </w:t>
      </w:r>
      <w:r>
        <w:rPr>
          <w:rFonts w:ascii="Times New Roman" w:cs="Times New Roman" w:eastAsia="Times New Roman" w:hAnsi="Times New Roman"/>
          <w:sz w:val="14"/>
          <w:szCs w:val="14"/>
          <w:color w:val="212529"/>
        </w:rPr>
        <w:t>refinanced its amended and restated credit agreement, which was scheduled to mature in September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 xml:space="preserve">resulting in the issuance of a $137 million term loan facility, as well as $17 million in letters of credit in support of debt service and facility obligations. </w:t>
      </w:r>
      <w:r>
        <w:rPr>
          <w:rFonts w:ascii="Times New Roman" w:cs="Times New Roman" w:eastAsia="Times New Roman" w:hAnsi="Times New Roman"/>
          <w:sz w:val="14"/>
          <w:szCs w:val="14"/>
          <w:color w:val="000000"/>
        </w:rPr>
        <w:t>The obligations under the new financing</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arrangement are supported by the Company’s interests in the Alpine, Blythe and Roadrunner solar facilities. The Company utilized the proceeds from the term loan and existing sources of liquidity to pay off the existing debt in the amount of $146 million.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On October 31, 2023, as part of the acquisition of Victory Pass and Arica,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the Company assumed the facility’s financing agreement, which included a $483 million cash equity bridge loan and a $385 million tax equity bridge loan, offset by $4 million in unamortized debt issuance costs. A partial payment of $133 million was made on the cash equity bridge loan at acquisition date utilizing all of the proceeds from the Company, which were contributed back to the Company by CEG, and the contribution from the cash equity investor.</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On May 1, 2024, when the facilities reached substantial completion, the Company paid $165 million to Clearway Renew as additional purchase price,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cash equity investor contributed an additional $347 million, the tax equity investor contributed an additional $410 million and CEG contributed $52 million, which were utilized,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along with $103 million held previously in escrow, to repay the $351 million cash equity bridge loan, to repay the $468 million tax equity bridge loan, to fund $75 million in construction completion reserves, which is included in restricted cash on the Company’s consolidated balance sheet, and to pay $18 million in associated fees. Subsequent to the acquisition, the Company borrowed an additional $22 million during 2023 and $62 million during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4" w:name="page115"/>
    <w:bookmarkEnd w:id="114"/>
    <w:p>
      <w:pPr>
        <w:ind w:left="320"/>
        <w:spacing w:after="0"/>
        <w:rPr>
          <w:sz w:val="20"/>
          <w:szCs w:val="20"/>
          <w:color w:val="auto"/>
        </w:rPr>
      </w:pPr>
      <w:r>
        <w:rPr>
          <w:rFonts w:ascii="Times New Roman" w:cs="Times New Roman" w:eastAsia="Times New Roman" w:hAnsi="Times New Roman"/>
          <w:sz w:val="14"/>
          <w:szCs w:val="14"/>
          <w:i w:val="1"/>
          <w:iCs w:val="1"/>
          <w:color w:val="auto"/>
        </w:rPr>
        <w:t>Cedar Creek</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On April 16, 2024, as part of the acquisition of Cedar Creek,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to the Company by CEG, to repay the tax equity bridge loan, to repay the cash equity bridge loan, to partially repay $2 million in construction loans, to fund $16 million in construction completion reserves, which is included in restricted cash on the Company’s consolidated balance sheet, and to pay $6 million in associated fees. Also at acquisition date, the outstanding construction loans were converted to a term loan in the amount of $110 million.</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Texas Solar Nova 2</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December 28, 2023, as part of the acquisition of Texas Solar Nova 1,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$90 million construction loan, $109 million cash equity bridge loan and $151 million tax equity bridge loan, offset by $1 million in unamortized debt issuance costs. At acquisition date, the tax equity investor contributed $148 million, which was utilized, along with the Company’s entire purchase price that was contributed back to the Company by CEG and the proceeds from the cash equity investor, to repay the $109 million cash equity bridge loan, to repay the $151 million tax equity bridge loan, to fund $18 million in construction completion reserves, which was included in restricted cash on the Company’s consolidated balance sheet, and to pay $5 million in associated fees with the remaining $9 million distributed back to CEG. Also at acquisition date, the $90 million construction loan was converted into a term loan in the amount of $102 million, which includes an additional borrowing of $12 million.</w:t>
      </w:r>
    </w:p>
    <w:p>
      <w:pPr>
        <w:spacing w:after="0" w:line="9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15, 2024, as part of the acquisition of Texas Solar Nova 2,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to the Company by CEG, to repay the $115 million tax equity bridge loan, to fund $19 million in construction completion reserves, which is included in restricted cash on the Company’s consolidated balance sheet, and to pay $4 million in associated fees.</w:t>
      </w:r>
    </w:p>
    <w:p>
      <w:pPr>
        <w:spacing w:after="0" w:line="9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Additionally, on March 15, 2024, Texas Solar Nova 1’s financing agreement was amended to merge the Texas Solar Nova 1 and Texas Solar Nova 2 term loans as a combined term loan under TSN1 Class B Member LLC.</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Daggett 2</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August 30, 2023, as part of the acquisition of Daggett 2,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$107 million construction loan and a $204 million tax equity bridge loan, offset by $3 million in unamortized debt issuance costs. On December 22, 2023, when the facility reached substantial completion, the tax equity investor contributed an additional $202 million, which was utilized, along with the $120 million in escrow and $10 million in construction loan proceeds, to repay the $204 million tax equity bridge loan, to fund $36 million in construction completion reserves, which was included in restricted cash on the Company’s consolidated balance sheet, and to pay $1 million in associated fees with the remaining $91 million distributed to CEG. Subsequent to the acquisition, the Company borrowed an additional $49 million in construction loans and the total outstanding construction loans were converted to a term loan in the amount of $156 million on December 22, 2023.</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Daggett 3</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February 17, 2023, as part of the acquisition of Daggett 3,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$181 million construction loan, a $229 million tax equity bridge loan and a $75 million cash equity bridge loan, offset by $5 million in unamortized debt issuance costs. The cash equity bridge loan was repaid at acquisition date, along with $8 million in associated fees, utilizing all of the proceeds from the Company, which were contributed back to the Company by CEG, and the contribution from the cash equity investor. On December 1, 2023, when the facility reached substantial completion, the tax equity investor contributed an additional $252 million, which was utilized along with the $69 million in escrow, to repay the $229 million tax equity bridge loan, to fund $40 million in construction completion reserves, which was included in restricted cash on the Company’s consolidated balance sheet, and to pay $7 million in associated fees with the remaining $45 million distributed to CEG. Subsequent to the acquisition, the Company borrowed an additional $36 million in construction loans and the total outstanding construction loans were converted to a term loan in the amount of $217 million on December 1, 2023.</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Interest Rate Swaps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Facility Financings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Many of the Company’s subsidiaries entered into interest rate swaps, intended to hedge the risks associated with interest rates on non-recourse facility level debt. These swaps amortize in proportion to their respective loans and are floating for a fixed rate where the subsidiary pays its counterparty the equivalent of a fixed interest payment on a predetermined notional amount and will receive quarterly the equivalent of a floating interest payment based on the same notional amount. All interest rate swap payments by the subsidiary and its counterparty are made quarterly and the SOFR is determined in advance of each interest period.</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swaps, some of which are forward starting as indicated, related to the Company’s facility level debt: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Fixed Interest</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Notional Amount at</w:t>
            </w: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4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 of Principal</w:t>
            </w:r>
          </w:p>
        </w:tc>
        <w:tc>
          <w:tcPr>
            <w:tcW w:w="1000" w:type="dxa"/>
            <w:vAlign w:val="bottom"/>
            <w:gridSpan w:val="2"/>
            <w:vMerge w:val="continue"/>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Floating Interest Rate</w:t>
            </w:r>
          </w:p>
        </w:tc>
        <w:tc>
          <w:tcPr>
            <w:tcW w:w="160" w:type="dxa"/>
            <w:vAlign w:val="bottom"/>
          </w:tcPr>
          <w:p>
            <w:pPr>
              <w:spacing w:after="0"/>
              <w:rPr>
                <w:sz w:val="11"/>
                <w:szCs w:val="11"/>
                <w:color w:val="auto"/>
              </w:rPr>
            </w:pPr>
          </w:p>
        </w:tc>
        <w:tc>
          <w:tcPr>
            <w:tcW w:w="1520" w:type="dxa"/>
            <w:vAlign w:val="bottom"/>
          </w:tcPr>
          <w:p>
            <w:pPr>
              <w:jc w:val="center"/>
              <w:ind w:right="116"/>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 2024 (In</w:t>
            </w:r>
          </w:p>
        </w:tc>
        <w:tc>
          <w:tcPr>
            <w:tcW w:w="80" w:type="dxa"/>
            <w:vAlign w:val="bottom"/>
          </w:tcPr>
          <w:p>
            <w:pPr>
              <w:spacing w:after="0"/>
              <w:rPr>
                <w:sz w:val="11"/>
                <w:szCs w:val="11"/>
                <w:color w:val="auto"/>
              </w:rPr>
            </w:pPr>
          </w:p>
        </w:tc>
        <w:tc>
          <w:tcPr>
            <w:tcW w:w="1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172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8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Avra Valley</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2.20 %</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March 31, 2023</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January 31, 2031</w:t>
            </w:r>
          </w:p>
        </w:tc>
        <w:tc>
          <w:tcPr>
            <w:tcW w:w="0" w:type="dxa"/>
            <w:vAlign w:val="bottom"/>
          </w:tcPr>
          <w:p>
            <w:pPr>
              <w:spacing w:after="0"/>
              <w:rPr>
                <w:sz w:val="1"/>
                <w:szCs w:val="1"/>
                <w:color w:val="auto"/>
              </w:rPr>
            </w:pPr>
          </w:p>
        </w:tc>
      </w:tr>
      <w:tr>
        <w:trPr>
          <w:trHeight w:val="168"/>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Asset Management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2.22 %</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May 22, 2013</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15, 2031</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Buckthorn Solar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February 28, 2018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December 31, 2041</w:t>
            </w:r>
          </w:p>
        </w:tc>
        <w:tc>
          <w:tcPr>
            <w:tcW w:w="0" w:type="dxa"/>
            <w:vAlign w:val="bottom"/>
          </w:tcPr>
          <w:p>
            <w:pPr>
              <w:spacing w:after="0"/>
              <w:rPr>
                <w:sz w:val="1"/>
                <w:szCs w:val="1"/>
                <w:color w:val="auto"/>
              </w:rPr>
            </w:pPr>
          </w:p>
        </w:tc>
      </w:tr>
      <w:tr>
        <w:trPr>
          <w:trHeight w:val="168"/>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Capistrano Portfolio Holdco</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October 23,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September 28, 2033</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2027</w:t>
            </w:r>
          </w:p>
        </w:tc>
        <w:tc>
          <w:tcPr>
            <w:tcW w:w="0" w:type="dxa"/>
            <w:vAlign w:val="bottom"/>
          </w:tcPr>
          <w:p>
            <w:pPr>
              <w:spacing w:after="0"/>
              <w:rPr>
                <w:sz w:val="1"/>
                <w:szCs w:val="1"/>
                <w:color w:val="auto"/>
              </w:rPr>
            </w:pPr>
          </w:p>
        </w:tc>
      </w:tr>
      <w:tr>
        <w:trPr>
          <w:trHeight w:val="168"/>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Cedar Creek</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3.02 %</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April 30,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31, 2049</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Cedro Hill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2044</w:t>
            </w:r>
          </w:p>
        </w:tc>
        <w:tc>
          <w:tcPr>
            <w:tcW w:w="0" w:type="dxa"/>
            <w:vAlign w:val="bottom"/>
          </w:tcPr>
          <w:p>
            <w:pPr>
              <w:spacing w:after="0"/>
              <w:rPr>
                <w:sz w:val="1"/>
                <w:szCs w:val="1"/>
                <w:color w:val="auto"/>
              </w:rPr>
            </w:pPr>
          </w:p>
        </w:tc>
      </w:tr>
      <w:tr>
        <w:trPr>
          <w:trHeight w:val="168"/>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Daggett 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31, 2043</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2043</w:t>
            </w:r>
          </w:p>
        </w:tc>
        <w:tc>
          <w:tcPr>
            <w:tcW w:w="0" w:type="dxa"/>
            <w:vAlign w:val="bottom"/>
          </w:tcPr>
          <w:p>
            <w:pPr>
              <w:spacing w:after="0"/>
              <w:rPr>
                <w:sz w:val="1"/>
                <w:szCs w:val="1"/>
                <w:color w:val="auto"/>
              </w:rPr>
            </w:pPr>
          </w:p>
        </w:tc>
      </w:tr>
      <w:tr>
        <w:trPr>
          <w:trHeight w:val="168"/>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Dan’s Mountain</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4.97 %</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February 28, 2025</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Kansas South</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1.93 %</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June 28, 2013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December 31, 2030</w:t>
            </w:r>
          </w:p>
        </w:tc>
        <w:tc>
          <w:tcPr>
            <w:tcW w:w="0" w:type="dxa"/>
            <w:vAlign w:val="bottom"/>
          </w:tcPr>
          <w:p>
            <w:pPr>
              <w:spacing w:after="0"/>
              <w:rPr>
                <w:sz w:val="1"/>
                <w:szCs w:val="1"/>
                <w:color w:val="auto"/>
              </w:rPr>
            </w:pPr>
          </w:p>
        </w:tc>
      </w:tr>
      <w:tr>
        <w:trPr>
          <w:trHeight w:val="168"/>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Mililani Class B</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NIMH Solar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3.25 %</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June 11,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January 31, 2033</w:t>
            </w:r>
          </w:p>
        </w:tc>
        <w:tc>
          <w:tcPr>
            <w:tcW w:w="0" w:type="dxa"/>
            <w:vAlign w:val="bottom"/>
          </w:tcPr>
          <w:p>
            <w:pPr>
              <w:spacing w:after="0"/>
              <w:rPr>
                <w:sz w:val="1"/>
                <w:szCs w:val="1"/>
                <w:color w:val="auto"/>
              </w:rPr>
            </w:pPr>
          </w:p>
        </w:tc>
      </w:tr>
      <w:tr>
        <w:trPr>
          <w:trHeight w:val="168"/>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Oahu Solar</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November 30, 2019</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October 31, 2040</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Rosie Class B</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68"/>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 Trent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June 30, 2028</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TSN1 Class B</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2043</w:t>
            </w:r>
          </w:p>
        </w:tc>
        <w:tc>
          <w:tcPr>
            <w:tcW w:w="0" w:type="dxa"/>
            <w:vAlign w:val="bottom"/>
          </w:tcPr>
          <w:p>
            <w:pPr>
              <w:spacing w:after="0"/>
              <w:rPr>
                <w:sz w:val="1"/>
                <w:szCs w:val="1"/>
                <w:color w:val="auto"/>
              </w:rPr>
            </w:pPr>
          </w:p>
        </w:tc>
      </w:tr>
      <w:tr>
        <w:trPr>
          <w:trHeight w:val="168"/>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Viento Funding II</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2.53 %</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December 31, 2032</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1,769</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Annual Maturities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Annual payments based on the maturities of the Company’s debt, for the years ending after December 31, 2024,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63"/>
        </w:trPr>
        <w:tc>
          <w:tcPr>
            <w:tcW w:w="91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 xml:space="preserve">2025 </w:t>
            </w:r>
            <w:r>
              <w:rPr>
                <w:rFonts w:ascii="Times New Roman" w:cs="Times New Roman" w:eastAsia="Times New Roman" w:hAnsi="Times New Roman"/>
                <w:sz w:val="16"/>
                <w:szCs w:val="16"/>
                <w:color w:val="auto"/>
                <w:vertAlign w:val="superscript"/>
              </w:rPr>
              <w:t>(a)</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r>
      <w:tr>
        <w:trPr>
          <w:trHeight w:val="168"/>
        </w:trPr>
        <w:tc>
          <w:tcPr>
            <w:tcW w:w="9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w:t>
            </w:r>
          </w:p>
        </w:tc>
      </w:tr>
      <w:tr>
        <w:trPr>
          <w:trHeight w:val="17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68"/>
        </w:trPr>
        <w:tc>
          <w:tcPr>
            <w:tcW w:w="9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3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w:t>
            </w:r>
          </w:p>
        </w:tc>
      </w:tr>
      <w:tr>
        <w:trPr>
          <w:trHeight w:val="17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3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r>
      <w:tr>
        <w:trPr>
          <w:trHeight w:val="168"/>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3,507</w:t>
            </w:r>
          </w:p>
        </w:tc>
      </w:tr>
      <w:tr>
        <w:trPr>
          <w:trHeight w:val="18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7,235</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At December 31, 2024, amount includes $125 million of construction-related financings recorded in long-term debt on the Company’s consolidated balance sheet that is being funded through long-term equity contributions.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color w:val="auto"/>
        </w:rPr>
        <w:t>Note 11 — Earnings Per Share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Basic earnings per common share is computed by dividing net income (loss)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reconciliation of the Company’s basic and diluted earnings per share is shown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(In millions, except per share data) </w:t>
            </w:r>
            <w:r>
              <w:rPr>
                <w:rFonts w:ascii="Times New Roman" w:cs="Times New Roman" w:eastAsia="Times New Roman" w:hAnsi="Times New Roman"/>
                <w:sz w:val="18"/>
                <w:szCs w:val="18"/>
                <w:b w:val="1"/>
                <w:bCs w:val="1"/>
                <w:color w:val="auto"/>
                <w:vertAlign w:val="superscript"/>
              </w:rPr>
              <w:t>(a)</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40" w:type="dxa"/>
            <w:vAlign w:val="bottom"/>
            <w:gridSpan w:val="2"/>
            <w:vMerge w:val="continue"/>
          </w:tcPr>
          <w:p>
            <w:pPr>
              <w:spacing w:after="0"/>
              <w:rPr>
                <w:sz w:val="10"/>
                <w:szCs w:val="10"/>
                <w:color w:val="auto"/>
              </w:rPr>
            </w:pPr>
          </w:p>
        </w:tc>
        <w:tc>
          <w:tcPr>
            <w:tcW w:w="102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A</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C</w:t>
            </w:r>
          </w:p>
        </w:tc>
        <w:tc>
          <w:tcPr>
            <w:tcW w:w="100" w:type="dxa"/>
            <w:vAlign w:val="bottom"/>
          </w:tcPr>
          <w:p>
            <w:pPr>
              <w:spacing w:after="0"/>
              <w:rPr>
                <w:sz w:val="10"/>
                <w:szCs w:val="10"/>
                <w:color w:val="auto"/>
              </w:rPr>
            </w:pPr>
          </w:p>
        </w:tc>
        <w:tc>
          <w:tcPr>
            <w:tcW w:w="102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A</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C</w:t>
            </w:r>
          </w:p>
        </w:tc>
        <w:tc>
          <w:tcPr>
            <w:tcW w:w="100" w:type="dxa"/>
            <w:vAlign w:val="bottom"/>
          </w:tcPr>
          <w:p>
            <w:pPr>
              <w:spacing w:after="0"/>
              <w:rPr>
                <w:sz w:val="10"/>
                <w:szCs w:val="10"/>
                <w:color w:val="auto"/>
              </w:rPr>
            </w:pPr>
          </w:p>
        </w:tc>
        <w:tc>
          <w:tcPr>
            <w:tcW w:w="102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A</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C</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52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Basic and diluted income per share attributable to Clearway Energy, Inc. common</w:t>
            </w: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Clearway Energy, Inc.</w:t>
            </w: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 and diluted</w:t>
            </w:r>
          </w:p>
        </w:tc>
        <w:tc>
          <w:tcPr>
            <w:tcW w:w="3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per weighted average common share — basic and diluted</w:t>
            </w: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0.67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5" w:lineRule="exact"/>
        <w:rPr>
          <w:sz w:val="20"/>
          <w:szCs w:val="20"/>
          <w:color w:val="auto"/>
        </w:rPr>
      </w:pPr>
    </w:p>
    <w:p>
      <w:pPr>
        <w:ind w:left="200" w:hanging="131"/>
        <w:spacing w:after="0"/>
        <w:tabs>
          <w:tab w:leader="none" w:pos="20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Net income attributable to Clearway Energy, Inc. and basic and diluted earnings per share might not recalculate due to presenting amounts in millions rather than whole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Stockholders’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Equity Offering Program, or the ATM Program</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Under the Company’s ATM Program, the Company may offer and sell shares of its Class C common stock from time to time up to an aggregate sales price of $150 million through an at-the-market equity offering program, or the ATM Program. During the years ended December 31, 2024, 2023 and 2022, the Company did not sell any Class C common stock shares under the ATM Program. As of December 31, 2024, approximately $126 million of Class C common stock remains available for issuance under the ATM Program.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to Class A and Class C common stockholders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list the dividends paid on the Company’s Class A and Class C common stock during the years ended December 31, 2024, 2023 and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2024</w:t>
            </w:r>
          </w:p>
        </w:tc>
        <w:tc>
          <w:tcPr>
            <w:tcW w:w="14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40" w:type="dxa"/>
            <w:vAlign w:val="bottom"/>
          </w:tcPr>
          <w:p>
            <w:pPr>
              <w:spacing w:after="0"/>
              <w:rPr>
                <w:sz w:val="13"/>
                <w:szCs w:val="13"/>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367"/>
        </w:trPr>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2023</w:t>
            </w:r>
          </w:p>
        </w:tc>
        <w:tc>
          <w:tcPr>
            <w:tcW w:w="1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2023</w:t>
            </w: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2023</w:t>
            </w:r>
          </w:p>
        </w:tc>
        <w:tc>
          <w:tcPr>
            <w:tcW w:w="140" w:type="dxa"/>
            <w:vAlign w:val="bottom"/>
          </w:tcPr>
          <w:p>
            <w:pPr>
              <w:spacing w:after="0"/>
              <w:rPr>
                <w:sz w:val="24"/>
                <w:szCs w:val="24"/>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First Quarter 2023</w:t>
            </w:r>
          </w:p>
        </w:tc>
      </w:tr>
      <w:tr>
        <w:trPr>
          <w:trHeight w:val="18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356"/>
        </w:trPr>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2022</w:t>
            </w:r>
          </w:p>
        </w:tc>
        <w:tc>
          <w:tcPr>
            <w:tcW w:w="1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2022</w:t>
            </w: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2022</w:t>
            </w:r>
          </w:p>
        </w:tc>
        <w:tc>
          <w:tcPr>
            <w:tcW w:w="140" w:type="dxa"/>
            <w:vAlign w:val="bottom"/>
          </w:tcPr>
          <w:p>
            <w:pPr>
              <w:spacing w:after="0"/>
              <w:rPr>
                <w:sz w:val="24"/>
                <w:szCs w:val="24"/>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February 17, 2025, the Company declared a quarterly dividend on its Class A and Class C common stock of $0.4312 per share payable on March 17, 2025 to stockholders of record as of March 3,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17" w:name="page118"/>
    <w:bookmarkEnd w:id="117"/>
    <w:p>
      <w:pPr>
        <w:ind w:left="320"/>
        <w:spacing w:after="0"/>
        <w:rPr>
          <w:sz w:val="20"/>
          <w:szCs w:val="20"/>
          <w:color w:val="auto"/>
        </w:rPr>
      </w:pPr>
      <w:r>
        <w:rPr>
          <w:rFonts w:ascii="Times New Roman" w:cs="Times New Roman" w:eastAsia="Times New Roman" w:hAnsi="Times New Roman"/>
          <w:sz w:val="14"/>
          <w:szCs w:val="14"/>
          <w:color w:val="auto"/>
        </w:rPr>
        <w:t>The Company has also authorized 10,000,000 shares of preferred stock, par value $0.01 per share. None of the shares of preferred stock have been issued.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to CEG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list the distributions paid to CEG during the years ended December 31, 2024, 2023 and 2022 on Clearway Energy LLC’s Class B and D units: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2024</w:t>
            </w:r>
          </w:p>
        </w:tc>
        <w:tc>
          <w:tcPr>
            <w:tcW w:w="14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4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60" w:type="dxa"/>
            <w:vAlign w:val="bottom"/>
          </w:tcPr>
          <w:p>
            <w:pPr>
              <w:spacing w:after="0"/>
              <w:rPr>
                <w:sz w:val="13"/>
                <w:szCs w:val="13"/>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B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D unit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367"/>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2023</w:t>
            </w:r>
          </w:p>
        </w:tc>
        <w:tc>
          <w:tcPr>
            <w:tcW w:w="14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2023</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2023</w:t>
            </w:r>
          </w:p>
        </w:tc>
        <w:tc>
          <w:tcPr>
            <w:tcW w:w="160" w:type="dxa"/>
            <w:vAlign w:val="bottom"/>
          </w:tcPr>
          <w:p>
            <w:pPr>
              <w:spacing w:after="0"/>
              <w:rPr>
                <w:sz w:val="24"/>
                <w:szCs w:val="24"/>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2023</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B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D unit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356"/>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2022</w:t>
            </w:r>
          </w:p>
        </w:tc>
        <w:tc>
          <w:tcPr>
            <w:tcW w:w="14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2022</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2022</w:t>
            </w:r>
          </w:p>
        </w:tc>
        <w:tc>
          <w:tcPr>
            <w:tcW w:w="160" w:type="dxa"/>
            <w:vAlign w:val="bottom"/>
          </w:tcPr>
          <w:p>
            <w:pPr>
              <w:spacing w:after="0"/>
              <w:rPr>
                <w:sz w:val="24"/>
                <w:szCs w:val="24"/>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B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D unit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to the quarterly distributions paid to CEG, Clearway Energy LLC distributed an additional $21 million to CEG during the year ended December 31, 2023, which represents CEG’s pro-rata share of distributions that were paid in order for the Company to make certain additional tax payments primarily associated with the sale of the Thermal Business. The Company’s share of the distribution was $30 million.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17, 2025, Clearway Energy LLC declared a quarterly distribution on its Class B and Class D units of $0.4312 per unit payable to CEG on March 17, 2025.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color w:val="auto"/>
        </w:rPr>
        <w:t>Note 13 — Segment Reporting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Flexible Generation and Renewables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Approximately 60% of the Company’s operating revenues and 50% of the Company’s assets relate to operations located in California. Also, the Company generated more than 10% of its revenues from the following customers for the years ended December 31, 2024, 2023 and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0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11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SCE</w:t>
            </w:r>
          </w:p>
        </w:tc>
        <w:tc>
          <w:tcPr>
            <w:tcW w:w="118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3"/>
                <w:szCs w:val="13"/>
                <w:color w:val="auto"/>
                <w:w w:val="92"/>
              </w:rPr>
              <w:t>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PG&amp;E</w:t>
            </w:r>
          </w:p>
        </w:tc>
        <w:tc>
          <w:tcPr>
            <w:tcW w:w="1180" w:type="dxa"/>
            <w:vAlign w:val="bottom"/>
          </w:tcPr>
          <w:p>
            <w:pPr>
              <w:jc w:val="center"/>
              <w:ind w:left="79"/>
              <w:spacing w:after="0"/>
              <w:rPr>
                <w:sz w:val="20"/>
                <w:szCs w:val="20"/>
                <w:color w:val="auto"/>
              </w:rPr>
            </w:pPr>
            <w:r>
              <w:rPr>
                <w:rFonts w:ascii="Times New Roman" w:cs="Times New Roman" w:eastAsia="Times New Roman" w:hAnsi="Times New Roman"/>
                <w:sz w:val="13"/>
                <w:szCs w:val="13"/>
                <w:color w:val="auto"/>
                <w:w w:val="92"/>
              </w:rPr>
              <w:t>3%</w:t>
            </w:r>
          </w:p>
        </w:tc>
        <w:tc>
          <w:tcPr>
            <w:tcW w:w="1360" w:type="dxa"/>
            <w:vAlign w:val="bottom"/>
            <w:gridSpan w:val="3"/>
          </w:tcPr>
          <w:p>
            <w:pPr>
              <w:jc w:val="center"/>
              <w:ind w:left="260"/>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18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auto"/>
              </w:rPr>
              <w:t>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ind w:left="26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60"/>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68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income, net</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6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Interest expense</w:t>
            </w:r>
          </w:p>
        </w:tc>
        <w:tc>
          <w:tcPr>
            <w:tcW w:w="1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Income tax expense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58"/>
        </w:trPr>
        <w:tc>
          <w:tcPr>
            <w:tcW w:w="60" w:type="dxa"/>
            <w:vAlign w:val="bottom"/>
            <w:tcBorders>
              <w:bottom w:val="single" w:sz="8" w:color="CCEEFF"/>
            </w:tcBorders>
          </w:tcPr>
          <w:p>
            <w:pPr>
              <w:spacing w:after="0"/>
              <w:rPr>
                <w:sz w:val="13"/>
                <w:szCs w:val="13"/>
                <w:color w:val="auto"/>
              </w:rPr>
            </w:pPr>
          </w:p>
        </w:tc>
        <w:tc>
          <w:tcPr>
            <w:tcW w:w="5680" w:type="dxa"/>
            <w:vAlign w:val="bottom"/>
            <w:tcBorders>
              <w:bottom w:val="single" w:sz="8" w:color="CCEEFF"/>
            </w:tcBorders>
            <w:gridSpan w:val="5"/>
          </w:tcPr>
          <w:p>
            <w:pPr>
              <w:ind w:left="6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 and redeemable noncontrolling interests</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Inc.</w:t>
            </w: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20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6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6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eliminations.</w:t>
      </w:r>
    </w:p>
    <w:p>
      <w:pPr>
        <w:spacing w:after="0" w:line="2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6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accruals.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20" w:type="dxa"/>
            <w:vAlign w:val="bottom"/>
          </w:tcPr>
          <w:p>
            <w:pPr>
              <w:spacing w:after="0"/>
              <w:rPr>
                <w:sz w:val="13"/>
                <w:szCs w:val="13"/>
                <w:color w:val="auto"/>
              </w:rPr>
            </w:pPr>
          </w:p>
        </w:tc>
        <w:tc>
          <w:tcPr>
            <w:tcW w:w="130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51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8"/>
              </w:rPr>
              <w:t>Cost of operations, exclusive of depreciation, amortization and accretion shown separately below</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Impairment losses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51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income, net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158"/>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tax benefit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3"/>
        </w:trPr>
        <w:tc>
          <w:tcPr>
            <w:tcW w:w="60" w:type="dxa"/>
            <w:vAlign w:val="bottom"/>
            <w:shd w:val="clear" w:color="auto" w:fill="CCEEFF"/>
          </w:tcPr>
          <w:p>
            <w:pPr>
              <w:spacing w:after="0"/>
              <w:rPr>
                <w:sz w:val="14"/>
                <w:szCs w:val="14"/>
                <w:color w:val="auto"/>
              </w:rPr>
            </w:pPr>
          </w:p>
        </w:tc>
        <w:tc>
          <w:tcPr>
            <w:tcW w:w="56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 and redeemable noncontrolling interests</w:t>
            </w:r>
          </w:p>
        </w:tc>
        <w:tc>
          <w:tcPr>
            <w:tcW w:w="5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60"/>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Inc.</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20" w:type="dxa"/>
            <w:vAlign w:val="bottom"/>
            <w:gridSpan w:val="3"/>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00" w:type="dxa"/>
            <w:vAlign w:val="bottom"/>
          </w:tcPr>
          <w:p>
            <w:pPr>
              <w:spacing w:after="0"/>
              <w:rPr>
                <w:sz w:val="14"/>
                <w:szCs w:val="14"/>
                <w:color w:val="auto"/>
              </w:rPr>
            </w:pPr>
          </w:p>
        </w:tc>
        <w:tc>
          <w:tcPr>
            <w:tcW w:w="1080" w:type="dxa"/>
            <w:vAlign w:val="bottom"/>
            <w:gridSpan w:val="2"/>
          </w:tcPr>
          <w:p>
            <w:pPr>
              <w:jc w:val="right"/>
              <w:ind w:right="4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2"/>
        </w:trPr>
        <w:tc>
          <w:tcPr>
            <w:tcW w:w="5120" w:type="dxa"/>
            <w:vAlign w:val="bottom"/>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67"/>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tcPr>
          <w:p>
            <w:pPr>
              <w:spacing w:after="0"/>
              <w:rPr>
                <w:sz w:val="14"/>
                <w:szCs w:val="14"/>
                <w:color w:val="auto"/>
              </w:rPr>
            </w:pPr>
          </w:p>
        </w:tc>
        <w:tc>
          <w:tcPr>
            <w:tcW w:w="1080" w:type="dxa"/>
            <w:vAlign w:val="bottom"/>
            <w:gridSpan w:val="2"/>
          </w:tcPr>
          <w:p>
            <w:pPr>
              <w:jc w:val="right"/>
              <w:ind w:right="4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14,701</w:t>
            </w:r>
          </w:p>
        </w:tc>
        <w:tc>
          <w:tcPr>
            <w:tcW w:w="0" w:type="dxa"/>
            <w:vAlign w:val="bottom"/>
          </w:tcPr>
          <w:p>
            <w:pPr>
              <w:spacing w:after="0"/>
              <w:rPr>
                <w:sz w:val="1"/>
                <w:szCs w:val="1"/>
                <w:color w:val="auto"/>
              </w:rPr>
            </w:pPr>
          </w:p>
        </w:tc>
      </w:tr>
      <w:tr>
        <w:trPr>
          <w:trHeight w:val="140"/>
        </w:trPr>
        <w:tc>
          <w:tcPr>
            <w:tcW w:w="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5060" w:type="dxa"/>
            <w:vAlign w:val="bottom"/>
            <w:gridSpan w:val="2"/>
          </w:tcPr>
          <w:p>
            <w:pPr>
              <w:spacing w:after="0" w:line="175" w:lineRule="exact"/>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eliminations.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1"/>
                <w:szCs w:val="11"/>
                <w:color w:val="auto"/>
              </w:rPr>
              <w:t xml:space="preserve"> Includes accruals.</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3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left="137"/>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right"/>
              <w:ind w:right="24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77</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50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w:t>
            </w:r>
          </w:p>
        </w:tc>
        <w:tc>
          <w:tcPr>
            <w:tcW w:w="10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50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below</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4"/>
                <w:szCs w:val="1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4"/>
                <w:szCs w:val="1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Development costs</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5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54</w:t>
            </w: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43</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 of business</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1,292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23</w:t>
            </w: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1,249</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4"/>
                <w:szCs w:val="1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1,160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4"/>
                <w:szCs w:val="1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17</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940</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060" w:type="dxa"/>
            <w:vAlign w:val="bottom"/>
            <w:gridSpan w:val="2"/>
          </w:tcPr>
          <w:p>
            <w:pPr>
              <w:ind w:left="120"/>
              <w:spacing w:after="0" w:line="107" w:lineRule="exact"/>
              <w:rPr>
                <w:sz w:val="20"/>
                <w:szCs w:val="20"/>
                <w:color w:val="auto"/>
              </w:rPr>
            </w:pPr>
            <w:r>
              <w:rPr>
                <w:rFonts w:ascii="Times New Roman" w:cs="Times New Roman" w:eastAsia="Times New Roman" w:hAnsi="Times New Roman"/>
                <w:sz w:val="12"/>
                <w:szCs w:val="12"/>
                <w:color w:val="auto"/>
              </w:rPr>
              <w:t>Less: Net (loss) income attributable to noncontrolling interests and redeemable noncontrolling</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(107)</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9"/>
                <w:szCs w:val="9"/>
                <w:color w:val="auto"/>
              </w:rPr>
            </w:pPr>
          </w:p>
        </w:tc>
        <w:tc>
          <w:tcPr>
            <w:tcW w:w="4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585</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interests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5"/>
                <w:szCs w:val="15"/>
                <w:color w:val="auto"/>
              </w:rPr>
            </w:pPr>
          </w:p>
        </w:tc>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Clearway Energy, Inc.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355</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80645</wp:posOffset>
            </wp:positionV>
            <wp:extent cx="138112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81125" cy="6985"/>
                    </a:xfrm>
                    <a:prstGeom prst="rect">
                      <a:avLst/>
                    </a:prstGeom>
                    <a:noFill/>
                  </pic:spPr>
                </pic:pic>
              </a:graphicData>
            </a:graphic>
          </wp:anchor>
        </w:drawing>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eliminations.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color w:val="auto"/>
        </w:rPr>
        <w:t>Note 14 — 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 Tax Rate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income tax provision consisted of the following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60" w:type="dxa"/>
            <w:vAlign w:val="bottom"/>
          </w:tcPr>
          <w:p>
            <w:pPr>
              <w:spacing w:after="0"/>
              <w:rPr>
                <w:sz w:val="13"/>
                <w:szCs w:val="13"/>
                <w:color w:val="auto"/>
              </w:rPr>
            </w:pPr>
          </w:p>
        </w:tc>
        <w:tc>
          <w:tcPr>
            <w:tcW w:w="11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w:t>
            </w: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8"/>
        </w:trPr>
        <w:tc>
          <w:tcPr>
            <w:tcW w:w="6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Federal</w:t>
            </w:r>
          </w:p>
        </w:tc>
        <w:tc>
          <w:tcPr>
            <w:tcW w:w="1100" w:type="dxa"/>
            <w:vAlign w:val="bottom"/>
          </w:tcPr>
          <w:p>
            <w:pPr>
              <w:jc w:val="right"/>
              <w:ind w:right="9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1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8"/>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 current</w:t>
            </w: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Federal</w:t>
            </w:r>
          </w:p>
        </w:tc>
        <w:tc>
          <w:tcPr>
            <w:tcW w:w="1100" w:type="dxa"/>
            <w:vAlign w:val="bottom"/>
          </w:tcPr>
          <w:p>
            <w:pPr>
              <w:jc w:val="right"/>
              <w:ind w:right="9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2"/>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 deferred</w:t>
            </w:r>
          </w:p>
        </w:tc>
        <w:tc>
          <w:tcPr>
            <w:tcW w:w="1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r>
      <w:tr>
        <w:trPr>
          <w:trHeight w:val="188"/>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income tax expense (benefit)</w:t>
            </w:r>
          </w:p>
        </w:tc>
        <w:tc>
          <w:tcPr>
            <w:tcW w:w="11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As further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the Company has elected to prospectively adopt the guidance in ASU No. 2023-09, </w:t>
      </w:r>
      <w:r>
        <w:rPr>
          <w:rFonts w:ascii="Times New Roman" w:cs="Times New Roman" w:eastAsia="Times New Roman" w:hAnsi="Times New Roman"/>
          <w:sz w:val="14"/>
          <w:szCs w:val="14"/>
          <w:i w:val="1"/>
          <w:iCs w:val="1"/>
          <w:color w:val="auto"/>
        </w:rPr>
        <w:t>Income Taxes (Topic 740):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Improvements to Income Taxes Disclosures</w:t>
      </w:r>
      <w:r>
        <w:rPr>
          <w:rFonts w:ascii="Times New Roman" w:cs="Times New Roman" w:eastAsia="Times New Roman" w:hAnsi="Times New Roman"/>
          <w:sz w:val="14"/>
          <w:szCs w:val="14"/>
          <w:color w:val="auto"/>
        </w:rPr>
        <w:t>, or ASU 2023-09. The following table is a reconciliation of the U.S. federal statutory rate of 21% to the Company’s effective rate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in accordance with the guidance in ASU No. 2023-09: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r>
      <w:tr>
        <w:trPr>
          <w:trHeight w:val="154"/>
        </w:trPr>
        <w:tc>
          <w:tcPr>
            <w:tcW w:w="79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60" w:type="dxa"/>
            <w:vAlign w:val="bottom"/>
            <w:tcBorders>
              <w:bottom w:val="single" w:sz="8" w:color="auto"/>
            </w:tcBorders>
          </w:tcPr>
          <w:p>
            <w:pPr>
              <w:spacing w:after="0"/>
              <w:rPr>
                <w:sz w:val="13"/>
                <w:szCs w:val="13"/>
                <w:color w:val="auto"/>
              </w:rPr>
            </w:pPr>
          </w:p>
        </w:tc>
      </w:tr>
      <w:tr>
        <w:trPr>
          <w:trHeight w:val="150"/>
        </w:trPr>
        <w:tc>
          <w:tcPr>
            <w:tcW w:w="7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60" w:type="dxa"/>
            <w:vAlign w:val="bottom"/>
            <w:gridSpan w:val="3"/>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660" w:type="dxa"/>
            <w:vAlign w:val="bottom"/>
          </w:tcPr>
          <w:p>
            <w:pPr>
              <w:spacing w:after="0"/>
              <w:rPr>
                <w:sz w:val="13"/>
                <w:szCs w:val="13"/>
                <w:color w:val="auto"/>
              </w:rPr>
            </w:pPr>
          </w:p>
        </w:tc>
      </w:tr>
      <w:tr>
        <w:trPr>
          <w:trHeight w:val="17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67"/>
        </w:trPr>
        <w:tc>
          <w:tcPr>
            <w:tcW w:w="7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21%</w:t>
            </w: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0"/>
        </w:trPr>
        <w:tc>
          <w:tcPr>
            <w:tcW w:w="798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State taxes, net of federal benefit </w:t>
            </w:r>
            <w:r>
              <w:rPr>
                <w:rFonts w:ascii="Times New Roman" w:cs="Times New Roman" w:eastAsia="Times New Roman" w:hAnsi="Times New Roman"/>
                <w:sz w:val="16"/>
                <w:szCs w:val="16"/>
                <w:color w:val="auto"/>
                <w:vertAlign w:val="superscript"/>
              </w:rPr>
              <w:t>(a)</w:t>
            </w:r>
          </w:p>
        </w:tc>
        <w:tc>
          <w:tcPr>
            <w:tcW w:w="480" w:type="dxa"/>
            <w:vAlign w:val="bottom"/>
          </w:tcPr>
          <w:p>
            <w:pPr>
              <w:spacing w:after="0"/>
              <w:rPr>
                <w:sz w:val="14"/>
                <w:szCs w:val="14"/>
                <w:color w:val="auto"/>
              </w:rPr>
            </w:pP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7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credits</w:t>
            </w: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12.1 %</w:t>
            </w:r>
          </w:p>
        </w:tc>
      </w:tr>
      <w:tr>
        <w:trPr>
          <w:trHeight w:val="168"/>
        </w:trPr>
        <w:tc>
          <w:tcPr>
            <w:tcW w:w="7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Nontaxable/nondeductible items:</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7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HLBV impact</w:t>
            </w: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r>
      <w:tr>
        <w:trPr>
          <w:trHeight w:val="168"/>
        </w:trPr>
        <w:tc>
          <w:tcPr>
            <w:tcW w:w="79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Employee share-based payments</w:t>
            </w:r>
          </w:p>
        </w:tc>
        <w:tc>
          <w:tcPr>
            <w:tcW w:w="480" w:type="dxa"/>
            <w:vAlign w:val="bottom"/>
          </w:tcPr>
          <w:p>
            <w:pPr>
              <w:spacing w:after="0"/>
              <w:rPr>
                <w:sz w:val="14"/>
                <w:szCs w:val="14"/>
                <w:color w:val="auto"/>
              </w:rPr>
            </w:pP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3"/>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 expense</w:t>
            </w: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2"/>
        </w:trPr>
        <w:tc>
          <w:tcPr>
            <w:tcW w:w="79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Effective income tax rate</w:t>
            </w: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9" w:lineRule="exact"/>
        <w:rPr>
          <w:sz w:val="20"/>
          <w:szCs w:val="20"/>
          <w:color w:val="auto"/>
        </w:rPr>
      </w:pPr>
    </w:p>
    <w:p>
      <w:pPr>
        <w:ind w:left="180" w:hanging="111"/>
        <w:spacing w:after="0"/>
        <w:tabs>
          <w:tab w:leader="none" w:pos="180" w:val="left"/>
        </w:tabs>
        <w:numPr>
          <w:ilvl w:val="0"/>
          <w:numId w:val="6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State taxes in California made up the majority of the tax effect in this category.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21" w:name="page122"/>
    <w:bookmarkEnd w:id="121"/>
    <w:p>
      <w:pPr>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is a reconciliation of the U.S. federal statutory rate of 21% to the Company’s effective rate for the years ended December 31, 2023 and 2022 in accordance with the guidance prior to the adoption of ASU 2023-09:</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r>
      <w:tr>
        <w:trPr>
          <w:trHeight w:val="154"/>
        </w:trPr>
        <w:tc>
          <w:tcPr>
            <w:tcW w:w="79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r>
      <w:tr>
        <w:trPr>
          <w:trHeight w:val="150"/>
        </w:trPr>
        <w:tc>
          <w:tcPr>
            <w:tcW w:w="7960" w:type="dxa"/>
            <w:vAlign w:val="bottom"/>
          </w:tcPr>
          <w:p>
            <w:pPr>
              <w:spacing w:after="0"/>
              <w:rPr>
                <w:sz w:val="13"/>
                <w:szCs w:val="13"/>
                <w:color w:val="auto"/>
              </w:rPr>
            </w:pPr>
          </w:p>
        </w:tc>
        <w:tc>
          <w:tcPr>
            <w:tcW w:w="2760" w:type="dxa"/>
            <w:vAlign w:val="bottom"/>
            <w:gridSpan w:val="4"/>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560" w:type="dxa"/>
            <w:vAlign w:val="bottom"/>
          </w:tcPr>
          <w:p>
            <w:pPr>
              <w:spacing w:after="0"/>
              <w:rPr>
                <w:sz w:val="13"/>
                <w:szCs w:val="13"/>
                <w:color w:val="auto"/>
              </w:rPr>
            </w:pPr>
          </w:p>
        </w:tc>
      </w:tr>
      <w:tr>
        <w:trPr>
          <w:trHeight w:val="17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Income Before Income Taxes</w:t>
            </w: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1,282</w:t>
            </w:r>
          </w:p>
        </w:tc>
      </w:tr>
      <w:tr>
        <w:trPr>
          <w:trHeight w:val="67"/>
        </w:trPr>
        <w:tc>
          <w:tcPr>
            <w:tcW w:w="7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7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21%</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269</w:t>
            </w:r>
          </w:p>
        </w:tc>
      </w:tr>
      <w:tr>
        <w:trPr>
          <w:trHeight w:val="168"/>
        </w:trPr>
        <w:tc>
          <w:tcPr>
            <w:tcW w:w="7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 taxes, net of federal benefit</w:t>
            </w:r>
          </w:p>
        </w:tc>
        <w:tc>
          <w:tcPr>
            <w:tcW w:w="98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58</w:t>
            </w:r>
          </w:p>
        </w:tc>
      </w:tr>
      <w:tr>
        <w:trPr>
          <w:trHeight w:val="172"/>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Impact of non-taxable partnership earnings (losses)</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(101)</w:t>
            </w:r>
          </w:p>
        </w:tc>
      </w:tr>
      <w:tr>
        <w:trPr>
          <w:trHeight w:val="168"/>
        </w:trPr>
        <w:tc>
          <w:tcPr>
            <w:tcW w:w="7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Valuation allowance</w:t>
            </w:r>
          </w:p>
        </w:tc>
        <w:tc>
          <w:tcPr>
            <w:tcW w:w="980" w:type="dxa"/>
            <w:vAlign w:val="bottom"/>
          </w:tcPr>
          <w:p>
            <w:pPr>
              <w:spacing w:after="0"/>
              <w:rPr>
                <w:sz w:val="14"/>
                <w:szCs w:val="14"/>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tax credits</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96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Production tax credits </w:t>
            </w:r>
            <w:r>
              <w:rPr>
                <w:rFonts w:ascii="Times New Roman" w:cs="Times New Roman" w:eastAsia="Times New Roman" w:hAnsi="Times New Roman"/>
                <w:sz w:val="16"/>
                <w:szCs w:val="16"/>
                <w:color w:val="auto"/>
                <w:vertAlign w:val="superscript"/>
              </w:rPr>
              <w:t>(a)</w:t>
            </w:r>
          </w:p>
        </w:tc>
        <w:tc>
          <w:tcPr>
            <w:tcW w:w="98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Rate change</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 taxes assessed at subsidiaries</w:t>
            </w:r>
          </w:p>
        </w:tc>
        <w:tc>
          <w:tcPr>
            <w:tcW w:w="98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9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7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222</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52"/>
        </w:trPr>
        <w:tc>
          <w:tcPr>
            <w:tcW w:w="79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Effective income tax rate</w:t>
            </w:r>
          </w:p>
        </w:tc>
        <w:tc>
          <w:tcPr>
            <w:tcW w:w="9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right="80" w:firstLine="9"/>
        <w:spacing w:after="0" w:line="300" w:lineRule="auto"/>
        <w:tabs>
          <w:tab w:leader="none" w:pos="170" w:val="left"/>
        </w:tabs>
        <w:numPr>
          <w:ilvl w:val="0"/>
          <w:numId w:val="6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On December 6, 2023, the Company executed an agreement with a third party to sell the PTCs generated by the Alta X and Alta XI wind facilities, which resulted in a $14 million income tax benefit (reduction to income tax expense) during the year ended December 31, 2023.</w:t>
      </w:r>
    </w:p>
    <w:p>
      <w:pPr>
        <w:spacing w:after="0" w:line="9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 partially offset by the impact of PTCs generated.</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2022, the overall effective tax rate was different than the statutory rate of 21% primarily due to the allocation of taxable earnings and losses, including the gain on the sale of the Thermal Business, based on the partners’ interest in Clearway Energy LLC, which includes the effects of applying the HLBV method of accounting for book purposes for certain partnerships.</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tax purposes, Clearway Energy LLC is treated as a partnership; therefore, the Company and CEG each record their respective share of taxable income or loss.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temporary differences, which gave rise to the Company’s deferred tax balances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80" w:type="dxa"/>
            <w:vAlign w:val="bottom"/>
            <w:tcBorders>
              <w:bottom w:val="single" w:sz="8" w:color="auto"/>
            </w:tcBorders>
          </w:tcPr>
          <w:p>
            <w:pPr>
              <w:spacing w:after="0"/>
              <w:rPr>
                <w:sz w:val="13"/>
                <w:szCs w:val="13"/>
                <w:color w:val="auto"/>
              </w:rPr>
            </w:pPr>
          </w:p>
        </w:tc>
      </w:tr>
      <w:tr>
        <w:trPr>
          <w:trHeight w:val="154"/>
        </w:trPr>
        <w:tc>
          <w:tcPr>
            <w:tcW w:w="8140" w:type="dxa"/>
            <w:vAlign w:val="bottom"/>
          </w:tcPr>
          <w:p>
            <w:pPr>
              <w:spacing w:after="0"/>
              <w:rPr>
                <w:sz w:val="13"/>
                <w:szCs w:val="13"/>
                <w:color w:val="auto"/>
              </w:rPr>
            </w:pPr>
          </w:p>
        </w:tc>
        <w:tc>
          <w:tcPr>
            <w:tcW w:w="9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gridSpan w:val="3"/>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3"/>
                <w:szCs w:val="13"/>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8"/>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Investment in projects</w:t>
            </w:r>
          </w:p>
        </w:tc>
        <w:tc>
          <w:tcPr>
            <w:tcW w:w="980" w:type="dxa"/>
            <w:vAlign w:val="bottom"/>
            <w:tcBorders>
              <w:bottom w:val="single" w:sz="8" w:color="auto"/>
            </w:tcBorders>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16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deferred tax liabilities</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15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disallowance carryforward - Investment in Projects</w:t>
            </w:r>
          </w:p>
        </w:tc>
        <w:tc>
          <w:tcPr>
            <w:tcW w:w="98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Production tax credits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tax credits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Federal net operating loss carryforwards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 net operating loss carryforwards</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8"/>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deferred tax assets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Valuation allowance</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8"/>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deferred tax assets, net of valuation allowance</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8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non-current tax liability</w:t>
            </w:r>
          </w:p>
        </w:tc>
        <w:tc>
          <w:tcPr>
            <w:tcW w:w="980" w:type="dxa"/>
            <w:vAlign w:val="bottom"/>
            <w:tcBorders>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the Company had a $9 million tax receivable.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Balances and Valuation Allowance</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Net deferred tax balances </w:t>
      </w:r>
      <w:r>
        <w:rPr>
          <w:rFonts w:ascii="Times New Roman" w:cs="Times New Roman" w:eastAsia="Times New Roman" w:hAnsi="Times New Roman"/>
          <w:sz w:val="14"/>
          <w:szCs w:val="14"/>
          <w:color w:val="auto"/>
        </w:rPr>
        <w:t>— As of December 31, 2024 and 2023, the Company recorded a net deferred tax liability of $89 million and $127 million, respectively. The Company believes it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$4 million of existing state NOLs, based on forecasted future earnings and estimated taxable income, will expire unutilized, resulting in the recording of a valuation allowance.</w:t>
      </w:r>
    </w:p>
    <w:p>
      <w:pPr>
        <w:spacing w:after="0" w:line="9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NOL and Tax Credit carryforwards </w:t>
      </w:r>
      <w:r>
        <w:rPr>
          <w:rFonts w:ascii="Times New Roman" w:cs="Times New Roman" w:eastAsia="Times New Roman" w:hAnsi="Times New Roman"/>
          <w:sz w:val="14"/>
          <w:szCs w:val="14"/>
          <w:color w:val="auto"/>
        </w:rPr>
        <w:t>— As of December 31, 2024, the Company had tax-effected domestic NOL carryforwards for federal income tax purposes of $58 million. Additionally,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has a cumulative tax-effected state NOL carryforward of $7 million, which will expire between 2025 and 2041 if unutilized. In addition, the Company has PTC and ITC carryforward balances totaling $23 million, which will expire between 2035 and 2044 if unutilized.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Payments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the Company paid $1 million in federal income taxes. Additionally, the amount paid in state income taxes, net of refunds received, was immaterial for the year ended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 Tax Positions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not identified any material uncertain tax positions to be reported as of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Related Party Transactions</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 affiliates in the Company’s consolidated balance sheets. The disclosures below summarize the Company’s material related party transactions with CEG and its subsidiaries that are included in the Company’s operating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$82 million, $73 million and $71 million for the years ended December 31, 2024, 2023 and 2022, respectively, included in cost of operations in the consolidated statements of income. There was a balance of $12 million and $13 million due to RENOM as of December 31, 2024 and 2023,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$22 million, $20 million and $16 million for the years ended December 31, 2024, 2023 and 2022, respectively, included in cost of operations in the consolidated statements of income. There was a balance of $3 million and $2 million due to CEG as of December 31, 2024 and 2023,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along with certain of its subsidiaries,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April 30, 2024, the CEG Master Services Agreement was amended and restated as a result of a reorganization effected by the Company pursuant to which all of the employees of the Company transferred to CEG as of January 1, 2025. On February 13, 2025, but effective as of January 1, 2025, the CEG Master Services Agreement was amended and restated again to engage CEG in a payroll sharing agreement, such that the Company directly bears all labor costs for certain employees of CEG who perform work on behalf of the Company. Under the amended and restated agreement, CEG and certain of its affiliates or third-party service providers continued providing the operational and administrative services outlined above, and, effective January 1, 2025, also began providing accounting, internal audit, tax, legal and treasury services to the Company, in exchange for the payment of fees in respect of such services. Certain independent functions of the Company are directed by the Corporate Governance, Conflicts and Nominating Committee of the Board of Directors and paid for by the Company, while being administered by CEG.</w:t>
      </w:r>
    </w:p>
    <w:p>
      <w:pPr>
        <w:spacing w:after="0" w:line="10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incurred net expenses of $6 million under the CEG Master Services Agreement for the year ended December 31, 2024 and $5 million under this agreement for each of the years ended December 31, 2023 and 2022, included in cost of operations in the consolidated statements of income. There was a balance of $5 million and zero due to CEG as of December 31, 2024 and 2023,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Gas and Transportation Commitments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previously entered into contractual arrangements to procure power, fuel and associated transportation services for the Thermal Business, which was sold to KKR on May 1,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these arrangements, the Company purchased $20 million for the year ended December 31,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Contingencies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records reserves for estimated losses from contingencies when information available indicates that a loss is probable and the amount of the loss, or range of loss, can be reasonably estimated. As applicable, the Company will establish an adequate reserve for ongoing legal matters.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ongoing legal proceedings or reasonably estimate the scope or amount of any associated costs and potential liabilities. As additional information becomes available, management adjusts its assessment and estimate of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27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are party to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Leases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Leases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evaluates each arrangement at inception to determine if it contains a lease. Substantially all of the Company’s leases are operating leases.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i w:val="1"/>
          <w:iCs w:val="1"/>
          <w:color w:val="auto"/>
        </w:rPr>
        <w:t>Lessee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leases consist of land leases for numerous operating asset locations, real estate leases and equipment leases. The terms and conditions for these leases vary by the type of underlying asset. Certain of these leases have both lease and non-lease components and the Company has elected to apply the practical expedient to not separate these components.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Lease expense was comprised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192"/>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cost - Fixed</w:t>
            </w:r>
          </w:p>
        </w:tc>
        <w:tc>
          <w:tcPr>
            <w:tcW w:w="48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1512"/>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cost - Variable</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w w:val="99"/>
              </w:rPr>
              <w:t>11</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480" w:type="dxa"/>
            <w:vAlign w:val="bottom"/>
            <w:tcBorders>
              <w:bottom w:val="single" w:sz="8" w:color="auto"/>
            </w:tcBorders>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512"/>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Operating lease information was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152"/>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ind w:left="21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1512"/>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term and rate)</w:t>
            </w: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assets - operating leases, net</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547</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7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Short-term lease liability - operating leases </w:t>
            </w:r>
            <w:r>
              <w:rPr>
                <w:rFonts w:ascii="Times New Roman" w:cs="Times New Roman" w:eastAsia="Times New Roman" w:hAnsi="Times New Roman"/>
                <w:sz w:val="18"/>
                <w:szCs w:val="18"/>
                <w:color w:val="auto"/>
                <w:vertAlign w:val="superscript"/>
              </w:rPr>
              <w:t>(a)</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Long-term lease liability - operating leases</w:t>
            </w: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569</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627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579</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634</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4"/>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3" w:lineRule="exact"/>
        <w:rPr>
          <w:sz w:val="20"/>
          <w:szCs w:val="20"/>
          <w:color w:val="auto"/>
        </w:rPr>
      </w:pPr>
    </w:p>
    <w:p>
      <w:pPr>
        <w:ind w:left="200" w:hanging="131"/>
        <w:spacing w:after="0"/>
        <w:tabs>
          <w:tab w:leader="none" w:pos="200" w:val="left"/>
        </w:tabs>
        <w:numPr>
          <w:ilvl w:val="0"/>
          <w:numId w:val="6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Short-term lease liability balances are included within the accrued expenses and other current liabilities line item of the consolidated balance sheets as of December 31, 2024 and 2023.</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future rental payments of operating lease liabilities as of December 31, 2024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5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5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2027</w:t>
            </w:r>
          </w:p>
        </w:tc>
        <w:tc>
          <w:tcPr>
            <w:tcW w:w="5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2028</w:t>
            </w:r>
          </w:p>
        </w:tc>
        <w:tc>
          <w:tcPr>
            <w:tcW w:w="5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2029</w:t>
            </w:r>
          </w:p>
        </w:tc>
        <w:tc>
          <w:tcPr>
            <w:tcW w:w="5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Thereafter</w:t>
            </w:r>
          </w:p>
        </w:tc>
        <w:tc>
          <w:tcPr>
            <w:tcW w:w="5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5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Less imputed interest</w:t>
            </w:r>
          </w:p>
        </w:tc>
        <w:tc>
          <w:tcPr>
            <w:tcW w:w="5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lease liability - operating leases</w:t>
            </w:r>
          </w:p>
        </w:tc>
        <w:tc>
          <w:tcPr>
            <w:tcW w:w="5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3249"/>
              <w:spacing w:after="0"/>
              <w:rPr>
                <w:sz w:val="20"/>
                <w:szCs w:val="20"/>
                <w:color w:val="auto"/>
              </w:rPr>
            </w:pPr>
            <w:r>
              <w:rPr>
                <w:rFonts w:ascii="Times New Roman" w:cs="Times New Roman" w:eastAsia="Times New Roman" w:hAnsi="Times New Roman"/>
                <w:sz w:val="14"/>
                <w:szCs w:val="14"/>
                <w:color w:val="auto"/>
              </w:rPr>
              <w:t>125</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39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51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5" w:name="page126"/>
    <w:bookmarkEnd w:id="125"/>
    <w:p>
      <w:pPr>
        <w:ind w:right="440" w:firstLine="318"/>
        <w:spacing w:after="0" w:line="287" w:lineRule="auto"/>
        <w:rPr>
          <w:sz w:val="20"/>
          <w:szCs w:val="20"/>
          <w:color w:val="auto"/>
        </w:rPr>
      </w:pPr>
      <w:r>
        <w:rPr>
          <w:rFonts w:ascii="Times New Roman" w:cs="Times New Roman" w:eastAsia="Times New Roman" w:hAnsi="Times New Roman"/>
          <w:sz w:val="14"/>
          <w:szCs w:val="14"/>
          <w:color w:val="auto"/>
        </w:rPr>
        <w:t>The Company is party to various land lease agreements with wholly-owned subsidiaries of CEG that are accounted for as operating leases. The following table summarizes the land lease agreements: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Right-of-use assets, net</w:t>
            </w:r>
          </w:p>
        </w:tc>
        <w:tc>
          <w:tcPr>
            <w:tcW w:w="2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Long-term lease liabilities</w:t>
            </w:r>
          </w:p>
        </w:tc>
        <w:tc>
          <w:tcPr>
            <w:tcW w:w="2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Lease expiration</w:t>
            </w:r>
          </w:p>
        </w:tc>
      </w:tr>
      <w:tr>
        <w:trPr>
          <w:trHeight w:val="16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80"/>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Daggett 2</w:t>
            </w:r>
          </w:p>
        </w:tc>
        <w:tc>
          <w:tcPr>
            <w:tcW w:w="1600" w:type="dxa"/>
            <w:vAlign w:val="bottom"/>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640" w:type="dxa"/>
            <w:vAlign w:val="bottom"/>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2058</w:t>
            </w:r>
          </w:p>
        </w:tc>
      </w:tr>
      <w:tr>
        <w:trPr>
          <w:trHeight w:val="18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Daggett 3</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18, 2062</w:t>
            </w:r>
          </w:p>
        </w:tc>
      </w:tr>
      <w:tr>
        <w:trPr>
          <w:trHeight w:val="180"/>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Mililani I</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2057</w:t>
            </w:r>
          </w:p>
        </w:tc>
      </w:tr>
      <w:tr>
        <w:trPr>
          <w:trHeight w:val="180"/>
        </w:trPr>
        <w:tc>
          <w:tcPr>
            <w:tcW w:w="53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18"/>
                <w:szCs w:val="18"/>
                <w:color w:val="auto"/>
                <w:vertAlign w:val="superscript"/>
              </w:rPr>
              <w:t>(a)</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August 1, 2057</w:t>
            </w:r>
          </w:p>
        </w:tc>
      </w:tr>
      <w:tr>
        <w:trPr>
          <w:trHeight w:val="180"/>
        </w:trPr>
        <w:tc>
          <w:tcPr>
            <w:tcW w:w="53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18"/>
                <w:szCs w:val="18"/>
                <w:color w:val="auto"/>
                <w:vertAlign w:val="superscript"/>
              </w:rPr>
              <w:t>(a)</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2056</w:t>
            </w: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Daggett 2</w:t>
            </w:r>
          </w:p>
        </w:tc>
        <w:tc>
          <w:tcPr>
            <w:tcW w:w="1600" w:type="dxa"/>
            <w:vAlign w:val="bottom"/>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640" w:type="dxa"/>
            <w:vAlign w:val="bottom"/>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2058</w:t>
            </w:r>
          </w:p>
        </w:tc>
      </w:tr>
      <w:tr>
        <w:trPr>
          <w:trHeight w:val="18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Daggett 3</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33</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18, 2062</w:t>
            </w:r>
          </w:p>
        </w:tc>
      </w:tr>
      <w:tr>
        <w:trPr>
          <w:trHeight w:val="180"/>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Mililani I</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2057</w:t>
            </w:r>
          </w:p>
        </w:tc>
      </w:tr>
      <w:tr>
        <w:trPr>
          <w:trHeight w:val="180"/>
        </w:trPr>
        <w:tc>
          <w:tcPr>
            <w:tcW w:w="53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18"/>
                <w:szCs w:val="18"/>
                <w:color w:val="auto"/>
                <w:vertAlign w:val="superscript"/>
              </w:rPr>
              <w:t>(a)</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August 1, 2057</w:t>
            </w: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18"/>
                <w:szCs w:val="18"/>
                <w:color w:val="auto"/>
                <w:vertAlign w:val="superscript"/>
              </w:rPr>
              <w:t>(a)</w:t>
            </w:r>
          </w:p>
        </w:tc>
        <w:tc>
          <w:tcPr>
            <w:tcW w:w="16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138811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64" w:lineRule="exact"/>
        <w:rPr>
          <w:sz w:val="20"/>
          <w:szCs w:val="20"/>
          <w:color w:val="auto"/>
        </w:rPr>
      </w:pPr>
    </w:p>
    <w:p>
      <w:pPr>
        <w:ind w:left="200" w:hanging="131"/>
        <w:spacing w:after="0"/>
        <w:tabs>
          <w:tab w:leader="none" w:pos="200" w:val="left"/>
        </w:tabs>
        <w:numPr>
          <w:ilvl w:val="0"/>
          <w:numId w:val="6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Company has the ability to extend each of these leases for two additional five-year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Lessor</w:t>
      </w:r>
    </w:p>
    <w:p>
      <w:pPr>
        <w:spacing w:after="0" w:line="12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majority of the Company’s revenue is obtained through PPAs or other contractual agreements that are accounted for as leases. These leases are comprised of both fixed payments and variable payments contingent upon volumes or performance metrics. Termination may be allowed under specific circumstances in the lease arrangements, such as under an event of default. All but one of the Company’s active leases are operating leases. This sales-type lease is further described below. Certain of these operating leases have both lease and non-lease components, and the Company allocates the transaction price to the components based on standalone selling prices.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amounts of energy, capacity and other revenues are related to the Company’s 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40" w:type="dxa"/>
            <w:vAlign w:val="bottom"/>
          </w:tcPr>
          <w:p>
            <w:pPr>
              <w:spacing w:after="0"/>
              <w:rPr>
                <w:sz w:val="15"/>
                <w:szCs w:val="15"/>
                <w:color w:val="auto"/>
              </w:rPr>
            </w:pPr>
          </w:p>
        </w:tc>
        <w:tc>
          <w:tcPr>
            <w:tcW w:w="17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8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40" w:type="dxa"/>
            <w:vAlign w:val="bottom"/>
            <w:shd w:val="clear" w:color="auto" w:fill="CCEEFF"/>
          </w:tcPr>
          <w:p>
            <w:pPr>
              <w:jc w:val="right"/>
              <w:ind w:right="159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18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96"/>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740" w:type="dxa"/>
            <w:vAlign w:val="bottom"/>
            <w:tcBorders>
              <w:bottom w:val="single" w:sz="8" w:color="auto"/>
            </w:tcBorders>
            <w:shd w:val="clear" w:color="auto" w:fill="CCEEFF"/>
          </w:tcPr>
          <w:p>
            <w:pPr>
              <w:jc w:val="right"/>
              <w:ind w:right="159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4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58"/>
        </w:trPr>
        <w:tc>
          <w:tcPr>
            <w:tcW w:w="4640" w:type="dxa"/>
            <w:vAlign w:val="bottom"/>
          </w:tcPr>
          <w:p>
            <w:pPr>
              <w:spacing w:after="0"/>
              <w:rPr>
                <w:sz w:val="13"/>
                <w:szCs w:val="13"/>
                <w:color w:val="auto"/>
              </w:rPr>
            </w:pPr>
          </w:p>
        </w:tc>
        <w:tc>
          <w:tcPr>
            <w:tcW w:w="17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8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40" w:type="dxa"/>
            <w:vAlign w:val="bottom"/>
            <w:shd w:val="clear" w:color="auto" w:fill="CCEEFF"/>
          </w:tcPr>
          <w:p>
            <w:pPr>
              <w:jc w:val="right"/>
              <w:ind w:right="159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80"/>
        </w:trPr>
        <w:tc>
          <w:tcPr>
            <w:tcW w:w="4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(a)</w:t>
            </w:r>
          </w:p>
        </w:tc>
        <w:tc>
          <w:tcPr>
            <w:tcW w:w="1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4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740" w:type="dxa"/>
            <w:vAlign w:val="bottom"/>
            <w:tcBorders>
              <w:top w:val="single" w:sz="8" w:color="auto"/>
              <w:bottom w:val="single" w:sz="8" w:color="auto"/>
            </w:tcBorders>
          </w:tcPr>
          <w:p>
            <w:pPr>
              <w:jc w:val="right"/>
              <w:ind w:right="159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w:t>
            </w:r>
          </w:p>
        </w:tc>
      </w:tr>
      <w:tr>
        <w:trPr>
          <w:trHeight w:val="20"/>
        </w:trPr>
        <w:tc>
          <w:tcPr>
            <w:tcW w:w="46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92" w:lineRule="exact"/>
        <w:rPr>
          <w:sz w:val="20"/>
          <w:szCs w:val="20"/>
          <w:color w:val="auto"/>
        </w:rPr>
      </w:pPr>
    </w:p>
    <w:p>
      <w:pPr>
        <w:jc w:val="both"/>
        <w:ind w:left="60" w:firstLine="9"/>
        <w:spacing w:after="0" w:line="278" w:lineRule="auto"/>
        <w:tabs>
          <w:tab w:leader="none" w:pos="185" w:val="left"/>
        </w:tabs>
        <w:numPr>
          <w:ilvl w:val="0"/>
          <w:numId w:val="7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 The lease receivable is included in other current and non-current assets on the Company’s consolidated balance sheet.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8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560" w:type="dxa"/>
            <w:vAlign w:val="bottom"/>
            <w:shd w:val="clear" w:color="auto" w:fill="CCEEFF"/>
          </w:tcPr>
          <w:p>
            <w:pPr>
              <w:jc w:val="right"/>
              <w:ind w:right="13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5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96"/>
        </w:trPr>
        <w:tc>
          <w:tcPr>
            <w:tcW w:w="45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560" w:type="dxa"/>
            <w:vAlign w:val="bottom"/>
            <w:tcBorders>
              <w:top w:val="single" w:sz="8" w:color="auto"/>
              <w:bottom w:val="single" w:sz="8" w:color="auto"/>
            </w:tcBorders>
            <w:shd w:val="clear" w:color="auto" w:fill="CCEEFF"/>
          </w:tcPr>
          <w:p>
            <w:pPr>
              <w:jc w:val="right"/>
              <w:ind w:right="13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future rent payments the Company expects to receive for the remaining periods related to various facility operating leases as of December 31, 2024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8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Property, plant and equipment, net related to the Company’s operating leases were as follows:</w:t>
            </w: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7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6,284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0" w:type="dxa"/>
            <w:vAlign w:val="bottom"/>
          </w:tcPr>
          <w:p>
            <w:pPr>
              <w:spacing w:after="0"/>
              <w:rPr>
                <w:sz w:val="1"/>
                <w:szCs w:val="1"/>
                <w:color w:val="auto"/>
              </w:rPr>
            </w:pPr>
          </w:p>
        </w:tc>
      </w:tr>
      <w:tr>
        <w:trPr>
          <w:trHeight w:val="18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1071"/>
              <w:spacing w:after="0"/>
              <w:rPr>
                <w:sz w:val="20"/>
                <w:szCs w:val="20"/>
                <w:color w:val="auto"/>
              </w:rPr>
            </w:pPr>
            <w:r>
              <w:rPr>
                <w:rFonts w:ascii="Times New Roman" w:cs="Times New Roman" w:eastAsia="Times New Roman" w:hAnsi="Times New Roman"/>
                <w:sz w:val="14"/>
                <w:szCs w:val="14"/>
                <w:color w:val="auto"/>
              </w:rPr>
              <w:t>(2,276)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4,008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Schedule I</w:t>
            </w:r>
          </w:p>
        </w:tc>
      </w:tr>
      <w:tr>
        <w:trPr>
          <w:trHeight w:val="297"/>
        </w:trPr>
        <w:tc>
          <w:tcPr>
            <w:tcW w:w="7140" w:type="dxa"/>
            <w:vAlign w:val="bottom"/>
          </w:tcPr>
          <w:p>
            <w:pPr>
              <w:jc w:val="center"/>
              <w:ind w:left="4070"/>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4"/>
        </w:trPr>
        <w:tc>
          <w:tcPr>
            <w:tcW w:w="7140" w:type="dxa"/>
            <w:vAlign w:val="bottom"/>
          </w:tcPr>
          <w:p>
            <w:pPr>
              <w:jc w:val="center"/>
              <w:ind w:left="4090"/>
              <w:spacing w:after="0"/>
              <w:rPr>
                <w:sz w:val="20"/>
                <w:szCs w:val="20"/>
                <w:color w:val="auto"/>
              </w:rPr>
            </w:pPr>
            <w:r>
              <w:rPr>
                <w:rFonts w:ascii="Times New Roman" w:cs="Times New Roman" w:eastAsia="Times New Roman" w:hAnsi="Times New Roman"/>
                <w:sz w:val="14"/>
                <w:szCs w:val="14"/>
                <w:b w:val="1"/>
                <w:bCs w:val="1"/>
                <w:color w:val="auto"/>
              </w:rPr>
              <w:t>Condensed Financial Information of Registrant</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3"/>
        </w:trPr>
        <w:tc>
          <w:tcPr>
            <w:tcW w:w="7140" w:type="dxa"/>
            <w:vAlign w:val="bottom"/>
          </w:tcPr>
          <w:p>
            <w:pPr>
              <w:jc w:val="center"/>
              <w:ind w:left="4070"/>
              <w:spacing w:after="0"/>
              <w:rPr>
                <w:sz w:val="20"/>
                <w:szCs w:val="20"/>
                <w:color w:val="auto"/>
              </w:rPr>
            </w:pPr>
            <w:r>
              <w:rPr>
                <w:rFonts w:ascii="Times New Roman" w:cs="Times New Roman" w:eastAsia="Times New Roman" w:hAnsi="Times New Roman"/>
                <w:sz w:val="14"/>
                <w:szCs w:val="14"/>
                <w:b w:val="1"/>
                <w:bCs w:val="1"/>
                <w:color w:val="auto"/>
              </w:rPr>
              <w:t>Condensed Statements of Income</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6"/>
        </w:trPr>
        <w:tc>
          <w:tcPr>
            <w:tcW w:w="7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154"/>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Equity in (losses) earnings of consolidated subsidiaries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r>
      <w:tr>
        <w:trPr>
          <w:trHeight w:val="171"/>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Before Income Taxes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r>
      <w:tr>
        <w:trPr>
          <w:trHeight w:val="18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w:t>
            </w:r>
          </w:p>
        </w:tc>
      </w:tr>
      <w:tr>
        <w:trPr>
          <w:trHeight w:val="18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 and redeemable noncontrolling interests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Inc.</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w:t>
            </w: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tc>
        <w:tc>
          <w:tcPr>
            <w:tcW w:w="0" w:type="dxa"/>
            <w:vAlign w:val="bottom"/>
          </w:tcPr>
          <w:p>
            <w:pPr>
              <w:spacing w:after="0"/>
              <w:rPr>
                <w:sz w:val="1"/>
                <w:szCs w:val="1"/>
                <w:color w:val="auto"/>
              </w:rPr>
            </w:pPr>
          </w:p>
        </w:tc>
      </w:tr>
      <w:tr>
        <w:trPr>
          <w:trHeight w:val="297"/>
        </w:trPr>
        <w:tc>
          <w:tcPr>
            <w:tcW w:w="8400" w:type="dxa"/>
            <w:vAlign w:val="bottom"/>
          </w:tcPr>
          <w:p>
            <w:pPr>
              <w:ind w:left="4680"/>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00" w:type="dxa"/>
            <w:vAlign w:val="bottom"/>
          </w:tcPr>
          <w:p>
            <w:pPr>
              <w:ind w:left="4820"/>
              <w:spacing w:after="0"/>
              <w:rPr>
                <w:sz w:val="20"/>
                <w:szCs w:val="20"/>
                <w:color w:val="auto"/>
              </w:rPr>
            </w:pPr>
            <w:r>
              <w:rPr>
                <w:rFonts w:ascii="Times New Roman" w:cs="Times New Roman" w:eastAsia="Times New Roman" w:hAnsi="Times New Roman"/>
                <w:sz w:val="14"/>
                <w:szCs w:val="14"/>
                <w:b w:val="1"/>
                <w:bCs w:val="1"/>
                <w:color w:val="auto"/>
              </w:rPr>
              <w:t>Condensed Balance Sheets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00" w:type="dxa"/>
            <w:vAlign w:val="bottom"/>
          </w:tcPr>
          <w:p>
            <w:pPr>
              <w:spacing w:after="0"/>
              <w:rPr>
                <w:sz w:val="19"/>
                <w:szCs w:val="19"/>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69"/>
        </w:trPr>
        <w:tc>
          <w:tcPr>
            <w:tcW w:w="8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4"/>
        </w:trPr>
        <w:tc>
          <w:tcPr>
            <w:tcW w:w="8400" w:type="dxa"/>
            <w:vAlign w:val="bottom"/>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 affiliates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receivable — Clearway Energy Operating LLC</w:t>
            </w:r>
          </w:p>
        </w:tc>
        <w:tc>
          <w:tcPr>
            <w:tcW w:w="2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in consolidated subsidiaries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5,123</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0" w:type="dxa"/>
            <w:vAlign w:val="bottom"/>
            <w:shd w:val="clear" w:color="auto" w:fill="CCEEFF"/>
          </w:tcPr>
          <w:p>
            <w:pPr>
              <w:ind w:left="266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6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 $0.01 par value; 10,000,000 shares authorized; none issued</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840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Class A, Class B, Class C and Class D common stock, $0.01 par value; 3,000,000,000 shares authorized (Class A 500,000,000, Class B</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500,000,000, Class C 1,000,000,000, Class D 1,000,000,000); 202,147,579 shares issued and outstanding (Class A 34,613,853, Class B</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0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42,738,750, Class C 82,833,226, Class D 41,961,750) at December 31, 2024 and 202,080,794 shares issued and outstanding (Class A 34,613,853,</w:t>
            </w:r>
          </w:p>
        </w:tc>
        <w:tc>
          <w:tcPr>
            <w:tcW w:w="2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B 42,738,750, Class C 82,391,441, Class D 42,336,750) at December 31, 2023</w:t>
            </w:r>
          </w:p>
        </w:tc>
        <w:tc>
          <w:tcPr>
            <w:tcW w:w="2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Schedule I</w:t>
            </w:r>
          </w:p>
        </w:tc>
      </w:tr>
      <w:tr>
        <w:trPr>
          <w:trHeight w:val="297"/>
        </w:trPr>
        <w:tc>
          <w:tcPr>
            <w:tcW w:w="4380" w:type="dxa"/>
            <w:vAlign w:val="bottom"/>
          </w:tcPr>
          <w:p>
            <w:pPr>
              <w:spacing w:after="0"/>
              <w:rPr>
                <w:sz w:val="24"/>
                <w:szCs w:val="24"/>
                <w:color w:val="auto"/>
              </w:rPr>
            </w:pPr>
          </w:p>
        </w:tc>
        <w:tc>
          <w:tcPr>
            <w:tcW w:w="3620" w:type="dxa"/>
            <w:vAlign w:val="bottom"/>
            <w:gridSpan w:val="2"/>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4380" w:type="dxa"/>
            <w:vAlign w:val="bottom"/>
          </w:tcPr>
          <w:p>
            <w:pPr>
              <w:spacing w:after="0"/>
              <w:rPr>
                <w:sz w:val="21"/>
                <w:szCs w:val="21"/>
                <w:color w:val="auto"/>
              </w:rPr>
            </w:pPr>
          </w:p>
        </w:tc>
        <w:tc>
          <w:tcPr>
            <w:tcW w:w="3620" w:type="dxa"/>
            <w:vAlign w:val="bottom"/>
            <w:gridSpan w:val="2"/>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54"/>
        </w:trPr>
        <w:tc>
          <w:tcPr>
            <w:tcW w:w="4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3"/>
                <w:szCs w:val="13"/>
                <w:color w:val="auto"/>
              </w:rPr>
            </w:pPr>
          </w:p>
        </w:tc>
      </w:tr>
      <w:tr>
        <w:trPr>
          <w:trHeight w:val="150"/>
        </w:trPr>
        <w:tc>
          <w:tcPr>
            <w:tcW w:w="4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362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advances for notes receivable — affiliate</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r>
      <w:tr>
        <w:trPr>
          <w:trHeight w:val="180"/>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Cash received from notes receivable — affiliate</w:t>
            </w:r>
          </w:p>
        </w:tc>
        <w:tc>
          <w:tcPr>
            <w:tcW w:w="27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27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received from Clearway Energy LLC for tax-related distributions</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5"/>
                <w:szCs w:val="15"/>
                <w:color w:val="auto"/>
              </w:rPr>
            </w:pPr>
          </w:p>
        </w:tc>
      </w:tr>
      <w:tr>
        <w:trPr>
          <w:trHeight w:val="180"/>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received from Clearway Energy LLC for the payment of dividends</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dividends</w:t>
            </w:r>
          </w:p>
        </w:tc>
        <w:tc>
          <w:tcPr>
            <w:tcW w:w="27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Pr>
          <w:p>
            <w:pPr>
              <w:spacing w:after="0"/>
              <w:rPr>
                <w:sz w:val="15"/>
                <w:szCs w:val="15"/>
                <w:color w:val="auto"/>
              </w:rPr>
            </w:pPr>
          </w:p>
        </w:tc>
      </w:tr>
      <w:tr>
        <w:trPr>
          <w:trHeight w:val="17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4"/>
                <w:szCs w:val="14"/>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at Beginning of Period</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96"/>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at End of Period</w:t>
            </w:r>
          </w:p>
        </w:tc>
        <w:tc>
          <w:tcPr>
            <w:tcW w:w="27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Background and Basis of Presentation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93" w:lineRule="exact"/>
        <w:rPr>
          <w:sz w:val="20"/>
          <w:szCs w:val="20"/>
          <w:color w:val="auto"/>
        </w:rPr>
      </w:pPr>
    </w:p>
    <w:p>
      <w:pPr>
        <w:ind w:right="320" w:firstLine="318"/>
        <w:spacing w:after="0" w:line="442" w:lineRule="auto"/>
        <w:rPr>
          <w:sz w:val="20"/>
          <w:szCs w:val="20"/>
          <w:color w:val="auto"/>
        </w:rPr>
      </w:pPr>
      <w:r>
        <w:rPr>
          <w:rFonts w:ascii="Times New Roman" w:cs="Times New Roman" w:eastAsia="Times New Roman" w:hAnsi="Times New Roman"/>
          <w:sz w:val="14"/>
          <w:szCs w:val="14"/>
          <w:color w:val="auto"/>
        </w:rPr>
        <w:t xml:space="preserve">As of December 31, 2024, the Company owned 58.10% of the economic interests of Clearway Energy LLC, with CEG owning 41.90% of the economic interests of Clearway Energy LLC. </w:t>
      </w:r>
      <w:r>
        <w:rPr>
          <w:rFonts w:ascii="Times New Roman" w:cs="Times New Roman" w:eastAsia="Times New Roman" w:hAnsi="Times New Roman"/>
          <w:sz w:val="14"/>
          <w:szCs w:val="14"/>
          <w:b w:val="1"/>
          <w:bCs w:val="1"/>
          <w:i w:val="1"/>
          <w:iCs w:val="1"/>
          <w:color w:val="auto"/>
        </w:rPr>
        <w:t>Basis of Presentation</w:t>
      </w:r>
    </w:p>
    <w:p>
      <w:pPr>
        <w:spacing w:after="0" w:line="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For a discussion of Clearway Energy, Inc.’s financing arrangements,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Company’s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Commitments, Contingencies and Guarantees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See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and Note 16,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the Company’s consolidated financial statements for a detailed discussion of Clearway Energy, Inc.’s commitments and contingencies.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Dividends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distributions paid to Clearway Energy, Inc. by its subsidiary, Clearway Energy LLC, were $194 million, $180 million and $167 million for the years ended December 31, 2024, 2023, and 2022,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4"/>
          <w:szCs w:val="14"/>
          <w:b w:val="1"/>
          <w:bCs w:val="1"/>
          <w:color w:val="auto"/>
        </w:rPr>
        <w:t>SCHEDULE II. VALUATION AND QUALIFYING ACCOUNTS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 2024, 2023,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00" w:type="dxa"/>
            <w:vAlign w:val="bottom"/>
          </w:tcPr>
          <w:p>
            <w:pPr>
              <w:spacing w:after="0"/>
              <w:rPr>
                <w:sz w:val="11"/>
                <w:szCs w:val="11"/>
                <w:color w:val="auto"/>
              </w:rPr>
            </w:pP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Charged to</w:t>
            </w:r>
          </w:p>
        </w:tc>
        <w:tc>
          <w:tcPr>
            <w:tcW w:w="14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Charged to</w:t>
            </w:r>
          </w:p>
        </w:tc>
        <w:tc>
          <w:tcPr>
            <w:tcW w:w="1060" w:type="dxa"/>
            <w:vAlign w:val="bottom"/>
            <w:vMerge w:val="restart"/>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15"/>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40" w:type="dxa"/>
            <w:vAlign w:val="bottom"/>
          </w:tcPr>
          <w:p>
            <w:pPr>
              <w:jc w:val="center"/>
              <w:ind w:left="122"/>
              <w:spacing w:after="0" w:line="115" w:lineRule="exact"/>
              <w:rPr>
                <w:sz w:val="20"/>
                <w:szCs w:val="20"/>
                <w:color w:val="auto"/>
              </w:rPr>
            </w:pPr>
            <w:r>
              <w:rPr>
                <w:rFonts w:ascii="Times New Roman" w:cs="Times New Roman" w:eastAsia="Times New Roman" w:hAnsi="Times New Roman"/>
                <w:sz w:val="11"/>
                <w:szCs w:val="11"/>
                <w:b w:val="1"/>
                <w:bCs w:val="1"/>
                <w:color w:val="auto"/>
              </w:rPr>
              <w:t>Beginning of</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3"/>
          </w:tcPr>
          <w:p>
            <w:pPr>
              <w:jc w:val="center"/>
              <w:ind w:right="460"/>
              <w:spacing w:after="0" w:line="115"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148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100" w:type="dxa"/>
            <w:vAlign w:val="bottom"/>
            <w:vMerge w:val="continue"/>
          </w:tcPr>
          <w:p>
            <w:pPr>
              <w:spacing w:after="0"/>
              <w:rPr>
                <w:sz w:val="13"/>
                <w:szCs w:val="13"/>
                <w:color w:val="auto"/>
              </w:rPr>
            </w:pP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Other Accounts</w:t>
            </w: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End of Period</w:t>
            </w:r>
          </w:p>
        </w:tc>
        <w:tc>
          <w:tcPr>
            <w:tcW w:w="0" w:type="dxa"/>
            <w:vAlign w:val="bottom"/>
          </w:tcPr>
          <w:p>
            <w:pPr>
              <w:spacing w:after="0"/>
              <w:rPr>
                <w:sz w:val="1"/>
                <w:szCs w:val="1"/>
                <w:color w:val="auto"/>
              </w:rPr>
            </w:pPr>
          </w:p>
        </w:tc>
      </w:tr>
      <w:tr>
        <w:trPr>
          <w:trHeight w:val="165"/>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 valuation allowance, deducted from deferred tax assets</w:t>
            </w: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 Ended December 31, 2024</w:t>
            </w:r>
          </w:p>
        </w:tc>
        <w:tc>
          <w:tcPr>
            <w:tcW w:w="940" w:type="dxa"/>
            <w:vAlign w:val="bottom"/>
          </w:tcPr>
          <w:p>
            <w:pPr>
              <w:jc w:val="right"/>
              <w:ind w:right="802"/>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   $</w:t>
            </w:r>
          </w:p>
        </w:tc>
        <w:tc>
          <w:tcPr>
            <w:tcW w:w="1480" w:type="dxa"/>
            <w:vAlign w:val="bottom"/>
            <w:gridSpan w:val="3"/>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Year Ended December 31, 2023</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5"/>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 Ended December 31, 2022</w:t>
            </w: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13"/>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18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0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3.1</w:t>
            </w:r>
          </w:p>
        </w:tc>
        <w:tc>
          <w:tcPr>
            <w:tcW w:w="6000" w:type="dxa"/>
            <w:vAlign w:val="bottom"/>
            <w:gridSpan w:val="21"/>
          </w:tcPr>
          <w:p>
            <w:pPr>
              <w:spacing w:after="0" w:line="143" w:lineRule="exact"/>
              <w:rPr>
                <w:rFonts w:ascii="Times New Roman" w:cs="Times New Roman" w:eastAsia="Times New Roman" w:hAnsi="Times New Roman"/>
                <w:sz w:val="13"/>
                <w:szCs w:val="13"/>
                <w:color w:val="0000FF"/>
              </w:rPr>
            </w:pPr>
            <w:hyperlink r:id="rId202">
              <w:r>
                <w:rPr>
                  <w:rFonts w:ascii="Times New Roman" w:cs="Times New Roman" w:eastAsia="Times New Roman" w:hAnsi="Times New Roman"/>
                  <w:sz w:val="13"/>
                  <w:szCs w:val="13"/>
                  <w:color w:val="0000FF"/>
                </w:rPr>
                <w:t>Amended and Restated Certificate of Incorporation of Clearway Energy, Inc.</w:t>
              </w:r>
            </w:hyperlink>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03">
              <w:r>
                <w:rPr>
                  <w:rFonts w:ascii="Times New Roman" w:cs="Times New Roman" w:eastAsia="Times New Roman" w:hAnsi="Times New Roman"/>
                  <w:sz w:val="13"/>
                  <w:szCs w:val="13"/>
                  <w:color w:val="0000FF"/>
                </w:rPr>
                <w:t>Fourth Amended and Restated Bylaws of Clearway Energy, Inc., dated August 31, 2018.</w:t>
              </w:r>
            </w:hyperlink>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04">
              <w:r>
                <w:rPr>
                  <w:rFonts w:ascii="Times New Roman" w:cs="Times New Roman" w:eastAsia="Times New Roman" w:hAnsi="Times New Roman"/>
                  <w:sz w:val="13"/>
                  <w:szCs w:val="13"/>
                  <w:color w:val="0000FF"/>
                </w:rPr>
                <w:t>Fourth Amended and Restated Limited Liability Company Agreement of NRG Yield LLC, dated as of August</w:t>
              </w:r>
            </w:hyperlink>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04">
              <w:r>
                <w:rPr>
                  <w:rFonts w:ascii="Times New Roman" w:cs="Times New Roman" w:eastAsia="Times New Roman" w:hAnsi="Times New Roman"/>
                  <w:sz w:val="12"/>
                  <w:szCs w:val="12"/>
                  <w:color w:val="0000FF"/>
                </w:rPr>
                <w:t>31, 2018, by and between NRG Yield, Inc. and Zephyr Renewables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23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3"/>
                <w:szCs w:val="13"/>
                <w:color w:val="0000FF"/>
                <w:w w:val="97"/>
              </w:rPr>
            </w:pPr>
            <w:hyperlink r:id="rId205">
              <w:r>
                <w:rPr>
                  <w:rFonts w:ascii="Times New Roman" w:cs="Times New Roman" w:eastAsia="Times New Roman" w:hAnsi="Times New Roman"/>
                  <w:sz w:val="13"/>
                  <w:szCs w:val="13"/>
                  <w:color w:val="0000FF"/>
                  <w:w w:val="97"/>
                </w:rPr>
                <w:t>Specimen Class A Common Stock Certificate.</w:t>
              </w:r>
            </w:hyperlink>
          </w:p>
        </w:tc>
        <w:tc>
          <w:tcPr>
            <w:tcW w:w="1360" w:type="dxa"/>
            <w:vAlign w:val="bottom"/>
            <w:tcBorders>
              <w:top w:val="single" w:sz="8" w:color="0000FF"/>
            </w:tcBorders>
            <w:gridSpan w:val="3"/>
          </w:tcPr>
          <w:p>
            <w:pPr>
              <w:spacing w:after="0"/>
              <w:rPr>
                <w:sz w:val="24"/>
                <w:szCs w:val="24"/>
                <w:color w:val="auto"/>
              </w:rPr>
            </w:pPr>
          </w:p>
        </w:tc>
        <w:tc>
          <w:tcPr>
            <w:tcW w:w="2260" w:type="dxa"/>
            <w:vAlign w:val="bottom"/>
            <w:gridSpan w:val="14"/>
          </w:tcPr>
          <w:p>
            <w:pPr>
              <w:spacing w:after="0"/>
              <w:rPr>
                <w:sz w:val="24"/>
                <w:szCs w:val="24"/>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Specimen Class C Common Stock Certificate.</w:t>
              </w:r>
            </w:hyperlink>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Indenture, dated December 11, 2019, among Clearway Energy Operating LLC, the guarantors named therein and</w:t>
              </w:r>
            </w:hyperlink>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07">
              <w:r>
                <w:rPr>
                  <w:rFonts w:ascii="Times New Roman" w:cs="Times New Roman" w:eastAsia="Times New Roman" w:hAnsi="Times New Roman"/>
                  <w:sz w:val="12"/>
                  <w:szCs w:val="12"/>
                  <w:color w:val="0000FF"/>
                </w:rPr>
                <w:t>Delaware Trust Company, as trustee.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w:t>
            </w:r>
          </w:p>
        </w:tc>
        <w:tc>
          <w:tcPr>
            <w:tcW w:w="20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7"/>
              </w:rPr>
            </w:pPr>
            <w:hyperlink r:id="rId207">
              <w:r>
                <w:rPr>
                  <w:rFonts w:ascii="Times New Roman" w:cs="Times New Roman" w:eastAsia="Times New Roman" w:hAnsi="Times New Roman"/>
                  <w:sz w:val="13"/>
                  <w:szCs w:val="13"/>
                  <w:color w:val="0000FF"/>
                  <w:w w:val="97"/>
                </w:rPr>
                <w:t>Form of 4.750% Senior Notes due 2028.</w:t>
              </w:r>
            </w:hyperlink>
          </w:p>
        </w:tc>
        <w:tc>
          <w:tcPr>
            <w:tcW w:w="3920" w:type="dxa"/>
            <w:vAlign w:val="bottom"/>
            <w:gridSpan w:val="19"/>
          </w:tcPr>
          <w:p>
            <w:pPr>
              <w:spacing w:after="0"/>
              <w:rPr>
                <w:sz w:val="24"/>
                <w:szCs w:val="24"/>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08">
              <w:r>
                <w:rPr>
                  <w:rFonts w:ascii="Times New Roman" w:cs="Times New Roman" w:eastAsia="Times New Roman" w:hAnsi="Times New Roman"/>
                  <w:sz w:val="13"/>
                  <w:szCs w:val="13"/>
                  <w:color w:val="0000FF"/>
                </w:rPr>
                <w:t>First Supplemental Indenture, dated as of January 6,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08">
              <w:r>
                <w:rPr>
                  <w:rFonts w:ascii="Times New Roman" w:cs="Times New Roman" w:eastAsia="Times New Roman" w:hAnsi="Times New Roman"/>
                  <w:sz w:val="12"/>
                  <w:szCs w:val="12"/>
                  <w:color w:val="0000FF"/>
                </w:rPr>
                <w:t>guarantors named therein and Delaware Trust Company.</w:t>
              </w:r>
            </w:hyperlink>
          </w:p>
        </w:tc>
        <w:tc>
          <w:tcPr>
            <w:tcW w:w="29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4.7</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Second Supplemental Indenture, dated as of February 26, 2020, among Clearway Energy Operating LLC, the</w:t>
              </w:r>
            </w:hyperlink>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09">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Third Supplemental Indenture, dated as of July 17,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10">
              <w:r>
                <w:rPr>
                  <w:rFonts w:ascii="Times New Roman" w:cs="Times New Roman" w:eastAsia="Times New Roman" w:hAnsi="Times New Roman"/>
                  <w:sz w:val="12"/>
                  <w:szCs w:val="12"/>
                  <w:color w:val="0000FF"/>
                </w:rPr>
                <w:t>guarantors named therein and Delaware Trust Company.</w:t>
              </w:r>
            </w:hyperlink>
          </w:p>
        </w:tc>
        <w:tc>
          <w:tcPr>
            <w:tcW w:w="298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4.9</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Fourth Supplemental Indenture, dated as of August 17,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11">
              <w:r>
                <w:rPr>
                  <w:rFonts w:ascii="Times New Roman" w:cs="Times New Roman" w:eastAsia="Times New Roman" w:hAnsi="Times New Roman"/>
                  <w:sz w:val="12"/>
                  <w:szCs w:val="12"/>
                  <w:color w:val="0000FF"/>
                </w:rPr>
                <w:t>guarantors named therein and Delaware Trust Company.</w:t>
              </w:r>
            </w:hyperlink>
          </w:p>
        </w:tc>
        <w:tc>
          <w:tcPr>
            <w:tcW w:w="3000" w:type="dxa"/>
            <w:vAlign w:val="bottom"/>
            <w:tcBorders>
              <w:top w:val="single" w:sz="8" w:color="0000FF"/>
            </w:tcBorders>
            <w:gridSpan w:val="10"/>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4.10</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Fifth Supplemental Indenture, dated as of November 18, 2020, among Clearway Energy Operating LLC, the</w:t>
              </w:r>
            </w:hyperlink>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12">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4.11</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Sixth Supplemental Indenture, dated as of December 1,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13">
              <w:r>
                <w:rPr>
                  <w:rFonts w:ascii="Times New Roman" w:cs="Times New Roman" w:eastAsia="Times New Roman" w:hAnsi="Times New Roman"/>
                  <w:sz w:val="12"/>
                  <w:szCs w:val="12"/>
                  <w:color w:val="0000FF"/>
                </w:rPr>
                <w:t>guarantors named therein and Delaware Trust Company.</w:t>
              </w:r>
            </w:hyperlink>
          </w:p>
        </w:tc>
        <w:tc>
          <w:tcPr>
            <w:tcW w:w="2960" w:type="dxa"/>
            <w:vAlign w:val="bottom"/>
            <w:tcBorders>
              <w:top w:val="single" w:sz="8" w:color="0000FF"/>
            </w:tcBorders>
            <w:gridSpan w:val="8"/>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4.12</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14">
              <w:r>
                <w:rPr>
                  <w:rFonts w:ascii="Times New Roman" w:cs="Times New Roman" w:eastAsia="Times New Roman" w:hAnsi="Times New Roman"/>
                  <w:sz w:val="13"/>
                  <w:szCs w:val="13"/>
                  <w:color w:val="0000FF"/>
                </w:rPr>
                <w:t>Seventh Supplemental Indenture, dated as of December 23, 2020, among Clearway Energy Operating LLC, the</w:t>
              </w:r>
            </w:hyperlink>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14">
              <w:r>
                <w:rPr>
                  <w:rFonts w:ascii="Times New Roman" w:cs="Times New Roman" w:eastAsia="Times New Roman" w:hAnsi="Times New Roman"/>
                  <w:sz w:val="12"/>
                  <w:szCs w:val="12"/>
                  <w:color w:val="0000FF"/>
                </w:rPr>
                <w:t>guarantors named therein and Delaware Trust Company.</w:t>
              </w:r>
            </w:hyperlink>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4.13</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15">
              <w:r>
                <w:rPr>
                  <w:rFonts w:ascii="Times New Roman" w:cs="Times New Roman" w:eastAsia="Times New Roman" w:hAnsi="Times New Roman"/>
                  <w:sz w:val="13"/>
                  <w:szCs w:val="13"/>
                  <w:color w:val="0000FF"/>
                </w:rPr>
                <w:t>Eighth Supplemental Indenture, dated as of February 3, 2021,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15">
              <w:r>
                <w:rPr>
                  <w:rFonts w:ascii="Times New Roman" w:cs="Times New Roman" w:eastAsia="Times New Roman" w:hAnsi="Times New Roman"/>
                  <w:sz w:val="12"/>
                  <w:szCs w:val="12"/>
                  <w:color w:val="0000FF"/>
                </w:rPr>
                <w:t>guarantors named therein and Delaware Trust Company.</w:t>
              </w:r>
            </w:hyperlink>
          </w:p>
        </w:tc>
        <w:tc>
          <w:tcPr>
            <w:tcW w:w="29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4.14</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16">
              <w:r>
                <w:rPr>
                  <w:rFonts w:ascii="Times New Roman" w:cs="Times New Roman" w:eastAsia="Times New Roman" w:hAnsi="Times New Roman"/>
                  <w:sz w:val="13"/>
                  <w:szCs w:val="13"/>
                  <w:color w:val="0000FF"/>
                </w:rPr>
                <w:t>Indenture, dated March 9, 2021, among Clearway Energy Operating LLC, the guarantors named therein and</w:t>
              </w:r>
            </w:hyperlink>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16">
              <w:r>
                <w:rPr>
                  <w:rFonts w:ascii="Times New Roman" w:cs="Times New Roman" w:eastAsia="Times New Roman" w:hAnsi="Times New Roman"/>
                  <w:sz w:val="12"/>
                  <w:szCs w:val="12"/>
                  <w:color w:val="0000FF"/>
                </w:rPr>
                <w:t>Delaware Trust Company, as trustee.</w:t>
              </w:r>
            </w:hyperlink>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4.15</w:t>
            </w:r>
          </w:p>
        </w:tc>
        <w:tc>
          <w:tcPr>
            <w:tcW w:w="20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7"/>
              </w:rPr>
            </w:pPr>
            <w:hyperlink r:id="rId217">
              <w:r>
                <w:rPr>
                  <w:rFonts w:ascii="Times New Roman" w:cs="Times New Roman" w:eastAsia="Times New Roman" w:hAnsi="Times New Roman"/>
                  <w:sz w:val="13"/>
                  <w:szCs w:val="13"/>
                  <w:color w:val="0000FF"/>
                  <w:w w:val="97"/>
                </w:rPr>
                <w:t>Form of 3.750% Senior Notes due 2031.</w:t>
              </w:r>
            </w:hyperlink>
          </w:p>
        </w:tc>
        <w:tc>
          <w:tcPr>
            <w:tcW w:w="3920" w:type="dxa"/>
            <w:vAlign w:val="bottom"/>
            <w:gridSpan w:val="19"/>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4.16</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18">
              <w:r>
                <w:rPr>
                  <w:rFonts w:ascii="Times New Roman" w:cs="Times New Roman" w:eastAsia="Times New Roman" w:hAnsi="Times New Roman"/>
                  <w:sz w:val="13"/>
                  <w:szCs w:val="13"/>
                  <w:color w:val="0000FF"/>
                </w:rPr>
                <w:t>Ninth Supplemental Indenture, dated as of May 14, 2021, among Clearway Energy Operating LLC, the</w:t>
              </w:r>
            </w:hyperlink>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18">
              <w:r>
                <w:rPr>
                  <w:rFonts w:ascii="Times New Roman" w:cs="Times New Roman" w:eastAsia="Times New Roman" w:hAnsi="Times New Roman"/>
                  <w:sz w:val="12"/>
                  <w:szCs w:val="12"/>
                  <w:color w:val="0000FF"/>
                </w:rPr>
                <w:t>guarantors named therein and Delaware Trust Company.</w:t>
              </w:r>
            </w:hyperlink>
          </w:p>
        </w:tc>
        <w:tc>
          <w:tcPr>
            <w:tcW w:w="120" w:type="dxa"/>
            <w:vAlign w:val="bottom"/>
            <w:gridSpan w:val="6"/>
          </w:tcPr>
          <w:p>
            <w:pPr>
              <w:spacing w:after="0"/>
              <w:rPr>
                <w:sz w:val="9"/>
                <w:szCs w:val="9"/>
                <w:color w:val="auto"/>
              </w:rPr>
            </w:pPr>
          </w:p>
        </w:tc>
        <w:tc>
          <w:tcPr>
            <w:tcW w:w="60" w:type="dxa"/>
            <w:vAlign w:val="bottom"/>
            <w:gridSpan w:val="3"/>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4.17</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19">
              <w:r>
                <w:rPr>
                  <w:rFonts w:ascii="Times New Roman" w:cs="Times New Roman" w:eastAsia="Times New Roman" w:hAnsi="Times New Roman"/>
                  <w:sz w:val="13"/>
                  <w:szCs w:val="13"/>
                  <w:color w:val="0000FF"/>
                </w:rPr>
                <w:t>First Supplemental Indenture, dated as of May 14, 2021, among Clearway Energy Operating LLC, the guarantors</w:t>
              </w:r>
            </w:hyperlink>
          </w:p>
        </w:tc>
      </w:tr>
      <w:tr>
        <w:trPr>
          <w:trHeight w:val="107"/>
        </w:trPr>
        <w:tc>
          <w:tcPr>
            <w:tcW w:w="1000" w:type="dxa"/>
            <w:vAlign w:val="bottom"/>
          </w:tcPr>
          <w:p>
            <w:pPr>
              <w:spacing w:after="0"/>
              <w:rPr>
                <w:sz w:val="9"/>
                <w:szCs w:val="9"/>
                <w:color w:val="auto"/>
              </w:rPr>
            </w:pPr>
          </w:p>
        </w:tc>
        <w:tc>
          <w:tcPr>
            <w:tcW w:w="236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19">
              <w:r>
                <w:rPr>
                  <w:rFonts w:ascii="Times New Roman" w:cs="Times New Roman" w:eastAsia="Times New Roman" w:hAnsi="Times New Roman"/>
                  <w:sz w:val="12"/>
                  <w:szCs w:val="12"/>
                  <w:color w:val="0000FF"/>
                </w:rPr>
                <w:t>named therein and Delaware Trust Company.</w:t>
              </w:r>
            </w:hyperlink>
          </w:p>
        </w:tc>
        <w:tc>
          <w:tcPr>
            <w:tcW w:w="3500" w:type="dxa"/>
            <w:vAlign w:val="bottom"/>
            <w:tcBorders>
              <w:top w:val="single" w:sz="8" w:color="0000FF"/>
            </w:tcBorders>
            <w:gridSpan w:val="11"/>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4.18</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20">
              <w:r>
                <w:rPr>
                  <w:rFonts w:ascii="Times New Roman" w:cs="Times New Roman" w:eastAsia="Times New Roman" w:hAnsi="Times New Roman"/>
                  <w:sz w:val="13"/>
                  <w:szCs w:val="13"/>
                  <w:color w:val="0000FF"/>
                </w:rPr>
                <w:t>Indenture, dated October 1, 2021, among Clearway Energy Operating LLC, the guarantors named therein and</w:t>
              </w:r>
            </w:hyperlink>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20">
              <w:r>
                <w:rPr>
                  <w:rFonts w:ascii="Times New Roman" w:cs="Times New Roman" w:eastAsia="Times New Roman" w:hAnsi="Times New Roman"/>
                  <w:sz w:val="12"/>
                  <w:szCs w:val="12"/>
                  <w:color w:val="0000FF"/>
                </w:rPr>
                <w:t>Delaware Trust Company, as trustee.</w:t>
              </w:r>
            </w:hyperlink>
          </w:p>
        </w:tc>
        <w:tc>
          <w:tcPr>
            <w:tcW w:w="60" w:type="dxa"/>
            <w:vAlign w:val="bottom"/>
            <w:gridSpan w:val="3"/>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120" w:type="dxa"/>
            <w:vAlign w:val="bottom"/>
            <w:gridSpan w:val="20"/>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4.19</w:t>
            </w:r>
          </w:p>
        </w:tc>
        <w:tc>
          <w:tcPr>
            <w:tcW w:w="20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7"/>
              </w:rPr>
            </w:pPr>
            <w:hyperlink r:id="rId220">
              <w:r>
                <w:rPr>
                  <w:rFonts w:ascii="Times New Roman" w:cs="Times New Roman" w:eastAsia="Times New Roman" w:hAnsi="Times New Roman"/>
                  <w:sz w:val="13"/>
                  <w:szCs w:val="13"/>
                  <w:color w:val="0000FF"/>
                  <w:w w:val="97"/>
                </w:rPr>
                <w:t>Form of 3.750% Senior Notes due 2032.</w:t>
              </w:r>
            </w:hyperlink>
          </w:p>
        </w:tc>
        <w:tc>
          <w:tcPr>
            <w:tcW w:w="3920" w:type="dxa"/>
            <w:vAlign w:val="bottom"/>
            <w:gridSpan w:val="19"/>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3.1 to the Company’s Current Report on Form 10-Q filed on May 4,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3.2 to the Company’s Current Report on Form 8-K filed on September 5, 2018.</w:t>
      </w:r>
    </w:p>
    <w:p>
      <w:pPr>
        <w:spacing w:after="0" w:line="7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the Company’s Current Report on Form 8-K filed on September 5, 2018.</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4.13 to the Company’s Annual Report on Form 10-K filed on February 28,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4.14 to the Company’s Annual Report on Form 10-K filed on February 28,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December 12,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December 12, 2019.</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January 8,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March 3,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July 21,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August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November 19,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4,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29,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5,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October 1,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1, 2021.</w:t>
      </w:r>
    </w:p>
    <w:p>
      <w:pPr>
        <w:spacing w:after="0" w:line="200" w:lineRule="exact"/>
        <w:rPr>
          <w:sz w:val="20"/>
          <w:szCs w:val="20"/>
          <w:color w:val="auto"/>
        </w:rPr>
      </w:pPr>
    </w:p>
    <w:p>
      <w:pPr>
        <w:sectPr>
          <w:pgSz w:w="11900" w:h="16838" w:orient="portrait"/>
          <w:cols w:equalWidth="0" w:num="2">
            <w:col w:w="6780" w:space="120"/>
            <w:col w:w="4300"/>
          </w:cols>
          <w:pgMar w:left="340" w:top="727" w:right="3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27" w:right="35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8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4.20</w:t>
            </w:r>
          </w:p>
        </w:tc>
        <w:tc>
          <w:tcPr>
            <w:tcW w:w="6080" w:type="dxa"/>
            <w:vAlign w:val="bottom"/>
            <w:gridSpan w:val="28"/>
          </w:tcPr>
          <w:p>
            <w:pPr>
              <w:spacing w:after="0" w:line="143" w:lineRule="exact"/>
              <w:rPr>
                <w:rFonts w:ascii="Times New Roman" w:cs="Times New Roman" w:eastAsia="Times New Roman" w:hAnsi="Times New Roman"/>
                <w:sz w:val="13"/>
                <w:szCs w:val="13"/>
                <w:color w:val="0000FF"/>
              </w:rPr>
            </w:pPr>
            <w:hyperlink r:id="rId222">
              <w:r>
                <w:rPr>
                  <w:rFonts w:ascii="Times New Roman" w:cs="Times New Roman" w:eastAsia="Times New Roman" w:hAnsi="Times New Roman"/>
                  <w:sz w:val="13"/>
                  <w:szCs w:val="13"/>
                  <w:color w:val="0000FF"/>
                </w:rPr>
                <w:t>Tenth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22">
              <w:r>
                <w:rPr>
                  <w:rFonts w:ascii="Times New Roman" w:cs="Times New Roman" w:eastAsia="Times New Roman" w:hAnsi="Times New Roman"/>
                  <w:sz w:val="12"/>
                  <w:szCs w:val="12"/>
                  <w:color w:val="0000FF"/>
                </w:rPr>
                <w:t>guarantors named therein and Delaware Trust Company.</w:t>
              </w:r>
            </w:hyperlink>
          </w:p>
        </w:tc>
        <w:tc>
          <w:tcPr>
            <w:tcW w:w="3040" w:type="dxa"/>
            <w:vAlign w:val="bottom"/>
            <w:tcBorders>
              <w:top w:val="single" w:sz="8" w:color="0000FF"/>
            </w:tcBorders>
            <w:gridSpan w:val="1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4.21</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23">
              <w:r>
                <w:rPr>
                  <w:rFonts w:ascii="Times New Roman" w:cs="Times New Roman" w:eastAsia="Times New Roman" w:hAnsi="Times New Roman"/>
                  <w:sz w:val="13"/>
                  <w:szCs w:val="13"/>
                  <w:color w:val="0000FF"/>
                </w:rPr>
                <w:t>Second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23">
              <w:r>
                <w:rPr>
                  <w:rFonts w:ascii="Times New Roman" w:cs="Times New Roman" w:eastAsia="Times New Roman" w:hAnsi="Times New Roman"/>
                  <w:sz w:val="12"/>
                  <w:szCs w:val="12"/>
                  <w:color w:val="0000FF"/>
                </w:rPr>
                <w:t>guarantors named therein and Delaware Trust Company.</w:t>
              </w:r>
            </w:hyperlink>
          </w:p>
        </w:tc>
        <w:tc>
          <w:tcPr>
            <w:tcW w:w="314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4.22</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24">
              <w:r>
                <w:rPr>
                  <w:rFonts w:ascii="Times New Roman" w:cs="Times New Roman" w:eastAsia="Times New Roman" w:hAnsi="Times New Roman"/>
                  <w:sz w:val="13"/>
                  <w:szCs w:val="13"/>
                  <w:color w:val="0000FF"/>
                </w:rPr>
                <w:t>First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24">
              <w:r>
                <w:rPr>
                  <w:rFonts w:ascii="Times New Roman" w:cs="Times New Roman" w:eastAsia="Times New Roman" w:hAnsi="Times New Roman"/>
                  <w:sz w:val="12"/>
                  <w:szCs w:val="12"/>
                  <w:color w:val="0000FF"/>
                </w:rPr>
                <w:t>guarantors named therein and Delaware Trust Company.</w:t>
              </w:r>
            </w:hyperlink>
          </w:p>
        </w:tc>
        <w:tc>
          <w:tcPr>
            <w:tcW w:w="3020" w:type="dxa"/>
            <w:vAlign w:val="bottom"/>
            <w:tcBorders>
              <w:top w:val="single" w:sz="8" w:color="0000FF"/>
            </w:tcBorders>
            <w:gridSpan w:val="1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4.23</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25">
              <w:r>
                <w:rPr>
                  <w:rFonts w:ascii="Times New Roman" w:cs="Times New Roman" w:eastAsia="Times New Roman" w:hAnsi="Times New Roman"/>
                  <w:sz w:val="13"/>
                  <w:szCs w:val="13"/>
                  <w:color w:val="0000FF"/>
                </w:rPr>
                <w:t>Eleventh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25">
              <w:r>
                <w:rPr>
                  <w:rFonts w:ascii="Times New Roman" w:cs="Times New Roman" w:eastAsia="Times New Roman" w:hAnsi="Times New Roman"/>
                  <w:sz w:val="12"/>
                  <w:szCs w:val="12"/>
                  <w:color w:val="0000FF"/>
                </w:rPr>
                <w:t>guarantors named therein and Delaware Trust Company.</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4.24</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26">
              <w:r>
                <w:rPr>
                  <w:rFonts w:ascii="Times New Roman" w:cs="Times New Roman" w:eastAsia="Times New Roman" w:hAnsi="Times New Roman"/>
                  <w:sz w:val="13"/>
                  <w:szCs w:val="13"/>
                  <w:color w:val="0000FF"/>
                </w:rPr>
                <w:t>Third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26">
              <w:r>
                <w:rPr>
                  <w:rFonts w:ascii="Times New Roman" w:cs="Times New Roman" w:eastAsia="Times New Roman" w:hAnsi="Times New Roman"/>
                  <w:sz w:val="12"/>
                  <w:szCs w:val="12"/>
                  <w:color w:val="0000FF"/>
                </w:rPr>
                <w:t>guarantors named therein and Delaware Trust Company.</w:t>
              </w:r>
            </w:hyperlink>
          </w:p>
        </w:tc>
        <w:tc>
          <w:tcPr>
            <w:tcW w:w="3020" w:type="dxa"/>
            <w:vAlign w:val="bottom"/>
            <w:tcBorders>
              <w:top w:val="single" w:sz="8" w:color="0000FF"/>
            </w:tcBorders>
            <w:gridSpan w:val="1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4.25</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27">
              <w:r>
                <w:rPr>
                  <w:rFonts w:ascii="Times New Roman" w:cs="Times New Roman" w:eastAsia="Times New Roman" w:hAnsi="Times New Roman"/>
                  <w:sz w:val="13"/>
                  <w:szCs w:val="13"/>
                  <w:color w:val="0000FF"/>
                </w:rPr>
                <w:t>Second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27">
              <w:r>
                <w:rPr>
                  <w:rFonts w:ascii="Times New Roman" w:cs="Times New Roman" w:eastAsia="Times New Roman" w:hAnsi="Times New Roman"/>
                  <w:sz w:val="12"/>
                  <w:szCs w:val="12"/>
                  <w:color w:val="0000FF"/>
                </w:rPr>
                <w:t>guarantors named therein and Delaware Trust Company.</w:t>
              </w:r>
            </w:hyperlink>
          </w:p>
        </w:tc>
        <w:tc>
          <w:tcPr>
            <w:tcW w:w="294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4.26</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28">
              <w:r>
                <w:rPr>
                  <w:rFonts w:ascii="Times New Roman" w:cs="Times New Roman" w:eastAsia="Times New Roman" w:hAnsi="Times New Roman"/>
                  <w:sz w:val="13"/>
                  <w:szCs w:val="13"/>
                  <w:color w:val="0000FF"/>
                </w:rPr>
                <w:t>Twelfth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28">
              <w:r>
                <w:rPr>
                  <w:rFonts w:ascii="Times New Roman" w:cs="Times New Roman" w:eastAsia="Times New Roman" w:hAnsi="Times New Roman"/>
                  <w:sz w:val="12"/>
                  <w:szCs w:val="12"/>
                  <w:color w:val="0000FF"/>
                </w:rPr>
                <w:t>guarantors named therein and Delaware Trust Company.</w:t>
              </w:r>
            </w:hyperlink>
          </w:p>
        </w:tc>
        <w:tc>
          <w:tcPr>
            <w:tcW w:w="296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4.27</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29">
              <w:r>
                <w:rPr>
                  <w:rFonts w:ascii="Times New Roman" w:cs="Times New Roman" w:eastAsia="Times New Roman" w:hAnsi="Times New Roman"/>
                  <w:sz w:val="13"/>
                  <w:szCs w:val="13"/>
                  <w:color w:val="0000FF"/>
                </w:rPr>
                <w:t>Fourth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29">
              <w:r>
                <w:rPr>
                  <w:rFonts w:ascii="Times New Roman" w:cs="Times New Roman" w:eastAsia="Times New Roman" w:hAnsi="Times New Roman"/>
                  <w:sz w:val="12"/>
                  <w:szCs w:val="12"/>
                  <w:color w:val="0000FF"/>
                </w:rPr>
                <w:t>guarantors named therein and Delaware Trust Company.</w:t>
              </w:r>
            </w:hyperlink>
          </w:p>
        </w:tc>
        <w:tc>
          <w:tcPr>
            <w:tcW w:w="2940" w:type="dxa"/>
            <w:vAlign w:val="bottom"/>
            <w:tcBorders>
              <w:top w:val="single" w:sz="8" w:color="0000FF"/>
            </w:tcBorders>
            <w:gridSpan w:val="9"/>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4.28</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30">
              <w:r>
                <w:rPr>
                  <w:rFonts w:ascii="Times New Roman" w:cs="Times New Roman" w:eastAsia="Times New Roman" w:hAnsi="Times New Roman"/>
                  <w:sz w:val="13"/>
                  <w:szCs w:val="13"/>
                  <w:color w:val="0000FF"/>
                </w:rPr>
                <w:t>Third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4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30">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4.29</w:t>
            </w:r>
          </w:p>
        </w:tc>
        <w:tc>
          <w:tcPr>
            <w:tcW w:w="2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rPr>
              <w:t>Description of Securities.</w:t>
            </w:r>
          </w:p>
        </w:tc>
        <w:tc>
          <w:tcPr>
            <w:tcW w:w="320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10.1</w:t>
            </w:r>
          </w:p>
        </w:tc>
        <w:tc>
          <w:tcPr>
            <w:tcW w:w="1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6080" w:type="dxa"/>
            <w:vAlign w:val="bottom"/>
            <w:gridSpan w:val="28"/>
            <w:vMerge w:val="restart"/>
          </w:tcPr>
          <w:p>
            <w:pPr>
              <w:spacing w:after="0"/>
              <w:rPr>
                <w:rFonts w:ascii="Times New Roman" w:cs="Times New Roman" w:eastAsia="Times New Roman" w:hAnsi="Times New Roman"/>
                <w:sz w:val="13"/>
                <w:szCs w:val="13"/>
                <w:color w:val="0000FF"/>
              </w:rPr>
            </w:pPr>
            <w:hyperlink r:id="rId231">
              <w:r>
                <w:rPr>
                  <w:rFonts w:ascii="Times New Roman" w:cs="Times New Roman" w:eastAsia="Times New Roman" w:hAnsi="Times New Roman"/>
                  <w:sz w:val="13"/>
                  <w:szCs w:val="13"/>
                  <w:color w:val="0000FF"/>
                </w:rPr>
                <w:t>Zephyr Voting and Governance Agreement, dated as of August 31, 2018, by and between NRG Yield, Inc. and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80" w:type="dxa"/>
            <w:vAlign w:val="bottom"/>
            <w:gridSpan w:val="2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31">
              <w:r>
                <w:rPr>
                  <w:rFonts w:ascii="Times New Roman" w:cs="Times New Roman" w:eastAsia="Times New Roman" w:hAnsi="Times New Roman"/>
                  <w:sz w:val="12"/>
                  <w:szCs w:val="12"/>
                  <w:color w:val="0000FF"/>
                </w:rPr>
                <w:t>Zephyr Renewables LLC.</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570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w w:val="97"/>
              </w:rPr>
            </w:pPr>
            <w:hyperlink r:id="rId232">
              <w:r>
                <w:rPr>
                  <w:rFonts w:ascii="Times New Roman" w:cs="Times New Roman" w:eastAsia="Times New Roman" w:hAnsi="Times New Roman"/>
                  <w:sz w:val="13"/>
                  <w:szCs w:val="13"/>
                  <w:color w:val="0000FF"/>
                  <w:w w:val="97"/>
                </w:rPr>
                <w:t>Transition Services Agreement, dated August 31, 2018, by and between NRG Yield, Inc. and NRG Energy, Inc.</w:t>
              </w:r>
            </w:hyperlink>
          </w:p>
        </w:tc>
        <w:tc>
          <w:tcPr>
            <w:tcW w:w="3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6080" w:type="dxa"/>
            <w:vAlign w:val="bottom"/>
            <w:gridSpan w:val="28"/>
            <w:vMerge w:val="restart"/>
          </w:tcPr>
          <w:p>
            <w:pPr>
              <w:spacing w:after="0"/>
              <w:rPr>
                <w:rFonts w:ascii="Times New Roman" w:cs="Times New Roman" w:eastAsia="Times New Roman" w:hAnsi="Times New Roman"/>
                <w:sz w:val="13"/>
                <w:szCs w:val="13"/>
                <w:color w:val="0000FF"/>
              </w:rPr>
            </w:pPr>
            <w:hyperlink r:id="rId233">
              <w:r>
                <w:rPr>
                  <w:rFonts w:ascii="Times New Roman" w:cs="Times New Roman" w:eastAsia="Times New Roman" w:hAnsi="Times New Roman"/>
                  <w:sz w:val="13"/>
                  <w:szCs w:val="13"/>
                  <w:color w:val="0000FF"/>
                </w:rPr>
                <w:t>Termination Agreement, dated as of August 31, 2018, by and among NRG Yield, Inc., NRG Yield LLC, NRG</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80" w:type="dxa"/>
            <w:vAlign w:val="bottom"/>
            <w:gridSpan w:val="2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33">
              <w:r>
                <w:rPr>
                  <w:rFonts w:ascii="Times New Roman" w:cs="Times New Roman" w:eastAsia="Times New Roman" w:hAnsi="Times New Roman"/>
                  <w:sz w:val="12"/>
                  <w:szCs w:val="12"/>
                  <w:color w:val="0000FF"/>
                </w:rPr>
                <w:t>Yield Operating LLC and NRG Energy,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19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3"/>
                <w:szCs w:val="13"/>
                <w:color w:val="0000FF"/>
                <w:w w:val="97"/>
              </w:rPr>
            </w:pPr>
            <w:hyperlink r:id="rId234">
              <w:r>
                <w:rPr>
                  <w:rFonts w:ascii="Times New Roman" w:cs="Times New Roman" w:eastAsia="Times New Roman" w:hAnsi="Times New Roman"/>
                  <w:sz w:val="13"/>
                  <w:szCs w:val="13"/>
                  <w:color w:val="0000FF"/>
                  <w:w w:val="97"/>
                </w:rPr>
                <w:t>Form of Indemnification Agreement.</w:t>
              </w:r>
            </w:hyperlink>
          </w:p>
        </w:tc>
        <w:tc>
          <w:tcPr>
            <w:tcW w:w="360" w:type="dxa"/>
            <w:vAlign w:val="bottom"/>
            <w:tcBorders>
              <w:top w:val="single" w:sz="8" w:color="0000FF"/>
            </w:tcBorders>
          </w:tcPr>
          <w:p>
            <w:pPr>
              <w:spacing w:after="0"/>
              <w:rPr>
                <w:sz w:val="18"/>
                <w:szCs w:val="18"/>
                <w:color w:val="auto"/>
              </w:rPr>
            </w:pPr>
          </w:p>
        </w:tc>
        <w:tc>
          <w:tcPr>
            <w:tcW w:w="382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10.5.1</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35">
              <w:r>
                <w:rPr>
                  <w:rFonts w:ascii="Times New Roman" w:cs="Times New Roman" w:eastAsia="Times New Roman" w:hAnsi="Times New Roman"/>
                  <w:sz w:val="13"/>
                  <w:szCs w:val="13"/>
                  <w:color w:val="0000FF"/>
                </w:rPr>
                <w:t>Amended and Restated Credit Agreement, dated April 25, 2014, by and among NRG Yield Operating LLC,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8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35">
              <w:r>
                <w:rPr>
                  <w:rFonts w:ascii="Times New Roman" w:cs="Times New Roman" w:eastAsia="Times New Roman" w:hAnsi="Times New Roman"/>
                  <w:sz w:val="12"/>
                  <w:szCs w:val="12"/>
                  <w:color w:val="0000FF"/>
                </w:rPr>
                <w:t>NRG Yield LLC, Royal Bank of Canada, as Administrative Agent, the lenders party thereto, Royal Bank of</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bottom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35">
              <w:r>
                <w:rPr>
                  <w:rFonts w:ascii="Times New Roman" w:cs="Times New Roman" w:eastAsia="Times New Roman" w:hAnsi="Times New Roman"/>
                  <w:sz w:val="12"/>
                  <w:szCs w:val="12"/>
                  <w:color w:val="0000FF"/>
                </w:rPr>
                <w:t>Canada, Goldman Sachs Bank USA and Bank of America, N.A., as L/C Issuers and RBC Capital Markets as</w:t>
              </w:r>
            </w:hyperlink>
          </w:p>
        </w:tc>
        <w:tc>
          <w:tcPr>
            <w:tcW w:w="20" w:type="dxa"/>
            <w:vAlign w:val="bottom"/>
            <w:tcBorders>
              <w:bottom w:val="single" w:sz="8" w:color="0000FF"/>
            </w:tcBorders>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00" w:type="dxa"/>
            <w:vAlign w:val="bottom"/>
            <w:tcBorders>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35">
              <w:r>
                <w:rPr>
                  <w:rFonts w:ascii="Times New Roman" w:cs="Times New Roman" w:eastAsia="Times New Roman" w:hAnsi="Times New Roman"/>
                  <w:sz w:val="12"/>
                  <w:szCs w:val="12"/>
                  <w:color w:val="0000FF"/>
                </w:rPr>
                <w:t>Sole Left Lead Arranger and Sole Left Lead Book Runner.</w:t>
              </w:r>
            </w:hyperlink>
          </w:p>
        </w:tc>
        <w:tc>
          <w:tcPr>
            <w:tcW w:w="2820" w:type="dxa"/>
            <w:vAlign w:val="bottom"/>
            <w:gridSpan w:val="7"/>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10.5.2</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36">
              <w:r>
                <w:rPr>
                  <w:rFonts w:ascii="Times New Roman" w:cs="Times New Roman" w:eastAsia="Times New Roman" w:hAnsi="Times New Roman"/>
                  <w:sz w:val="13"/>
                  <w:szCs w:val="13"/>
                  <w:color w:val="0000FF"/>
                </w:rPr>
                <w:t>First Amendment to Amended &amp; Restated Credit Agreement, dated June 26, 2015, by and among NRG Yield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48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36">
              <w:r>
                <w:rPr>
                  <w:rFonts w:ascii="Times New Roman" w:cs="Times New Roman" w:eastAsia="Times New Roman" w:hAnsi="Times New Roman"/>
                  <w:sz w:val="12"/>
                  <w:szCs w:val="12"/>
                  <w:color w:val="0000FF"/>
                </w:rPr>
                <w:t>Operating LLC, NRG Yield LLC, Royal Bank of Canada and the Lenders party thereto.</w:t>
              </w:r>
            </w:hyperlink>
          </w:p>
        </w:tc>
        <w:tc>
          <w:tcPr>
            <w:tcW w:w="1340" w:type="dxa"/>
            <w:vAlign w:val="bottom"/>
            <w:tcBorders>
              <w:top w:val="single" w:sz="8" w:color="0000FF"/>
            </w:tcBorders>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10.5.3</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37">
              <w:r>
                <w:rPr>
                  <w:rFonts w:ascii="Times New Roman" w:cs="Times New Roman" w:eastAsia="Times New Roman" w:hAnsi="Times New Roman"/>
                  <w:sz w:val="13"/>
                  <w:szCs w:val="13"/>
                  <w:color w:val="0000FF"/>
                </w:rPr>
                <w:t>Second Amendment to Amended &amp; Restated Credit Agreement, dated February 6, 2018, by and among NRG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Yield Operating LLC, NRG Yield LLC, the guarantors party thereto, Royal Bank of Canada, as Administrative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8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Agent, and the lenders party thereto.</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10.5.4</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38">
              <w:r>
                <w:rPr>
                  <w:rFonts w:ascii="Times New Roman" w:cs="Times New Roman" w:eastAsia="Times New Roman" w:hAnsi="Times New Roman"/>
                  <w:sz w:val="13"/>
                  <w:szCs w:val="13"/>
                  <w:color w:val="0000FF"/>
                </w:rPr>
                <w:t>Third Amendment to Amended and Restated Credit Agreement and Administrative Agent Resignation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00" w:type="dxa"/>
            <w:vAlign w:val="bottom"/>
            <w:tcBorders>
              <w:top w:val="single" w:sz="8" w:color="0000FF"/>
              <w:bottom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238">
              <w:r>
                <w:rPr>
                  <w:rFonts w:ascii="Times New Roman" w:cs="Times New Roman" w:eastAsia="Times New Roman" w:hAnsi="Times New Roman"/>
                  <w:sz w:val="12"/>
                  <w:szCs w:val="12"/>
                  <w:color w:val="0000FF"/>
                </w:rPr>
                <w:t>Appointment Agreement, dated as of April 30, 2018, by and among NRG Yield Operating LLC, NRG Yield</w:t>
              </w:r>
            </w:hyperlink>
          </w:p>
        </w:tc>
        <w:tc>
          <w:tcPr>
            <w:tcW w:w="20" w:type="dxa"/>
            <w:vAlign w:val="bottom"/>
            <w:tcBorders>
              <w:bottom w:val="single" w:sz="8" w:color="0000FF"/>
            </w:tcBorders>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20" w:type="dxa"/>
            <w:vAlign w:val="bottom"/>
            <w:tcBorders>
              <w:bottom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38">
              <w:r>
                <w:rPr>
                  <w:rFonts w:ascii="Times New Roman" w:cs="Times New Roman" w:eastAsia="Times New Roman" w:hAnsi="Times New Roman"/>
                  <w:sz w:val="12"/>
                  <w:szCs w:val="12"/>
                  <w:color w:val="0000FF"/>
                </w:rPr>
                <w:t>LLC, the guarantors party thereto, Royal Bank of Canada, as Resigning Administrative Agent, JPMorgan Chase</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60" w:type="dxa"/>
            <w:vAlign w:val="bottom"/>
            <w:gridSpan w:val="27"/>
          </w:tcPr>
          <w:p>
            <w:pPr>
              <w:spacing w:after="0" w:line="107" w:lineRule="exact"/>
              <w:rPr>
                <w:rFonts w:ascii="Times New Roman" w:cs="Times New Roman" w:eastAsia="Times New Roman" w:hAnsi="Times New Roman"/>
                <w:sz w:val="12"/>
                <w:szCs w:val="12"/>
                <w:color w:val="0000FF"/>
              </w:rPr>
            </w:pPr>
            <w:hyperlink r:id="rId238">
              <w:r>
                <w:rPr>
                  <w:rFonts w:ascii="Times New Roman" w:cs="Times New Roman" w:eastAsia="Times New Roman" w:hAnsi="Times New Roman"/>
                  <w:sz w:val="12"/>
                  <w:szCs w:val="12"/>
                  <w:color w:val="0000FF"/>
                </w:rPr>
                <w:t>Bank, N.A., as Successor Administrative Agent, and the lenders party thereto.</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10.5.5</w:t>
            </w:r>
          </w:p>
        </w:tc>
        <w:tc>
          <w:tcPr>
            <w:tcW w:w="6080" w:type="dxa"/>
            <w:vAlign w:val="bottom"/>
            <w:gridSpan w:val="28"/>
          </w:tcPr>
          <w:p>
            <w:pPr>
              <w:spacing w:after="0"/>
              <w:rPr>
                <w:rFonts w:ascii="Times New Roman" w:cs="Times New Roman" w:eastAsia="Times New Roman" w:hAnsi="Times New Roman"/>
                <w:sz w:val="13"/>
                <w:szCs w:val="13"/>
                <w:color w:val="0000FF"/>
              </w:rPr>
            </w:pPr>
            <w:hyperlink r:id="rId239">
              <w:r>
                <w:rPr>
                  <w:rFonts w:ascii="Times New Roman" w:cs="Times New Roman" w:eastAsia="Times New Roman" w:hAnsi="Times New Roman"/>
                  <w:sz w:val="13"/>
                  <w:szCs w:val="13"/>
                  <w:color w:val="0000FF"/>
                </w:rPr>
                <w:t>Fourth Amendment to Amended and Restated Credit Agreement, dated as of November 30, 2018,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bottom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39">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60" w:type="dxa"/>
            <w:vAlign w:val="bottom"/>
            <w:tcBorders>
              <w:bottom w:val="single" w:sz="8" w:color="0000FF"/>
            </w:tcBorders>
            <w:gridSpan w:val="3"/>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40" w:type="dxa"/>
            <w:vAlign w:val="bottom"/>
            <w:tcBorders>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39">
              <w:r>
                <w:rPr>
                  <w:rFonts w:ascii="Times New Roman" w:cs="Times New Roman" w:eastAsia="Times New Roman" w:hAnsi="Times New Roman"/>
                  <w:sz w:val="12"/>
                  <w:szCs w:val="12"/>
                  <w:color w:val="0000FF"/>
                </w:rPr>
                <w:t>N.A., as administrative agent, and the lenders party thereto.</w:t>
              </w:r>
            </w:hyperlink>
          </w:p>
        </w:tc>
        <w:tc>
          <w:tcPr>
            <w:tcW w:w="2920" w:type="dxa"/>
            <w:vAlign w:val="bottom"/>
            <w:gridSpan w:val="13"/>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4.4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February 21,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February 21,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21, 2023.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9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10.4 to the Company’s Current Report on Form 8-K filed on September 5, 2018.</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10.7 to the Company’s Current Report on Form 8-K filed on September 5, 2018.</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10.9 to the Company’s Current Report on Form 8-K filed on September 5, 2018.</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10.10 to the Company’s Annual Report on Form 10-K filed on February 28, 2019.</w:t>
      </w:r>
    </w:p>
    <w:p>
      <w:pPr>
        <w:spacing w:after="0" w:line="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April 28, 2014.</w:t>
      </w:r>
    </w:p>
    <w:p>
      <w:pPr>
        <w:spacing w:after="0" w:line="24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10.9 to the Company’s Quarterly Report on Form 10-Q filed on August 4, 2015.</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February 12, 2018.</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Quarterly Report on Form 10-Q filed on May 3, 2018.</w:t>
      </w:r>
    </w:p>
    <w:p>
      <w:pPr>
        <w:spacing w:after="0" w:line="25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6, 2018.</w:t>
      </w:r>
    </w:p>
    <w:p>
      <w:pPr>
        <w:spacing w:after="0" w:line="310"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100" w:type="dxa"/>
            <w:vAlign w:val="bottom"/>
            <w:gridSpan w:val="31"/>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10.5.6</w:t>
            </w:r>
          </w:p>
        </w:tc>
        <w:tc>
          <w:tcPr>
            <w:tcW w:w="6100" w:type="dxa"/>
            <w:vAlign w:val="bottom"/>
            <w:gridSpan w:val="31"/>
          </w:tcPr>
          <w:p>
            <w:pPr>
              <w:spacing w:after="0" w:line="143" w:lineRule="exact"/>
              <w:rPr>
                <w:rFonts w:ascii="Times New Roman" w:cs="Times New Roman" w:eastAsia="Times New Roman" w:hAnsi="Times New Roman"/>
                <w:sz w:val="13"/>
                <w:szCs w:val="13"/>
                <w:color w:val="0000FF"/>
              </w:rPr>
            </w:pPr>
            <w:hyperlink r:id="rId241">
              <w:r>
                <w:rPr>
                  <w:rFonts w:ascii="Times New Roman" w:cs="Times New Roman" w:eastAsia="Times New Roman" w:hAnsi="Times New Roman"/>
                  <w:sz w:val="13"/>
                  <w:szCs w:val="13"/>
                  <w:color w:val="0000FF"/>
                </w:rPr>
                <w:t>Fifth Amendment to Amended and Restated Credit Agreement, dated as of December 20, 2019,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bottom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41">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40" w:type="dxa"/>
            <w:vAlign w:val="bottom"/>
            <w:tcBorders>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41">
              <w:r>
                <w:rPr>
                  <w:rFonts w:ascii="Times New Roman" w:cs="Times New Roman" w:eastAsia="Times New Roman" w:hAnsi="Times New Roman"/>
                  <w:sz w:val="12"/>
                  <w:szCs w:val="12"/>
                  <w:color w:val="0000FF"/>
                </w:rPr>
                <w:t>N.A., as administrative agent, and the lenders party thereto.</w:t>
              </w:r>
            </w:hyperlink>
          </w:p>
        </w:tc>
        <w:tc>
          <w:tcPr>
            <w:tcW w:w="2960" w:type="dxa"/>
            <w:vAlign w:val="bottom"/>
            <w:gridSpan w:val="1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10.5.7</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42">
              <w:r>
                <w:rPr>
                  <w:rFonts w:ascii="Times New Roman" w:cs="Times New Roman" w:eastAsia="Times New Roman" w:hAnsi="Times New Roman"/>
                  <w:sz w:val="13"/>
                  <w:szCs w:val="13"/>
                  <w:color w:val="0000FF"/>
                </w:rPr>
                <w:t>Sixth Amendment to Amended and Restated Credit Agreement, effective as of November 30, 2021, by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80" w:type="dxa"/>
            <w:vAlign w:val="bottom"/>
            <w:tcBorders>
              <w:top w:val="single" w:sz="8" w:color="0000FF"/>
            </w:tcBorders>
            <w:gridSpan w:val="30"/>
          </w:tcPr>
          <w:p>
            <w:pPr>
              <w:spacing w:after="0" w:line="107" w:lineRule="exact"/>
              <w:rPr>
                <w:rFonts w:ascii="Times New Roman" w:cs="Times New Roman" w:eastAsia="Times New Roman" w:hAnsi="Times New Roman"/>
                <w:sz w:val="12"/>
                <w:szCs w:val="12"/>
                <w:color w:val="0000FF"/>
              </w:rPr>
            </w:pPr>
            <w:hyperlink r:id="rId242">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42">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10.5.8</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43">
              <w:r>
                <w:rPr>
                  <w:rFonts w:ascii="Times New Roman" w:cs="Times New Roman" w:eastAsia="Times New Roman" w:hAnsi="Times New Roman"/>
                  <w:sz w:val="13"/>
                  <w:szCs w:val="13"/>
                  <w:color w:val="0000FF"/>
                </w:rPr>
                <w:t>Seventh Amendment to Amended and Restated Credit Agreement, entered into as of August 15, 2022, by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10.5.9</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44">
              <w:r>
                <w:rPr>
                  <w:rFonts w:ascii="Times New Roman" w:cs="Times New Roman" w:eastAsia="Times New Roman" w:hAnsi="Times New Roman"/>
                  <w:sz w:val="13"/>
                  <w:szCs w:val="13"/>
                  <w:color w:val="0000FF"/>
                </w:rPr>
                <w:t>Eighth Amendment to Amended and Restated Credit Agreement, entered into as of March 15, 2023, by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8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44">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44">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5400" w:type="dxa"/>
            <w:vAlign w:val="bottom"/>
            <w:gridSpan w:val="13"/>
            <w:vMerge w:val="restart"/>
          </w:tcPr>
          <w:p>
            <w:pPr>
              <w:spacing w:after="0"/>
              <w:rPr>
                <w:rFonts w:ascii="Times New Roman" w:cs="Times New Roman" w:eastAsia="Times New Roman" w:hAnsi="Times New Roman"/>
                <w:sz w:val="13"/>
                <w:szCs w:val="13"/>
                <w:color w:val="0000FF"/>
                <w:w w:val="97"/>
              </w:rPr>
            </w:pPr>
            <w:hyperlink r:id="rId245">
              <w:r>
                <w:rPr>
                  <w:rFonts w:ascii="Times New Roman" w:cs="Times New Roman" w:eastAsia="Times New Roman" w:hAnsi="Times New Roman"/>
                  <w:sz w:val="13"/>
                  <w:szCs w:val="13"/>
                  <w:color w:val="0000FF"/>
                  <w:w w:val="97"/>
                </w:rPr>
                <w:t>Form of Clearway Energy, Inc. 2013 Equity Incentive Plan Restricted Stock Unit Agreement for Officers.</w:t>
              </w:r>
            </w:hyperlink>
          </w:p>
        </w:tc>
        <w:tc>
          <w:tcPr>
            <w:tcW w:w="700" w:type="dxa"/>
            <w:vAlign w:val="bottom"/>
            <w:gridSpan w:val="18"/>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400" w:type="dxa"/>
            <w:vAlign w:val="bottom"/>
            <w:tcBorders>
              <w:bottom w:val="single" w:sz="8" w:color="0000FF"/>
            </w:tcBorders>
            <w:gridSpan w:val="13"/>
            <w:vMerge w:val="continue"/>
          </w:tcPr>
          <w:p>
            <w:pPr>
              <w:spacing w:after="0"/>
              <w:rPr>
                <w:sz w:val="4"/>
                <w:szCs w:val="4"/>
                <w:color w:val="auto"/>
              </w:rPr>
            </w:pPr>
          </w:p>
        </w:tc>
        <w:tc>
          <w:tcPr>
            <w:tcW w:w="70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6100" w:type="dxa"/>
            <w:vAlign w:val="bottom"/>
            <w:gridSpan w:val="31"/>
            <w:vMerge w:val="restart"/>
          </w:tcPr>
          <w:p>
            <w:pPr>
              <w:spacing w:after="0"/>
              <w:rPr>
                <w:rFonts w:ascii="Times New Roman" w:cs="Times New Roman" w:eastAsia="Times New Roman" w:hAnsi="Times New Roman"/>
                <w:sz w:val="13"/>
                <w:szCs w:val="13"/>
                <w:color w:val="0000FF"/>
              </w:rPr>
            </w:pPr>
            <w:hyperlink r:id="rId246">
              <w:r>
                <w:rPr>
                  <w:rFonts w:ascii="Times New Roman" w:cs="Times New Roman" w:eastAsia="Times New Roman" w:hAnsi="Times New Roman"/>
                  <w:sz w:val="13"/>
                  <w:szCs w:val="13"/>
                  <w:color w:val="0000FF"/>
                </w:rPr>
                <w:t>Form of Clearway Energy, Inc. 2013 Equity Incentive Plan Restricted Stock Unit Agreement for Non-officers.</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0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5360" w:type="dxa"/>
            <w:vAlign w:val="bottom"/>
            <w:tcBorders>
              <w:top w:val="single" w:sz="8" w:color="0000FF"/>
            </w:tcBorders>
            <w:gridSpan w:val="12"/>
            <w:vMerge w:val="restart"/>
          </w:tcPr>
          <w:p>
            <w:pPr>
              <w:spacing w:after="0"/>
              <w:rPr>
                <w:rFonts w:ascii="Times New Roman" w:cs="Times New Roman" w:eastAsia="Times New Roman" w:hAnsi="Times New Roman"/>
                <w:sz w:val="13"/>
                <w:szCs w:val="13"/>
                <w:color w:val="0000FF"/>
                <w:w w:val="97"/>
              </w:rPr>
            </w:pPr>
            <w:hyperlink r:id="rId247">
              <w:r>
                <w:rPr>
                  <w:rFonts w:ascii="Times New Roman" w:cs="Times New Roman" w:eastAsia="Times New Roman" w:hAnsi="Times New Roman"/>
                  <w:sz w:val="13"/>
                  <w:szCs w:val="13"/>
                  <w:color w:val="0000FF"/>
                  <w:w w:val="97"/>
                </w:rPr>
                <w:t>Form of Clearway Energy, Inc. 2013 Equity Incentive Plan Relative Performance Stock Unit Agreement.</w:t>
              </w:r>
            </w:hyperlink>
          </w:p>
        </w:tc>
        <w:tc>
          <w:tcPr>
            <w:tcW w:w="260" w:type="dxa"/>
            <w:vAlign w:val="bottom"/>
            <w:tcBorders>
              <w:top w:val="single" w:sz="8" w:color="0000FF"/>
            </w:tcBorders>
            <w:gridSpan w:val="2"/>
            <w:vMerge w:val="restart"/>
          </w:tcPr>
          <w:p>
            <w:pPr>
              <w:spacing w:after="0"/>
              <w:rPr>
                <w:sz w:val="20"/>
                <w:szCs w:val="20"/>
                <w:color w:val="auto"/>
              </w:rPr>
            </w:pPr>
          </w:p>
        </w:tc>
        <w:tc>
          <w:tcPr>
            <w:tcW w:w="480" w:type="dxa"/>
            <w:vAlign w:val="bottom"/>
            <w:gridSpan w:val="17"/>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360" w:type="dxa"/>
            <w:vAlign w:val="bottom"/>
            <w:tcBorders>
              <w:bottom w:val="single" w:sz="8" w:color="0000FF"/>
            </w:tcBorders>
            <w:gridSpan w:val="12"/>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480" w:type="dxa"/>
            <w:vAlign w:val="bottom"/>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6100" w:type="dxa"/>
            <w:vAlign w:val="bottom"/>
            <w:gridSpan w:val="31"/>
            <w:vMerge w:val="restart"/>
          </w:tcPr>
          <w:p>
            <w:pPr>
              <w:spacing w:after="0"/>
              <w:rPr>
                <w:rFonts w:ascii="Times New Roman" w:cs="Times New Roman" w:eastAsia="Times New Roman" w:hAnsi="Times New Roman"/>
                <w:sz w:val="13"/>
                <w:szCs w:val="13"/>
                <w:color w:val="0000FF"/>
              </w:rPr>
            </w:pPr>
            <w:hyperlink r:id="rId248">
              <w:r>
                <w:rPr>
                  <w:rFonts w:ascii="Times New Roman" w:cs="Times New Roman" w:eastAsia="Times New Roman" w:hAnsi="Times New Roman"/>
                  <w:sz w:val="13"/>
                  <w:szCs w:val="13"/>
                  <w:color w:val="0000FF"/>
                </w:rPr>
                <w:t>Consent and Indemnity Agreement, dated as of February 6, 2018, by and among NRG Energy, Inc., NRG</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0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4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248">
              <w:r>
                <w:rPr>
                  <w:rFonts w:ascii="Times New Roman" w:cs="Times New Roman" w:eastAsia="Times New Roman" w:hAnsi="Times New Roman"/>
                  <w:sz w:val="12"/>
                  <w:szCs w:val="12"/>
                  <w:color w:val="0000FF"/>
                </w:rPr>
                <w:t>Repowering Holdings LLC, NRG Yield, Inc., and GIP III Zephyr Acquisition Partners, L.P., and NRG Yield</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248">
              <w:r>
                <w:rPr>
                  <w:rFonts w:ascii="Times New Roman" w:cs="Times New Roman" w:eastAsia="Times New Roman" w:hAnsi="Times New Roman"/>
                  <w:sz w:val="12"/>
                  <w:szCs w:val="12"/>
                  <w:color w:val="0000FF"/>
                </w:rPr>
                <w:t>Operating LLC (solely with respect to Sections E.5, E.6 and G.12).</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49">
              <w:r>
                <w:rPr>
                  <w:rFonts w:ascii="Times New Roman" w:cs="Times New Roman" w:eastAsia="Times New Roman" w:hAnsi="Times New Roman"/>
                  <w:sz w:val="13"/>
                  <w:szCs w:val="13"/>
                  <w:color w:val="0000FF"/>
                </w:rPr>
                <w:t>Amended and Restated Registration Rights Agreement, dated as of May 14, 2015, by and between NRG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bottom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Inc. and NRG Yield, Inc. and, pursuant to a joinder thereto, dated as of August 31, 2018, Zephyr Renewables</w:t>
              </w:r>
            </w:hyperlink>
          </w:p>
        </w:tc>
        <w:tc>
          <w:tcPr>
            <w:tcW w:w="40" w:type="dxa"/>
            <w:vAlign w:val="bottom"/>
            <w:tcBorders>
              <w:bottom w:val="single" w:sz="8" w:color="0000FF"/>
            </w:tcBorders>
            <w:gridSpan w:val="2"/>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20" w:type="dxa"/>
            <w:vAlign w:val="bottom"/>
            <w:gridSpan w:val="27"/>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LLC.</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50">
              <w:r>
                <w:rPr>
                  <w:rFonts w:ascii="Times New Roman" w:cs="Times New Roman" w:eastAsia="Times New Roman" w:hAnsi="Times New Roman"/>
                  <w:sz w:val="13"/>
                  <w:szCs w:val="13"/>
                  <w:color w:val="0000FF"/>
                </w:rPr>
                <w:t>Purchase and Sale Agreement, dated as of April 17, 2020, by and between Clearway Energy Operating LLC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50">
              <w:r>
                <w:rPr>
                  <w:rFonts w:ascii="Times New Roman" w:cs="Times New Roman" w:eastAsia="Times New Roman" w:hAnsi="Times New Roman"/>
                  <w:sz w:val="12"/>
                  <w:szCs w:val="12"/>
                  <w:color w:val="0000FF"/>
                </w:rPr>
                <w:t>Clearway Renew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Membership Interest Purchase Agreement, dated as of April 17, 2020,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60" w:type="dxa"/>
            <w:vAlign w:val="bottom"/>
            <w:tcBorders>
              <w:top w:val="single" w:sz="8" w:color="0000FF"/>
            </w:tcBorders>
            <w:gridSpan w:val="29"/>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Operating LLC and SP Wind Holdings, LLC.</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52">
              <w:r>
                <w:rPr>
                  <w:rFonts w:ascii="Times New Roman" w:cs="Times New Roman" w:eastAsia="Times New Roman" w:hAnsi="Times New Roman"/>
                  <w:sz w:val="13"/>
                  <w:szCs w:val="13"/>
                  <w:color w:val="0000FF"/>
                </w:rPr>
                <w:t>Membership Interest Purchase Agreement, dated as of April 17, 2020, by and between CWSP Wildorado Elbow</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52">
              <w:r>
                <w:rPr>
                  <w:rFonts w:ascii="Times New Roman" w:cs="Times New Roman" w:eastAsia="Times New Roman" w:hAnsi="Times New Roman"/>
                  <w:sz w:val="12"/>
                  <w:szCs w:val="12"/>
                  <w:color w:val="0000FF"/>
                </w:rPr>
                <w:t>Holding LLC and Wind TE Holdco LLC.</w:t>
              </w:r>
            </w:hyperlink>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53">
              <w:r>
                <w:rPr>
                  <w:rFonts w:ascii="Times New Roman" w:cs="Times New Roman" w:eastAsia="Times New Roman" w:hAnsi="Times New Roman"/>
                  <w:sz w:val="13"/>
                  <w:szCs w:val="13"/>
                  <w:color w:val="0000FF"/>
                </w:rPr>
                <w:t>Membership Interest Purchase Agreement, dated as of December 21, 2020, by and between Renew Development</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68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3">
              <w:r>
                <w:rPr>
                  <w:rFonts w:ascii="Times New Roman" w:cs="Times New Roman" w:eastAsia="Times New Roman" w:hAnsi="Times New Roman"/>
                  <w:sz w:val="12"/>
                  <w:szCs w:val="12"/>
                  <w:color w:val="0000FF"/>
                </w:rPr>
                <w:t>HoldCo LLC and Rosamond Solar Investment LLC.</w:t>
              </w:r>
            </w:hyperlink>
          </w:p>
        </w:tc>
        <w:tc>
          <w:tcPr>
            <w:tcW w:w="3180" w:type="dxa"/>
            <w:vAlign w:val="bottom"/>
            <w:tcBorders>
              <w:top w:val="single" w:sz="8" w:color="0000FF"/>
            </w:tcBorders>
            <w:gridSpan w:val="11"/>
          </w:tcPr>
          <w:p>
            <w:pPr>
              <w:spacing w:after="0"/>
              <w:rPr>
                <w:sz w:val="9"/>
                <w:szCs w:val="9"/>
                <w:color w:val="auto"/>
              </w:rPr>
            </w:pPr>
          </w:p>
        </w:tc>
        <w:tc>
          <w:tcPr>
            <w:tcW w:w="120" w:type="dxa"/>
            <w:vAlign w:val="bottom"/>
            <w:gridSpan w:val="6"/>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Membership Interest Purchase Agreement, dated as of December 21, 2020, by and between Clearway Renew</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54">
              <w:r>
                <w:rPr>
                  <w:rFonts w:ascii="Times New Roman" w:cs="Times New Roman" w:eastAsia="Times New Roman" w:hAnsi="Times New Roman"/>
                  <w:sz w:val="12"/>
                  <w:szCs w:val="12"/>
                  <w:color w:val="0000FF"/>
                </w:rPr>
                <w:t>LLC and Lighthouse Renewable Class A LLC.</w:t>
              </w:r>
            </w:hyperlink>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0" w:type="dxa"/>
            <w:vAlign w:val="bottom"/>
            <w:gridSpan w:val="9"/>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55">
              <w:r>
                <w:rPr>
                  <w:rFonts w:ascii="Times New Roman" w:cs="Times New Roman" w:eastAsia="Times New Roman" w:hAnsi="Times New Roman"/>
                  <w:sz w:val="13"/>
                  <w:szCs w:val="13"/>
                  <w:color w:val="0000FF"/>
                </w:rPr>
                <w:t>Membership Interest Purchase Agreement, dated as of December 21, 2020, by and between Clearway Renew</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LLC and Lighthouse Renewable Class A LLC.</w:t>
              </w:r>
            </w:hyperlink>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0" w:type="dxa"/>
            <w:vAlign w:val="bottom"/>
            <w:gridSpan w:val="9"/>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56">
              <w:r>
                <w:rPr>
                  <w:rFonts w:ascii="Times New Roman" w:cs="Times New Roman" w:eastAsia="Times New Roman" w:hAnsi="Times New Roman"/>
                  <w:sz w:val="13"/>
                  <w:szCs w:val="13"/>
                  <w:color w:val="0000FF"/>
                </w:rPr>
                <w:t>Second Amended and Restated Limited Liability Company Agreement of Pinnacle Repowering Partnership</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56">
              <w:r>
                <w:rPr>
                  <w:rFonts w:ascii="Times New Roman" w:cs="Times New Roman" w:eastAsia="Times New Roman" w:hAnsi="Times New Roman"/>
                  <w:sz w:val="12"/>
                  <w:szCs w:val="12"/>
                  <w:color w:val="0000FF"/>
                </w:rPr>
                <w:t>LLC, dated as of February 26, 2021.</w:t>
              </w:r>
            </w:hyperlink>
          </w:p>
        </w:tc>
        <w:tc>
          <w:tcPr>
            <w:tcW w:w="300" w:type="dxa"/>
            <w:vAlign w:val="bottom"/>
            <w:gridSpan w:val="1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78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57">
              <w:r>
                <w:rPr>
                  <w:rFonts w:ascii="Times New Roman" w:cs="Times New Roman" w:eastAsia="Times New Roman" w:hAnsi="Times New Roman"/>
                  <w:sz w:val="13"/>
                  <w:szCs w:val="13"/>
                  <w:color w:val="0000FF"/>
                </w:rPr>
                <w:t>Purchase and Sale Agreement, dated as of August 20, 2021, by and between Dominion Solar Projects III, Inc.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7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and Utah Solar Holdings II LLC.</w:t>
              </w:r>
            </w:hyperlink>
          </w:p>
        </w:tc>
        <w:tc>
          <w:tcPr>
            <w:tcW w:w="4100" w:type="dxa"/>
            <w:vAlign w:val="bottom"/>
            <w:tcBorders>
              <w:top w:val="single" w:sz="8" w:color="0000FF"/>
            </w:tcBorders>
            <w:gridSpan w:val="13"/>
          </w:tcPr>
          <w:p>
            <w:pPr>
              <w:spacing w:after="0"/>
              <w:rPr>
                <w:sz w:val="9"/>
                <w:szCs w:val="9"/>
                <w:color w:val="auto"/>
              </w:rPr>
            </w:pPr>
          </w:p>
        </w:tc>
        <w:tc>
          <w:tcPr>
            <w:tcW w:w="300" w:type="dxa"/>
            <w:vAlign w:val="bottom"/>
            <w:gridSpan w:val="15"/>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6100" w:type="dxa"/>
            <w:vAlign w:val="bottom"/>
            <w:gridSpan w:val="31"/>
          </w:tcPr>
          <w:p>
            <w:pPr>
              <w:spacing w:after="0"/>
              <w:rPr>
                <w:rFonts w:ascii="Times New Roman" w:cs="Times New Roman" w:eastAsia="Times New Roman" w:hAnsi="Times New Roman"/>
                <w:sz w:val="13"/>
                <w:szCs w:val="13"/>
                <w:color w:val="0000FF"/>
              </w:rPr>
            </w:pPr>
            <w:hyperlink r:id="rId258">
              <w:r>
                <w:rPr>
                  <w:rFonts w:ascii="Times New Roman" w:cs="Times New Roman" w:eastAsia="Times New Roman" w:hAnsi="Times New Roman"/>
                  <w:sz w:val="13"/>
                  <w:szCs w:val="13"/>
                  <w:color w:val="0000FF"/>
                </w:rPr>
                <w:t>Membership Interest Purchase Agreement, dated as of October 22, 2021,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32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58">
              <w:r>
                <w:rPr>
                  <w:rFonts w:ascii="Times New Roman" w:cs="Times New Roman" w:eastAsia="Times New Roman" w:hAnsi="Times New Roman"/>
                  <w:sz w:val="12"/>
                  <w:szCs w:val="12"/>
                  <w:color w:val="0000FF"/>
                </w:rPr>
                <w:t>Operating LLC and KKR Thor Bidco, LLC.</w:t>
              </w:r>
            </w:hyperlink>
          </w:p>
        </w:tc>
        <w:tc>
          <w:tcPr>
            <w:tcW w:w="3500" w:type="dxa"/>
            <w:vAlign w:val="bottom"/>
            <w:tcBorders>
              <w:top w:val="single" w:sz="8" w:color="0000FF"/>
            </w:tcBorders>
            <w:gridSpan w:val="11"/>
          </w:tcPr>
          <w:p>
            <w:pPr>
              <w:spacing w:after="0"/>
              <w:rPr>
                <w:sz w:val="9"/>
                <w:szCs w:val="9"/>
                <w:color w:val="auto"/>
              </w:rPr>
            </w:pPr>
          </w:p>
        </w:tc>
        <w:tc>
          <w:tcPr>
            <w:tcW w:w="280" w:type="dxa"/>
            <w:vAlign w:val="bottom"/>
            <w:gridSpan w:val="14"/>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23, 2019.</w:t>
      </w:r>
    </w:p>
    <w:p>
      <w:pPr>
        <w:spacing w:after="0" w:line="1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1, 2021.</w:t>
      </w:r>
    </w:p>
    <w:p>
      <w:pPr>
        <w:spacing w:after="0" w:line="11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August 19, 2022.</w:t>
      </w:r>
    </w:p>
    <w:p>
      <w:pPr>
        <w:spacing w:after="0" w:line="11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March 20, 2023.</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10.22 to the Company’s Annual Report on Form 10-K filed on February 28, 2019.</w:t>
      </w:r>
    </w:p>
    <w:p>
      <w:pPr>
        <w:spacing w:after="0" w:line="1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10.23 to the Company’s Annual Report on Form 10-K filed on February 28, 2019.</w:t>
      </w:r>
    </w:p>
    <w:p>
      <w:pPr>
        <w:spacing w:after="0" w:line="1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10.24 to the Company’s Annual Report on Form 10-K filed on February 28, 2019.</w:t>
      </w:r>
    </w:p>
    <w:p>
      <w:pPr>
        <w:spacing w:after="0" w:line="8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10.34 to the Company’s Annual Report on Form 10-K, filed on March 1, 2018.</w:t>
      </w:r>
    </w:p>
    <w:p>
      <w:pPr>
        <w:spacing w:after="0" w:line="19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May 15, 2015.</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April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April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 to the Company’s Current Report on Form 8-K filed on April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22,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December 22,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 to the Company’s Current Report on Form 8-K filed on December 22, 2020.</w:t>
      </w:r>
    </w:p>
    <w:p>
      <w:pPr>
        <w:spacing w:after="0" w:line="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Incorporated by reference to Exhibit 10.31 to the Company’s Annual Report on Form 10-K, filed on March 1, 2021.</w:t>
      </w:r>
    </w:p>
    <w:p>
      <w:pPr>
        <w:spacing w:after="0" w:line="2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10.1 to the Company’s Current Report on Form 8-K, filed on August 23,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10.1 to the Company’s Current Report on Form 8-K, filed on October 26, 2021.</w:t>
      </w:r>
    </w:p>
    <w:p>
      <w:pPr>
        <w:spacing w:after="0" w:line="200"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20" w:type="dxa"/>
            <w:vAlign w:val="bottom"/>
            <w:gridSpan w:val="3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10.20</w:t>
            </w:r>
          </w:p>
        </w:tc>
        <w:tc>
          <w:tcPr>
            <w:tcW w:w="6020" w:type="dxa"/>
            <w:vAlign w:val="bottom"/>
            <w:gridSpan w:val="34"/>
          </w:tcPr>
          <w:p>
            <w:pPr>
              <w:spacing w:after="0" w:line="143" w:lineRule="exact"/>
              <w:rPr>
                <w:rFonts w:ascii="Times New Roman" w:cs="Times New Roman" w:eastAsia="Times New Roman" w:hAnsi="Times New Roman"/>
                <w:sz w:val="13"/>
                <w:szCs w:val="13"/>
                <w:color w:val="0000FF"/>
              </w:rPr>
            </w:pPr>
            <w:hyperlink r:id="rId260">
              <w:r>
                <w:rPr>
                  <w:rFonts w:ascii="Times New Roman" w:cs="Times New Roman" w:eastAsia="Times New Roman" w:hAnsi="Times New Roman"/>
                  <w:sz w:val="13"/>
                  <w:szCs w:val="13"/>
                  <w:color w:val="0000FF"/>
                </w:rPr>
                <w:t>Senior Secured Bridge Credit Agreement, dated as of November 30, 2021, by and among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30"/>
          </w:tcPr>
          <w:p>
            <w:pPr>
              <w:spacing w:after="0" w:line="107" w:lineRule="exact"/>
              <w:rPr>
                <w:rFonts w:ascii="Times New Roman" w:cs="Times New Roman" w:eastAsia="Times New Roman" w:hAnsi="Times New Roman"/>
                <w:sz w:val="12"/>
                <w:szCs w:val="12"/>
                <w:color w:val="0000FF"/>
              </w:rPr>
            </w:pPr>
            <w:hyperlink r:id="rId260">
              <w:r>
                <w:rPr>
                  <w:rFonts w:ascii="Times New Roman" w:cs="Times New Roman" w:eastAsia="Times New Roman" w:hAnsi="Times New Roman"/>
                  <w:sz w:val="12"/>
                  <w:szCs w:val="12"/>
                  <w:color w:val="0000FF"/>
                </w:rPr>
                <w:t>Operating LLC, Clearway Energy LLC, the guarantors party thereto, Bank of America, N.A., as administrative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260">
              <w:r>
                <w:rPr>
                  <w:rFonts w:ascii="Times New Roman" w:cs="Times New Roman" w:eastAsia="Times New Roman" w:hAnsi="Times New Roman"/>
                  <w:sz w:val="12"/>
                  <w:szCs w:val="12"/>
                  <w:color w:val="0000FF"/>
                </w:rPr>
                <w:t>agent, and the lenders party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61">
              <w:r>
                <w:rPr>
                  <w:rFonts w:ascii="Times New Roman" w:cs="Times New Roman" w:eastAsia="Times New Roman" w:hAnsi="Times New Roman"/>
                  <w:sz w:val="13"/>
                  <w:szCs w:val="13"/>
                  <w:color w:val="0000FF"/>
                </w:rPr>
                <w:t>First Amendment to Membership Interest Purchase Agreement, dated as of December 17, 2021,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32"/>
          </w:tcPr>
          <w:p>
            <w:pPr>
              <w:spacing w:after="0" w:line="107" w:lineRule="exact"/>
              <w:rPr>
                <w:rFonts w:ascii="Times New Roman" w:cs="Times New Roman" w:eastAsia="Times New Roman" w:hAnsi="Times New Roman"/>
                <w:sz w:val="12"/>
                <w:szCs w:val="12"/>
                <w:color w:val="0000FF"/>
              </w:rPr>
            </w:pPr>
            <w:hyperlink r:id="rId261">
              <w:r>
                <w:rPr>
                  <w:rFonts w:ascii="Times New Roman" w:cs="Times New Roman" w:eastAsia="Times New Roman" w:hAnsi="Times New Roman"/>
                  <w:sz w:val="12"/>
                  <w:szCs w:val="12"/>
                  <w:color w:val="0000FF"/>
                </w:rPr>
                <w:t>Lighthouse Renewable Class A LLC, Clearway Renew LLC and Clearway Energy Operating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62">
              <w:r>
                <w:rPr>
                  <w:rFonts w:ascii="Times New Roman" w:cs="Times New Roman" w:eastAsia="Times New Roman" w:hAnsi="Times New Roman"/>
                  <w:sz w:val="13"/>
                  <w:szCs w:val="13"/>
                  <w:color w:val="0000FF"/>
                </w:rPr>
                <w:t>First Amendment to Membership Interest Purchase Agreement, dated as of December 29, 2021,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32"/>
          </w:tcPr>
          <w:p>
            <w:pPr>
              <w:spacing w:after="0" w:line="107" w:lineRule="exact"/>
              <w:rPr>
                <w:rFonts w:ascii="Times New Roman" w:cs="Times New Roman" w:eastAsia="Times New Roman" w:hAnsi="Times New Roman"/>
                <w:sz w:val="12"/>
                <w:szCs w:val="12"/>
                <w:color w:val="0000FF"/>
              </w:rPr>
            </w:pPr>
            <w:hyperlink r:id="rId262">
              <w:r>
                <w:rPr>
                  <w:rFonts w:ascii="Times New Roman" w:cs="Times New Roman" w:eastAsia="Times New Roman" w:hAnsi="Times New Roman"/>
                  <w:sz w:val="12"/>
                  <w:szCs w:val="12"/>
                  <w:color w:val="0000FF"/>
                </w:rPr>
                <w:t>Lighthouse Renewable Class A LLC and Clearway Renew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424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w w:val="97"/>
              </w:rPr>
            </w:pPr>
            <w:hyperlink r:id="rId263">
              <w:r>
                <w:rPr>
                  <w:rFonts w:ascii="Times New Roman" w:cs="Times New Roman" w:eastAsia="Times New Roman" w:hAnsi="Times New Roman"/>
                  <w:sz w:val="13"/>
                  <w:szCs w:val="13"/>
                  <w:color w:val="0000FF"/>
                  <w:w w:val="97"/>
                </w:rPr>
                <w:t>Clearway Energy, Inc. Involuntary Severance Plan, effective as of January 1, 2022.</w:t>
              </w:r>
            </w:hyperlink>
          </w:p>
        </w:tc>
        <w:tc>
          <w:tcPr>
            <w:tcW w:w="178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10.24†</w:t>
            </w:r>
          </w:p>
        </w:tc>
        <w:tc>
          <w:tcPr>
            <w:tcW w:w="6020" w:type="dxa"/>
            <w:vAlign w:val="bottom"/>
            <w:tcBorders>
              <w:bottom w:val="single" w:sz="8" w:color="0000FF"/>
            </w:tcBorders>
            <w:gridSpan w:val="34"/>
          </w:tcPr>
          <w:p>
            <w:pPr>
              <w:spacing w:after="0"/>
              <w:rPr>
                <w:rFonts w:ascii="Times New Roman" w:cs="Times New Roman" w:eastAsia="Times New Roman" w:hAnsi="Times New Roman"/>
                <w:sz w:val="13"/>
                <w:szCs w:val="13"/>
                <w:color w:val="0000FF"/>
              </w:rPr>
            </w:pPr>
            <w:hyperlink r:id="rId264">
              <w:r>
                <w:rPr>
                  <w:rFonts w:ascii="Times New Roman" w:cs="Times New Roman" w:eastAsia="Times New Roman" w:hAnsi="Times New Roman"/>
                  <w:sz w:val="13"/>
                  <w:szCs w:val="13"/>
                  <w:color w:val="0000FF"/>
                </w:rPr>
                <w:t>Clearway Energy, Inc. Key Management Change-in-Control and General Severance Plan, effective as of January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20" w:type="dxa"/>
            <w:vAlign w:val="bottom"/>
            <w:tcBorders>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64">
              <w:r>
                <w:rPr>
                  <w:rFonts w:ascii="Times New Roman" w:cs="Times New Roman" w:eastAsia="Times New Roman" w:hAnsi="Times New Roman"/>
                  <w:sz w:val="12"/>
                  <w:szCs w:val="12"/>
                  <w:color w:val="0000FF"/>
                </w:rPr>
                <w:t>1, 2022.</w:t>
              </w:r>
            </w:hyperlink>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10.25†</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65">
              <w:r>
                <w:rPr>
                  <w:rFonts w:ascii="Times New Roman" w:cs="Times New Roman" w:eastAsia="Times New Roman" w:hAnsi="Times New Roman"/>
                  <w:sz w:val="13"/>
                  <w:szCs w:val="13"/>
                  <w:color w:val="0000FF"/>
                </w:rPr>
                <w:t>Clearway Energy, Inc. Executive Change-in-Control and General Severance Plan, effective as of January 1,</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2022.</w:t>
              </w:r>
            </w:hyperlink>
          </w:p>
        </w:tc>
        <w:tc>
          <w:tcPr>
            <w:tcW w:w="120" w:type="dxa"/>
            <w:vAlign w:val="bottom"/>
            <w:tcBorders>
              <w:top w:val="single" w:sz="8" w:color="0000FF"/>
            </w:tcBorders>
          </w:tcPr>
          <w:p>
            <w:pPr>
              <w:spacing w:after="0"/>
              <w:rPr>
                <w:sz w:val="9"/>
                <w:szCs w:val="9"/>
                <w:color w:val="auto"/>
              </w:rPr>
            </w:pPr>
          </w:p>
        </w:tc>
        <w:tc>
          <w:tcPr>
            <w:tcW w:w="4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7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10.26*^</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66">
              <w:r>
                <w:rPr>
                  <w:rFonts w:ascii="Times New Roman" w:cs="Times New Roman" w:eastAsia="Times New Roman" w:hAnsi="Times New Roman"/>
                  <w:sz w:val="13"/>
                  <w:szCs w:val="13"/>
                  <w:color w:val="0000FF"/>
                </w:rPr>
                <w:t>Membership Interest Purchase Agreement, dated as of December 23, 2022, by and between VP-Arica CE Seller</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06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66">
              <w:r>
                <w:rPr>
                  <w:rFonts w:ascii="Times New Roman" w:cs="Times New Roman" w:eastAsia="Times New Roman" w:hAnsi="Times New Roman"/>
                  <w:sz w:val="12"/>
                  <w:szCs w:val="12"/>
                  <w:color w:val="0000FF"/>
                </w:rPr>
                <w:t>LLC and VP-Arica Parent Holdco LLC.</w:t>
              </w:r>
            </w:hyperlink>
          </w:p>
        </w:tc>
        <w:tc>
          <w:tcPr>
            <w:tcW w:w="3900" w:type="dxa"/>
            <w:vAlign w:val="bottom"/>
            <w:tcBorders>
              <w:top w:val="single" w:sz="8" w:color="0000FF"/>
            </w:tcBorders>
            <w:gridSpan w:val="21"/>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10.27</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67">
              <w:r>
                <w:rPr>
                  <w:rFonts w:ascii="Times New Roman" w:cs="Times New Roman" w:eastAsia="Times New Roman" w:hAnsi="Times New Roman"/>
                  <w:sz w:val="13"/>
                  <w:szCs w:val="13"/>
                  <w:color w:val="0000FF"/>
                </w:rPr>
                <w:t>Membership Interest Purchase Agreement, dated as of May 19, 2023, by and between Renew Development</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600" w:type="dxa"/>
            <w:vAlign w:val="bottom"/>
            <w:tcBorders>
              <w:top w:val="single" w:sz="8" w:color="0000FF"/>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HoldCo LLC and Cedar Creek Wind Holdco LLC.</w:t>
              </w:r>
            </w:hyperlink>
          </w:p>
        </w:tc>
        <w:tc>
          <w:tcPr>
            <w:tcW w:w="3200" w:type="dxa"/>
            <w:vAlign w:val="bottom"/>
            <w:tcBorders>
              <w:top w:val="single" w:sz="8" w:color="0000FF"/>
            </w:tcBorders>
            <w:gridSpan w:val="11"/>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10.28†</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68">
              <w:r>
                <w:rPr>
                  <w:rFonts w:ascii="Times New Roman" w:cs="Times New Roman" w:eastAsia="Times New Roman" w:hAnsi="Times New Roman"/>
                  <w:sz w:val="13"/>
                  <w:szCs w:val="13"/>
                  <w:color w:val="0000FF"/>
                </w:rPr>
                <w:t>Clearway Energy, Inc. Amended and Restated 2013 Equity Incentive Plan, as amended and restated effective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29"/>
          </w:tcPr>
          <w:p>
            <w:pPr>
              <w:spacing w:after="0" w:line="107" w:lineRule="exact"/>
              <w:rPr>
                <w:rFonts w:ascii="Times New Roman" w:cs="Times New Roman" w:eastAsia="Times New Roman" w:hAnsi="Times New Roman"/>
                <w:sz w:val="12"/>
                <w:szCs w:val="12"/>
                <w:color w:val="0000FF"/>
              </w:rPr>
            </w:pPr>
            <w:hyperlink r:id="rId268">
              <w:r>
                <w:rPr>
                  <w:rFonts w:ascii="Times New Roman" w:cs="Times New Roman" w:eastAsia="Times New Roman" w:hAnsi="Times New Roman"/>
                  <w:sz w:val="12"/>
                  <w:szCs w:val="12"/>
                  <w:color w:val="0000FF"/>
                </w:rPr>
                <w:t>January 1, 2024.</w:t>
              </w:r>
            </w:hyperlink>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10.29†</w:t>
            </w: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6020" w:type="dxa"/>
            <w:vAlign w:val="bottom"/>
            <w:gridSpan w:val="34"/>
            <w:vMerge w:val="restart"/>
          </w:tcPr>
          <w:p>
            <w:pPr>
              <w:spacing w:after="0"/>
              <w:rPr>
                <w:rFonts w:ascii="Times New Roman" w:cs="Times New Roman" w:eastAsia="Times New Roman" w:hAnsi="Times New Roman"/>
                <w:sz w:val="13"/>
                <w:szCs w:val="13"/>
                <w:color w:val="0000FF"/>
              </w:rPr>
            </w:pPr>
            <w:hyperlink r:id="rId269">
              <w:r>
                <w:rPr>
                  <w:rFonts w:ascii="Times New Roman" w:cs="Times New Roman" w:eastAsia="Times New Roman" w:hAnsi="Times New Roman"/>
                  <w:sz w:val="13"/>
                  <w:szCs w:val="13"/>
                  <w:color w:val="0000FF"/>
                </w:rPr>
                <w:t>Clearway Energy, Inc. Annual Incentive Plan, as amended and restated effective January 1, 2024.</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20" w:type="dxa"/>
            <w:vAlign w:val="bottom"/>
            <w:gridSpan w:val="3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10.30</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70">
              <w:r>
                <w:rPr>
                  <w:rFonts w:ascii="Times New Roman" w:cs="Times New Roman" w:eastAsia="Times New Roman" w:hAnsi="Times New Roman"/>
                  <w:sz w:val="13"/>
                  <w:szCs w:val="13"/>
                  <w:color w:val="0000FF"/>
                </w:rPr>
                <w:t>Separation Agreement and General Release, dated as of April 30, 2024, by and between Clearway Energy, Inc.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18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70">
              <w:r>
                <w:rPr>
                  <w:rFonts w:ascii="Times New Roman" w:cs="Times New Roman" w:eastAsia="Times New Roman" w:hAnsi="Times New Roman"/>
                  <w:sz w:val="12"/>
                  <w:szCs w:val="12"/>
                  <w:color w:val="0000FF"/>
                </w:rPr>
                <w:t>and Christopher Sotos.</w:t>
              </w:r>
            </w:hyperlink>
          </w:p>
        </w:tc>
        <w:tc>
          <w:tcPr>
            <w:tcW w:w="470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10.31</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71">
              <w:r>
                <w:rPr>
                  <w:rFonts w:ascii="Times New Roman" w:cs="Times New Roman" w:eastAsia="Times New Roman" w:hAnsi="Times New Roman"/>
                  <w:sz w:val="13"/>
                  <w:szCs w:val="13"/>
                  <w:color w:val="0000FF"/>
                </w:rPr>
                <w:t>Amended and Restated Employment Agreement, dated as of April 30, 2024,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bottom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Group LLC, Clearway Energy, Inc., GIP III Zephyr Management Partners, L.P., GIP III Zephyr Midco Holdings,</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100" w:type="dxa"/>
            <w:vAlign w:val="bottom"/>
            <w:tcBorders>
              <w:bottom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300" w:type="dxa"/>
            <w:vAlign w:val="bottom"/>
            <w:tcBorders>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L.P. and Craig Cornelius.</w:t>
              </w:r>
            </w:hyperlink>
          </w:p>
        </w:tc>
        <w:tc>
          <w:tcPr>
            <w:tcW w:w="4700" w:type="dxa"/>
            <w:vAlign w:val="bottom"/>
            <w:gridSpan w:val="2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10.32</w:t>
            </w:r>
          </w:p>
        </w:tc>
        <w:tc>
          <w:tcPr>
            <w:tcW w:w="6020" w:type="dxa"/>
            <w:vAlign w:val="bottom"/>
            <w:gridSpan w:val="34"/>
          </w:tcPr>
          <w:p>
            <w:pPr>
              <w:spacing w:after="0"/>
              <w:rPr>
                <w:sz w:val="20"/>
                <w:szCs w:val="20"/>
                <w:color w:val="auto"/>
              </w:rPr>
            </w:pPr>
            <w:r>
              <w:rPr>
                <w:rFonts w:ascii="Times New Roman" w:cs="Times New Roman" w:eastAsia="Times New Roman" w:hAnsi="Times New Roman"/>
                <w:sz w:val="13"/>
                <w:szCs w:val="13"/>
                <w:color w:val="0000FF"/>
              </w:rPr>
              <w:t>Third Amended and Restated Master Services Agreement and Payroll Sharing Agreement, dated as of February</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31"/>
          </w:tcPr>
          <w:p>
            <w:pPr>
              <w:spacing w:after="0" w:line="107" w:lineRule="exact"/>
              <w:rPr>
                <w:sz w:val="20"/>
                <w:szCs w:val="20"/>
                <w:color w:val="auto"/>
              </w:rPr>
            </w:pPr>
            <w:r>
              <w:rPr>
                <w:rFonts w:ascii="Times New Roman" w:cs="Times New Roman" w:eastAsia="Times New Roman" w:hAnsi="Times New Roman"/>
                <w:sz w:val="12"/>
                <w:szCs w:val="12"/>
                <w:color w:val="0000FF"/>
              </w:rPr>
              <w:t>13, 2025, by and among Clearway Energy, Inc., Clearway Energy Finance Inc., Clearway Energy LLC,</w:t>
            </w: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26"/>
          </w:tcPr>
          <w:p>
            <w:pPr>
              <w:spacing w:after="0" w:line="107" w:lineRule="exact"/>
              <w:rPr>
                <w:sz w:val="20"/>
                <w:szCs w:val="20"/>
                <w:color w:val="auto"/>
              </w:rPr>
            </w:pPr>
            <w:r>
              <w:rPr>
                <w:rFonts w:ascii="Times New Roman" w:cs="Times New Roman" w:eastAsia="Times New Roman" w:hAnsi="Times New Roman"/>
                <w:sz w:val="12"/>
                <w:szCs w:val="12"/>
                <w:color w:val="0000FF"/>
              </w:rPr>
              <w:t>Clearway Energy Operating LLC and Clearway Energy Group LLC.</w:t>
            </w:r>
          </w:p>
        </w:tc>
        <w:tc>
          <w:tcPr>
            <w:tcW w:w="40" w:type="dxa"/>
            <w:vAlign w:val="bottom"/>
            <w:gridSpan w:val="2"/>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10.33</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72">
              <w:r>
                <w:rPr>
                  <w:rFonts w:ascii="Times New Roman" w:cs="Times New Roman" w:eastAsia="Times New Roman" w:hAnsi="Times New Roman"/>
                  <w:sz w:val="13"/>
                  <w:szCs w:val="13"/>
                  <w:color w:val="0000FF"/>
                </w:rPr>
                <w:t>Consulting Agreement, dated as of June 20, 2024, by and between Clearway Energy, Inc. and Christopher Sotos.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10.34*^</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73">
              <w:r>
                <w:rPr>
                  <w:rFonts w:ascii="Times New Roman" w:cs="Times New Roman" w:eastAsia="Times New Roman" w:hAnsi="Times New Roman"/>
                  <w:sz w:val="13"/>
                  <w:szCs w:val="13"/>
                  <w:color w:val="0000FF"/>
                </w:rPr>
                <w:t>Membership Interest Purchase Agreement, dated as of June 27, 2024, by and between D1-LV CE Seller LLC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LV-Daggett Parent Holdco LLC.</w:t>
              </w:r>
            </w:hyperlink>
          </w:p>
        </w:tc>
        <w:tc>
          <w:tcPr>
            <w:tcW w:w="120" w:type="dxa"/>
            <w:vAlign w:val="bottom"/>
            <w:gridSpan w:val="6"/>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10.35</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74">
              <w:r>
                <w:rPr>
                  <w:rFonts w:ascii="Times New Roman" w:cs="Times New Roman" w:eastAsia="Times New Roman" w:hAnsi="Times New Roman"/>
                  <w:sz w:val="13"/>
                  <w:szCs w:val="13"/>
                  <w:color w:val="0000FF"/>
                </w:rPr>
                <w:t>Second Amended and Restated Exchange Agreement, dated as of October 28, 2024, by and among Clearway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640" w:type="dxa"/>
            <w:vAlign w:val="bottom"/>
            <w:tcBorders>
              <w:top w:val="single" w:sz="8" w:color="0000FF"/>
              <w:bottom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74">
              <w:r>
                <w:rPr>
                  <w:rFonts w:ascii="Times New Roman" w:cs="Times New Roman" w:eastAsia="Times New Roman" w:hAnsi="Times New Roman"/>
                  <w:sz w:val="12"/>
                  <w:szCs w:val="12"/>
                  <w:color w:val="0000FF"/>
                </w:rPr>
                <w:t>Energy, Inc., Clearway Energy LLC and Clearway Energy Group LLC.</w:t>
              </w:r>
            </w:hyperlink>
          </w:p>
        </w:tc>
        <w:tc>
          <w:tcPr>
            <w:tcW w:w="2260" w:type="dxa"/>
            <w:vAlign w:val="bottom"/>
            <w:tcBorders>
              <w:top w:val="single" w:sz="8" w:color="0000FF"/>
            </w:tcBorders>
            <w:gridSpan w:val="11"/>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16.1</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75">
              <w:r>
                <w:rPr>
                  <w:rFonts w:ascii="Times New Roman" w:cs="Times New Roman" w:eastAsia="Times New Roman" w:hAnsi="Times New Roman"/>
                  <w:sz w:val="13"/>
                  <w:szCs w:val="13"/>
                  <w:color w:val="0000FF"/>
                </w:rPr>
                <w:t>Letter from Ernst &amp; Young LLP, dated May 10, 2024.</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19.1</w:t>
            </w:r>
          </w:p>
        </w:tc>
        <w:tc>
          <w:tcPr>
            <w:tcW w:w="35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3"/>
                <w:szCs w:val="13"/>
                <w:color w:val="0000FF"/>
                <w:w w:val="97"/>
              </w:rPr>
              <w:t>Clearway Energy, Inc. Securities Trading and Nondisclosure Policy.</w:t>
            </w:r>
          </w:p>
        </w:tc>
        <w:tc>
          <w:tcPr>
            <w:tcW w:w="25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1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w w:val="97"/>
              </w:rPr>
              <w:t>Subsidiaries of Clearway Energy, Inc.</w:t>
            </w:r>
          </w:p>
        </w:tc>
        <w:tc>
          <w:tcPr>
            <w:tcW w:w="408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2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w w:val="96"/>
              </w:rPr>
              <w:t>Consent of PricewaterhouseCoopers LLP.</w:t>
            </w:r>
          </w:p>
        </w:tc>
        <w:tc>
          <w:tcPr>
            <w:tcW w:w="388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23.2</w:t>
            </w:r>
          </w:p>
        </w:tc>
        <w:tc>
          <w:tcPr>
            <w:tcW w:w="1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w w:val="95"/>
              </w:rPr>
              <w:t>Consent of Ernst &amp; Young LLP.</w:t>
            </w:r>
          </w:p>
        </w:tc>
        <w:tc>
          <w:tcPr>
            <w:tcW w:w="4360" w:type="dxa"/>
            <w:vAlign w:val="bottom"/>
            <w:gridSpan w:val="2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24.1</w:t>
            </w:r>
          </w:p>
        </w:tc>
        <w:tc>
          <w:tcPr>
            <w:tcW w:w="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w w:val="97"/>
              </w:rPr>
              <w:t>Power of Attorney</w:t>
            </w:r>
          </w:p>
        </w:tc>
        <w:tc>
          <w:tcPr>
            <w:tcW w:w="5060" w:type="dxa"/>
            <w:vAlign w:val="bottom"/>
            <w:gridSpan w:val="3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2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Craig Cornelius.</w:t>
            </w:r>
          </w:p>
        </w:tc>
        <w:tc>
          <w:tcPr>
            <w:tcW w:w="304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10.2 to the Company’s Current Report on Form 8-K, filed on December 1, 2021.</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January 18,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January 18,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10.5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10.7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29,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May 24,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10.33 to the Company’s Annual Report on Form 10-K filed on February 22,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10.34 to the Company’s Annual Report on Form 10-K filed on February 22, 2024.</w:t>
      </w:r>
    </w:p>
    <w:p>
      <w:pPr>
        <w:spacing w:after="0" w:line="1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April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April 30,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7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June 25,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July 3,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Quarterly Report on Form 10-Q filed on October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16.1 to the Company’s Current Report on Form 8-K filed on May 10,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Included on the signature page of this Annual Report on Form 10-K.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0"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36" w:name="page137"/>
    <w:bookmarkEnd w:id="136"/>
    <w:tbl>
      <w:tblPr>
        <w:tblLayout w:type="fixed"/>
        <w:tblInd w:w="21"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8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Method of Filing</w:t>
            </w:r>
          </w:p>
        </w:tc>
      </w:tr>
      <w:tr>
        <w:trPr>
          <w:trHeight w:val="142"/>
        </w:trPr>
        <w:tc>
          <w:tcPr>
            <w:tcW w:w="2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w w:val="87"/>
              </w:rPr>
              <w:t>31.2</w:t>
            </w:r>
          </w:p>
        </w:tc>
        <w:tc>
          <w:tcPr>
            <w:tcW w:w="780" w:type="dxa"/>
            <w:vAlign w:val="bottom"/>
          </w:tcPr>
          <w:p>
            <w:pPr>
              <w:spacing w:after="0"/>
              <w:rPr>
                <w:sz w:val="12"/>
                <w:szCs w:val="12"/>
                <w:color w:val="auto"/>
              </w:rPr>
            </w:pPr>
          </w:p>
        </w:tc>
        <w:tc>
          <w:tcPr>
            <w:tcW w:w="3060" w:type="dxa"/>
            <w:vAlign w:val="bottom"/>
            <w:tcBorders>
              <w:bottom w:val="single" w:sz="8" w:color="0000FF"/>
            </w:tcBorders>
            <w:gridSpan w:val="2"/>
          </w:tcPr>
          <w:p>
            <w:pPr>
              <w:spacing w:after="0" w:line="143" w:lineRule="exact"/>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1780" w:type="dxa"/>
            <w:vAlign w:val="bottom"/>
            <w:gridSpan w:val="2"/>
          </w:tcPr>
          <w:p>
            <w:pPr>
              <w:spacing w:after="0"/>
              <w:rPr>
                <w:sz w:val="12"/>
                <w:szCs w:val="12"/>
                <w:color w:val="auto"/>
              </w:rPr>
            </w:pPr>
          </w:p>
        </w:tc>
        <w:tc>
          <w:tcPr>
            <w:tcW w:w="5360" w:type="dxa"/>
            <w:vAlign w:val="bottom"/>
          </w:tcPr>
          <w:p>
            <w:pPr>
              <w:ind w:left="1060"/>
              <w:spacing w:after="0" w:line="143" w:lineRule="exact"/>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780" w:type="dxa"/>
            <w:vAlign w:val="bottom"/>
          </w:tcPr>
          <w:p>
            <w:pPr>
              <w:spacing w:after="0"/>
              <w:rPr>
                <w:sz w:val="13"/>
                <w:szCs w:val="13"/>
                <w:color w:val="auto"/>
              </w:rPr>
            </w:pPr>
          </w:p>
        </w:tc>
        <w:tc>
          <w:tcPr>
            <w:tcW w:w="48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Furnished herewith.</w:t>
            </w: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97</w:t>
            </w:r>
          </w:p>
        </w:tc>
        <w:tc>
          <w:tcPr>
            <w:tcW w:w="780" w:type="dxa"/>
            <w:vAlign w:val="bottom"/>
          </w:tcPr>
          <w:p>
            <w:pPr>
              <w:spacing w:after="0"/>
              <w:rPr>
                <w:sz w:val="13"/>
                <w:szCs w:val="13"/>
                <w:color w:val="auto"/>
              </w:rPr>
            </w:pPr>
          </w:p>
        </w:tc>
        <w:tc>
          <w:tcPr>
            <w:tcW w:w="4840" w:type="dxa"/>
            <w:vAlign w:val="bottom"/>
            <w:gridSpan w:val="4"/>
          </w:tcPr>
          <w:p>
            <w:pPr>
              <w:spacing w:after="0"/>
              <w:rPr>
                <w:rFonts w:ascii="Times New Roman" w:cs="Times New Roman" w:eastAsia="Times New Roman" w:hAnsi="Times New Roman"/>
                <w:sz w:val="13"/>
                <w:szCs w:val="13"/>
                <w:color w:val="0000FF"/>
              </w:rPr>
            </w:pPr>
            <w:hyperlink r:id="rId277">
              <w:r>
                <w:rPr>
                  <w:rFonts w:ascii="Times New Roman" w:cs="Times New Roman" w:eastAsia="Times New Roman" w:hAnsi="Times New Roman"/>
                  <w:sz w:val="13"/>
                  <w:szCs w:val="13"/>
                  <w:color w:val="0000FF"/>
                </w:rPr>
                <w:t>Clearway Energy, Inc. Policy on Recoupment of Incentive Compensation.</w:t>
              </w:r>
            </w:hyperlink>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w w:val="98"/>
              </w:rPr>
              <w:t>Incorporated herein by reference to Exhibit 97 to the Company’s Annual Report on</w:t>
            </w:r>
          </w:p>
        </w:tc>
      </w:tr>
      <w:tr>
        <w:trPr>
          <w:trHeight w:val="139"/>
        </w:trPr>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16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60" w:type="dxa"/>
            <w:vAlign w:val="bottom"/>
          </w:tcPr>
          <w:p>
            <w:pPr>
              <w:spacing w:after="0"/>
              <w:rPr>
                <w:sz w:val="12"/>
                <w:szCs w:val="12"/>
                <w:color w:val="auto"/>
              </w:rPr>
            </w:pPr>
          </w:p>
        </w:tc>
        <w:tc>
          <w:tcPr>
            <w:tcW w:w="5360" w:type="dxa"/>
            <w:vAlign w:val="bottom"/>
          </w:tcPr>
          <w:p>
            <w:pPr>
              <w:ind w:left="1060"/>
              <w:spacing w:after="0" w:line="139" w:lineRule="exact"/>
              <w:rPr>
                <w:sz w:val="20"/>
                <w:szCs w:val="20"/>
                <w:color w:val="auto"/>
              </w:rPr>
            </w:pPr>
            <w:r>
              <w:rPr>
                <w:rFonts w:ascii="Times New Roman" w:cs="Times New Roman" w:eastAsia="Times New Roman" w:hAnsi="Times New Roman"/>
                <w:sz w:val="13"/>
                <w:szCs w:val="13"/>
                <w:color w:val="auto"/>
              </w:rPr>
              <w:t>Form 10-K filed on February 22, 2024.</w:t>
            </w:r>
          </w:p>
        </w:tc>
      </w:tr>
      <w:tr>
        <w:trPr>
          <w:trHeight w:val="165"/>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INS</w:t>
            </w:r>
          </w:p>
        </w:tc>
        <w:tc>
          <w:tcPr>
            <w:tcW w:w="4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SCH</w:t>
            </w:r>
          </w:p>
        </w:tc>
        <w:tc>
          <w:tcPr>
            <w:tcW w:w="4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CAL</w:t>
            </w:r>
          </w:p>
        </w:tc>
        <w:tc>
          <w:tcPr>
            <w:tcW w:w="4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DEF</w:t>
            </w:r>
          </w:p>
        </w:tc>
        <w:tc>
          <w:tcPr>
            <w:tcW w:w="4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LAB</w:t>
            </w:r>
          </w:p>
        </w:tc>
        <w:tc>
          <w:tcPr>
            <w:tcW w:w="4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PRE</w:t>
            </w:r>
          </w:p>
        </w:tc>
        <w:tc>
          <w:tcPr>
            <w:tcW w:w="4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bl>
    <w:p>
      <w:pPr>
        <w:spacing w:after="0" w:line="4" w:lineRule="exact"/>
        <w:rPr>
          <w:sz w:val="20"/>
          <w:szCs w:val="20"/>
          <w:color w:val="auto"/>
        </w:rPr>
      </w:pPr>
    </w:p>
    <w:p>
      <w:pPr>
        <w:ind w:left="1021" w:right="4420" w:hanging="1000"/>
        <w:spacing w:after="0" w:line="235" w:lineRule="auto"/>
        <w:tabs>
          <w:tab w:leader="none" w:pos="1021"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(the cover page interactive data file does not appear in Exhibit 104 because its Inline XBRL tags are embedded within the Inline XBRL document)</w:t>
      </w:r>
    </w:p>
    <w:p>
      <w:pPr>
        <w:spacing w:after="0" w:line="142" w:lineRule="exact"/>
        <w:rPr>
          <w:rFonts w:ascii="Times New Roman" w:cs="Times New Roman" w:eastAsia="Times New Roman" w:hAnsi="Times New Roman"/>
          <w:sz w:val="13"/>
          <w:szCs w:val="13"/>
          <w:color w:val="auto"/>
        </w:rPr>
      </w:pPr>
    </w:p>
    <w:p>
      <w:pPr>
        <w:ind w:left="661" w:hanging="661"/>
        <w:spacing w:after="0"/>
        <w:tabs>
          <w:tab w:leader="none" w:pos="661"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exhibits that constitute compensatory plans or arrangements.</w:t>
      </w:r>
    </w:p>
    <w:p>
      <w:pPr>
        <w:spacing w:after="0" w:line="20" w:lineRule="exact"/>
        <w:rPr>
          <w:sz w:val="20"/>
          <w:szCs w:val="20"/>
          <w:color w:val="auto"/>
        </w:rPr>
      </w:pPr>
    </w:p>
    <w:p>
      <w:pPr>
        <w:ind w:left="661" w:right="220" w:hanging="661"/>
        <w:spacing w:after="0" w:line="235" w:lineRule="auto"/>
        <w:tabs>
          <w:tab w:leader="none" w:pos="66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filing excludes schedules or similar attachments pursuant to Item 601(a)(5) of Regulation S-K, which the registrant agrees to furnish supplementary to the Securities and Exchange Commission upon request by the Commission.</w:t>
      </w:r>
    </w:p>
    <w:p>
      <w:pPr>
        <w:spacing w:after="0" w:line="4" w:lineRule="exact"/>
        <w:rPr>
          <w:sz w:val="20"/>
          <w:szCs w:val="20"/>
          <w:color w:val="auto"/>
        </w:rPr>
      </w:pPr>
    </w:p>
    <w:p>
      <w:pPr>
        <w:ind w:left="661" w:right="100" w:hanging="661"/>
        <w:spacing w:after="0" w:line="235" w:lineRule="auto"/>
        <w:tabs>
          <w:tab w:leader="none" w:pos="661"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portions of this exhibit have been redacted pursuant to Item 601(b)(10)(iv) of Regulation S-K because it (i) is not material and (ii) would likely cause competitive harm to the Registrant if disclosed. The registrant agrees to furnish supplementary an unredacted copy of this exhibit to the Securities and Exchange Commission upon request.</w:t>
      </w: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1"/>
          </w:cols>
          <w:pgMar w:left="319" w:top="763"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color w:val="auto"/>
        </w:rPr>
        <w:t>Item 16 —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7" w:right="1440"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firstLine="223"/>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color w:val="auto"/>
        </w:rPr>
        <w:t>CLEARWAY ENERGY, INC.</w:t>
      </w:r>
    </w:p>
    <w:p>
      <w:pPr>
        <w:ind w:left="7000"/>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14605</wp:posOffset>
            </wp:positionV>
            <wp:extent cx="210185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0">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1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ind w:left="70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Date: February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7"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Craig Cornelius,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0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727" w:right="319" w:bottom="1440" w:gutter="0" w:footer="0" w:header="0"/>
        </w:sectPr>
      </w:pP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26377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2">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3">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5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4">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28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5">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Jonathan Bram</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6">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Nathaniel Anschuetz</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BRIAN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7">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Brian Ford</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8">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Bruce MacLennan</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9">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Daniel B. More</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0">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E. Stanley O’Neal</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1">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Jennifer Lowry</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EMMANUEL BARROIS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2">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Emmanuel Barrois</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MARC-ANTOINE PIGNON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3">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Marc-Antoine Pignon</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OLIVIER JOUNY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4">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Olivier Jouny</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77"/>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53"/>
        </w:trPr>
        <w:tc>
          <w:tcPr>
            <w:tcW w:w="5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420" w:type="dxa"/>
            <w:vAlign w:val="bottom"/>
            <w:gridSpan w:val="2"/>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106"/>
        </w:trPr>
        <w:tc>
          <w:tcPr>
            <w:tcW w:w="5420" w:type="dxa"/>
            <w:vAlign w:val="bottom"/>
            <w:gridSpan w:val="2"/>
            <w:vMerge w:val="restart"/>
          </w:tcPr>
          <w:p>
            <w:pPr>
              <w:ind w:left="1760"/>
              <w:spacing w:after="0" w:line="149" w:lineRule="exact"/>
              <w:rPr>
                <w:sz w:val="20"/>
                <w:szCs w:val="20"/>
                <w:color w:val="auto"/>
              </w:rPr>
            </w:pPr>
            <w:r>
              <w:rPr>
                <w:rFonts w:ascii="Times New Roman" w:cs="Times New Roman" w:eastAsia="Times New Roman" w:hAnsi="Times New Roman"/>
                <w:sz w:val="14"/>
                <w:szCs w:val="14"/>
                <w:color w:val="auto"/>
              </w:rPr>
              <w:t>(Principal Financial Officer and</w:t>
            </w: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5420" w:type="dxa"/>
            <w:vAlign w:val="bottom"/>
            <w:gridSpan w:val="2"/>
            <w:vMerge w:val="continue"/>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Chairman of the Board</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bl>
    <w:p>
      <w:pPr>
        <w:spacing w:after="0" w:line="336" w:lineRule="exact"/>
        <w:rPr>
          <w:sz w:val="20"/>
          <w:szCs w:val="20"/>
          <w:color w:val="auto"/>
        </w:rPr>
      </w:pPr>
    </w:p>
    <w:p>
      <w:pPr>
        <w:sectPr>
          <w:pgSz w:w="11900" w:h="16838" w:orient="portrait"/>
          <w:cols w:equalWidth="0" w:num="2">
            <w:col w:w="2940" w:space="720"/>
            <w:col w:w="7620"/>
          </w:cols>
          <w:pgMar w:left="300" w:top="727" w:right="31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1280"/>
          </w:cols>
          <w:pgMar w:left="300" w:top="727" w:right="31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OF 1934</w:t>
      </w:r>
    </w:p>
    <w:p>
      <w:pPr>
        <w:spacing w:after="0" w:line="353"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As of December 31, 2024, Clearway Energy, Inc. (the “</w:t>
      </w:r>
      <w:r>
        <w:rPr>
          <w:rFonts w:ascii="Times New Roman" w:cs="Times New Roman" w:eastAsia="Times New Roman" w:hAnsi="Times New Roman"/>
          <w:sz w:val="14"/>
          <w:szCs w:val="14"/>
          <w:i w:val="1"/>
          <w:iCs w:val="1"/>
          <w:color w:val="auto"/>
        </w:rPr>
        <w:t>Registrant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Clearway Inc</w:t>
      </w:r>
      <w:r>
        <w:rPr>
          <w:rFonts w:ascii="Times New Roman" w:cs="Times New Roman" w:eastAsia="Times New Roman" w:hAnsi="Times New Roman"/>
          <w:sz w:val="14"/>
          <w:szCs w:val="14"/>
          <w:color w:val="auto"/>
        </w:rPr>
        <w:t>.”) had two classes of securities registered under Section 12 of the Securities Exchange Act of 1934, as amended (the “</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(i) Common Stock, Class A, par value $0.01 per share, and (ii) Common Stock, Class C, par value $0.01 per share.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Clearway Inc.’s Capital Stock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following description of Clearway Inc.’s common stock is a summary and does not purport to be complete. It is subject to and qualified in its entirety by reference to Clearway Inc.’s amended and restated certificate of incorporation, and Clearway Inc.’s fourth amended and restated bylaws, which are exhibits to this Annual Report on Form 10-K and are incorporated by reference herein. The following description may not contain all of the information that is important to you. To understand them fully, you should read Clearway Inc.’s amended and restated certificate of incorporation, Clearway Inc.’s fourth amended and restated bylaws and the applicable provisions of the Delaware General Corporation Law (the “</w:t>
      </w:r>
      <w:r>
        <w:rPr>
          <w:rFonts w:ascii="Times New Roman" w:cs="Times New Roman" w:eastAsia="Times New Roman" w:hAnsi="Times New Roman"/>
          <w:sz w:val="14"/>
          <w:szCs w:val="14"/>
          <w:i w:val="1"/>
          <w:iCs w:val="1"/>
          <w:color w:val="auto"/>
        </w:rPr>
        <w:t>DGCL</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Capitalization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Clearway Inc.’s authorized capital stock consists, as of December 31, 2024, of:</w:t>
      </w:r>
    </w:p>
    <w:p>
      <w:pPr>
        <w:spacing w:after="0" w:line="134" w:lineRule="exact"/>
        <w:rPr>
          <w:sz w:val="20"/>
          <w:szCs w:val="20"/>
          <w:color w:val="auto"/>
        </w:rPr>
      </w:pPr>
    </w:p>
    <w:p>
      <w:pPr>
        <w:ind w:left="1020" w:hanging="506"/>
        <w:spacing w:after="0"/>
        <w:tabs>
          <w:tab w:leader="none" w:pos="10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Class A common stock, par value $0.01 per share (“</w:t>
      </w:r>
      <w:r>
        <w:rPr>
          <w:rFonts w:ascii="Times New Roman" w:cs="Times New Roman" w:eastAsia="Times New Roman" w:hAnsi="Times New Roman"/>
          <w:sz w:val="14"/>
          <w:szCs w:val="14"/>
          <w:i w:val="1"/>
          <w:iCs w:val="1"/>
          <w:color w:val="auto"/>
        </w:rPr>
        <w:t>Class A common stock</w:t>
      </w:r>
      <w:r>
        <w:rPr>
          <w:rFonts w:ascii="Times New Roman" w:cs="Times New Roman" w:eastAsia="Times New Roman" w:hAnsi="Times New Roman"/>
          <w:sz w:val="14"/>
          <w:szCs w:val="14"/>
          <w:color w:val="auto"/>
        </w:rPr>
        <w:t>”), of which 34,613,853 shares are issued and outstanding;</w:t>
      </w:r>
    </w:p>
    <w:p>
      <w:pPr>
        <w:spacing w:after="0" w:line="136"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Class B common stock, par value $0.01 per share (“</w:t>
      </w:r>
      <w:r>
        <w:rPr>
          <w:rFonts w:ascii="Times New Roman" w:cs="Times New Roman" w:eastAsia="Times New Roman" w:hAnsi="Times New Roman"/>
          <w:sz w:val="14"/>
          <w:szCs w:val="14"/>
          <w:i w:val="1"/>
          <w:iCs w:val="1"/>
          <w:color w:val="auto"/>
        </w:rPr>
        <w:t>Class B common stock</w:t>
      </w:r>
      <w:r>
        <w:rPr>
          <w:rFonts w:ascii="Times New Roman" w:cs="Times New Roman" w:eastAsia="Times New Roman" w:hAnsi="Times New Roman"/>
          <w:sz w:val="14"/>
          <w:szCs w:val="14"/>
          <w:color w:val="auto"/>
        </w:rPr>
        <w:t>”), of which 42,738,750 shares are issued and outstanding;</w:t>
      </w:r>
    </w:p>
    <w:p>
      <w:pPr>
        <w:spacing w:after="0" w:line="136"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Class C common stock, par value $0.01 per share (“</w:t>
      </w:r>
      <w:r>
        <w:rPr>
          <w:rFonts w:ascii="Times New Roman" w:cs="Times New Roman" w:eastAsia="Times New Roman" w:hAnsi="Times New Roman"/>
          <w:sz w:val="14"/>
          <w:szCs w:val="14"/>
          <w:i w:val="1"/>
          <w:iCs w:val="1"/>
          <w:color w:val="auto"/>
        </w:rPr>
        <w:t>Class C common stock</w:t>
      </w:r>
      <w:r>
        <w:rPr>
          <w:rFonts w:ascii="Times New Roman" w:cs="Times New Roman" w:eastAsia="Times New Roman" w:hAnsi="Times New Roman"/>
          <w:sz w:val="14"/>
          <w:szCs w:val="14"/>
          <w:color w:val="auto"/>
        </w:rPr>
        <w:t>”), of which 82,833,226 shares are issued and outstanding;</w:t>
      </w:r>
    </w:p>
    <w:p>
      <w:pPr>
        <w:spacing w:after="0" w:line="136"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Class D common stock, par value $0.01 per share (“</w:t>
      </w:r>
      <w:r>
        <w:rPr>
          <w:rFonts w:ascii="Times New Roman" w:cs="Times New Roman" w:eastAsia="Times New Roman" w:hAnsi="Times New Roman"/>
          <w:sz w:val="14"/>
          <w:szCs w:val="14"/>
          <w:i w:val="1"/>
          <w:iCs w:val="1"/>
          <w:color w:val="auto"/>
        </w:rPr>
        <w:t>Class D common stock</w:t>
      </w:r>
      <w:r>
        <w:rPr>
          <w:rFonts w:ascii="Times New Roman" w:cs="Times New Roman" w:eastAsia="Times New Roman" w:hAnsi="Times New Roman"/>
          <w:sz w:val="14"/>
          <w:szCs w:val="14"/>
          <w:color w:val="auto"/>
        </w:rPr>
        <w:t>”), of which 41,961,750 shares are issued and outstanding; and</w:t>
      </w:r>
    </w:p>
    <w:p>
      <w:pPr>
        <w:spacing w:after="0" w:line="13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preferred stock, par value $0.01 per share, none of which are issued and outstanding.</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as of December 31, 2024, (i) an aggregate of 2,786,041 shares of Class A common stock and Class C common stock are reserved for issuance under Clearway Inc.’s equity-based compensation plans, (ii) an aggregate of 42,738,750 shares of Class A common stock are reserved for issuance upon the exchange of Class B units of Clearway Energy LLC (“Clearway LLC”), a direct subsidiary of Clearway Inc., and (iii) an aggregate of 41,961,750 shares of Class C common stock are reserved for issuance upon the exchange of Class D units of Clearway LLC. Unless Clearway Inc.’s Board of Directors (the “</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determines otherwise, Clearway Inc. will issue all shares of its capital stock in uncertificated form.</w:t>
      </w:r>
    </w:p>
    <w:p>
      <w:pPr>
        <w:sectPr>
          <w:pgSz w:w="11900" w:h="16838" w:orient="portrait"/>
          <w:cols w:equalWidth="0" w:num="1">
            <w:col w:w="11280"/>
          </w:cols>
          <w:pgMar w:left="300" w:top="123"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A common stock entitles the holder to one vote with respect to each matter presented to Clearway Inc.’s stockholders on which the holders of Class A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Class A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Clearway Inc.’s outstanding shares of Class A common stock are entitled to receive dividends, if any, as may be declared from time to time by the Board of Directors out of legally available funds. Dividends upon shares of the Class A common stock may be declared by the Board of Directors at any regular or special meeting, and may be paid in cash, in property or in shares of capital stock. The holders of shares of Class A common stock and Class C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the Class A common stock is limited by restrictions on the ability of its subsidiaries to pay dividends or make other distributions to Clearway Inc., including restrictions under the terms of the agreements governing its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Clearway Inc.’s affairs, holders of shares of Class A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Clearway Inc.’s Class A common stock have no preemptive, conversion or other rights to subscribe for additional shares. All outstanding shares are, when sold, validly issued, fully paid and nonassessable. The rights, preferences and privileges of the holders of shares of Class A common stock are subject to, and may be adversely affected by, the rights of the holders of shares of any series of preferred stock that Clearway Inc. may designate and issue in the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Class A common stock is listed on the New York Stock Exchange (the “NYSE”) under the symbol “CWEN.A.”</w:t>
      </w:r>
    </w:p>
    <w:p>
      <w:pPr>
        <w:sectPr>
          <w:pgSz w:w="11900" w:h="16838" w:orient="portrait"/>
          <w:cols w:equalWidth="0" w:num="1">
            <w:col w:w="11280"/>
          </w:cols>
          <w:pgMar w:left="300" w:top="123"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transfer agent and registrar for the Class A common stock is Computershare Shareowner Services, LLC.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B common stock entitles the holder to one vote with respect to each matter presented to Clearway Inc.’s stockholders on which the holders of Class B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B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and Liquidation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Class B common stock do not have any right to receive dividends, other than dividends payable solely in shares of Class B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B common stock in connection with Clearway Inc.’s liquidation.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Shares of Class B common stock are subject to redemption at a price per share equal to par value upon the conversion of Class B units of Clearway LLC to Class A units of Clearway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Class B common stock so redeemed are automatically cancelled and are not available to be reissued.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C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C common stock entitles the holder to 1/100th of one vote with respect to each matter presented to Clearway Inc.’s stockholders on which the holders of Class C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shares of Class C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ectPr>
          <w:pgSz w:w="11900" w:h="16838" w:orient="portrait"/>
          <w:cols w:equalWidth="0" w:num="1">
            <w:col w:w="11280"/>
          </w:cols>
          <w:pgMar w:left="300" w:top="123"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Clearway Inc.’s outstanding shares of Class C common stock are entitled to receive dividends, if any, as may be declared from time to time by the Board of Directors out of legally available funds. Dividends upon shares of Class C common stock may be declared by the Board of Directors at any regular or special meeting, and may be paid in cash, in property or in shares of capital stock. The holders of shares of Class C common stock and Class A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shares of Class C common stock is limited by restrictions on the ability of its subsidiaries to pay dividends or make other distributions to Clearway Inc., including restrictions under the terms of the agreements governing its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Clearway Inc.’s affairs, holders of shares of Class C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Clearway Inc.’s Class C common stock have no preemptive, conversion or other rights to subscribe for additional shares. All outstanding shares are, when issued, validly issued, fully paid and nonassessable. The rights, preferences and privileges of the holders of shares of Class C common stock are subject to, and may be adversely affected by, the rights of the holders of shares of any series of preferred stock that Clearway Inc. may designate and issue in the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Equal Status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Except as expressly provided in Clearway Inc.’s amended and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Clearway Inc.’s stockholders entitled to vote thereon (whether or not Clearway Inc. is the surviving entity), the holders of shares of Class C common stock will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will receive in any such merger, consolidation or combination with respect to their shares of Class A common stock, then the holders of shares of Class C common stock will be entitled to make the same election as to their shares of Class C common stock). In the event of any (i) tender or exchange offer to acquire any shares of Class A common stock or Class B common stock by any third party pursuant to an agreement to which Clearway Inc. is a party; or (ii) any tender or exchange offer or any other redemption or repurchase by Clearway Inc. to acquire any shares of Class A common stock or Class B common stock, the holders of shares of Class C common stock will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will receive in any such tender or exchange offer or other repurchase with respect to their shares of Class A common stock, then the holders of shares of Class C common stock will be entitled to make the same election as to their shares of Class C common stock).</w:t>
      </w:r>
    </w:p>
    <w:p>
      <w:pPr>
        <w:sectPr>
          <w:pgSz w:w="11900" w:h="16838" w:orient="portrait"/>
          <w:cols w:equalWidth="0" w:num="1">
            <w:col w:w="11280"/>
          </w:cols>
          <w:pgMar w:left="300" w:top="123"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Class C common stock is listed on the NYSE under the symbol “CWEN.”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transfer agent and registrar for the Class C common stock is Computershare Shareowner Services,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D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D common stock entitles the holder to 1/100th of one vote with respect to each matter presented to Clearway Inc.’s stockholders on which the holders of Class D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D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and Liquidation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Class D common stock do not have any right to receive dividends, other than dividends payable solely in shares of Class D common stock in the event of payment of a dividend in shares of common stock payable to holders of Class A common stock and Class C common stock, or to receive a distribution upon Clearway Inc.’s liquidation or winding up except for their right to receive payment for the par value of their shares of Class D common stock in connection with Clearway Inc.’s liquidation.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the Board of Directors to issue shares to persons friendly to current management, which issuance could render more difficult or discourage an attempt to obtain control of Clearway Inc. by means of a merger, tender offer, proxy contest or otherwise, and thereby protect the continuity of Clearway Inc.’s management and possibly deprive the stockholders of opportunities to sell their shares at prices higher than prevailing market prices.</w:t>
      </w:r>
    </w:p>
    <w:p>
      <w:pPr>
        <w:sectPr>
          <w:pgSz w:w="11900" w:h="16838" w:orient="portrait"/>
          <w:cols w:equalWidth="0" w:num="1">
            <w:col w:w="11280"/>
          </w:cols>
          <w:pgMar w:left="300" w:top="123"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Under Clearway Inc.’s amended and restated certificate of incorporation, Clearway Inc. will continue to be authorized to issue up to 10,000,000 shares of preferred stock, par value $0.01 per share, none of which is issued and outstanding.</w:t>
      </w:r>
    </w:p>
    <w:p>
      <w:pPr>
        <w:spacing w:after="0" w:line="8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Clearway Inc.’s stockholders. Any preferred stock so issued may rank senior to Clearway Inc.’s common stock with respect to the payment of dividends or amounts upon liquidation, dissolution or winding up, or both. The issuance of preferred stock may have the effect of delaying, deferring or preventing a change in control of Clearway Inc. without further action by Clearway Inc.’s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Clearway Inc. has no plans to issue any preferred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Clearway Inc.’s Certificate of Incorporation and Bylaws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addition to the disproportionate voting rights that Clearway Energy Group LLC (“CEG”) has as a result of its ownership of Class B common stock and Class D common stock, some provisions of Delaware law contain, and Clearway Inc.’s amended and restated certificate of incorporation and Clearway Inc.’s fourth amended and restated bylaws described below contain, a number of provisions which may have the effect of encouraging persons considering unsolicited tender offers or other unilateral takeover proposals to negotiate with the Board of Directors rather than pursue non-negotiated takeover attempts, which Clearway Inc. believes may result in an improvement of the terms of any such acquisition in favor of Clearway Inc.’s stockholders. However, these provisions also give the Board of Directors the power to discourage acquisitions that some stockholders may favor.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ability to authorize undesignated preferred stock will make it possible for the Board of Directors to issue preferred stock with superior voting, special approval, dividend or other rights or preferences on a discriminatory basis that could impede the success of any attempt to acquire Clearway Inc. These and other provisions may have the effect of deferring, delaying or discouraging hostile takeovers, or changes in control or management of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Meetings and Elections of Directors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Special Meetings of Stockholders. </w:t>
      </w:r>
      <w:r>
        <w:rPr>
          <w:rFonts w:ascii="Times New Roman" w:cs="Times New Roman" w:eastAsia="Times New Roman" w:hAnsi="Times New Roman"/>
          <w:sz w:val="14"/>
          <w:szCs w:val="14"/>
          <w:color w:val="auto"/>
        </w:rPr>
        <w:t>Clearway Inc.’s amended and restated certificate of incorporation provides that a special meeting of stockholders may be called only by the Board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a resolution adopted by the affirmative vote of a majority of the total number of directors then in office.</w:t>
      </w:r>
    </w:p>
    <w:p>
      <w:pPr>
        <w:spacing w:after="0" w:line="78"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Elimination of Stockholder Action by Written Consent. </w:t>
      </w:r>
      <w:r>
        <w:rPr>
          <w:rFonts w:ascii="Times New Roman" w:cs="Times New Roman" w:eastAsia="Times New Roman" w:hAnsi="Times New Roman"/>
          <w:sz w:val="14"/>
          <w:szCs w:val="14"/>
          <w:color w:val="auto"/>
        </w:rPr>
        <w:t>Clearway Inc.’s amended and restated certificate of incorporation and its fourth amended and restated bylaws provide that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Clearway Inc.’s common stock cannot act by written consent in lieu of a meeting.</w:t>
      </w:r>
    </w:p>
    <w:p>
      <w:pPr>
        <w:spacing w:after="0" w:line="78"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Vacancies. </w:t>
      </w:r>
      <w:r>
        <w:rPr>
          <w:rFonts w:ascii="Times New Roman" w:cs="Times New Roman" w:eastAsia="Times New Roman" w:hAnsi="Times New Roman"/>
          <w:sz w:val="14"/>
          <w:szCs w:val="14"/>
          <w:color w:val="auto"/>
        </w:rPr>
        <w:t>Any vacancy occurring on the Board of Directors and any newly created directorship may be filled only by a majority of the directors remaining in office (even if less than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quorum), subject to the rights of holders of any series of preferred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Amendments of Certificate of Incorporation. </w:t>
      </w:r>
      <w:r>
        <w:rPr>
          <w:rFonts w:ascii="Times New Roman" w:cs="Times New Roman" w:eastAsia="Times New Roman" w:hAnsi="Times New Roman"/>
          <w:sz w:val="14"/>
          <w:szCs w:val="14"/>
          <w:color w:val="auto"/>
        </w:rPr>
        <w:t>The provisions described above under “—Special Meetings of Stockholders,” “—Elimination of Stockholder Action by Written Consent” and “—</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Vacancies” may be amended only by the affirmative vote of holders of at least two-thirds of the combined voting power of outstanding shares of Clearway Inc.’s capital stock entitled to vote in the election of directors, voting together as a single class.</w:t>
      </w:r>
    </w:p>
    <w:p>
      <w:pPr>
        <w:sectPr>
          <w:pgSz w:w="11900" w:h="16838" w:orient="portrait"/>
          <w:cols w:equalWidth="0" w:num="1">
            <w:col w:w="11280"/>
          </w:cols>
          <w:pgMar w:left="300" w:top="123"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Amendment of Bylaws. </w:t>
      </w:r>
      <w:r>
        <w:rPr>
          <w:rFonts w:ascii="Times New Roman" w:cs="Times New Roman" w:eastAsia="Times New Roman" w:hAnsi="Times New Roman"/>
          <w:sz w:val="14"/>
          <w:szCs w:val="14"/>
          <w:color w:val="auto"/>
        </w:rPr>
        <w:t>The Board of Directors has the power to make, alter, amend, change or repeal Clearway Inc.’s bylaws or adopt new bylaws by the affirmative vote of a majority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total number of directors then in office.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Notice Provisions Relating to Stockholder Proposals and Nominees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Inc.’s fourth amended and restated bylaws also impose some procedural requirements on stockholders who wish to make nominations in the election of directors or propose any other business to be brought before an annual or special meeting of stockholders.</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Specifically, a stockholder may (i) bring a proposal before an annual meeting of stockholders, (ii) nominate a candidate for election to the Board of Directors at an annual meeting of stockholders, or (iii) nominate a candidate for election to the Board of Directors at a special meeting of stockholders that has been called for the purpose of electing directors, only if such stockholder delivers timely notice to Clearway Inc.’s corporate secretary. The notice must be in writing and must include certain information and comply with the delivery requirements as set forth in Clearway Inc.’s fourth amended and restated bylaws.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be timely, a stockholder’s notice must be received at Clearway Inc.’s principal executive offices:</w:t>
      </w:r>
    </w:p>
    <w:p>
      <w:pPr>
        <w:spacing w:after="0" w:line="136" w:lineRule="exact"/>
        <w:rPr>
          <w:sz w:val="20"/>
          <w:szCs w:val="20"/>
          <w:color w:val="auto"/>
        </w:rPr>
      </w:pPr>
    </w:p>
    <w:p>
      <w:pPr>
        <w:jc w:val="both"/>
        <w:ind w:left="520" w:hanging="260"/>
        <w:spacing w:after="0" w:line="261" w:lineRule="auto"/>
        <w:tabs>
          <w:tab w:leader="none" w:pos="516"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the date of the annual meeting is advanced more than 30 days before or delayed 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Clearway Inc.;</w:t>
      </w:r>
    </w:p>
    <w:p>
      <w:pPr>
        <w:spacing w:after="0" w:line="10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Clearway Inc..</w:t>
      </w:r>
    </w:p>
    <w:p>
      <w:pPr>
        <w:spacing w:after="0" w:line="93"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With respect to special meetings of stockholders, Clearway Inc.’s fourth amended and restated bylaws provide that only such business shall be conducted as shall have been stated in the notice of the meeting.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Law</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Inc. has opted out of Section 203 of the DGCL. However, Clearway Inc.’s amended and restated certificate of incorporation provides that in the event Global Infrastructure Investors III, LLC and its affiliates cease to beneficially own at least 5% of the total voting power of all the then outstanding shares of Clearway Inc.’s capital stock, Clearway Inc.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09" w:lineRule="exact"/>
        <w:rPr>
          <w:sz w:val="20"/>
          <w:szCs w:val="20"/>
          <w:color w:val="auto"/>
        </w:rPr>
      </w:pPr>
    </w:p>
    <w:p>
      <w:pPr>
        <w:ind w:left="520" w:hanging="260"/>
        <w:spacing w:after="0"/>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approved either the business combination or the transaction that resulted in the stockholder becoming an interested stockholder;</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the Board of Directors and by the affirmative vote of holders of at least 66 2/3% of the outstanding voting stock that is not owned by the interested stockholder.</w:t>
      </w:r>
    </w:p>
    <w:p>
      <w:pPr>
        <w:sectPr>
          <w:pgSz w:w="11900" w:h="16838" w:orient="portrait"/>
          <w:cols w:equalWidth="0" w:num="1">
            <w:col w:w="11280"/>
          </w:cols>
          <w:pgMar w:left="300" w:top="122" w:right="3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Clearway Inc.’s voting stock.</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Clearway Inc. to negotiate in advance with the Board of Directors because the stockholder approval requirement would be avoided if the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Any amendments to Clearway Inc.’s amended and restated certificate of incorporation, subject to the rights of holders of Clearway Inc.’s preferred stock, regarding the provisions thereof summarized under “—Antitakeover Effects of Delaware Law and Clearway Inc.’s Certificate of Incorporation and Bylaws” will require the affirmative vote of at least 66 2/3% of the voting power of all shares of common stock then outstanding.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Fourth Amended and Restated Limited Liability Company Agreement of Clearway Energy LLC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description of the material terms of the fourth amended and restated limited liability company agreement of Clearway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Inc. serves as the sole managing member of Clearway LLC. As such, Clearway Inc., and effectively the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Clearway Inc.’s independent directors.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and Economic Rights of Members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Clearway LLC has issued four classes of units: Class A units and Class C units, which may only be issued to Clearway Inc., as the sole managing member, and Class B units and Class D units, which may only be issued to CEG and held by CEG or its permitted assignees or permitted transferees (collectively, the “CEG Member”).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subject to equitable adjustments for stock splits, dividends and reclassifications in accordance with the terms of the Exchange Agreement (as described below), and each Class D unit is exchangeable for a share of Clearway Inc.’s Class C common stock, subject to equitable adjustments for stock splits, dividends and reclassifications in accordance with the terms of the Exchange Agreement. When the CEG Member exchanges a Class B unit of Clearway LLC for a share of Clearway Inc.’s Class A common stock, Clearway Inc. will automatically redeem and cancel a corresponding share of Class B common stock, and the Class B unit will automatically convert into a Class A unit of Clearway LLC issued to Clearway Inc. When the CEG Member exchanges a Class D unit of Clearway LLC for a share of Clearway Inc.’s Class C common stock, Clearway Inc. will automatically redeem and cancel a corresponding share of Clearway Inc.’s Class D common stock, and the Class D unit will automatically convert into a Class C unit of Clearway LLC issued to Clearway Inc. None of the units have any voting rights.</w:t>
      </w:r>
    </w:p>
    <w:p>
      <w:pPr>
        <w:sectPr>
          <w:pgSz w:w="11900" w:h="16838" w:orient="portrait"/>
          <w:cols w:equalWidth="0" w:num="1">
            <w:col w:w="11280"/>
          </w:cols>
          <w:pgMar w:left="300" w:top="123"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Net profits and net losses and distributions by Clearway LLC are allocated and made to holders of units in accordance with the respective number of membership units of Clearway LLC held. Clearway LLC will make distributions to Clearway Inc.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Clearway Inc.’s operations are conducted primarily through Clearway Energy Operating LLC (“Clearway Operating LLC”), a wholly owned subsidiary of Clearway LLC, and Clearway Operating LLC’s Amended and Restated Credit Agreement restricts the ability of Clearway Operating LLC to make distributions to Clearway LLC, Clearway LLC may not have any funds available to make distributions to Clearway Inc. and CEG (including with respect to tax obligations).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Coordination of Clearway Inc. and Clearway LLC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At any time Clearway Inc. issues a share of its Class A common stock or Class C common stock for cash, the net proceeds therefrom will promptly be transferred to Clearway LLC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LLC will either:</w:t>
      </w:r>
    </w:p>
    <w:p>
      <w:pPr>
        <w:spacing w:after="0" w:line="111" w:lineRule="exact"/>
        <w:rPr>
          <w:sz w:val="20"/>
          <w:szCs w:val="20"/>
          <w:color w:val="auto"/>
        </w:rPr>
      </w:pPr>
    </w:p>
    <w:p>
      <w:pPr>
        <w:ind w:left="520" w:right="100" w:hanging="260"/>
        <w:spacing w:after="0" w:line="254" w:lineRule="auto"/>
        <w:tabs>
          <w:tab w:leader="none" w:pos="51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transfer a newly issued Class A unit of Clearway LLC to Clearway Inc. in the case of the issuance of a share of Class A common stock, or transfer a newly issued Class C unit of Clearway LLC to Clearway Inc. in the case of the issuance of a share of Class C common stock or (ii) purchase Class B Units or Class D Units from the CEG Member, which Class B Units or Class D Units, as applicable, will automatically be reclassified into Class A Units or Class Units, as applicable; or</w:t>
      </w:r>
    </w:p>
    <w:p>
      <w:pPr>
        <w:spacing w:after="0" w:line="10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a portion of the net proceeds to purchase a Class B unit of Clearway LLC from the CEG Member in the case of the issuance of a share of Class A common stock, which Class B unit will automatically convert into a Class A unit of Clearway LLC when transferred to Clearway Inc. or use the net proceeds to purchase a Class D unit of Clearway LLC from the CEG Member in the case of the issuance of a share of Class C common stock, which Class D unit will automatically convert into a Class C unit of Clearway LLC when transferred to Clearway Inc.</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the event Clearway LLC purchases a Class B unit or a Class D unit of Clearway LLC from the CEG Member, Clearway Inc. will concurrently redeem and cancel the corresponding share of its Class B common stock or Class D common stock, as applicable.</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 its units of the corresponding classes or series) held by Clearway Inc. upon the same terms and for the same price, as the shares of Class A common stock or Class C common stock (or equity securities of such other classes or series) so redeemed.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Issuances and Transfer of Units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Class A units and Class C units may only be issued to Clearway Inc., as the sole managing member of Clearway LLC, and are non-transferable except upon redemption by Clearway LLC. Class B units and Class D units may only be issued to the CEG Member. Class B units and Class D units may not be transferred without Clearway Inc.’s consent, which may not be unreasonably withheld, conditioned or delayed, except the CEG Member may transfer Class B units or Class D units to any of its direct or indirect limited partners or other equityholders and to a permitted transferee (including an affiliate) without Clearway Inc.’s consent. The CEG Member may not transfer any Class B units or Class D units to any person unless the CEG Member transfers an equal number of shares of Clearway Inc.’s Class B common stock or Class D common stock, as applicable, to the same transferee.</w:t>
      </w:r>
    </w:p>
    <w:p>
      <w:pPr>
        <w:sectPr>
          <w:pgSz w:w="11900" w:h="16838" w:orient="portrait"/>
          <w:cols w:equalWidth="0" w:num="1">
            <w:col w:w="11280"/>
          </w:cols>
          <w:pgMar w:left="300" w:top="122"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Agreement</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Clearway Inc. is a party to a Second Amended and Restated Exchange Agreement with CEG and Clearway LLC, pursuant to which CEG Members may from time to time cause Clearway LLC to exchange its Class B units for shares of Clearway Inc.’s Class A common stock on a one-for-one basis, subject to adjustments for stock splits, stock dividends and reclassifications, or to exchange its Class D units for shares of Clearway Inc.’s Class C common stock on a one-for-one basis, subject to adjustments for stock splits, stock dividends, and reclassifications (the “</w:t>
      </w:r>
      <w:r>
        <w:rPr>
          <w:rFonts w:ascii="Times New Roman" w:cs="Times New Roman" w:eastAsia="Times New Roman" w:hAnsi="Times New Roman"/>
          <w:sz w:val="14"/>
          <w:szCs w:val="14"/>
          <w:i w:val="1"/>
          <w:iCs w:val="1"/>
          <w:color w:val="auto"/>
        </w:rPr>
        <w:t>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 The Exchange Agreement also provides that, subject to certain exceptions, CEG Members do not have the right to cause Clearway LLC to exchange Class B or Class D units if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When a CEG Member exchanges a Class B unit of Clearway LLC for a share of Clearway Inc.’s Class A common stock, Clearway Inc. will automatically redeem and cancel a corresponding share of Clearway Inc.’s Class B common stock and the Class B unit will automatically convert into a Class A unit when issued to Clearway Inc. Similarly, when a CEG Member exchanges a Class D unit of Clearway LLC for a share of Clearway Inc.’s Class C common stock, Clearway Inc. will automatically redeem and cancel a corresponding share of Clearway Inc.’s Class D common stock and the Class D unit will automatically convert into a Class C unit when issued to Clearway Inc. As a result, when a CEG Member exchanges its Class B units for shares of Clearway Inc.’s Class A common stock, or its Class D units for shares of Clearway Inc.’s Class C common stock, Clearway Inc.’s interest in Clearway LLC will be correspondingly increased.</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Additionally, when a CEG Member exchanges a Class B unit or Class D unit of Clearway LLC, the CEG Member will pay Clearway Inc. an equitable cash settlement on the applicable exchange date for the value of certain of Clearway Inc.’s assets that are not held through Clearway LLC. The amount of any such payment will be calculated based on the net present value of the projected discounted cash flow of such assets, using a discount rate equal to the weighted average cost of capital for such assets, and the daily volume-weighted average closing price of Clearway Inc.’s Class A common stock or Class C common stock, as applicable, for the trailing 30 trading days ending on the second trading day prior to the applicable exchange date.</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Inc. has reserved for issuance 42,738,750 shares of Clearway Inc.’s Class A common stock, which is the aggregate number of shares of Class A common stock expected to be issued over time upon the exchange of all Class B units of Clearway LLC currently outstanding, and 41,961,750 shares of Clearway Inc.’s Class C common stock, which is the aggregate number of shares of Class C common stock expected to be issued over time upon the exchange of all Class D units of Clearway LLC currently outstanding.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and Exculpation</w:t>
      </w:r>
    </w:p>
    <w:p>
      <w:pPr>
        <w:spacing w:after="0" w:line="18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To the extent permitted by applicable law, Clearway LLC will indemnify its managing member, Clearway Inc.’s authorized officers and Clearway Inc.’s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Amended and Restated Registration Rights Agreement</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Inc. entered into an amended and restated registration rights agreement with CEG (as successor-in-interest to NRG Energy, Inc.), pursuant to which CEG and its affiliates will be entitled to demand registration rights,</w:t>
      </w:r>
    </w:p>
    <w:p>
      <w:pPr>
        <w:sectPr>
          <w:pgSz w:w="11900" w:h="16838" w:orient="portrait"/>
          <w:cols w:equalWidth="0" w:num="1">
            <w:col w:w="11280"/>
          </w:cols>
          <w:pgMar w:left="300" w:top="123" w:right="3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including the right to demand that a shelf registration statement be filed, and “piggyback” registration rights, for shares of Clearway Inc.’s Class A common stock that are issuable upon exchange of Class B units of Clearway LLC that CEG owns, and for shares of Clearway Inc.’s Class C common stock that are issuable upon exchange of Class D units of Clearway LLC that CEG owns.</w:t>
      </w:r>
    </w:p>
    <w:p>
      <w:pPr>
        <w:sectPr>
          <w:pgSz w:w="11900" w:h="16838" w:orient="portrait"/>
          <w:cols w:equalWidth="0" w:num="1">
            <w:col w:w="11280"/>
          </w:cols>
          <w:pgMar w:left="300" w:top="123" w:right="319" w:bottom="1440" w:gutter="0" w:footer="0" w:header="0"/>
        </w:sectPr>
      </w:pPr>
    </w:p>
    <w:bookmarkStart w:id="151" w:name="page152"/>
    <w:bookmarkEnd w:id="151"/>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both"/>
        <w:spacing w:after="0" w:line="287" w:lineRule="auto"/>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both"/>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both"/>
        <w:spacing w:after="0" w:line="287" w:lineRule="auto"/>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784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4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4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2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2011 Finance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AC Solar Holdings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Borrower 1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Borrower 2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Solar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Solar,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Landco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Realty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Realty Investments,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Vista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1-5 Holding Company,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Asset Management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Asset Management,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Holdings,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IV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IV,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V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V,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X-XI TE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Apple 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Arapahoe Community Solar Garden 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Arica Solar Pledgor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Arica Solar,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Avenal Park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196" w:name="page197"/>
    <w:bookmarkEnd w:id="196"/>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8100" w:type="dxa"/>
            <w:vAlign w:val="bottom"/>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1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08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Avenal Solar Holdings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Bashaw Solar 1,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Big Lake Holdco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Cat Road Solar,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Class B Holdco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TE Holdco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Wind Force,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Wind Holding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Start Battery Holdings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Start Battery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Bluestone Solar,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BMP Wind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Broken Bow Wind,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Brook Street Solar 1,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Holdings,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Renewables,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Solar Portfolio,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Westex,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Buffalo Bear,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Bullock Road Solar 1,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BWC Swan Pond River,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Capistrano Portfolio Holdco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Capistrano Portfolio Holdings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Energy Center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Energy Holdings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Holdco II,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Holdco,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CBAD Holdings II,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CBAD Holdings,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Class B Holdco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Holdco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TE Holdco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Wind Holdco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Wind Holdings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Wind,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Cedro Hill BL Borrower Holdco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Cedro Hill Class B Member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Cedro Hill TE Holdco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Cedro Hill Wind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Center St Solar 1,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Chestnut Class B LLC</w:t>
            </w:r>
          </w:p>
        </w:tc>
        <w:tc>
          <w:tcPr>
            <w:tcW w:w="40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Chestnut Fund Sub LLC</w:t>
            </w:r>
          </w:p>
        </w:tc>
        <w:tc>
          <w:tcPr>
            <w:tcW w:w="40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197" w:name="page198"/>
    <w:bookmarkEnd w:id="197"/>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360" w:type="dxa"/>
            <w:vAlign w:val="bottom"/>
          </w:tcPr>
          <w:p>
            <w:pPr>
              <w:spacing w:after="0"/>
              <w:rPr>
                <w:sz w:val="17"/>
                <w:szCs w:val="17"/>
                <w:color w:val="auto"/>
              </w:rPr>
            </w:pPr>
          </w:p>
        </w:tc>
        <w:tc>
          <w:tcPr>
            <w:tcW w:w="788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36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6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Chisago Holdco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Clara City Solar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&amp; EFS Distributed Solar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AC Solar Holdings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Chestnut Fund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DG Lakeland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Energy Finance Inc.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Energy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Energy Operating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Solar Star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Walnut Creek II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West Holdings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CMR Solar,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Colorado Shared Solar I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Colorado Springs Solar Garden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Continental Energy,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Crofton Bluffs Wind,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CVSR Holdco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CVSR Holdings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Holdco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Holdings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CWSP Rattlesnake Holding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Class B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2 Project Sub II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Project Sub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2 TargetCo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TE Holdco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3 Project Sub II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3 Project Sub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Class B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Renewable Holdco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Holdco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Solar Investment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Power 2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Solar Power 3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TargetCo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TE Holdco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Class B Holdco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Parent Holdco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Parent Holdings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TargetCo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Tax Credit Holdco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198" w:name="page199"/>
    <w:bookmarkEnd w:id="198"/>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300" w:type="dxa"/>
            <w:vAlign w:val="bottom"/>
          </w:tcPr>
          <w:p>
            <w:pPr>
              <w:spacing w:after="0"/>
              <w:rPr>
                <w:sz w:val="17"/>
                <w:szCs w:val="17"/>
                <w:color w:val="auto"/>
              </w:rPr>
            </w:pPr>
          </w:p>
        </w:tc>
        <w:tc>
          <w:tcPr>
            <w:tcW w:w="794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3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92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Wind Force Pledgor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Wind Force,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II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250,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300,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Investment Holdings,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Berkeley Rec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Berkeley Village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Central East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Central West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Contra Costa Operations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Contra Costa Waste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Crystal Spring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Dighton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Foxborough Elm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Foxborough Landfill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Grantland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Haverhill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Imperial Admin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Imperial Building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Lathrop Louise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Lincoln Middle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Marathon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Rosedale Elementary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Rosedale Middle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San Joaquin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SREC HoldCo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SREC Holdings 1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Tufts Knoll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Tufts Science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Washington Middle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Webster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DG-CS Holdco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DG-CS Holdings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DG-CS Master Borrower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1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2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3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4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1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199" w:name="page200"/>
    <w:bookmarkEnd w:id="199"/>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77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5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5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68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2 HoldCo A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2 HoldCo B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2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4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4 Sub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Holding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Dodge Holdco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Eastman Street Solar 1,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 Mirage Energy,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 Segundo Energy Center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Elbow Creek Repowering Tax Equity Holdco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Elbow Creek Wind Project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Elkhorn Holdings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Elkhorn Ridge Wind,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Enterprise Solar,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Escalante Solar I,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Escalante Solar II,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Escalante Solar III,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ETCAP NES CS MN 02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ETCAP NES CS MN 06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Farmington Holdco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Federal Road Solar 1,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Forest Lake Holdco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Forward WindPower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Four Brothers Holdings,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Four Brothers Solar,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Frontenac Holdco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FUSD Energy,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GCE Holding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GenConn Devon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GenConn Energy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GenConn Middletown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Goat Wind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Golden Fields Solar III,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Golden Puma Fund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Grabinski Solar,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Holdings,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Renewables,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Solar East,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Solar West,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High Plains Ranch II,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HLE Solar Holdings,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00" w:name="page201"/>
    <w:bookmarkEnd w:id="200"/>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260" w:type="dxa"/>
            <w:vAlign w:val="bottom"/>
          </w:tcPr>
          <w:p>
            <w:pPr>
              <w:spacing w:after="0"/>
              <w:rPr>
                <w:sz w:val="17"/>
                <w:szCs w:val="17"/>
                <w:color w:val="auto"/>
              </w:rPr>
            </w:pPr>
          </w:p>
        </w:tc>
        <w:tc>
          <w:tcPr>
            <w:tcW w:w="79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26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96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Honeycomb 1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Honeycomb 1 Holdings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HSD Solar Holdings,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Hwy 14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Iron Springs Holdings,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Iron Springs Renewables,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Iron Springs Solar,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Class B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Holding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Tax Equity Partnership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Wind Power,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Lanikuhana Solar,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Hawaii</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Laredo Ridge Wind,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Lenape II Solar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Class A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Holdco 2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Holding Sub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Holdings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Lindberg Field Solar 1,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Lindberg Field Solar 2,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Longhorn Energy,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Lookout WindPower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LV-Daggett Parent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LV-Daggett Parent Holdings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Mapleton Solar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Marsh Landing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Marsh Landing Holdings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Marsh Landing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MC1 Solar Farm,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North Carolina</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Sky Class B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Sky Holding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Sky TE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Star Class B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Star Special,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Star Tax Equity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BL Borrower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Class B Member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I Solar,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TE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Minisink Solar 1,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Minisink Solar 2,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01" w:name="page202"/>
    <w:bookmarkEnd w:id="201"/>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816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0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08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14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Iowa Wind,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Broken Bow,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Cedro,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Crofton Bluffs,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Laredo,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New Mexico,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Oklahoma,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PA One,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PA Three,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PA Two,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Pennsylvania,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Utah,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Wyoming,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Monster Energy,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Montevideo Solar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Mount Hope Solar 1,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Mountain Wind Power II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Mountain Wind Power,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CA Holdco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Natural Gas CA Holdings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Repowering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NedPower Mount Storm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Munich Solar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HoldCo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NIMH Solar Holdings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Northfield Holdco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NS Smith,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Renewables,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Oahu Solar Holdings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Solar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 Solar 2010,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Holdco 2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Holdco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Holdings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LP</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Old Westminster Solar 1,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Old Westminster Solar 2,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Olinda Trail Solar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Osakis Solar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Partridgeville Road Solar 1, LLC</w:t>
            </w:r>
          </w:p>
        </w:tc>
        <w:tc>
          <w:tcPr>
            <w:tcW w:w="41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PC Dinuba LLC</w:t>
            </w:r>
          </w:p>
        </w:tc>
        <w:tc>
          <w:tcPr>
            <w:tcW w:w="41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02" w:name="page203"/>
    <w:bookmarkEnd w:id="202"/>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78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42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0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PESD Energy,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Pikes Peak Solar Garden I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CE Class A Owner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TE Class A Owner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Island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Repowering Tax Equity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Wind,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PM Solar Holdings,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Pond Road Solar,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Portfolio Solar I,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Puma Class B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Rattlesnake Class B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Rattlesnake Flat,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Rattlesnake TE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Redbrook Solar 1,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Canal 1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Solar CS4 Class B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Solar CS4 Fund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Spark 2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Repowering Partnership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Repowering Partnership II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Rollingstone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Rosamond Solar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Rosamond Solar Investment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Rosamond South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Rosamond South Investment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Class B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Project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TargetCo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TE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Rounseville Solar 1,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RPV Holding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San Juan Mesa Investments,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 Juan Mesa Wind Project,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Sand Drag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Sartell Solar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SCDA Solar 1,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SCWFD Energy,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SJA Solar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03" w:name="page204"/>
    <w:bookmarkEnd w:id="203"/>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52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0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Sleeping Bear,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Alpine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Apple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AV Holdco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Avra Valley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Blythe II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Blythe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Borrego Holdco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Borrego 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Community 1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Community Holdco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CVSR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Flagstaff One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Iguana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Kansas South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Kansas South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Las Vegas MB 1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Las Vegas MB 2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Mayfair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Mule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Oasis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Roadrunner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Roadrunner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Tabernacle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Warren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Wauwinet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West Shaft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South Trent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South Trent Wind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Spanish Fork Wind Park 2,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Utah</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Asset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II-B,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Lease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P-IV Master Lessee,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Energy II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Energy III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Class B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Expansion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04" w:name="page205"/>
    <w:bookmarkEnd w:id="204"/>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814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1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12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Interconnection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TE Holdco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TE Holdings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Street Solar 1,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1,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Stafford St Solar 2,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3,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Stearns Solar I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Steel Bridge Solar,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Sun City Project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 - High Desert,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Taloga Wind,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Tapestry Wind,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Texas Solar Nova 1,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Texas Solar Nova 2,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Topeka Solar 1,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1,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2,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4,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5,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TSN1 BL Borrower Holdco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TSN1 Class B Member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TSN1 TE Holdco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Tully Farms Solar 1,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Underhill Solar,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Holdings II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Holdings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Master HoldCo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Master Holdings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 Energy,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Victory Pass I,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Victory Pass Pledgor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Viento Funding II,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Viento Funding,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Class B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Parent Holdco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Parent Holdings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TargetCo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TE Holdco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Holdco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Solar II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05" w:name="page206"/>
    <w:bookmarkEnd w:id="205"/>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77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48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4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Solar III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Solar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Waiawa Solar Power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Waipio PV,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Walnut Creek Energy,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Walnut Creek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Washington Wind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Washington Wind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Waterford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WCEP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Webster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WECAT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Wildcat Energy,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71"/>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Wildorado Interconnect, LLC</w:t>
            </w:r>
          </w:p>
        </w:tc>
        <w:tc>
          <w:tcPr>
            <w:tcW w:w="3740" w:type="dxa"/>
            <w:vAlign w:val="bottom"/>
            <w:tcBorders>
              <w:bottom w:val="single" w:sz="8" w:color="auto"/>
              <w:right w:val="single" w:sz="8" w:color="auto"/>
            </w:tcBorders>
            <w:shd w:val="clear" w:color="auto" w:fill="CCEEFF"/>
          </w:tcPr>
          <w:p>
            <w:pPr>
              <w:spacing w:after="0"/>
              <w:rPr>
                <w:sz w:val="14"/>
                <w:szCs w:val="14"/>
                <w:color w:val="auto"/>
              </w:rPr>
            </w:pPr>
          </w:p>
        </w:tc>
        <w:tc>
          <w:tcPr>
            <w:tcW w:w="380" w:type="dxa"/>
            <w:vAlign w:val="bottom"/>
            <w:tcBorders>
              <w:bottom w:val="single" w:sz="8" w:color="auto"/>
              <w:right w:val="single" w:sz="8" w:color="auto"/>
            </w:tcBorders>
            <w:shd w:val="clear" w:color="auto" w:fill="CCEEFF"/>
          </w:tcPr>
          <w:p>
            <w:pPr>
              <w:spacing w:after="0"/>
              <w:rPr>
                <w:sz w:val="14"/>
                <w:szCs w:val="14"/>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Texas</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Wildorado Repowering Tax Equity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Wildorado Wind,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Wilmarth Lane Solar 1,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Wind TE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Winona Solar 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Winona Solar 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WSD Solar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WV Wind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WV Wind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Zephyr Oahu Partnership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5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 (No. 333-273804) and Form S-8 (Nos. 333-206061, 333-190071 and 333-255727) of Clearway Energy, Inc. of our report dated February 24, 2025 relating to the financial statements, financial statement schedules and the effectiveness of internal control over financial reporting, which appears in this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ectPr>
          <w:pgSz w:w="11900" w:h="16838" w:orient="portrait"/>
          <w:cols w:equalWidth="0" w:num="1">
            <w:col w:w="11280"/>
          </w:cols>
          <w:pgMar w:left="300" w:top="950" w:right="31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3" w:lineRule="exact"/>
        <w:rPr>
          <w:sz w:val="20"/>
          <w:szCs w:val="20"/>
          <w:color w:val="auto"/>
        </w:rPr>
      </w:pPr>
    </w:p>
    <w:p>
      <w:pPr>
        <w:ind w:left="520" w:hanging="210"/>
        <w:spacing w:after="0"/>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333-206061) pertaining to the NRG Yield, Inc. 2013 Equity Incentive Plan,</w:t>
      </w:r>
    </w:p>
    <w:p>
      <w:pPr>
        <w:spacing w:after="0" w:line="36"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333-190071) pertaining to the NRG Yield, Inc. 2013 Equity Incentive Plan,</w:t>
      </w:r>
    </w:p>
    <w:p>
      <w:pPr>
        <w:spacing w:after="0" w:line="51"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333-255727) pertaining to the Clearway Energy, Inc. 2013 Amended and Restated Equity Incentive Plan, and</w:t>
      </w:r>
    </w:p>
    <w:p>
      <w:pPr>
        <w:spacing w:after="0" w:line="51"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333-273804) of Clearway Energy, Inc..</w:t>
      </w:r>
    </w:p>
    <w:p>
      <w:pPr>
        <w:spacing w:after="0" w:line="2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 dated February 22, 2024, with respect to the consolidated financial statements of Clearway Energy, Inc. included in this Annual Report (Form 10-K) of Clearway Energy, Inc. for the year ended December 31, 2024.</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ectPr>
          <w:pgSz w:w="11900" w:h="16838" w:orient="portrait"/>
          <w:cols w:equalWidth="0" w:num="1">
            <w:col w:w="11280"/>
          </w:cols>
          <w:pgMar w:left="300" w:top="950" w:right="31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Craig Cornelius, certify that:</w:t>
      </w:r>
    </w:p>
    <w:p>
      <w:pPr>
        <w:spacing w:after="0" w:line="274" w:lineRule="exact"/>
        <w:rPr>
          <w:sz w:val="20"/>
          <w:szCs w:val="20"/>
          <w:color w:val="auto"/>
        </w:rPr>
      </w:pPr>
    </w:p>
    <w:p>
      <w:pPr>
        <w:ind w:left="520" w:hanging="515"/>
        <w:spacing w:after="0"/>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266128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7">
                      <a:extLst>
                        <a:ext uri="{28A0092B-C50C-407E-A947-70E740481C1C}"/>
                      </a:extLst>
                    </a:blip>
                    <a:srcRect/>
                    <a:stretch>
                      <a:fillRect/>
                    </a:stretch>
                  </pic:blipFill>
                  <pic:spPr bwMode="auto">
                    <a:xfrm>
                      <a:off x="0" y="0"/>
                      <a:ext cx="2661285" cy="698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Craig Cornelius</w:t>
      </w:r>
    </w:p>
    <w:p>
      <w:pPr>
        <w:ind w:left="586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2025</w:t>
      </w:r>
    </w:p>
    <w:p>
      <w:pPr>
        <w:sectPr>
          <w:pgSz w:w="11900" w:h="16838" w:orient="portrait"/>
          <w:cols w:equalWidth="0" w:num="1">
            <w:col w:w="11280"/>
          </w:cols>
          <w:pgMar w:left="300" w:top="802" w:right="31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63" w:lineRule="exact"/>
        <w:rPr>
          <w:sz w:val="20"/>
          <w:szCs w:val="20"/>
          <w:color w:val="auto"/>
        </w:rPr>
      </w:pPr>
    </w:p>
    <w:p>
      <w:pPr>
        <w:ind w:left="520" w:hanging="515"/>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2"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14605</wp:posOffset>
            </wp:positionV>
            <wp:extent cx="282956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8">
                      <a:extLst>
                        <a:ext uri="{28A0092B-C50C-407E-A947-70E740481C1C}"/>
                      </a:extLst>
                    </a:blip>
                    <a:srcRect/>
                    <a:stretch>
                      <a:fillRect/>
                    </a:stretch>
                  </pic:blipFill>
                  <pic:spPr bwMode="auto">
                    <a:xfrm>
                      <a:off x="0" y="0"/>
                      <a:ext cx="2829560" cy="6985"/>
                    </a:xfrm>
                    <a:prstGeom prst="rect">
                      <a:avLst/>
                    </a:prstGeom>
                    <a:noFill/>
                  </pic:spPr>
                </pic:pic>
              </a:graphicData>
            </a:graphic>
          </wp:anchor>
        </w:drawing>
      </w:r>
    </w:p>
    <w:p>
      <w:pPr>
        <w:spacing w:after="0" w:line="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Sarah Rubenstein</w:t>
      </w:r>
    </w:p>
    <w:p>
      <w:pPr>
        <w:ind w:left="6000"/>
        <w:spacing w:after="0" w:line="210"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6000"/>
        <w:spacing w:after="0" w:line="206"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600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2025</w:t>
      </w:r>
    </w:p>
    <w:p>
      <w:pPr>
        <w:sectPr>
          <w:pgSz w:w="11900" w:h="16838" w:orient="portrait"/>
          <w:cols w:equalWidth="0" w:num="1">
            <w:col w:w="11280"/>
          </w:cols>
          <w:pgMar w:left="300" w:top="727" w:right="31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Clearway Energy, Inc. on Form 10-K for the year ended December 31, 2024,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 as of the dates and for the periods expressed in the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2025</w:t>
      </w:r>
    </w:p>
    <w:p>
      <w:pPr>
        <w:spacing w:after="0" w:line="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9">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0">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660"/>
        <w:spacing w:after="0" w:line="221"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10-K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1)"/>
      <w:numFmt w:val="lowerLetter"/>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lowerLetter"/>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amp;"/>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lowerLetter"/>
      <w:start w:val="2"/>
    </w:lvl>
  </w:abstractNum>
  <w:abstractNum w:abstractNumId="37">
    <w:nsid w:val="15B5AF5C"/>
    <w:multiLevelType w:val="hybridMultilevel"/>
    <w:lvl w:ilvl="0">
      <w:lvlJc w:val="left"/>
      <w:lvlText w:val="(%1)"/>
      <w:numFmt w:val="decimal"/>
      <w:start w:val="2"/>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lowerLetter"/>
      <w:start w:val="1"/>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1)"/>
      <w:numFmt w:val="lowerLetter"/>
      <w:start w:val="1"/>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1"/>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Letter"/>
      <w:start w:val="1"/>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1"/>
    </w:lvl>
  </w:abstractNum>
  <w:abstractNum w:abstractNumId="66">
    <w:nsid w:val="5DC79EA8"/>
    <w:multiLevelType w:val="hybridMultilevel"/>
    <w:lvl w:ilvl="0">
      <w:lvlJc w:val="left"/>
      <w:lvlText w:val="\emdash "/>
      <w:numFmt w:val="bullet"/>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
      <w:numFmt w:val="bullet"/>
      <w:start w:val="1"/>
    </w:lvl>
    <w:lvl w:ilvl="1">
      <w:lvlJc w:val="left"/>
      <w:lvlText w:val="%2"/>
      <w:numFmt w:val="decimal"/>
      <w:start w:val="104"/>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1)"/>
      <w:numFmt w:val="lowerRoman"/>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21" Type="http://schemas.openxmlformats.org/officeDocument/2006/relationships/image" Target="media/image195.png"/><Relationship Id="rId240" Type="http://schemas.openxmlformats.org/officeDocument/2006/relationships/image" Target="media/image196.png"/><Relationship Id="rId259" Type="http://schemas.openxmlformats.org/officeDocument/2006/relationships/image" Target="media/image197.png"/><Relationship Id="rId276" Type="http://schemas.openxmlformats.org/officeDocument/2006/relationships/image" Target="media/image198.png"/><Relationship Id="rId278" Type="http://schemas.openxmlformats.org/officeDocument/2006/relationships/image" Target="media/image199.png"/><Relationship Id="rId279" Type="http://schemas.openxmlformats.org/officeDocument/2006/relationships/image" Target="media/image200.png"/><Relationship Id="rId280" Type="http://schemas.openxmlformats.org/officeDocument/2006/relationships/image" Target="media/image201.png"/><Relationship Id="rId281" Type="http://schemas.openxmlformats.org/officeDocument/2006/relationships/image" Target="media/image202.png"/><Relationship Id="rId282" Type="http://schemas.openxmlformats.org/officeDocument/2006/relationships/image" Target="media/image203.png"/><Relationship Id="rId283" Type="http://schemas.openxmlformats.org/officeDocument/2006/relationships/image" Target="media/image204.png"/><Relationship Id="rId284" Type="http://schemas.openxmlformats.org/officeDocument/2006/relationships/image" Target="media/image205.png"/><Relationship Id="rId285" Type="http://schemas.openxmlformats.org/officeDocument/2006/relationships/image" Target="media/image206.png"/><Relationship Id="rId286" Type="http://schemas.openxmlformats.org/officeDocument/2006/relationships/image" Target="media/image207.png"/><Relationship Id="rId287" Type="http://schemas.openxmlformats.org/officeDocument/2006/relationships/image" Target="media/image208.png"/><Relationship Id="rId288" Type="http://schemas.openxmlformats.org/officeDocument/2006/relationships/image" Target="media/image209.png"/><Relationship Id="rId289" Type="http://schemas.openxmlformats.org/officeDocument/2006/relationships/image" Target="media/image210.png"/><Relationship Id="rId290" Type="http://schemas.openxmlformats.org/officeDocument/2006/relationships/image" Target="media/image211.png"/><Relationship Id="rId291" Type="http://schemas.openxmlformats.org/officeDocument/2006/relationships/image" Target="media/image212.png"/><Relationship Id="rId292" Type="http://schemas.openxmlformats.org/officeDocument/2006/relationships/image" Target="media/image213.png"/><Relationship Id="rId293" Type="http://schemas.openxmlformats.org/officeDocument/2006/relationships/image" Target="media/image214.png"/><Relationship Id="rId294" Type="http://schemas.openxmlformats.org/officeDocument/2006/relationships/image" Target="media/image215.png"/><Relationship Id="rId295" Type="http://schemas.openxmlformats.org/officeDocument/2006/relationships/image" Target="media/image216.png"/><Relationship Id="rId296" Type="http://schemas.openxmlformats.org/officeDocument/2006/relationships/image" Target="media/image217.png"/><Relationship Id="rId297" Type="http://schemas.openxmlformats.org/officeDocument/2006/relationships/image" Target="media/image218.png"/><Relationship Id="rId298" Type="http://schemas.openxmlformats.org/officeDocument/2006/relationships/image" Target="media/image219.png"/><Relationship Id="rId299" Type="http://schemas.openxmlformats.org/officeDocument/2006/relationships/image" Target="media/image220.png"/><Relationship Id="rId300" Type="http://schemas.openxmlformats.org/officeDocument/2006/relationships/image" Target="media/image221.png"/><Relationship Id="rId301" Type="http://schemas.openxmlformats.org/officeDocument/2006/relationships/image" Target="media/image222.png"/><Relationship Id="rId302" Type="http://schemas.openxmlformats.org/officeDocument/2006/relationships/image" Target="media/image223.png"/><Relationship Id="rId303" Type="http://schemas.openxmlformats.org/officeDocument/2006/relationships/image" Target="media/image224.png"/><Relationship Id="rId304" Type="http://schemas.openxmlformats.org/officeDocument/2006/relationships/image" Target="media/image225.png"/><Relationship Id="rId305" Type="http://schemas.openxmlformats.org/officeDocument/2006/relationships/image" Target="media/image226.png"/><Relationship Id="rId306" Type="http://schemas.openxmlformats.org/officeDocument/2006/relationships/image" Target="media/image227.png"/><Relationship Id="rId307" Type="http://schemas.openxmlformats.org/officeDocument/2006/relationships/image" Target="media/image228.png"/><Relationship Id="rId308" Type="http://schemas.openxmlformats.org/officeDocument/2006/relationships/image" Target="media/image229.png"/><Relationship Id="rId309" Type="http://schemas.openxmlformats.org/officeDocument/2006/relationships/image" Target="media/image230.png"/><Relationship Id="rId310" Type="http://schemas.openxmlformats.org/officeDocument/2006/relationships/image" Target="media/image231.png"/><Relationship Id="rId311" Type="http://schemas.openxmlformats.org/officeDocument/2006/relationships/image" Target="media/image232.png"/><Relationship Id="rId312" Type="http://schemas.openxmlformats.org/officeDocument/2006/relationships/image" Target="media/image233.png"/><Relationship Id="rId313" Type="http://schemas.openxmlformats.org/officeDocument/2006/relationships/image" Target="media/image234.png"/><Relationship Id="rId314" Type="http://schemas.openxmlformats.org/officeDocument/2006/relationships/image" Target="media/image235.png"/><Relationship Id="rId315" Type="http://schemas.openxmlformats.org/officeDocument/2006/relationships/image" Target="media/image236.png"/><Relationship Id="rId316" Type="http://schemas.openxmlformats.org/officeDocument/2006/relationships/image" Target="media/image237.png"/><Relationship Id="rId317" Type="http://schemas.openxmlformats.org/officeDocument/2006/relationships/image" Target="media/image238.png"/><Relationship Id="rId318" Type="http://schemas.openxmlformats.org/officeDocument/2006/relationships/image" Target="media/image239.png"/><Relationship Id="rId319" Type="http://schemas.openxmlformats.org/officeDocument/2006/relationships/image" Target="media/image240.png"/><Relationship Id="rId320" Type="http://schemas.openxmlformats.org/officeDocument/2006/relationships/image" Target="media/image241.png"/><Relationship Id="rId321" Type="http://schemas.openxmlformats.org/officeDocument/2006/relationships/image" Target="media/image242.png"/><Relationship Id="rId322" Type="http://schemas.openxmlformats.org/officeDocument/2006/relationships/image" Target="media/image243.png"/><Relationship Id="rId323" Type="http://schemas.openxmlformats.org/officeDocument/2006/relationships/image" Target="media/image244.png"/><Relationship Id="rId324" Type="http://schemas.openxmlformats.org/officeDocument/2006/relationships/image" Target="media/image245.png"/><Relationship Id="rId325" Type="http://schemas.openxmlformats.org/officeDocument/2006/relationships/image" Target="media/image246.png"/><Relationship Id="rId326" Type="http://schemas.openxmlformats.org/officeDocument/2006/relationships/image" Target="media/image247.png"/><Relationship Id="rId327" Type="http://schemas.openxmlformats.org/officeDocument/2006/relationships/image" Target="media/image248.png"/><Relationship Id="rId328" Type="http://schemas.openxmlformats.org/officeDocument/2006/relationships/image" Target="media/image249.png"/><Relationship Id="rId329" Type="http://schemas.openxmlformats.org/officeDocument/2006/relationships/image" Target="media/image250.png"/><Relationship Id="rId330" Type="http://schemas.openxmlformats.org/officeDocument/2006/relationships/image" Target="media/image251.png"/><Relationship Id="rId331" Type="http://schemas.openxmlformats.org/officeDocument/2006/relationships/image" Target="media/image252.png"/><Relationship Id="rId332" Type="http://schemas.openxmlformats.org/officeDocument/2006/relationships/image" Target="media/image253.png"/><Relationship Id="rId333" Type="http://schemas.openxmlformats.org/officeDocument/2006/relationships/image" Target="media/image254.png"/><Relationship Id="rId334" Type="http://schemas.openxmlformats.org/officeDocument/2006/relationships/image" Target="media/image255.png"/><Relationship Id="rId335" Type="http://schemas.openxmlformats.org/officeDocument/2006/relationships/image" Target="media/image256.png"/><Relationship Id="rId336" Type="http://schemas.openxmlformats.org/officeDocument/2006/relationships/image" Target="media/image257.png"/><Relationship Id="rId337" Type="http://schemas.openxmlformats.org/officeDocument/2006/relationships/image" Target="media/image258.png"/><Relationship Id="rId338" Type="http://schemas.openxmlformats.org/officeDocument/2006/relationships/image" Target="media/image259.png"/><Relationship Id="rId339" Type="http://schemas.openxmlformats.org/officeDocument/2006/relationships/image" Target="media/image260.png"/><Relationship Id="rId340" Type="http://schemas.openxmlformats.org/officeDocument/2006/relationships/image" Target="media/image261.png"/><Relationship Id="rId202" Type="http://schemas.openxmlformats.org/officeDocument/2006/relationships/hyperlink" Target="https://www.sec.gov/Archives/edgar/data/1567683/000110465920056290/tm203404d2_ex3-1.htm" TargetMode="External"/><Relationship Id="rId203" Type="http://schemas.openxmlformats.org/officeDocument/2006/relationships/hyperlink" Target="https://www.sec.gov/Archives/edgar/data/1567683/000110465918055334/a18-24111_1ex3d2.htm#Exhibit3_2_042157" TargetMode="External"/><Relationship Id="rId204" Type="http://schemas.openxmlformats.org/officeDocument/2006/relationships/hyperlink" Target="https://www.sec.gov/Archives/edgar/data/1567683/000110465918055334/a18-24111_1ex10d6.htm#Exhibit10_6_052216" TargetMode="External"/><Relationship Id="rId205" Type="http://schemas.openxmlformats.org/officeDocument/2006/relationships/hyperlink" Target="https://www.sec.gov/Archives/edgar/data/1567683/000156768319000014/exhibit_1.htm" TargetMode="External"/><Relationship Id="rId206" Type="http://schemas.openxmlformats.org/officeDocument/2006/relationships/hyperlink" Target="https://www.sec.gov/Archives/edgar/data/1567683/000156768319000014/exhibit_2.htm" TargetMode="External"/><Relationship Id="rId207" Type="http://schemas.openxmlformats.org/officeDocument/2006/relationships/hyperlink" Target="https://www.sec.gov/Archives/edgar/data/1567683/000110465919072217/tm1925069d1_ex4-1.htm" TargetMode="External"/><Relationship Id="rId208" Type="http://schemas.openxmlformats.org/officeDocument/2006/relationships/hyperlink" Target="https://www.sec.gov/Archives/edgar/data/1567683/000110465920002258/tm201233d1_ex4-3.htm" TargetMode="External"/><Relationship Id="rId209" Type="http://schemas.openxmlformats.org/officeDocument/2006/relationships/hyperlink" Target="https://www.sec.gov/Archives/edgar/data/1567683/000110465920028560/tm2011093d1_ex4-3.htm" TargetMode="External"/><Relationship Id="rId210" Type="http://schemas.openxmlformats.org/officeDocument/2006/relationships/hyperlink" Target="https://www.sec.gov/Archives/edgar/data/1567683/000110465920085304/tm2025125d1_ex4-3.htm" TargetMode="External"/><Relationship Id="rId211" Type="http://schemas.openxmlformats.org/officeDocument/2006/relationships/hyperlink" Target="https://www.sec.gov/Archives/edgar/data/1567683/000110465920097221/tm2025854d5_ex4-3.htm" TargetMode="External"/><Relationship Id="rId212" Type="http://schemas.openxmlformats.org/officeDocument/2006/relationships/hyperlink" Target="https://www.sec.gov/Archives/edgar/data/1567683/000110465920127370/tm2036452d1_ex4-3.htm" TargetMode="External"/><Relationship Id="rId213" Type="http://schemas.openxmlformats.org/officeDocument/2006/relationships/hyperlink" Target="https://www.sec.gov/Archives/edgar/data/1567683/000110465920132409/tm2037503d1_ex4-3.htm" TargetMode="External"/><Relationship Id="rId214" Type="http://schemas.openxmlformats.org/officeDocument/2006/relationships/hyperlink" Target="https://www.sec.gov/Archives/edgar/data/1567683/000110465920140147/tm2039385d1_ex4-3.htm" TargetMode="External"/><Relationship Id="rId215" Type="http://schemas.openxmlformats.org/officeDocument/2006/relationships/hyperlink" Target="https://www.sec.gov/Archives/edgar/data/1567683/000110465921012966/tm215220d2_ex4-3.htm" TargetMode="External"/><Relationship Id="rId216" Type="http://schemas.openxmlformats.org/officeDocument/2006/relationships/hyperlink" Target="https://www.sec.gov/Archives/edgar/data/0001567683/000110465921033800/tm219068d1_ex4-1.htm" TargetMode="External"/><Relationship Id="rId217" Type="http://schemas.openxmlformats.org/officeDocument/2006/relationships/hyperlink" Target="https://www.sec.gov/Archives/edgar/data/1567683/000110465921033800/tm219068d1_ex4-1.htm" TargetMode="External"/><Relationship Id="rId218" Type="http://schemas.openxmlformats.org/officeDocument/2006/relationships/hyperlink" Target="https://www.sec.gov/Archives/edgar/data/1567683/000110465921069314/tm2116590d1_ex4-2.htm" TargetMode="External"/><Relationship Id="rId219" Type="http://schemas.openxmlformats.org/officeDocument/2006/relationships/hyperlink" Target="https://www.sec.gov/Archives/edgar/data/1567683/000110465921069314/tm2116590d1_ex4-3.htm" TargetMode="External"/><Relationship Id="rId220" Type="http://schemas.openxmlformats.org/officeDocument/2006/relationships/hyperlink" Target="https://www.sec.gov/Archives/edgar/data/1567683/000110465921122073/tm2128933d1_ex4-1.htm" TargetMode="External"/><Relationship Id="rId222" Type="http://schemas.openxmlformats.org/officeDocument/2006/relationships/hyperlink" Target="https://www.sec.gov/Archives/edgar/data/1567683/000110465921124595/tm2129471d1_ex4-2.htm" TargetMode="External"/><Relationship Id="rId223" Type="http://schemas.openxmlformats.org/officeDocument/2006/relationships/hyperlink" Target="https://www.sec.gov/Archives/edgar/data/1567683/000110465921124595/tm2129471d1_ex4-3.htm" TargetMode="External"/><Relationship Id="rId224" Type="http://schemas.openxmlformats.org/officeDocument/2006/relationships/hyperlink" Target="https://www.sec.gov/Archives/edgar/data/1567683/000110465921124595/tm2129471d1_ex4-4.htm" TargetMode="External"/><Relationship Id="rId225" Type="http://schemas.openxmlformats.org/officeDocument/2006/relationships/hyperlink" Target="https://www.sec.gov/Archives/edgar/data/1567683/000110465922066895/tm2217299d1_ex4-1.htm" TargetMode="External"/><Relationship Id="rId226" Type="http://schemas.openxmlformats.org/officeDocument/2006/relationships/hyperlink" Target="https://www.sec.gov/Archives/edgar/data/1567683/000110465922066895/tm2217299d1_ex4-2.htm" TargetMode="External"/><Relationship Id="rId227" Type="http://schemas.openxmlformats.org/officeDocument/2006/relationships/hyperlink" Target="https://www.sec.gov/Archives/edgar/data/1567683/000110465922066895/tm2217299d1_ex4-3.htm" TargetMode="External"/><Relationship Id="rId228" Type="http://schemas.openxmlformats.org/officeDocument/2006/relationships/hyperlink" Target="https://www.sec.gov/Archives/edgar/data/1567683/000110465923023548/tm237375d1_ex4-1.htm" TargetMode="External"/><Relationship Id="rId229" Type="http://schemas.openxmlformats.org/officeDocument/2006/relationships/hyperlink" Target="https://www.sec.gov/Archives/edgar/data/1567683/000110465923023548/tm237375d1_ex4-2.htm" TargetMode="External"/><Relationship Id="rId230" Type="http://schemas.openxmlformats.org/officeDocument/2006/relationships/hyperlink" Target="https://www.sec.gov/Archives/edgar/data/1567683/000110465923023548/tm237375d1_ex4-3.htm" TargetMode="External"/><Relationship Id="rId231" Type="http://schemas.openxmlformats.org/officeDocument/2006/relationships/hyperlink" Target="https://www.sec.gov/Archives/edgar/data/1567683/000110465918055334/a18-24111_1ex10d4.htm#Exhibit10_4_041820" TargetMode="External"/><Relationship Id="rId232" Type="http://schemas.openxmlformats.org/officeDocument/2006/relationships/hyperlink" Target="https://www.sec.gov/Archives/edgar/data/1567683/000110465918055334/a18-24111_1ex10d7.htm#Exhibit10_7_114008" TargetMode="External"/><Relationship Id="rId233" Type="http://schemas.openxmlformats.org/officeDocument/2006/relationships/hyperlink" Target="https://www.sec.gov/Archives/edgar/data/1567683/000110465918055334/a18-24111_1ex10d9.htm" TargetMode="External"/><Relationship Id="rId234" Type="http://schemas.openxmlformats.org/officeDocument/2006/relationships/hyperlink" Target="https://www.sec.gov/Archives/edgar/data/1567683/000156768319000014/clearwayincex1010201810-k.htm" TargetMode="External"/><Relationship Id="rId235" Type="http://schemas.openxmlformats.org/officeDocument/2006/relationships/hyperlink" Target="https://www.sec.gov/Archives/edgar/data/1567683/000110465914031308/a14-11252_1ex10d1.htm" TargetMode="External"/><Relationship Id="rId236" Type="http://schemas.openxmlformats.org/officeDocument/2006/relationships/hyperlink" Target="https://www.sec.gov/Archives/edgar/data/1567683/000156768315000022/yieldincex1092015q2opllcam.htm" TargetMode="External"/><Relationship Id="rId237" Type="http://schemas.openxmlformats.org/officeDocument/2006/relationships/hyperlink" Target="https://www.sec.gov/Archives/edgar/data/1567683/000110465918008195/a18-5849_1ex10d1.htm#Exhibit10_1_093100" TargetMode="External"/><Relationship Id="rId238" Type="http://schemas.openxmlformats.org/officeDocument/2006/relationships/hyperlink" Target="https://www.sec.gov/Archives/edgar/data/1567683/000156768318000021/a101.htm" TargetMode="External"/><Relationship Id="rId239" Type="http://schemas.openxmlformats.org/officeDocument/2006/relationships/hyperlink" Target="https://www.sec.gov/Archives/edgar/data/1567683/000110465918071712/a18-41171_1ex10d1.htm#Exhibit10_1_112713" TargetMode="External"/><Relationship Id="rId241" Type="http://schemas.openxmlformats.org/officeDocument/2006/relationships/hyperlink" Target="https://www.sec.gov/Archives/edgar/data/1567683/000110465919075298/tm1926822d1_ex10-1.htm" TargetMode="External"/><Relationship Id="rId242" Type="http://schemas.openxmlformats.org/officeDocument/2006/relationships/hyperlink" Target="https://www.sec.gov/Archives/edgar/data/1567683/000110465921145441/tm2134349d1_ex10-1.htm" TargetMode="External"/><Relationship Id="rId243" Type="http://schemas.openxmlformats.org/officeDocument/2006/relationships/hyperlink" Target="https://www.sec.gov/Archives/edgar/data/1567683/000110465922092724/tm2223749d1_ex10-1.htm" TargetMode="External"/><Relationship Id="rId244" Type="http://schemas.openxmlformats.org/officeDocument/2006/relationships/hyperlink" Target="https://www.sec.gov/Archives/edgar/data/1567683/000110465923034463/tm239756d1_ex10-1.htm" TargetMode="External"/><Relationship Id="rId245" Type="http://schemas.openxmlformats.org/officeDocument/2006/relationships/hyperlink" Target="https://www.sec.gov/Archives/edgar/data/1567683/000156768319000014/clearwayincex1022201810-k.htm" TargetMode="External"/><Relationship Id="rId246" Type="http://schemas.openxmlformats.org/officeDocument/2006/relationships/hyperlink" Target="https://www.sec.gov/Archives/edgar/data/1567683/000156768319000014/clearwayincex1023201810-k.htm" TargetMode="External"/><Relationship Id="rId247" Type="http://schemas.openxmlformats.org/officeDocument/2006/relationships/hyperlink" Target="https://www.sec.gov/Archives/edgar/data/1567683/000156768319000014/clearwayincex1024201810-k.htm" TargetMode="External"/><Relationship Id="rId248" Type="http://schemas.openxmlformats.org/officeDocument/2006/relationships/hyperlink" Target="https://www.sec.gov/Archives/edgar/data/1567683/000156768318000008/yieldincex1034201710-k.htm" TargetMode="External"/><Relationship Id="rId249" Type="http://schemas.openxmlformats.org/officeDocument/2006/relationships/hyperlink" Target="https://www.sec.gov/Archives/edgar/data/1567683/000110465915038447/a15-11446_1ex10d2.htm" TargetMode="External"/><Relationship Id="rId250" Type="http://schemas.openxmlformats.org/officeDocument/2006/relationships/hyperlink" Target="https://www.sec.gov/Archives/edgar/data/1567683/000110465920048792/tm2016404d1_ex10-1.htm" TargetMode="External"/><Relationship Id="rId251" Type="http://schemas.openxmlformats.org/officeDocument/2006/relationships/hyperlink" Target="https://www.sec.gov/Archives/edgar/data/1567683/000110465920048792/tm2016404d1_ex10-2.htm" TargetMode="External"/><Relationship Id="rId252" Type="http://schemas.openxmlformats.org/officeDocument/2006/relationships/hyperlink" Target="https://www.sec.gov/Archives/edgar/data/1567683/000110465920048792/tm2016404d1_ex10-3.htm" TargetMode="External"/><Relationship Id="rId253" Type="http://schemas.openxmlformats.org/officeDocument/2006/relationships/hyperlink" Target="https://www.sec.gov/Archives/edgar/data/1567683/000110465920138636/tm2039055d1_ex10-1.htm" TargetMode="External"/><Relationship Id="rId254" Type="http://schemas.openxmlformats.org/officeDocument/2006/relationships/hyperlink" Target="https://www.sec.gov/Archives/edgar/data/1567683/000110465920138636/tm2039055d1_ex10-2.htm" TargetMode="External"/><Relationship Id="rId255" Type="http://schemas.openxmlformats.org/officeDocument/2006/relationships/hyperlink" Target="https://www.sec.gov/Archives/edgar/data/1567683/000110465920138636/tm2039055d1_ex10-3.htm" TargetMode="External"/><Relationship Id="rId256" Type="http://schemas.openxmlformats.org/officeDocument/2006/relationships/hyperlink" Target="https://www.sec.gov/Archives/edgar/data/1567683/000156768321000009/clearwayincex1031pinnaclel.htm" TargetMode="External"/><Relationship Id="rId257" Type="http://schemas.openxmlformats.org/officeDocument/2006/relationships/hyperlink" Target="https://www.sec.gov/Archives/edgar/data/1567683/000110465921108614/tm2125658d1_ex10-1.htm" TargetMode="External"/><Relationship Id="rId258" Type="http://schemas.openxmlformats.org/officeDocument/2006/relationships/hyperlink" Target="https://www.sec.gov/Archives/edgar/data/1567683/000110465921130024/tm2130927d1_ex10-1.htm" TargetMode="External"/><Relationship Id="rId260" Type="http://schemas.openxmlformats.org/officeDocument/2006/relationships/hyperlink" Target="https://www.sec.gov/Archives/edgar/data/1567683/000110465921145441/tm2134349d1_ex10-2.htm" TargetMode="External"/><Relationship Id="rId261" Type="http://schemas.openxmlformats.org/officeDocument/2006/relationships/hyperlink" Target="https://www.sec.gov/Archives/edgar/data/1567683/000110465922004681/tm222995d1_ex10-1.htm" TargetMode="External"/><Relationship Id="rId262" Type="http://schemas.openxmlformats.org/officeDocument/2006/relationships/hyperlink" Target="https://www.sec.gov/Archives/edgar/data/1567683/000110465922004681/tm222995d1_ex10-2.htm" TargetMode="External"/><Relationship Id="rId263" Type="http://schemas.openxmlformats.org/officeDocument/2006/relationships/hyperlink" Target="https://www.sec.gov/Archives/edgar/data/1567683/000156768322000016/clearwayincex10510-q2022.htm" TargetMode="External"/><Relationship Id="rId264" Type="http://schemas.openxmlformats.org/officeDocument/2006/relationships/hyperlink" Target="https://www.sec.gov/Archives/edgar/data/1567683/000156768322000016/clearwayincex10610-q2022.htm" TargetMode="External"/><Relationship Id="rId265" Type="http://schemas.openxmlformats.org/officeDocument/2006/relationships/hyperlink" Target="https://www.sec.gov/Archives/edgar/data/1567683/000156768322000016/clearwayincex10710-q2022.htm" TargetMode="External"/><Relationship Id="rId266" Type="http://schemas.openxmlformats.org/officeDocument/2006/relationships/hyperlink" Target="https://www.sec.gov/Archives/edgar/data/1567683/000110465922130953/tm2233662d1_ex10-1.htm" TargetMode="External"/><Relationship Id="rId267" Type="http://schemas.openxmlformats.org/officeDocument/2006/relationships/hyperlink" Target="https://www.sec.gov/Archives/edgar/data/1567683/000110465923064128/tm2316668d1_ex10-1.htm" TargetMode="External"/><Relationship Id="rId268" Type="http://schemas.openxmlformats.org/officeDocument/2006/relationships/hyperlink" Target="https://www.sec.gov/Archives/edgar/data/1567683/000156768324000007/ar2013equityincentivepla.htm" TargetMode="External"/><Relationship Id="rId269" Type="http://schemas.openxmlformats.org/officeDocument/2006/relationships/hyperlink" Target="https://www.sec.gov/Archives/edgar/data/1567683/000156768324000007/annualincentiveplan2024.htm" TargetMode="External"/><Relationship Id="rId270" Type="http://schemas.openxmlformats.org/officeDocument/2006/relationships/hyperlink" Target="https://www.sec.gov/Archives/edgar/data/1567683/000110465924054956/tm2413039d1_ex10-1.htm" TargetMode="External"/><Relationship Id="rId271" Type="http://schemas.openxmlformats.org/officeDocument/2006/relationships/hyperlink" Target="https://www.sec.gov/Archives/edgar/data/1567683/000110465924054956/tm2413039d1_ex10-2.htm" TargetMode="External"/><Relationship Id="rId272" Type="http://schemas.openxmlformats.org/officeDocument/2006/relationships/hyperlink" Target="https://www.sec.gov/Archives/edgar/data/1567683/000110465924074480/tm2418112d1_ex10-1.htm" TargetMode="External"/><Relationship Id="rId273" Type="http://schemas.openxmlformats.org/officeDocument/2006/relationships/hyperlink" Target="https://www.sec.gov/Archives/edgar/data/1567683/000110465924077514/tm2418726d1_ex10-1.htm" TargetMode="External"/><Relationship Id="rId274" Type="http://schemas.openxmlformats.org/officeDocument/2006/relationships/hyperlink" Target="https://www.sec.gov/Archives/edgar/data/1567683/000156768324000029/cwen-secondamendedandres.htm" TargetMode="External"/><Relationship Id="rId275" Type="http://schemas.openxmlformats.org/officeDocument/2006/relationships/hyperlink" Target="https://www.sec.gov/Archives/edgar/data/1567683/000110465924059889/tm2414020d1_ex16-1.htm" TargetMode="External"/><Relationship Id="rId277" Type="http://schemas.openxmlformats.org/officeDocument/2006/relationships/hyperlink" Target="https://www.sec.gov/ix?doc=/Archives/edgar/data/0001567683/000156768324000007/cwen-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2025-02-25T05:14:52Z</dcterms:created>
  <dcterms:modified xsi:type="dcterms:W3CDTF">2025-02-25T05:14:52Z</dcterms:modified>
</cp:coreProperties>
</file>