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Rubenstein Sarah</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300 CARNEGIE CENTER</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Clearway Energy,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CWEN</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8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03/01/2022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25"/>
        <w:spacing w:after="0"/>
        <w:rPr>
          <w:sz w:val="20"/>
          <w:szCs w:val="20"/>
          <w:color w:val="auto"/>
        </w:rPr>
      </w:pPr>
      <w:r>
        <w:rPr>
          <w:rFonts w:ascii="Arial" w:cs="Arial" w:eastAsia="Arial" w:hAnsi="Arial"/>
          <w:sz w:val="17"/>
          <w:szCs w:val="17"/>
          <w:color w:val="0000FF"/>
        </w:rPr>
        <w:t>SVP &amp; CAO</w:t>
      </w:r>
    </w:p>
    <w:p>
      <w:pPr>
        <w:spacing w:after="0" w:line="402"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Arial" w:cs="Arial" w:eastAsia="Arial" w:hAnsi="Arial"/>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2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2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4"/>
          </w:tcPr>
          <w:p>
            <w:pPr>
              <w:spacing w:after="0"/>
              <w:rPr>
                <w:sz w:val="11"/>
                <w:szCs w:val="11"/>
                <w:color w:val="auto"/>
              </w:rPr>
            </w:pPr>
          </w:p>
        </w:tc>
        <w:tc>
          <w:tcPr>
            <w:tcW w:w="1640" w:type="dxa"/>
            <w:vAlign w:val="bottom"/>
            <w:tcBorders>
              <w:bottom w:val="single" w:sz="8" w:color="2C2C2C"/>
            </w:tcBorders>
            <w:gridSpan w:val="4"/>
          </w:tcPr>
          <w:p>
            <w:pPr>
              <w:spacing w:after="0"/>
              <w:rPr>
                <w:sz w:val="11"/>
                <w:szCs w:val="11"/>
                <w:color w:val="auto"/>
              </w:rPr>
            </w:pPr>
          </w:p>
        </w:tc>
        <w:tc>
          <w:tcPr>
            <w:tcW w:w="244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2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100" w:type="dxa"/>
            <w:vAlign w:val="bottom"/>
            <w:tcBorders>
              <w:bottom w:val="single" w:sz="8" w:color="2C2C2C"/>
            </w:tcBorders>
            <w:gridSpan w:val="5"/>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5"/>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Arial" w:cs="Arial" w:eastAsia="Arial" w:hAnsi="Arial"/>
                <w:sz w:val="17"/>
                <w:szCs w:val="17"/>
                <w:color w:val="0000FF"/>
              </w:rPr>
              <w:t>03/01/2022</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ind w:left="300"/>
              <w:spacing w:after="0"/>
              <w:rPr>
                <w:sz w:val="20"/>
                <w:szCs w:val="20"/>
                <w:color w:val="auto"/>
              </w:rPr>
            </w:pPr>
            <w:r>
              <w:rPr>
                <w:rFonts w:ascii="Arial" w:cs="Arial" w:eastAsia="Arial" w:hAnsi="Arial"/>
                <w:sz w:val="17"/>
                <w:szCs w:val="17"/>
                <w:color w:val="0000FF"/>
              </w:rPr>
              <w:t>158</w:t>
            </w:r>
          </w:p>
        </w:tc>
        <w:tc>
          <w:tcPr>
            <w:tcW w:w="460" w:type="dxa"/>
            <w:vAlign w:val="bottom"/>
            <w:vMerge w:val="restart"/>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2"/>
            <w:vMerge w:val="restart"/>
          </w:tcPr>
          <w:p>
            <w:pPr>
              <w:ind w:left="180"/>
              <w:spacing w:after="0"/>
              <w:rPr>
                <w:sz w:val="20"/>
                <w:szCs w:val="20"/>
                <w:color w:val="auto"/>
              </w:rPr>
            </w:pPr>
            <w:r>
              <w:rPr>
                <w:rFonts w:ascii="Arial" w:cs="Arial" w:eastAsia="Arial" w:hAnsi="Arial"/>
                <w:sz w:val="11"/>
                <w:szCs w:val="11"/>
                <w:color w:val="008000"/>
              </w:rPr>
              <w:t>(1)</w:t>
            </w:r>
          </w:p>
        </w:tc>
        <w:tc>
          <w:tcPr>
            <w:tcW w:w="1380" w:type="dxa"/>
            <w:vAlign w:val="bottom"/>
            <w:gridSpan w:val="3"/>
            <w:vMerge w:val="restart"/>
          </w:tcPr>
          <w:p>
            <w:pPr>
              <w:ind w:left="460"/>
              <w:spacing w:after="0"/>
              <w:rPr>
                <w:sz w:val="20"/>
                <w:szCs w:val="20"/>
                <w:color w:val="auto"/>
              </w:rPr>
            </w:pPr>
            <w:r>
              <w:rPr>
                <w:rFonts w:ascii="Arial" w:cs="Arial" w:eastAsia="Arial" w:hAnsi="Arial"/>
                <w:sz w:val="17"/>
                <w:szCs w:val="17"/>
                <w:color w:val="0000FF"/>
              </w:rPr>
              <w:t>23,584</w:t>
            </w:r>
            <w:r>
              <w:rPr>
                <w:rFonts w:ascii="Arial" w:cs="Arial" w:eastAsia="Arial" w:hAnsi="Arial"/>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40" w:type="dxa"/>
            <w:vAlign w:val="bottom"/>
            <w:gridSpan w:val="3"/>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2"/>
            <w:vMerge w:val="continue"/>
          </w:tcPr>
          <w:p>
            <w:pPr>
              <w:spacing w:after="0"/>
              <w:rPr>
                <w:sz w:val="14"/>
                <w:szCs w:val="14"/>
                <w:color w:val="auto"/>
              </w:rPr>
            </w:pPr>
          </w:p>
        </w:tc>
        <w:tc>
          <w:tcPr>
            <w:tcW w:w="1380" w:type="dxa"/>
            <w:vAlign w:val="bottom"/>
            <w:gridSpan w:val="3"/>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accrued on the Reporting Person's Restricted Stock Units ("RSUs") which become exercisable proportionately with the RSUs to which they relate and may only be settled in Class C Common Stock of Clearway Energy, Inc. as determined by the RSU to which they relate.</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866 dividend equivalent rights that may only be settled in Class C Common Stock.</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Kevin P. Malcarney,</w:t>
            </w:r>
          </w:p>
        </w:tc>
        <w:tc>
          <w:tcPr>
            <w:tcW w:w="4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03/03/2022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Arial" w:cs="Arial" w:eastAsia="Arial" w:hAnsi="Arial"/>
                <w:sz w:val="17"/>
                <w:szCs w:val="17"/>
                <w:color w:val="0000FF"/>
                <w:w w:val="95"/>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21"/>
          <w:szCs w:val="21"/>
          <w:b w:val="1"/>
          <w:bCs w:val="1"/>
          <w:color w:val="auto"/>
        </w:rPr>
        <w:t>February 22, 2022</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POWER OF ATTORNEY</w:t>
      </w:r>
    </w:p>
    <w:p>
      <w:pPr>
        <w:spacing w:after="0" w:line="218" w:lineRule="exact"/>
        <w:rPr>
          <w:sz w:val="20"/>
          <w:szCs w:val="20"/>
          <w:color w:val="auto"/>
        </w:rPr>
      </w:pPr>
    </w:p>
    <w:p>
      <w:pPr>
        <w:jc w:val="both"/>
        <w:ind w:firstLine="640"/>
        <w:spacing w:after="0" w:line="254" w:lineRule="auto"/>
        <w:rPr>
          <w:sz w:val="20"/>
          <w:szCs w:val="20"/>
          <w:color w:val="auto"/>
        </w:rPr>
      </w:pPr>
      <w:r>
        <w:rPr>
          <w:rFonts w:ascii="Arial" w:cs="Arial" w:eastAsia="Arial" w:hAnsi="Arial"/>
          <w:sz w:val="20"/>
          <w:szCs w:val="20"/>
          <w:color w:val="auto"/>
        </w:rPr>
        <w:t>KNOW ALL BY THESE PRESENTS, that the undersigned hereby constitutes and appoints each of Kevin P. Malcarney and Amelia McKeithen signing singly, the undersigned’s true and lawful attorney-in-fact to: (i) execute for and on behalf of the undersigned, in the undersigned’s capacity as an officer and/or director and/or owner of greater than 10% of the outstanding Common Stock of Clearway Energy, Inc., a Delaware corporation (the "Company"), Forms 3, 4, and 5 in accordance with Section 16(a) of the Securities Exchange Act of 1934 and the rules thereunder; (ii) do and perform any and all acts for and on behalf of the undersigned which may be necessary or desirable to complete and execute any such Form 3, 4, or 5 and timely file such form with the United States Securities and Exchange Commission and any stock exchange or similar authority, including the New York Stock Exchange; and (iii)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71" w:lineRule="exact"/>
        <w:rPr>
          <w:sz w:val="20"/>
          <w:szCs w:val="20"/>
          <w:color w:val="auto"/>
        </w:rPr>
      </w:pPr>
    </w:p>
    <w:p>
      <w:pPr>
        <w:jc w:val="both"/>
        <w:ind w:firstLine="640"/>
        <w:spacing w:after="0" w:line="242" w:lineRule="auto"/>
        <w:rPr>
          <w:sz w:val="20"/>
          <w:szCs w:val="20"/>
          <w:color w:val="auto"/>
        </w:rPr>
      </w:pPr>
      <w:r>
        <w:rPr>
          <w:rFonts w:ascii="Arial" w:cs="Arial" w:eastAsia="Arial" w:hAnsi="Arial"/>
          <w:sz w:val="21"/>
          <w:szCs w:val="21"/>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attorney-in-fact's substitute or substitutes, shall lawfully do or cause to be done by virtue of this power of attorney and the rights and powers herein granted. Each of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84" w:lineRule="exact"/>
        <w:rPr>
          <w:sz w:val="20"/>
          <w:szCs w:val="20"/>
          <w:color w:val="auto"/>
        </w:rPr>
      </w:pPr>
    </w:p>
    <w:p>
      <w:pPr>
        <w:jc w:val="both"/>
        <w:ind w:right="20" w:firstLine="640"/>
        <w:spacing w:after="0" w:line="253" w:lineRule="auto"/>
        <w:rPr>
          <w:sz w:val="20"/>
          <w:szCs w:val="20"/>
          <w:color w:val="auto"/>
        </w:rPr>
      </w:pPr>
      <w:r>
        <w:rPr>
          <w:rFonts w:ascii="Arial" w:cs="Arial" w:eastAsia="Arial" w:hAnsi="Arial"/>
          <w:sz w:val="21"/>
          <w:szCs w:val="21"/>
          <w:color w:val="auto"/>
        </w:rPr>
        <w:t>This Power of Attorney shall remain in full force and effect until the undersigned is no longer required to file Forms 3, 4, and 5 with respect to the undersigned’s holdings of and transactions in securities issued by the Company, unless earlier revoked by each of the undersigned in a signed writing delivered to the foregoing attorneys-in-fact.</w:t>
      </w:r>
    </w:p>
    <w:p>
      <w:pPr>
        <w:spacing w:after="0" w:line="169" w:lineRule="exact"/>
        <w:rPr>
          <w:sz w:val="20"/>
          <w:szCs w:val="20"/>
          <w:color w:val="auto"/>
        </w:rPr>
      </w:pPr>
    </w:p>
    <w:p>
      <w:pPr>
        <w:ind w:left="640"/>
        <w:spacing w:after="0"/>
        <w:rPr>
          <w:sz w:val="20"/>
          <w:szCs w:val="20"/>
          <w:color w:val="auto"/>
        </w:rPr>
      </w:pPr>
      <w:r>
        <w:rPr>
          <w:rFonts w:ascii="Arial" w:cs="Arial" w:eastAsia="Arial" w:hAnsi="Arial"/>
          <w:sz w:val="20"/>
          <w:szCs w:val="20"/>
          <w:color w:val="auto"/>
        </w:rPr>
        <w:t>IN WITNESS WHEREOF, the undersigned have caused this Power of Attorney to be executed as of date first written</w:t>
      </w:r>
    </w:p>
    <w:p>
      <w:pPr>
        <w:spacing w:after="0" w:line="28" w:lineRule="exact"/>
        <w:rPr>
          <w:sz w:val="20"/>
          <w:szCs w:val="20"/>
          <w:color w:val="auto"/>
        </w:rPr>
      </w:pPr>
    </w:p>
    <w:p>
      <w:pPr>
        <w:spacing w:after="0"/>
        <w:rPr>
          <w:sz w:val="20"/>
          <w:szCs w:val="20"/>
          <w:color w:val="auto"/>
        </w:rPr>
      </w:pPr>
      <w:r>
        <w:rPr>
          <w:rFonts w:ascii="Arial" w:cs="Arial" w:eastAsia="Arial" w:hAnsi="Arial"/>
          <w:sz w:val="21"/>
          <w:szCs w:val="21"/>
          <w:color w:val="auto"/>
        </w:rPr>
        <w:t>above.</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4320"/>
        <w:spacing w:after="0"/>
        <w:rPr>
          <w:sz w:val="20"/>
          <w:szCs w:val="20"/>
          <w:color w:val="auto"/>
        </w:rPr>
      </w:pPr>
      <w:r>
        <w:rPr>
          <w:rFonts w:ascii="Arial" w:cs="Arial" w:eastAsia="Arial" w:hAnsi="Arial"/>
          <w:sz w:val="21"/>
          <w:szCs w:val="21"/>
          <w:color w:val="auto"/>
        </w:rPr>
        <w:t>Sarah Rubenstein</w:t>
      </w:r>
    </w:p>
    <w:p>
      <w:pPr>
        <w:spacing w:after="0" w:line="238" w:lineRule="exact"/>
        <w:rPr>
          <w:sz w:val="20"/>
          <w:szCs w:val="20"/>
          <w:color w:val="auto"/>
        </w:rPr>
      </w:pPr>
    </w:p>
    <w:p>
      <w:pPr>
        <w:ind w:left="4320"/>
        <w:spacing w:after="0"/>
        <w:rPr>
          <w:sz w:val="20"/>
          <w:szCs w:val="20"/>
          <w:color w:val="auto"/>
        </w:rPr>
      </w:pPr>
      <w:r>
        <w:rPr>
          <w:rFonts w:ascii="Arial" w:cs="Arial" w:eastAsia="Arial" w:hAnsi="Arial"/>
          <w:sz w:val="21"/>
          <w:szCs w:val="21"/>
          <w:color w:val="auto"/>
        </w:rPr>
        <w:t>/s/ Sarah Rubenstein</w:t>
      </w:r>
    </w:p>
    <w:p>
      <w:pPr>
        <w:spacing w:after="0" w:line="16" w:lineRule="exact"/>
        <w:rPr>
          <w:sz w:val="20"/>
          <w:szCs w:val="20"/>
          <w:color w:val="auto"/>
        </w:rPr>
      </w:pPr>
    </w:p>
    <w:p>
      <w:pPr>
        <w:ind w:left="4320"/>
        <w:spacing w:after="0"/>
        <w:rPr>
          <w:sz w:val="20"/>
          <w:szCs w:val="20"/>
          <w:color w:val="auto"/>
        </w:rPr>
      </w:pPr>
      <w:r>
        <w:rPr>
          <w:rFonts w:ascii="Arial" w:cs="Arial" w:eastAsia="Arial" w:hAnsi="Arial"/>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1</w:t>
      </w:r>
    </w:p>
    <w:sectPr>
      <w:pgSz w:w="11900" w:h="16838" w:orient="portrait"/>
      <w:cols w:equalWidth="0" w:num="1">
        <w:col w:w="10980"/>
      </w:cols>
      <w:pgMar w:left="460" w:top="352"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29270"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2022-03-03T15:49:17Z</dcterms:created>
  <dcterms:modified xsi:type="dcterms:W3CDTF">2022-03-03T15:49:17Z</dcterms:modified>
</cp:coreProperties>
</file>