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ONEAL E STANLEY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06/01/2024</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0000FF"/>
              </w:rPr>
              <w:t>8,393</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34"/>
                <w:szCs w:val="34"/>
                <w:color w:val="0000FF"/>
                <w:vertAlign w:val="subscript"/>
              </w:rPr>
              <w:t>A</w:t>
            </w:r>
            <w:r>
              <w:rPr>
                <w:rFonts w:ascii="Times New Roman" w:cs="Times New Roman" w:eastAsia="Times New Roman" w:hAnsi="Times New Roman"/>
                <w:sz w:val="11"/>
                <w:szCs w:val="11"/>
                <w:color w:val="008000"/>
              </w:rPr>
              <w:t>(1)</w:t>
            </w: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63,995</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7"/>
                <w:szCs w:val="17"/>
                <w:color w:val="0000FF"/>
              </w:rPr>
              <w:t>06/03/2024</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847</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(3)</w:t>
            </w:r>
          </w:p>
        </w:tc>
        <w:tc>
          <w:tcPr>
            <w:tcW w:w="13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64,842</w:t>
            </w:r>
            <w:r>
              <w:rPr>
                <w:rFonts w:ascii="Times New Roman" w:cs="Times New Roman" w:eastAsia="Times New Roman" w:hAnsi="Times New Roman"/>
                <w:sz w:val="22"/>
                <w:szCs w:val="22"/>
                <w:color w:val="008000"/>
                <w:vertAlign w:val="superscript"/>
              </w:rPr>
              <w:t>(4)</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8,393 Deferred Stock Units issued to the Reporting Person by Clearway Energy, Inc. under Clearway Energy, Inc.'s Amended and Restated 2013 Equity Incentive Plan.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is equivalent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 or change in ownership or effective control of Clearway Energy, Inc.</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8,056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2337"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2024-06-04T15:49:43Z</dcterms:created>
  <dcterms:modified xsi:type="dcterms:W3CDTF">2024-06-04T15:49:43Z</dcterms:modified>
</cp:coreProperties>
</file>