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520027d1_8k.htm"/>
      <w:bookmarkStart w:id="1" w:name="kstm2520027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2_edei--DocumentType_c2025063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June 30,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0_edei--EntityRegistrantName_c2025"/>
      <w:bookmarkEnd w:id="4"/>
      <w:r>
        <w:rPr>
          <w:rFonts w:ascii="Times New Roman;Times;Serif" w:hAnsi="Times New Roman;Times;Serif"/>
          <w:b/>
          <w:i w:val="false"/>
          <w:caps w:val="false"/>
          <w:smallCaps w:val="false"/>
          <w:sz w:val="36"/>
        </w:rPr>
        <w:t>Clearway Energy,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845" w:type="dxa"/>
        <w:jc w:val="left"/>
        <w:tblInd w:w="0" w:type="dxa"/>
        <w:tblLayout w:type="fixed"/>
        <w:tblCellMar>
          <w:top w:w="0" w:type="dxa"/>
          <w:left w:w="0" w:type="dxa"/>
          <w:bottom w:w="0" w:type="dxa"/>
          <w:right w:w="0" w:type="dxa"/>
        </w:tblCellMar>
      </w:tblPr>
      <w:tblGrid>
        <w:gridCol w:w="2735"/>
        <w:gridCol w:w="60"/>
        <w:gridCol w:w="2210"/>
        <w:gridCol w:w="60"/>
        <w:gridCol w:w="2780"/>
      </w:tblGrid>
      <w:tr>
        <w:trPr/>
        <w:tc>
          <w:tcPr>
            <w:tcW w:w="2735" w:type="dxa"/>
            <w:tcBorders/>
            <w:vAlign w:val="center"/>
          </w:tcPr>
          <w:p>
            <w:pPr>
              <w:pStyle w:val="TableContents"/>
              <w:bidi w:val="0"/>
              <w:spacing w:before="0" w:after="283"/>
              <w:jc w:val="center"/>
              <w:rPr>
                <w:b/>
                <w:sz w:val="20"/>
              </w:rPr>
            </w:pPr>
            <w:bookmarkStart w:id="5" w:name="xdx_900_edei--EntityIncorporationStateCo"/>
            <w:bookmarkEnd w:id="5"/>
            <w:r>
              <w:rPr>
                <w:b/>
                <w:sz w:val="20"/>
              </w:rPr>
              <w:t>Delaware</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b/>
                <w:sz w:val="20"/>
              </w:rPr>
            </w:pPr>
            <w:bookmarkStart w:id="6" w:name="xdx_903_edei--EntityFileNumber_c20250630"/>
            <w:bookmarkEnd w:id="6"/>
            <w:r>
              <w:rPr>
                <w:b/>
                <w:sz w:val="20"/>
              </w:rPr>
              <w:t>001-36002</w:t>
            </w:r>
          </w:p>
        </w:tc>
        <w:tc>
          <w:tcPr>
            <w:tcW w:w="6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b/>
                <w:sz w:val="20"/>
              </w:rPr>
            </w:pPr>
            <w:bookmarkStart w:id="7" w:name="xdx_908_edei--EntityTaxIdentificationNum"/>
            <w:bookmarkEnd w:id="7"/>
            <w:r>
              <w:rPr>
                <w:b/>
                <w:sz w:val="20"/>
              </w:rPr>
              <w:t>46-1777204</w:t>
            </w:r>
          </w:p>
        </w:tc>
      </w:tr>
      <w:tr>
        <w:trPr/>
        <w:tc>
          <w:tcPr>
            <w:tcW w:w="2735" w:type="dxa"/>
            <w:tcBorders/>
            <w:vAlign w:val="center"/>
          </w:tcPr>
          <w:p>
            <w:pPr>
              <w:pStyle w:val="TableContents"/>
              <w:bidi w:val="0"/>
              <w:spacing w:before="0" w:after="283"/>
              <w:jc w:val="center"/>
              <w:rPr/>
            </w:pPr>
            <w:r>
              <w:rPr/>
              <w:t>(State or other jurisdiction of</w:t>
              <w:br/>
              <w:t>incorporation)</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sz w:val="20"/>
              </w:rPr>
            </w:pPr>
            <w:r>
              <w:rPr>
                <w:sz w:val="20"/>
              </w:rPr>
              <w:t>(Commission File Number)</w:t>
            </w:r>
          </w:p>
        </w:tc>
        <w:tc>
          <w:tcPr>
            <w:tcW w:w="6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 xml:space="preserve">300 Carnegie Center, </w:t>
      </w:r>
      <w:bookmarkStart w:id="9" w:name="xdx_90E_edei--EntityAddressAddressLine2_"/>
      <w:bookmarkEnd w:id="9"/>
      <w:r>
        <w:rPr>
          <w:rFonts w:ascii="Times New Roman;Times;Serif" w:hAnsi="Times New Roman;Times;Serif"/>
          <w:b/>
          <w:i w:val="false"/>
          <w:caps w:val="false"/>
          <w:smallCaps w:val="false"/>
          <w:sz w:val="20"/>
        </w:rPr>
        <w:t xml:space="preserve">Suite 300, </w:t>
      </w:r>
      <w:bookmarkStart w:id="10" w:name="xdx_909_edei--EntityAddressCityOrTown_c2"/>
      <w:bookmarkEnd w:id="10"/>
      <w:r>
        <w:rPr>
          <w:rFonts w:ascii="Times New Roman;Times;Serif" w:hAnsi="Times New Roman;Times;Serif"/>
          <w:b/>
          <w:i w:val="false"/>
          <w:caps w:val="false"/>
          <w:smallCaps w:val="false"/>
          <w:sz w:val="20"/>
        </w:rPr>
        <w:t xml:space="preserve">Princeton, </w:t>
      </w:r>
      <w:bookmarkStart w:id="11" w:name="xdx_907_edei--EntityAddressStateOrProvin"/>
      <w:bookmarkEnd w:id="11"/>
      <w:r>
        <w:rPr>
          <w:rFonts w:ascii="Times New Roman;Times;Serif" w:hAnsi="Times New Roman;Times;Serif"/>
          <w:b/>
          <w:i w:val="false"/>
          <w:caps w:val="false"/>
          <w:smallCaps w:val="false"/>
          <w:sz w:val="20"/>
        </w:rPr>
        <w:t xml:space="preserve">New Jersey </w:t>
      </w:r>
      <w:bookmarkStart w:id="12" w:name="xdx_90D_edei--EntityAddressPostalZipCode"/>
      <w:bookmarkEnd w:id="12"/>
      <w:r>
        <w:rPr>
          <w:rFonts w:ascii="Times New Roman;Times;Serif" w:hAnsi="Times New Roman;Times;Serif"/>
          <w:b/>
          <w:i w:val="false"/>
          <w:caps w:val="false"/>
          <w:smallCaps w:val="false"/>
          <w:sz w:val="20"/>
        </w:rPr>
        <w:t>08540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A_edei--CityAreaCode_c20250630__20"/>
      <w:bookmarkEnd w:id="13"/>
      <w:r>
        <w:rPr>
          <w:rFonts w:ascii="Times New Roman;Times;Serif" w:hAnsi="Times New Roman;Times;Serif"/>
          <w:b/>
          <w:i w:val="false"/>
          <w:caps w:val="false"/>
          <w:smallCaps w:val="false"/>
          <w:sz w:val="20"/>
        </w:rPr>
        <w:t xml:space="preserve">609) </w:t>
      </w:r>
      <w:bookmarkStart w:id="14" w:name="xdx_908_edei--LocalPhoneNumber_c20250630"/>
      <w:bookmarkEnd w:id="14"/>
      <w:r>
        <w:rPr>
          <w:rFonts w:ascii="Times New Roman;Times;Serif" w:hAnsi="Times New Roman;Times;Serif"/>
          <w:b/>
          <w:i w:val="false"/>
          <w:caps w:val="false"/>
          <w:smallCaps w:val="false"/>
          <w:sz w:val="20"/>
        </w:rPr>
        <w:t>608-1525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aps w:val="false"/>
                <w:smallCaps w:val="false"/>
              </w:rPr>
            </w:pPr>
            <w:bookmarkStart w:id="15" w:name="xdx_902_edei--WrittenCommunications_c202"/>
            <w:bookmarkEnd w:id="15"/>
            <w:r>
              <w:rPr>
                <w:caps w:val="false"/>
                <w:smallCaps w:val="false"/>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aps w:val="false"/>
                <w:smallCaps w:val="false"/>
              </w:rPr>
            </w:pPr>
            <w:bookmarkStart w:id="16" w:name="xdx_900_edei--SolicitingMaterial_c202506"/>
            <w:bookmarkEnd w:id="16"/>
            <w:r>
              <w:rPr>
                <w:caps w:val="false"/>
                <w:smallCaps w:val="false"/>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7" w:name="xdx_90F_edei--PreCommencementTenderOffer"/>
            <w:bookmarkEnd w:id="17"/>
            <w:r>
              <w:rPr>
                <w:caps w:val="false"/>
                <w:smallCaps w:val="false"/>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aps w:val="false"/>
                <w:smallCaps w:val="false"/>
              </w:rPr>
            </w:pPr>
            <w:bookmarkStart w:id="18" w:name="xdx_90C_edei--PreCommencementIssuerTende"/>
            <w:bookmarkEnd w:id="18"/>
            <w:r>
              <w:rPr>
                <w:caps w:val="false"/>
                <w:smallCaps w:val="false"/>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770" w:type="dxa"/>
        <w:jc w:val="left"/>
        <w:tblInd w:w="0" w:type="dxa"/>
        <w:tblLayout w:type="fixed"/>
        <w:tblCellMar>
          <w:top w:w="0" w:type="dxa"/>
          <w:left w:w="0" w:type="dxa"/>
          <w:bottom w:w="28" w:type="dxa"/>
          <w:right w:w="0" w:type="dxa"/>
        </w:tblCellMar>
      </w:tblPr>
      <w:tblGrid>
        <w:gridCol w:w="3305"/>
        <w:gridCol w:w="1610"/>
        <w:gridCol w:w="2855"/>
      </w:tblGrid>
      <w:tr>
        <w:trPr/>
        <w:tc>
          <w:tcPr>
            <w:tcW w:w="330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2855" w:type="dxa"/>
            <w:tcBorders>
              <w:bottom w:val="single" w:sz="8" w:space="0" w:color="000000"/>
            </w:tcBorders>
            <w:vAlign w:val="center"/>
          </w:tcPr>
          <w:p>
            <w:pPr>
              <w:pStyle w:val="TableContents"/>
              <w:bidi w:val="0"/>
              <w:spacing w:before="0" w:after="283"/>
              <w:jc w:val="center"/>
              <w:rPr>
                <w:b/>
                <w:sz w:val="20"/>
              </w:rPr>
            </w:pPr>
            <w:r>
              <w:rPr>
                <w:b/>
                <w:sz w:val="20"/>
              </w:rPr>
              <w:t xml:space="preserve">Name of each exchange on which </w:t>
              <w:br/>
              <w:t>registered</w:t>
            </w:r>
          </w:p>
        </w:tc>
      </w:tr>
      <w:tr>
        <w:trPr/>
        <w:tc>
          <w:tcPr>
            <w:tcW w:w="3305" w:type="dxa"/>
            <w:tcBorders/>
            <w:tcMar>
              <w:bottom w:w="0" w:type="dxa"/>
            </w:tcMar>
            <w:vAlign w:val="center"/>
          </w:tcPr>
          <w:p>
            <w:pPr>
              <w:pStyle w:val="TableContents"/>
              <w:bidi w:val="0"/>
              <w:spacing w:before="0" w:after="283"/>
              <w:jc w:val="left"/>
              <w:rPr>
                <w:sz w:val="20"/>
              </w:rPr>
            </w:pPr>
            <w:bookmarkStart w:id="19" w:name="xdx_90D_edei--Security12bTitle_c20250630"/>
            <w:bookmarkEnd w:id="19"/>
            <w:r>
              <w:rPr>
                <w:sz w:val="20"/>
              </w:rPr>
              <w:t>Class A Common Stock, par value $0.01</w:t>
            </w:r>
          </w:p>
        </w:tc>
        <w:tc>
          <w:tcPr>
            <w:tcW w:w="1610" w:type="dxa"/>
            <w:tcBorders/>
            <w:tcMar>
              <w:bottom w:w="0" w:type="dxa"/>
            </w:tcMar>
            <w:vAlign w:val="center"/>
          </w:tcPr>
          <w:p>
            <w:pPr>
              <w:pStyle w:val="TableContents"/>
              <w:bidi w:val="0"/>
              <w:spacing w:before="0" w:after="283"/>
              <w:jc w:val="center"/>
              <w:rPr>
                <w:sz w:val="20"/>
              </w:rPr>
            </w:pPr>
            <w:bookmarkStart w:id="20" w:name="xdx_909_edei--TradingSymbol_c20250630__2"/>
            <w:bookmarkEnd w:id="20"/>
            <w:r>
              <w:rPr>
                <w:sz w:val="20"/>
              </w:rPr>
              <w:t>CWEN.A</w:t>
            </w:r>
          </w:p>
        </w:tc>
        <w:tc>
          <w:tcPr>
            <w:tcW w:w="2855" w:type="dxa"/>
            <w:tcBorders/>
            <w:tcMar>
              <w:bottom w:w="0" w:type="dxa"/>
            </w:tcMar>
            <w:vAlign w:val="center"/>
          </w:tcPr>
          <w:p>
            <w:pPr>
              <w:pStyle w:val="TableContents"/>
              <w:bidi w:val="0"/>
              <w:spacing w:before="0" w:after="283"/>
              <w:jc w:val="center"/>
              <w:rPr>
                <w:sz w:val="20"/>
              </w:rPr>
            </w:pPr>
            <w:bookmarkStart w:id="21" w:name="xdx_90C_edei--SecurityExchangeName_c2025"/>
            <w:bookmarkEnd w:id="21"/>
            <w:r>
              <w:rPr>
                <w:sz w:val="20"/>
              </w:rPr>
              <w:t>New York Stock Exchange</w:t>
            </w:r>
          </w:p>
        </w:tc>
      </w:tr>
      <w:tr>
        <w:trPr/>
        <w:tc>
          <w:tcPr>
            <w:tcW w:w="3305" w:type="dxa"/>
            <w:tcBorders/>
            <w:tcMar>
              <w:bottom w:w="0" w:type="dxa"/>
            </w:tcMar>
            <w:vAlign w:val="center"/>
          </w:tcPr>
          <w:p>
            <w:pPr>
              <w:pStyle w:val="TableContents"/>
              <w:bidi w:val="0"/>
              <w:spacing w:before="0" w:after="283"/>
              <w:jc w:val="left"/>
              <w:rPr>
                <w:sz w:val="20"/>
              </w:rPr>
            </w:pPr>
            <w:bookmarkStart w:id="22" w:name="xdx_90F_edei--Security12bTitle_c20250630"/>
            <w:bookmarkEnd w:id="22"/>
            <w:r>
              <w:rPr>
                <w:sz w:val="20"/>
              </w:rPr>
              <w:t>Class C Common Stock, par value $0.01</w:t>
            </w:r>
          </w:p>
        </w:tc>
        <w:tc>
          <w:tcPr>
            <w:tcW w:w="1610" w:type="dxa"/>
            <w:tcBorders/>
            <w:tcMar>
              <w:bottom w:w="0" w:type="dxa"/>
            </w:tcMar>
            <w:vAlign w:val="center"/>
          </w:tcPr>
          <w:p>
            <w:pPr>
              <w:pStyle w:val="TableContents"/>
              <w:bidi w:val="0"/>
              <w:spacing w:before="0" w:after="283"/>
              <w:jc w:val="center"/>
              <w:rPr>
                <w:sz w:val="20"/>
              </w:rPr>
            </w:pPr>
            <w:bookmarkStart w:id="23" w:name="xdx_902_edei--TradingSymbol_c20250630__2"/>
            <w:bookmarkEnd w:id="23"/>
            <w:r>
              <w:rPr>
                <w:sz w:val="20"/>
              </w:rPr>
              <w:t>CWEN</w:t>
            </w:r>
          </w:p>
        </w:tc>
        <w:tc>
          <w:tcPr>
            <w:tcW w:w="2855" w:type="dxa"/>
            <w:tcBorders/>
            <w:tcMar>
              <w:bottom w:w="0" w:type="dxa"/>
            </w:tcMar>
            <w:vAlign w:val="center"/>
          </w:tcPr>
          <w:p>
            <w:pPr>
              <w:pStyle w:val="TableContents"/>
              <w:bidi w:val="0"/>
              <w:spacing w:before="0" w:after="283"/>
              <w:jc w:val="center"/>
              <w:rPr>
                <w:sz w:val="20"/>
              </w:rPr>
            </w:pPr>
            <w:bookmarkStart w:id="24" w:name="xdx_905_edei--SecurityExchangeName_c2025"/>
            <w:bookmarkEnd w:id="24"/>
            <w:r>
              <w:rPr>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72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5" w:name="xdx_901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9"/>
        <w:gridCol w:w="9486"/>
      </w:tblGrid>
      <w:tr>
        <w:trPr/>
        <w:tc>
          <w:tcPr>
            <w:tcW w:w="71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5.02</w:t>
            </w:r>
          </w:p>
        </w:tc>
        <w:tc>
          <w:tcPr>
            <w:tcW w:w="948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2025, Clearway Energy,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received a notice of resignation from Emmanuel Barrois, informing the Company of his intention to resign from the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of the Company effective as of the close of business on July 1, 2025. Mr. Barrois’ resignation from the Board was not the result of any disagreement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2025, the Board elected Paige Goodwin to replace Mr. Barrois and to serve as a member of the Board and a member of the Energy Risk Management Committee of the Board, effective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Goodwin will not receive any separate compensation for her service as a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Goodwin currently serves as VP – U.S. Renewables Portfolio for TotalEnergies. She has been employed by TotalEnergies since 2014, and has held a variety of business and legal leadership roles, including as Senior Manager – U.S. Petrochemicals JVs and New Ventures; Assistant  General Counsel – U.S. Ligation; and Assistant General Counsel – U.S. Refining &amp; Chemicals.  Prior to joining TotalEnergies, Ms. Goodwin was a litigation attorney at Baker Botts L.L.P. in Houston.  Ms. Goodwin received her Juris Doctor from the University of Pennsylvania Law School, and her Bachelor of Arts from Duke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b w:val="false"/>
          <w:i w:val="false"/>
          <w:caps w:val="false"/>
          <w:smallCaps w:val="false"/>
          <w:sz w:val="20"/>
        </w:rPr>
        <w:t>The Company and Ms. Goodwin have entered into an indemnification agreement that provides Ms. Goodwin with contractual rights to indemnification, expense advancement and reimbursement to the fullest extent permitted under Delaware law. The foregoing description of such indemnification agreement does not purport to be complete and is qualified in its entirety by reference to the complete text of the Form of Indemnification Agreement, the form of which was filed as </w:t>
      </w:r>
      <w:hyperlink r:id="rId2">
        <w:r>
          <w:rPr>
            <w:rStyle w:val="InternetLink"/>
            <w:rFonts w:ascii="Times New Roman;Times;Serif" w:hAnsi="Times New Roman;Times;Serif"/>
            <w:b w:val="false"/>
            <w:i w:val="false"/>
            <w:caps w:val="false"/>
            <w:smallCaps w:val="false"/>
            <w:sz w:val="20"/>
          </w:rPr>
          <w:t>Exhibit 10.4</w:t>
        </w:r>
      </w:hyperlink>
      <w:r>
        <w:rPr>
          <w:rFonts w:ascii="Times New Roman;Times;Serif" w:hAnsi="Times New Roman;Times;Serif"/>
          <w:b w:val="false"/>
          <w:i w:val="false"/>
          <w:caps w:val="false"/>
          <w:smallCaps w:val="false"/>
          <w:sz w:val="20"/>
        </w:rPr>
        <w:t> to the Company’s Annual Report on Form 10-K for the fiscal year ended December 31, 2024, and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understandings between Ms. Goodwin and any other person pursuant to which Ms. Goodwin was elected to serve on the Board. Ms. Goodwin does not have any direct or indirect material interest in any transaction required to be disclosed pursuant to Item 404(a)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75"/>
        <w:gridCol w:w="320"/>
        <w:gridCol w:w="3380"/>
      </w:tblGrid>
      <w:tr>
        <w:trPr/>
        <w:tc>
          <w:tcPr>
            <w:tcW w:w="75" w:type="dxa"/>
            <w:tcBorders/>
            <w:vAlign w:val="center"/>
          </w:tcPr>
          <w:p>
            <w:pPr>
              <w:pStyle w:val="TableContents"/>
              <w:bidi w:val="0"/>
              <w:spacing w:before="0" w:after="283"/>
              <w:jc w:val="left"/>
              <w:rPr/>
            </w:pPr>
            <w:r>
              <w:rPr/>
              <w:t> </w:t>
            </w:r>
          </w:p>
        </w:tc>
        <w:tc>
          <w:tcPr>
            <w:tcW w:w="370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Clearway Energy,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Kevin P. Malcarney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P. Malcarney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 and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67683/000156768319000014/clearwayincex1010201810-k.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737</Words>
  <Characters>3975</Characters>
  <CharactersWithSpaces>4720</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