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restart"/>
          </w:tcPr>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Ford Brian R</w:t>
              </w:r>
              <w:r>
                <w:rPr>
                  <w:rFonts w:ascii="Arial" w:cs="Arial" w:eastAsia="Arial" w:hAnsi="Arial"/>
                  <w:sz w:val="21"/>
                  <w:szCs w:val="21"/>
                  <w:color w:val="0000EE"/>
                </w:rPr>
                <w:t>.</w:t>
              </w:r>
            </w:hyperlink>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5"/>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Clearway Energy,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6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gridSpan w:val="5"/>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7"/>
                <w:szCs w:val="17"/>
                <w:color w:val="0000FF"/>
              </w:rPr>
              <w:t>06/01/2020</w:t>
            </w: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4"/>
            <w:vMerge w:val="restart"/>
          </w:tcPr>
          <w:p>
            <w:pPr>
              <w:spacing w:after="0"/>
              <w:rPr>
                <w:sz w:val="20"/>
                <w:szCs w:val="20"/>
                <w:color w:val="auto"/>
              </w:rPr>
            </w:pPr>
            <w:r>
              <w:rPr>
                <w:rFonts w:ascii="Arial" w:cs="Arial" w:eastAsia="Arial" w:hAnsi="Arial"/>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50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500" w:type="dxa"/>
            <w:vAlign w:val="bottom"/>
            <w:gridSpan w:val="6"/>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8"/>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4"/>
          </w:tcPr>
          <w:p>
            <w:pPr>
              <w:jc w:val="center"/>
              <w:ind w:left="2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20" w:type="dxa"/>
            <w:vAlign w:val="bottom"/>
            <w:gridSpan w:val="4"/>
            <w:vMerge w:val="restart"/>
          </w:tcPr>
          <w:p>
            <w:pPr>
              <w:jc w:val="center"/>
              <w:ind w:left="5"/>
              <w:spacing w:after="0"/>
              <w:rPr>
                <w:sz w:val="20"/>
                <w:szCs w:val="20"/>
                <w:color w:val="auto"/>
              </w:rPr>
            </w:pPr>
            <w:r>
              <w:rPr>
                <w:rFonts w:ascii="Arial" w:cs="Arial" w:eastAsia="Arial" w:hAnsi="Arial"/>
                <w:sz w:val="17"/>
                <w:szCs w:val="17"/>
                <w:color w:val="0000FF"/>
                <w:w w:val="93"/>
              </w:rPr>
              <w:t>06/01/2020</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jc w:val="center"/>
              <w:ind w:left="51"/>
              <w:spacing w:after="0"/>
              <w:rPr>
                <w:sz w:val="20"/>
                <w:szCs w:val="20"/>
                <w:color w:val="auto"/>
              </w:rPr>
            </w:pPr>
            <w:r>
              <w:rPr>
                <w:rFonts w:ascii="Arial" w:cs="Arial" w:eastAsia="Arial" w:hAnsi="Arial"/>
                <w:sz w:val="17"/>
                <w:szCs w:val="17"/>
                <w:color w:val="0000FF"/>
                <w:w w:val="85"/>
              </w:rPr>
              <w:t>6,007</w:t>
            </w:r>
            <w:r>
              <w:rPr>
                <w:rFonts w:ascii="Arial" w:cs="Arial" w:eastAsia="Arial" w:hAnsi="Arial"/>
                <w:sz w:val="22"/>
                <w:szCs w:val="22"/>
                <w:color w:val="008000"/>
                <w:w w:val="85"/>
                <w:vertAlign w:val="superscript"/>
              </w:rPr>
              <w:t>(1)</w:t>
            </w:r>
          </w:p>
        </w:tc>
        <w:tc>
          <w:tcPr>
            <w:tcW w:w="440" w:type="dxa"/>
            <w:vAlign w:val="bottom"/>
            <w:vMerge w:val="restart"/>
          </w:tcPr>
          <w:p>
            <w:pPr>
              <w:jc w:val="center"/>
              <w:ind w:left="214"/>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44,886</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bottom w:val="single" w:sz="8" w:color="2C2C2C"/>
            </w:tcBorders>
            <w:gridSpan w:val="5"/>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A Common Stock, par value $.01 per</w:t>
            </w:r>
          </w:p>
        </w:tc>
        <w:tc>
          <w:tcPr>
            <w:tcW w:w="1120" w:type="dxa"/>
            <w:vAlign w:val="bottom"/>
            <w:gridSpan w:val="4"/>
            <w:vMerge w:val="restart"/>
          </w:tcPr>
          <w:p>
            <w:pPr>
              <w:jc w:val="center"/>
              <w:ind w:left="5"/>
              <w:spacing w:after="0"/>
              <w:rPr>
                <w:sz w:val="20"/>
                <w:szCs w:val="20"/>
                <w:color w:val="auto"/>
              </w:rPr>
            </w:pPr>
            <w:r>
              <w:rPr>
                <w:rFonts w:ascii="Arial" w:cs="Arial" w:eastAsia="Arial" w:hAnsi="Arial"/>
                <w:sz w:val="17"/>
                <w:szCs w:val="17"/>
                <w:color w:val="0000FF"/>
                <w:w w:val="93"/>
              </w:rPr>
              <w:t>06/01/2020</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jc w:val="center"/>
              <w:ind w:left="71"/>
              <w:spacing w:after="0"/>
              <w:rPr>
                <w:sz w:val="20"/>
                <w:szCs w:val="20"/>
                <w:color w:val="auto"/>
              </w:rPr>
            </w:pPr>
            <w:r>
              <w:rPr>
                <w:rFonts w:ascii="Arial" w:cs="Arial" w:eastAsia="Arial" w:hAnsi="Arial"/>
                <w:sz w:val="17"/>
                <w:szCs w:val="17"/>
                <w:color w:val="0000FF"/>
                <w:w w:val="94"/>
              </w:rPr>
              <w:t>65</w:t>
            </w:r>
          </w:p>
        </w:tc>
        <w:tc>
          <w:tcPr>
            <w:tcW w:w="440" w:type="dxa"/>
            <w:vAlign w:val="bottom"/>
            <w:vMerge w:val="restart"/>
          </w:tcPr>
          <w:p>
            <w:pPr>
              <w:jc w:val="center"/>
              <w:ind w:left="214"/>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(3)</w:t>
            </w:r>
          </w:p>
        </w:tc>
        <w:tc>
          <w:tcPr>
            <w:tcW w:w="18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5"/>
              </w:rPr>
              <w:t>7,405</w:t>
            </w:r>
            <w:r>
              <w:rPr>
                <w:rFonts w:ascii="Arial" w:cs="Arial" w:eastAsia="Arial" w:hAnsi="Arial"/>
                <w:sz w:val="22"/>
                <w:szCs w:val="22"/>
                <w:color w:val="008000"/>
                <w:w w:val="85"/>
                <w:vertAlign w:val="superscript"/>
              </w:rPr>
              <w:t>(4)</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bottom w:val="single" w:sz="8" w:color="2C2C2C"/>
            </w:tcBorders>
            <w:gridSpan w:val="5"/>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20" w:type="dxa"/>
            <w:vAlign w:val="bottom"/>
            <w:gridSpan w:val="4"/>
            <w:vMerge w:val="restart"/>
          </w:tcPr>
          <w:p>
            <w:pPr>
              <w:jc w:val="center"/>
              <w:ind w:left="5"/>
              <w:spacing w:after="0"/>
              <w:rPr>
                <w:sz w:val="20"/>
                <w:szCs w:val="20"/>
                <w:color w:val="auto"/>
              </w:rPr>
            </w:pPr>
            <w:r>
              <w:rPr>
                <w:rFonts w:ascii="Arial" w:cs="Arial" w:eastAsia="Arial" w:hAnsi="Arial"/>
                <w:sz w:val="17"/>
                <w:szCs w:val="17"/>
                <w:color w:val="0000FF"/>
                <w:w w:val="93"/>
              </w:rPr>
              <w:t>06/01/2020</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jc w:val="center"/>
              <w:ind w:left="71"/>
              <w:spacing w:after="0"/>
              <w:rPr>
                <w:sz w:val="20"/>
                <w:szCs w:val="20"/>
                <w:color w:val="auto"/>
              </w:rPr>
            </w:pPr>
            <w:r>
              <w:rPr>
                <w:rFonts w:ascii="Arial" w:cs="Arial" w:eastAsia="Arial" w:hAnsi="Arial"/>
                <w:sz w:val="17"/>
                <w:szCs w:val="17"/>
                <w:color w:val="0000FF"/>
                <w:w w:val="91"/>
              </w:rPr>
              <w:t>417</w:t>
            </w:r>
          </w:p>
        </w:tc>
        <w:tc>
          <w:tcPr>
            <w:tcW w:w="440" w:type="dxa"/>
            <w:vAlign w:val="bottom"/>
            <w:vMerge w:val="restart"/>
          </w:tcPr>
          <w:p>
            <w:pPr>
              <w:jc w:val="center"/>
              <w:ind w:left="214"/>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(3)</w:t>
            </w:r>
          </w:p>
        </w:tc>
        <w:tc>
          <w:tcPr>
            <w:tcW w:w="18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5"/>
              </w:rPr>
              <w:t>45,303</w:t>
            </w:r>
            <w:r>
              <w:rPr>
                <w:rFonts w:ascii="Arial" w:cs="Arial" w:eastAsia="Arial" w:hAnsi="Arial"/>
                <w:sz w:val="22"/>
                <w:szCs w:val="22"/>
                <w:color w:val="008000"/>
                <w:w w:val="85"/>
                <w:vertAlign w:val="superscript"/>
              </w:rPr>
              <w:t>(5)</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408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3"/>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jc w:val="center"/>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jc w:val="center"/>
              <w:ind w:right="3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-3719830</wp:posOffset>
            </wp:positionV>
            <wp:extent cx="7031355" cy="37655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76555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6,007 Deferred Stock Units issued to the Reporting Person by Clearway Energy, Inc. under Clearway Energy, Inc.'s Amended and Restated 2013 Equity Incentive Plan.</w:t>
      </w:r>
    </w:p>
    <w:p>
      <w:pPr>
        <w:spacing w:after="0" w:line="50" w:lineRule="exact"/>
        <w:rPr>
          <w:rFonts w:ascii="Arial" w:cs="Arial" w:eastAsia="Arial" w:hAnsi="Arial"/>
          <w:sz w:val="13"/>
          <w:szCs w:val="13"/>
          <w:color w:val="008000"/>
        </w:rPr>
      </w:pPr>
    </w:p>
    <w:p>
      <w:pPr>
        <w:ind w:left="40" w:right="1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Deferred Stock Unit is equivalent in value to one share of Clearway Energy, Inc.'s Class C Common Stock, par value $.01 per share. The Reporting Person will receive from Clearway Energy, Inc. one such share of Class C Common Stock for each Deferred Stock Unit he owns upon termination of his service on Clearway Energy, Inc.'s Board of Directors.</w:t>
      </w:r>
    </w:p>
    <w:p>
      <w:pPr>
        <w:spacing w:after="0" w:line="15" w:lineRule="exact"/>
        <w:rPr>
          <w:rFonts w:ascii="Arial" w:cs="Arial" w:eastAsia="Arial" w:hAnsi="Arial"/>
          <w:sz w:val="13"/>
          <w:szCs w:val="13"/>
          <w:color w:val="008000"/>
        </w:rPr>
      </w:pPr>
    </w:p>
    <w:p>
      <w:pPr>
        <w:ind w:left="40" w:right="6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Deferred Stock Units, which become exercisable proportionately with the Deferred Stock Units to which they relate and mayonly be settled in Class A or Class C Common Stock of Clearway Energy, Inc. as determined by the Deferred Stock Units to which they relate.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1,858 dividend equivalent rights that may only be settled in Class A Common Stock.</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6,600 dividend equivalent rights that may only be settled in Class C Common Stock.</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Michael A. Brown, by</w:t>
            </w:r>
          </w:p>
        </w:tc>
        <w:tc>
          <w:tcPr>
            <w:tcW w:w="3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06/03/2020</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58874"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2020-06-03T15:26:54Z</dcterms:created>
  <dcterms:modified xsi:type="dcterms:W3CDTF">2020-06-03T15:26:54Z</dcterms:modified>
</cp:coreProperties>
</file>