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Ford Brian R.</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06/01/2022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4"/>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5"/>
          </w:tcPr>
          <w:p>
            <w:pPr>
              <w:jc w:val="center"/>
              <w:ind w:left="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5"/>
            <w:vMerge w:val="restart"/>
          </w:tcPr>
          <w:p>
            <w:pPr>
              <w:jc w:val="center"/>
              <w:ind w:left="5"/>
              <w:spacing w:after="0"/>
              <w:rPr>
                <w:sz w:val="20"/>
                <w:szCs w:val="20"/>
                <w:color w:val="auto"/>
              </w:rPr>
            </w:pPr>
            <w:r>
              <w:rPr>
                <w:rFonts w:ascii="Arial" w:cs="Arial" w:eastAsia="Arial" w:hAnsi="Arial"/>
                <w:sz w:val="17"/>
                <w:szCs w:val="17"/>
                <w:color w:val="0000FF"/>
                <w:w w:val="93"/>
              </w:rPr>
              <w:t>06/01/2022</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ind w:left="51"/>
              <w:spacing w:after="0"/>
              <w:rPr>
                <w:sz w:val="20"/>
                <w:szCs w:val="20"/>
                <w:color w:val="auto"/>
              </w:rPr>
            </w:pPr>
            <w:r>
              <w:rPr>
                <w:rFonts w:ascii="Arial" w:cs="Arial" w:eastAsia="Arial" w:hAnsi="Arial"/>
                <w:sz w:val="17"/>
                <w:szCs w:val="17"/>
                <w:color w:val="0000FF"/>
                <w:w w:val="85"/>
              </w:rPr>
              <w:t>4,328</w:t>
            </w:r>
            <w:r>
              <w:rPr>
                <w:rFonts w:ascii="Arial" w:cs="Arial" w:eastAsia="Arial" w:hAnsi="Arial"/>
                <w:sz w:val="22"/>
                <w:szCs w:val="22"/>
                <w:color w:val="008000"/>
                <w:w w:val="85"/>
                <w:vertAlign w:val="superscript"/>
              </w:rPr>
              <w:t>(1)</w:t>
            </w:r>
          </w:p>
        </w:tc>
        <w:tc>
          <w:tcPr>
            <w:tcW w:w="440" w:type="dxa"/>
            <w:vAlign w:val="bottom"/>
            <w:vMerge w:val="restart"/>
          </w:tcPr>
          <w:p>
            <w:pPr>
              <w:jc w:val="center"/>
              <w:ind w:left="214"/>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58,339</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A Common Stock, par value $.01 per</w:t>
            </w:r>
          </w:p>
        </w:tc>
        <w:tc>
          <w:tcPr>
            <w:tcW w:w="1120" w:type="dxa"/>
            <w:vAlign w:val="bottom"/>
            <w:gridSpan w:val="5"/>
            <w:vMerge w:val="restart"/>
          </w:tcPr>
          <w:p>
            <w:pPr>
              <w:jc w:val="center"/>
              <w:ind w:left="5"/>
              <w:spacing w:after="0"/>
              <w:rPr>
                <w:sz w:val="20"/>
                <w:szCs w:val="20"/>
                <w:color w:val="auto"/>
              </w:rPr>
            </w:pPr>
            <w:r>
              <w:rPr>
                <w:rFonts w:ascii="Arial" w:cs="Arial" w:eastAsia="Arial" w:hAnsi="Arial"/>
                <w:sz w:val="17"/>
                <w:szCs w:val="17"/>
                <w:color w:val="0000FF"/>
                <w:w w:val="93"/>
              </w:rPr>
              <w:t>06/01/2022</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ind w:left="71"/>
              <w:spacing w:after="0"/>
              <w:rPr>
                <w:sz w:val="20"/>
                <w:szCs w:val="20"/>
                <w:color w:val="auto"/>
              </w:rPr>
            </w:pPr>
            <w:r>
              <w:rPr>
                <w:rFonts w:ascii="Arial" w:cs="Arial" w:eastAsia="Arial" w:hAnsi="Arial"/>
                <w:sz w:val="17"/>
                <w:szCs w:val="17"/>
                <w:color w:val="0000FF"/>
                <w:w w:val="94"/>
              </w:rPr>
              <w:t>76</w:t>
            </w:r>
          </w:p>
        </w:tc>
        <w:tc>
          <w:tcPr>
            <w:tcW w:w="440" w:type="dxa"/>
            <w:vAlign w:val="bottom"/>
            <w:vMerge w:val="restart"/>
          </w:tcPr>
          <w:p>
            <w:pPr>
              <w:jc w:val="center"/>
              <w:ind w:left="214"/>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8,030</w:t>
            </w:r>
            <w:r>
              <w:rPr>
                <w:rFonts w:ascii="Arial" w:cs="Arial" w:eastAsia="Arial" w:hAnsi="Arial"/>
                <w:sz w:val="22"/>
                <w:szCs w:val="22"/>
                <w:color w:val="008000"/>
                <w:w w:val="85"/>
                <w:vertAlign w:val="superscript"/>
              </w:rPr>
              <w:t>(4)</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20" w:type="dxa"/>
            <w:vAlign w:val="bottom"/>
            <w:gridSpan w:val="5"/>
            <w:vMerge w:val="restart"/>
          </w:tcPr>
          <w:p>
            <w:pPr>
              <w:jc w:val="center"/>
              <w:ind w:left="5"/>
              <w:spacing w:after="0"/>
              <w:rPr>
                <w:sz w:val="20"/>
                <w:szCs w:val="20"/>
                <w:color w:val="auto"/>
              </w:rPr>
            </w:pPr>
            <w:r>
              <w:rPr>
                <w:rFonts w:ascii="Arial" w:cs="Arial" w:eastAsia="Arial" w:hAnsi="Arial"/>
                <w:sz w:val="17"/>
                <w:szCs w:val="17"/>
                <w:color w:val="0000FF"/>
                <w:w w:val="93"/>
              </w:rPr>
              <w:t>06/01/2022</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jc w:val="center"/>
              <w:ind w:left="71"/>
              <w:spacing w:after="0"/>
              <w:rPr>
                <w:sz w:val="20"/>
                <w:szCs w:val="20"/>
                <w:color w:val="auto"/>
              </w:rPr>
            </w:pPr>
            <w:r>
              <w:rPr>
                <w:rFonts w:ascii="Arial" w:cs="Arial" w:eastAsia="Arial" w:hAnsi="Arial"/>
                <w:sz w:val="17"/>
                <w:szCs w:val="17"/>
                <w:color w:val="0000FF"/>
                <w:w w:val="91"/>
              </w:rPr>
              <w:t>584</w:t>
            </w:r>
          </w:p>
        </w:tc>
        <w:tc>
          <w:tcPr>
            <w:tcW w:w="440" w:type="dxa"/>
            <w:vAlign w:val="bottom"/>
            <w:vMerge w:val="restart"/>
          </w:tcPr>
          <w:p>
            <w:pPr>
              <w:jc w:val="center"/>
              <w:ind w:left="214"/>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(3)</w:t>
            </w:r>
          </w:p>
        </w:tc>
        <w:tc>
          <w:tcPr>
            <w:tcW w:w="18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58,923</w:t>
            </w:r>
            <w:r>
              <w:rPr>
                <w:rFonts w:ascii="Arial" w:cs="Arial" w:eastAsia="Arial" w:hAnsi="Arial"/>
                <w:sz w:val="22"/>
                <w:szCs w:val="22"/>
                <w:color w:val="008000"/>
                <w:w w:val="85"/>
                <w:vertAlign w:val="superscript"/>
              </w:rPr>
              <w:t>(5)</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jc w:val="center"/>
              <w:ind w:right="3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4,328 Deferred Stock Units issued to the Reporting Person by Clearway Energy, Inc. under Clearway Energy, Inc.'s Amended and Restated 2013 Equity Incentive Plan.</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Deferred Stock Unit is equivalent in value to one share of Clearway Energy, Inc.'s Class C Common Stock, par value $.01 per share. The Reporting Person will receive from Clearway Energy, Inc.one such share of Class C Common Stock for each Deferred Stock Unit he owns upon termination of his service on Clearway Energy, Inc.'s Board of Directors.</w:t>
      </w:r>
    </w:p>
    <w:p>
      <w:pPr>
        <w:spacing w:after="0" w:line="15" w:lineRule="exact"/>
        <w:rPr>
          <w:rFonts w:ascii="Arial" w:cs="Arial" w:eastAsia="Arial" w:hAnsi="Arial"/>
          <w:sz w:val="13"/>
          <w:szCs w:val="13"/>
          <w:color w:val="008000"/>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2,483 dividend equivalent rights that may only be settled in Class A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10,933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2022-06-03T15:24:17Z</dcterms:created>
  <dcterms:modified xsi:type="dcterms:W3CDTF">2022-06-03T15:24:17Z</dcterms:modified>
</cp:coreProperties>
</file>