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8" w:lineRule="exact"/>
        <w:rPr>
          <w:sz w:val="24"/>
          <w:szCs w:val="24"/>
          <w:color w:val="auto"/>
        </w:rPr>
      </w:pPr>
    </w:p>
    <w:p>
      <w:pPr>
        <w:ind w:left="2960"/>
        <w:spacing w:after="0"/>
        <w:rPr>
          <w:sz w:val="20"/>
          <w:szCs w:val="20"/>
          <w:color w:val="auto"/>
        </w:rPr>
      </w:pPr>
      <w:r>
        <w:rPr>
          <w:rFonts w:ascii="Arial" w:cs="Arial" w:eastAsia="Arial" w:hAnsi="Arial"/>
          <w:sz w:val="16"/>
          <w:szCs w:val="16"/>
          <w:b w:val="1"/>
          <w:bCs w:val="1"/>
          <w:color w:val="auto"/>
        </w:rPr>
        <w:t>As filed with the Securities and Exchange Commission on August 6, 2020</w:t>
      </w:r>
    </w:p>
    <w:p>
      <w:pPr>
        <w:spacing w:after="0" w:line="46" w:lineRule="exact"/>
        <w:rPr>
          <w:sz w:val="24"/>
          <w:szCs w:val="24"/>
          <w:color w:val="auto"/>
        </w:rPr>
      </w:pPr>
    </w:p>
    <w:p>
      <w:pPr>
        <w:ind w:left="83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46355</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106045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Washington, D.C. 20549</w:t>
      </w:r>
    </w:p>
    <w:p>
      <w:pPr>
        <w:spacing w:after="0" w:line="131"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FORM S-3</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REGISTRATION STATEMENT</w:t>
      </w:r>
    </w:p>
    <w:p>
      <w:pPr>
        <w:spacing w:after="0" w:line="28"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UNDER</w:t>
      </w:r>
    </w:p>
    <w:p>
      <w:pPr>
        <w:spacing w:after="0" w:line="86"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140335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4"/>
          <w:szCs w:val="24"/>
          <w:color w:val="auto"/>
        </w:rPr>
      </w:pPr>
    </w:p>
    <w:tbl>
      <w:tblPr>
        <w:tblLayout w:type="fixed"/>
        <w:tblInd w:w="1860" w:type="dxa"/>
        <w:tblCellMar>
          <w:top w:w="0" w:type="dxa"/>
          <w:left w:w="0" w:type="dxa"/>
          <w:bottom w:w="0" w:type="dxa"/>
          <w:right w:w="0" w:type="dxa"/>
        </w:tblCellMar>
      </w:tblPr>
      <w:tr>
        <w:trPr>
          <w:trHeight w:val="328"/>
        </w:trPr>
        <w:tc>
          <w:tcPr>
            <w:tcW w:w="1920" w:type="dxa"/>
            <w:vAlign w:val="bottom"/>
          </w:tcPr>
          <w:p>
            <w:pPr>
              <w:spacing w:after="0"/>
              <w:rPr>
                <w:sz w:val="24"/>
                <w:szCs w:val="24"/>
                <w:color w:val="auto"/>
              </w:rPr>
            </w:pPr>
          </w:p>
        </w:tc>
        <w:tc>
          <w:tcPr>
            <w:tcW w:w="5080" w:type="dxa"/>
            <w:vAlign w:val="bottom"/>
            <w:gridSpan w:val="3"/>
          </w:tcPr>
          <w:p>
            <w:pPr>
              <w:jc w:val="center"/>
              <w:ind w:right="1828"/>
              <w:spacing w:after="0"/>
              <w:rPr>
                <w:sz w:val="20"/>
                <w:szCs w:val="20"/>
                <w:color w:val="auto"/>
              </w:rPr>
            </w:pPr>
            <w:r>
              <w:rPr>
                <w:rFonts w:ascii="Arial" w:cs="Arial" w:eastAsia="Arial" w:hAnsi="Arial"/>
                <w:sz w:val="25"/>
                <w:szCs w:val="25"/>
                <w:b w:val="1"/>
                <w:bCs w:val="1"/>
                <w:color w:val="auto"/>
                <w:w w:val="88"/>
              </w:rPr>
              <w:t>Clearway Energy, Inc.</w:t>
            </w:r>
          </w:p>
        </w:tc>
      </w:tr>
      <w:tr>
        <w:trPr>
          <w:trHeight w:val="182"/>
        </w:trPr>
        <w:tc>
          <w:tcPr>
            <w:tcW w:w="1920" w:type="dxa"/>
            <w:vAlign w:val="bottom"/>
          </w:tcPr>
          <w:p>
            <w:pPr>
              <w:spacing w:after="0"/>
              <w:rPr>
                <w:sz w:val="15"/>
                <w:szCs w:val="15"/>
                <w:color w:val="auto"/>
              </w:rPr>
            </w:pPr>
          </w:p>
        </w:tc>
        <w:tc>
          <w:tcPr>
            <w:tcW w:w="5080" w:type="dxa"/>
            <w:vAlign w:val="bottom"/>
            <w:gridSpan w:val="3"/>
          </w:tcPr>
          <w:p>
            <w:pPr>
              <w:jc w:val="center"/>
              <w:ind w:right="1848"/>
              <w:spacing w:after="0"/>
              <w:rPr>
                <w:sz w:val="20"/>
                <w:szCs w:val="20"/>
                <w:color w:val="auto"/>
              </w:rPr>
            </w:pPr>
            <w:r>
              <w:rPr>
                <w:rFonts w:ascii="Arial" w:cs="Arial" w:eastAsia="Arial" w:hAnsi="Arial"/>
                <w:sz w:val="14"/>
                <w:szCs w:val="14"/>
                <w:color w:val="auto"/>
                <w:w w:val="97"/>
              </w:rPr>
              <w:t>(Exact name of registrant as specified in its charter)</w:t>
            </w:r>
          </w:p>
        </w:tc>
      </w:tr>
      <w:tr>
        <w:trPr>
          <w:trHeight w:val="304"/>
        </w:trPr>
        <w:tc>
          <w:tcPr>
            <w:tcW w:w="1920" w:type="dxa"/>
            <w:vAlign w:val="bottom"/>
          </w:tcPr>
          <w:p>
            <w:pPr>
              <w:ind w:left="740"/>
              <w:spacing w:after="0"/>
              <w:rPr>
                <w:sz w:val="20"/>
                <w:szCs w:val="20"/>
                <w:color w:val="auto"/>
              </w:rPr>
            </w:pPr>
            <w:r>
              <w:rPr>
                <w:rFonts w:ascii="Arial" w:cs="Arial" w:eastAsia="Arial" w:hAnsi="Arial"/>
                <w:sz w:val="14"/>
                <w:szCs w:val="14"/>
                <w:b w:val="1"/>
                <w:bCs w:val="1"/>
                <w:color w:val="auto"/>
              </w:rPr>
              <w:t>Delaware</w:t>
            </w:r>
          </w:p>
        </w:tc>
        <w:tc>
          <w:tcPr>
            <w:tcW w:w="508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46-1777204</w:t>
            </w:r>
          </w:p>
        </w:tc>
      </w:tr>
      <w:tr>
        <w:trPr>
          <w:trHeight w:val="148"/>
        </w:trPr>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(State or other jurisdiction of</w:t>
            </w:r>
          </w:p>
        </w:tc>
        <w:tc>
          <w:tcPr>
            <w:tcW w:w="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20" w:type="dxa"/>
            <w:vAlign w:val="bottom"/>
          </w:tcPr>
          <w:p>
            <w:pPr>
              <w:ind w:left="960"/>
              <w:spacing w:after="0" w:line="149" w:lineRule="exact"/>
              <w:rPr>
                <w:sz w:val="20"/>
                <w:szCs w:val="20"/>
                <w:color w:val="auto"/>
              </w:rPr>
            </w:pPr>
            <w:r>
              <w:rPr>
                <w:rFonts w:ascii="Arial" w:cs="Arial" w:eastAsia="Arial" w:hAnsi="Arial"/>
                <w:sz w:val="14"/>
                <w:szCs w:val="14"/>
                <w:color w:val="auto"/>
              </w:rPr>
              <w:t>(I.R.S. Employer</w:t>
            </w:r>
          </w:p>
        </w:tc>
      </w:tr>
      <w:tr>
        <w:trPr>
          <w:trHeight w:val="182"/>
        </w:trPr>
        <w:tc>
          <w:tcPr>
            <w:tcW w:w="1920" w:type="dxa"/>
            <w:vAlign w:val="bottom"/>
          </w:tcPr>
          <w:p>
            <w:pPr>
              <w:ind w:left="100"/>
              <w:spacing w:after="0"/>
              <w:rPr>
                <w:sz w:val="20"/>
                <w:szCs w:val="20"/>
                <w:color w:val="auto"/>
              </w:rPr>
            </w:pPr>
            <w:r>
              <w:rPr>
                <w:rFonts w:ascii="Arial" w:cs="Arial" w:eastAsia="Arial" w:hAnsi="Arial"/>
                <w:sz w:val="14"/>
                <w:szCs w:val="14"/>
                <w:color w:val="auto"/>
                <w:w w:val="98"/>
              </w:rPr>
              <w:t>incorporation or organization)</w:t>
            </w: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520" w:type="dxa"/>
            <w:vAlign w:val="bottom"/>
          </w:tcPr>
          <w:p>
            <w:pPr>
              <w:jc w:val="center"/>
              <w:ind w:left="408"/>
              <w:spacing w:after="0"/>
              <w:rPr>
                <w:sz w:val="20"/>
                <w:szCs w:val="20"/>
                <w:color w:val="auto"/>
              </w:rPr>
            </w:pPr>
            <w:r>
              <w:rPr>
                <w:rFonts w:ascii="Arial" w:cs="Arial" w:eastAsia="Arial" w:hAnsi="Arial"/>
                <w:sz w:val="14"/>
                <w:szCs w:val="14"/>
                <w:color w:val="auto"/>
              </w:rPr>
              <w:t>Identification No.)</w:t>
            </w:r>
          </w:p>
        </w:tc>
      </w:tr>
      <w:tr>
        <w:trPr>
          <w:trHeight w:val="178"/>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88"/>
              </w:rPr>
              <w:t>300 Carnegie Center, Suite 300</w:t>
            </w:r>
          </w:p>
        </w:tc>
      </w:tr>
      <w:tr>
        <w:trPr>
          <w:trHeight w:val="176"/>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88"/>
              </w:rPr>
              <w:t>Princeton, New Jersey 08540</w:t>
            </w:r>
          </w:p>
        </w:tc>
      </w:tr>
      <w:tr>
        <w:trPr>
          <w:trHeight w:val="186"/>
        </w:trPr>
        <w:tc>
          <w:tcPr>
            <w:tcW w:w="1920" w:type="dxa"/>
            <w:vAlign w:val="bottom"/>
          </w:tcPr>
          <w:p>
            <w:pPr>
              <w:spacing w:after="0"/>
              <w:rPr>
                <w:sz w:val="16"/>
                <w:szCs w:val="16"/>
                <w:color w:val="auto"/>
              </w:rPr>
            </w:pPr>
          </w:p>
        </w:tc>
        <w:tc>
          <w:tcPr>
            <w:tcW w:w="256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89"/>
              </w:rPr>
              <w:t>(609) 608-1525</w:t>
            </w:r>
          </w:p>
        </w:tc>
        <w:tc>
          <w:tcPr>
            <w:tcW w:w="2520" w:type="dxa"/>
            <w:vAlign w:val="bottom"/>
          </w:tcPr>
          <w:p>
            <w:pPr>
              <w:spacing w:after="0"/>
              <w:rPr>
                <w:sz w:val="16"/>
                <w:szCs w:val="16"/>
                <w:color w:val="auto"/>
              </w:rPr>
            </w:pPr>
          </w:p>
        </w:tc>
      </w:tr>
      <w:tr>
        <w:trPr>
          <w:trHeight w:val="216"/>
        </w:trPr>
        <w:tc>
          <w:tcPr>
            <w:tcW w:w="7000" w:type="dxa"/>
            <w:vAlign w:val="bottom"/>
            <w:gridSpan w:val="4"/>
          </w:tcPr>
          <w:p>
            <w:pPr>
              <w:jc w:val="center"/>
              <w:spacing w:after="0"/>
              <w:rPr>
                <w:sz w:val="20"/>
                <w:szCs w:val="20"/>
                <w:color w:val="auto"/>
              </w:rPr>
            </w:pPr>
            <w:r>
              <w:rPr>
                <w:rFonts w:ascii="Arial" w:cs="Arial" w:eastAsia="Arial" w:hAnsi="Arial"/>
                <w:sz w:val="14"/>
                <w:szCs w:val="14"/>
                <w:color w:val="auto"/>
                <w:w w:val="98"/>
              </w:rPr>
              <w:t>(Address, including zip code, and telephone number, including area code, of registrant’s principal executive offices)</w:t>
            </w:r>
          </w:p>
        </w:tc>
      </w:tr>
      <w:tr>
        <w:trPr>
          <w:trHeight w:val="188"/>
        </w:trPr>
        <w:tc>
          <w:tcPr>
            <w:tcW w:w="1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520" w:type="dxa"/>
            <w:vAlign w:val="bottom"/>
          </w:tcPr>
          <w:p>
            <w:pPr>
              <w:spacing w:after="0"/>
              <w:rPr>
                <w:sz w:val="16"/>
                <w:szCs w:val="16"/>
                <w:color w:val="auto"/>
              </w:rPr>
            </w:pPr>
          </w:p>
        </w:tc>
      </w:tr>
      <w:tr>
        <w:trPr>
          <w:trHeight w:val="308"/>
        </w:trPr>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92"/>
              </w:rPr>
              <w:t>Kevin P. Malcarney</w:t>
            </w:r>
          </w:p>
        </w:tc>
      </w:tr>
      <w:tr>
        <w:trPr>
          <w:trHeight w:val="175"/>
        </w:trPr>
        <w:tc>
          <w:tcPr>
            <w:tcW w:w="1920" w:type="dxa"/>
            <w:vAlign w:val="bottom"/>
          </w:tcPr>
          <w:p>
            <w:pPr>
              <w:spacing w:after="0"/>
              <w:rPr>
                <w:sz w:val="15"/>
                <w:szCs w:val="15"/>
                <w:color w:val="auto"/>
              </w:rPr>
            </w:pPr>
          </w:p>
        </w:tc>
        <w:tc>
          <w:tcPr>
            <w:tcW w:w="5080" w:type="dxa"/>
            <w:vAlign w:val="bottom"/>
            <w:gridSpan w:val="3"/>
          </w:tcPr>
          <w:p>
            <w:pPr>
              <w:jc w:val="center"/>
              <w:ind w:right="1868"/>
              <w:spacing w:after="0"/>
              <w:rPr>
                <w:sz w:val="20"/>
                <w:szCs w:val="20"/>
                <w:color w:val="auto"/>
              </w:rPr>
            </w:pPr>
            <w:r>
              <w:rPr>
                <w:rFonts w:ascii="Arial" w:cs="Arial" w:eastAsia="Arial" w:hAnsi="Arial"/>
                <w:sz w:val="14"/>
                <w:szCs w:val="14"/>
                <w:b w:val="1"/>
                <w:bCs w:val="1"/>
                <w:color w:val="auto"/>
                <w:w w:val="89"/>
              </w:rPr>
              <w:t>General Counsel and Corporate Secretary</w:t>
            </w:r>
          </w:p>
        </w:tc>
      </w:tr>
      <w:tr>
        <w:trPr>
          <w:trHeight w:val="176"/>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89"/>
              </w:rPr>
              <w:t>Clearway Energy, Inc.</w:t>
            </w:r>
          </w:p>
        </w:tc>
      </w:tr>
      <w:tr>
        <w:trPr>
          <w:trHeight w:val="175"/>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88"/>
              </w:rPr>
              <w:t>300 Carnegie Center, Suite 300</w:t>
            </w:r>
          </w:p>
        </w:tc>
      </w:tr>
      <w:tr>
        <w:trPr>
          <w:trHeight w:val="175"/>
        </w:trPr>
        <w:tc>
          <w:tcPr>
            <w:tcW w:w="1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6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88"/>
              </w:rPr>
              <w:t>Princeton, New Jersey 08540</w:t>
            </w:r>
          </w:p>
        </w:tc>
      </w:tr>
      <w:tr>
        <w:trPr>
          <w:trHeight w:val="186"/>
        </w:trPr>
        <w:tc>
          <w:tcPr>
            <w:tcW w:w="1920" w:type="dxa"/>
            <w:vAlign w:val="bottom"/>
          </w:tcPr>
          <w:p>
            <w:pPr>
              <w:spacing w:after="0"/>
              <w:rPr>
                <w:sz w:val="16"/>
                <w:szCs w:val="16"/>
                <w:color w:val="auto"/>
              </w:rPr>
            </w:pPr>
          </w:p>
        </w:tc>
        <w:tc>
          <w:tcPr>
            <w:tcW w:w="256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89"/>
              </w:rPr>
              <w:t>(609) 608-1525</w:t>
            </w:r>
          </w:p>
        </w:tc>
        <w:tc>
          <w:tcPr>
            <w:tcW w:w="2520" w:type="dxa"/>
            <w:vAlign w:val="bottom"/>
          </w:tcPr>
          <w:p>
            <w:pPr>
              <w:spacing w:after="0"/>
              <w:rPr>
                <w:sz w:val="16"/>
                <w:szCs w:val="16"/>
                <w:color w:val="auto"/>
              </w:rPr>
            </w:pPr>
          </w:p>
        </w:tc>
      </w:tr>
      <w:tr>
        <w:trPr>
          <w:trHeight w:val="216"/>
        </w:trPr>
        <w:tc>
          <w:tcPr>
            <w:tcW w:w="7000" w:type="dxa"/>
            <w:vAlign w:val="bottom"/>
            <w:gridSpan w:val="4"/>
          </w:tcPr>
          <w:p>
            <w:pPr>
              <w:jc w:val="center"/>
              <w:spacing w:after="0"/>
              <w:rPr>
                <w:sz w:val="20"/>
                <w:szCs w:val="20"/>
                <w:color w:val="auto"/>
              </w:rPr>
            </w:pPr>
            <w:r>
              <w:rPr>
                <w:rFonts w:ascii="Arial" w:cs="Arial" w:eastAsia="Arial" w:hAnsi="Arial"/>
                <w:sz w:val="14"/>
                <w:szCs w:val="14"/>
                <w:color w:val="auto"/>
                <w:w w:val="97"/>
              </w:rPr>
              <w:t>(Name, address, including zip code, and telephone number, including area code, of agent for service)</w:t>
            </w:r>
          </w:p>
        </w:tc>
      </w:tr>
      <w:tr>
        <w:trPr>
          <w:trHeight w:val="133"/>
        </w:trPr>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r>
      <w:tr>
        <w:trPr>
          <w:trHeight w:val="311"/>
        </w:trPr>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60" w:type="dxa"/>
            <w:vAlign w:val="bottom"/>
            <w:gridSpan w:val="2"/>
          </w:tcPr>
          <w:p>
            <w:pPr>
              <w:jc w:val="center"/>
              <w:ind w:right="2448"/>
              <w:spacing w:after="0"/>
              <w:rPr>
                <w:sz w:val="20"/>
                <w:szCs w:val="20"/>
                <w:color w:val="auto"/>
              </w:rPr>
            </w:pPr>
            <w:r>
              <w:rPr>
                <w:rFonts w:ascii="Arial" w:cs="Arial" w:eastAsia="Arial" w:hAnsi="Arial"/>
                <w:sz w:val="16"/>
                <w:szCs w:val="16"/>
                <w:color w:val="auto"/>
                <w:w w:val="97"/>
              </w:rPr>
              <w:t>Copy to:</w:t>
            </w:r>
          </w:p>
        </w:tc>
      </w:tr>
      <w:tr>
        <w:trPr>
          <w:trHeight w:val="159"/>
        </w:trPr>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60" w:type="dxa"/>
            <w:vAlign w:val="bottom"/>
            <w:gridSpan w:val="2"/>
          </w:tcPr>
          <w:p>
            <w:pPr>
              <w:jc w:val="center"/>
              <w:ind w:right="2508"/>
              <w:spacing w:after="0" w:line="159" w:lineRule="exact"/>
              <w:rPr>
                <w:sz w:val="20"/>
                <w:szCs w:val="20"/>
                <w:color w:val="auto"/>
              </w:rPr>
            </w:pPr>
            <w:r>
              <w:rPr>
                <w:rFonts w:ascii="Arial" w:cs="Arial" w:eastAsia="Arial" w:hAnsi="Arial"/>
                <w:sz w:val="14"/>
                <w:szCs w:val="14"/>
                <w:b w:val="1"/>
                <w:bCs w:val="1"/>
                <w:color w:val="auto"/>
                <w:w w:val="89"/>
              </w:rPr>
              <w:t>M. Preston Bernhisel</w:t>
            </w:r>
          </w:p>
        </w:tc>
      </w:tr>
      <w:tr>
        <w:trPr>
          <w:trHeight w:val="148"/>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60" w:type="dxa"/>
            <w:vAlign w:val="bottom"/>
            <w:gridSpan w:val="2"/>
          </w:tcPr>
          <w:p>
            <w:pPr>
              <w:jc w:val="center"/>
              <w:ind w:right="2488"/>
              <w:spacing w:after="0" w:line="149" w:lineRule="exact"/>
              <w:rPr>
                <w:sz w:val="20"/>
                <w:szCs w:val="20"/>
                <w:color w:val="auto"/>
              </w:rPr>
            </w:pPr>
            <w:r>
              <w:rPr>
                <w:rFonts w:ascii="Arial" w:cs="Arial" w:eastAsia="Arial" w:hAnsi="Arial"/>
                <w:sz w:val="14"/>
                <w:szCs w:val="14"/>
                <w:b w:val="1"/>
                <w:bCs w:val="1"/>
                <w:color w:val="auto"/>
                <w:w w:val="91"/>
              </w:rPr>
              <w:t>Baker Botts L.L.P.</w:t>
            </w:r>
          </w:p>
        </w:tc>
      </w:tr>
      <w:tr>
        <w:trPr>
          <w:trHeight w:val="149"/>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60" w:type="dxa"/>
            <w:vAlign w:val="bottom"/>
            <w:gridSpan w:val="2"/>
          </w:tcPr>
          <w:p>
            <w:pPr>
              <w:jc w:val="center"/>
              <w:ind w:right="2488"/>
              <w:spacing w:after="0" w:line="149" w:lineRule="exact"/>
              <w:rPr>
                <w:sz w:val="20"/>
                <w:szCs w:val="20"/>
                <w:color w:val="auto"/>
              </w:rPr>
            </w:pPr>
            <w:r>
              <w:rPr>
                <w:rFonts w:ascii="Arial" w:cs="Arial" w:eastAsia="Arial" w:hAnsi="Arial"/>
                <w:sz w:val="14"/>
                <w:szCs w:val="14"/>
                <w:b w:val="1"/>
                <w:bCs w:val="1"/>
                <w:color w:val="auto"/>
                <w:w w:val="85"/>
              </w:rPr>
              <w:t>2001 Ross Avenue, Suite 900</w:t>
            </w:r>
          </w:p>
        </w:tc>
      </w:tr>
      <w:tr>
        <w:trPr>
          <w:trHeight w:val="148"/>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60" w:type="dxa"/>
            <w:vAlign w:val="bottom"/>
            <w:gridSpan w:val="2"/>
          </w:tcPr>
          <w:p>
            <w:pPr>
              <w:jc w:val="center"/>
              <w:ind w:right="2488"/>
              <w:spacing w:after="0" w:line="149" w:lineRule="exact"/>
              <w:rPr>
                <w:sz w:val="20"/>
                <w:szCs w:val="20"/>
                <w:color w:val="auto"/>
              </w:rPr>
            </w:pPr>
            <w:r>
              <w:rPr>
                <w:rFonts w:ascii="Arial" w:cs="Arial" w:eastAsia="Arial" w:hAnsi="Arial"/>
                <w:sz w:val="14"/>
                <w:szCs w:val="14"/>
                <w:b w:val="1"/>
                <w:bCs w:val="1"/>
                <w:color w:val="auto"/>
                <w:w w:val="87"/>
              </w:rPr>
              <w:t>Dallas, Texas 75201-2980</w:t>
            </w:r>
          </w:p>
        </w:tc>
      </w:tr>
      <w:tr>
        <w:trPr>
          <w:trHeight w:val="148"/>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60" w:type="dxa"/>
            <w:vAlign w:val="bottom"/>
            <w:gridSpan w:val="2"/>
          </w:tcPr>
          <w:p>
            <w:pPr>
              <w:jc w:val="center"/>
              <w:ind w:right="2488"/>
              <w:spacing w:after="0" w:line="149" w:lineRule="exact"/>
              <w:rPr>
                <w:sz w:val="20"/>
                <w:szCs w:val="20"/>
                <w:color w:val="auto"/>
              </w:rPr>
            </w:pPr>
            <w:r>
              <w:rPr>
                <w:rFonts w:ascii="Arial" w:cs="Arial" w:eastAsia="Arial" w:hAnsi="Arial"/>
                <w:sz w:val="14"/>
                <w:szCs w:val="14"/>
                <w:b w:val="1"/>
                <w:bCs w:val="1"/>
                <w:color w:val="auto"/>
                <w:w w:val="88"/>
              </w:rPr>
              <w:t>Telephone: (214) 953-6783</w:t>
            </w:r>
          </w:p>
        </w:tc>
      </w:tr>
      <w:tr>
        <w:trPr>
          <w:trHeight w:val="186"/>
        </w:trPr>
        <w:tc>
          <w:tcPr>
            <w:tcW w:w="1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60" w:type="dxa"/>
            <w:vAlign w:val="bottom"/>
            <w:gridSpan w:val="2"/>
          </w:tcPr>
          <w:p>
            <w:pPr>
              <w:jc w:val="center"/>
              <w:ind w:right="2448"/>
              <w:spacing w:after="0"/>
              <w:rPr>
                <w:sz w:val="20"/>
                <w:szCs w:val="20"/>
                <w:color w:val="auto"/>
              </w:rPr>
            </w:pPr>
            <w:r>
              <w:rPr>
                <w:rFonts w:ascii="Arial" w:cs="Arial" w:eastAsia="Arial" w:hAnsi="Arial"/>
                <w:sz w:val="14"/>
                <w:szCs w:val="14"/>
                <w:b w:val="1"/>
                <w:bCs w:val="1"/>
                <w:color w:val="auto"/>
                <w:w w:val="89"/>
              </w:rPr>
              <w:t>Facsimile: (214) 661-4783</w:t>
            </w:r>
          </w:p>
        </w:tc>
      </w:tr>
    </w:tbl>
    <w:p>
      <w:pPr>
        <w:spacing w:after="0" w:line="16" w:lineRule="exact"/>
        <w:rPr>
          <w:sz w:val="24"/>
          <w:szCs w:val="24"/>
          <w:color w:val="auto"/>
        </w:rPr>
      </w:pPr>
    </w:p>
    <w:p>
      <w:pPr>
        <w:ind w:left="3040"/>
        <w:spacing w:after="0"/>
        <w:rPr>
          <w:sz w:val="20"/>
          <w:szCs w:val="20"/>
          <w:color w:val="auto"/>
        </w:rPr>
      </w:pPr>
      <w:r>
        <w:rPr>
          <w:rFonts w:ascii="Arial" w:cs="Arial" w:eastAsia="Arial" w:hAnsi="Arial"/>
          <w:sz w:val="16"/>
          <w:szCs w:val="16"/>
          <w:color w:val="auto"/>
        </w:rPr>
        <w:t>Approximate date of commencement of proposed sale to the public:</w:t>
      </w:r>
    </w:p>
    <w:p>
      <w:pPr>
        <w:spacing w:after="0" w:line="19" w:lineRule="exact"/>
        <w:rPr>
          <w:sz w:val="24"/>
          <w:szCs w:val="24"/>
          <w:color w:val="auto"/>
        </w:rPr>
      </w:pPr>
    </w:p>
    <w:p>
      <w:pPr>
        <w:ind w:left="2700"/>
        <w:spacing w:after="0"/>
        <w:rPr>
          <w:sz w:val="20"/>
          <w:szCs w:val="20"/>
          <w:color w:val="auto"/>
        </w:rPr>
      </w:pPr>
      <w:r>
        <w:rPr>
          <w:rFonts w:ascii="Arial" w:cs="Arial" w:eastAsia="Arial" w:hAnsi="Arial"/>
          <w:sz w:val="16"/>
          <w:szCs w:val="16"/>
          <w:color w:val="auto"/>
        </w:rPr>
        <w:t>From time to time on or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4" w:lineRule="exact"/>
        <w:rPr>
          <w:sz w:val="24"/>
          <w:szCs w:val="24"/>
          <w:color w:val="auto"/>
        </w:rPr>
      </w:pPr>
    </w:p>
    <w:p>
      <w:pPr>
        <w:ind w:left="500" w:right="20" w:firstLine="360"/>
        <w:spacing w:after="0" w:line="189"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100" w:firstLine="360"/>
        <w:spacing w:after="0" w:line="221" w:lineRule="auto"/>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ind w:left="500"/>
        <w:spacing w:after="0" w:line="161" w:lineRule="exact"/>
        <w:rPr>
          <w:sz w:val="20"/>
          <w:szCs w:val="20"/>
          <w:color w:val="auto"/>
        </w:rPr>
      </w:pPr>
      <w:r>
        <w:rPr>
          <w:rFonts w:ascii="MS PGothic" w:cs="MS PGothic" w:eastAsia="MS PGothic" w:hAnsi="MS PGothic"/>
          <w:sz w:val="16"/>
          <w:szCs w:val="16"/>
          <w:color w:val="auto"/>
        </w:rPr>
        <w:t>☒</w:t>
      </w:r>
    </w:p>
    <w:p>
      <w:pPr>
        <w:spacing w:after="0" w:line="35" w:lineRule="exact"/>
        <w:rPr>
          <w:sz w:val="24"/>
          <w:szCs w:val="24"/>
          <w:color w:val="auto"/>
        </w:rPr>
      </w:pPr>
    </w:p>
    <w:p>
      <w:pPr>
        <w:jc w:val="center"/>
        <w:ind w:left="780" w:right="40"/>
        <w:spacing w:after="0" w:line="17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If this Form is a post-effective amendment filed pursuant to Rule 462(c) under the Securities Act, check the following box and list the</w:t>
      </w:r>
    </w:p>
    <w:p>
      <w:pPr>
        <w:spacing w:after="0" w:line="1" w:lineRule="exact"/>
        <w:rPr>
          <w:sz w:val="24"/>
          <w:szCs w:val="24"/>
          <w:color w:val="auto"/>
        </w:rPr>
      </w:pPr>
    </w:p>
    <w:p>
      <w:pPr>
        <w:ind w:left="500"/>
        <w:spacing w:after="0" w:line="184" w:lineRule="exact"/>
        <w:tabs>
          <w:tab w:leader="none" w:pos="8220" w:val="left"/>
        </w:tabs>
        <w:rPr>
          <w:sz w:val="20"/>
          <w:szCs w:val="20"/>
          <w:color w:val="auto"/>
        </w:rPr>
      </w:pPr>
      <w:r>
        <w:rPr>
          <w:rFonts w:ascii="Arial" w:cs="Arial" w:eastAsia="Arial" w:hAnsi="Arial"/>
          <w:sz w:val="16"/>
          <w:szCs w:val="16"/>
          <w:color w:val="auto"/>
        </w:rPr>
        <w:t>Securities Act registration statement number of the earlier effective registration statement for the same offering.</w:t>
      </w:r>
      <w:r>
        <w:rPr>
          <w:sz w:val="20"/>
          <w:szCs w:val="20"/>
          <w:color w:val="auto"/>
        </w:rPr>
        <w:tab/>
      </w:r>
      <w:r>
        <w:rPr>
          <w:rFonts w:ascii="MS PGothic" w:cs="MS PGothic" w:eastAsia="MS PGothic" w:hAnsi="MS PGothic"/>
          <w:sz w:val="14"/>
          <w:szCs w:val="14"/>
          <w:color w:val="auto"/>
        </w:rPr>
        <w:t>☐</w:t>
      </w:r>
    </w:p>
    <w:p>
      <w:pPr>
        <w:spacing w:after="0" w:line="25" w:lineRule="exact"/>
        <w:rPr>
          <w:sz w:val="24"/>
          <w:szCs w:val="24"/>
          <w:color w:val="auto"/>
        </w:rPr>
      </w:pPr>
    </w:p>
    <w:p>
      <w:pPr>
        <w:ind w:left="500" w:right="440" w:firstLine="360"/>
        <w:spacing w:after="0" w:line="175"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0" w:firstLine="360"/>
        <w:spacing w:after="0" w:line="182"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firstLine="360"/>
        <w:spacing w:after="0" w:line="2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220"/>
          </w:cols>
          <w:pgMar w:left="320" w:top="239" w:right="1359" w:bottom="1440" w:gutter="0" w:footer="0" w:header="0"/>
        </w:sectPr>
      </w:pPr>
    </w:p>
    <w:p>
      <w:pPr>
        <w:spacing w:after="0" w:line="51"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Large accelerated filer</w:t>
      </w:r>
    </w:p>
    <w:p>
      <w:pPr>
        <w:spacing w:after="0" w:line="57"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Non -accelerated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18" w:lineRule="exact"/>
        <w:rPr>
          <w:sz w:val="24"/>
          <w:szCs w:val="24"/>
          <w:color w:val="auto"/>
        </w:rPr>
      </w:pPr>
    </w:p>
    <w:p>
      <w:pPr>
        <w:sectPr>
          <w:pgSz w:w="11900" w:h="16838" w:orient="portrait"/>
          <w:cols w:equalWidth="0" w:num="4">
            <w:col w:w="3100" w:space="300"/>
            <w:col w:w="1880" w:space="720"/>
            <w:col w:w="1860" w:space="20"/>
            <w:col w:w="2340"/>
          </w:cols>
          <w:pgMar w:left="320" w:top="239" w:right="1359" w:bottom="1440" w:gutter="0" w:footer="0" w:header="0"/>
          <w:type w:val="continuous"/>
        </w:sectPr>
      </w:pPr>
    </w:p>
    <w:p>
      <w:pPr>
        <w:ind w:left="1580"/>
        <w:spacing w:after="0" w:line="230" w:lineRule="auto"/>
        <w:rPr>
          <w:sz w:val="20"/>
          <w:szCs w:val="20"/>
          <w:color w:val="auto"/>
        </w:rPr>
      </w:pPr>
      <w:r>
        <w:rPr>
          <w:rFonts w:ascii="Arial" w:cs="Arial" w:eastAsia="Arial" w:hAnsi="Arial"/>
          <w:sz w:val="15"/>
          <w:szCs w:val="15"/>
          <w:color w:val="auto"/>
        </w:rPr>
        <w:t>(Do not check if smaller</w:t>
      </w:r>
    </w:p>
    <w:p>
      <w:pPr>
        <w:ind w:left="158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0220"/>
          </w:cols>
          <w:pgMar w:left="320" w:top="239" w:right="1359" w:bottom="1440" w:gutter="0" w:footer="0" w:header="0"/>
          <w:type w:val="continuous"/>
        </w:sectPr>
      </w:pPr>
    </w:p>
    <w:p>
      <w:pPr>
        <w:spacing w:after="0" w:line="45" w:lineRule="exact"/>
        <w:rPr>
          <w:sz w:val="24"/>
          <w:szCs w:val="24"/>
          <w:color w:val="auto"/>
        </w:rPr>
      </w:pPr>
    </w:p>
    <w:p>
      <w:pPr>
        <w:ind w:left="600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36" w:lineRule="exact"/>
        <w:rPr>
          <w:sz w:val="20"/>
          <w:szCs w:val="20"/>
          <w:color w:val="auto"/>
        </w:rPr>
      </w:pPr>
      <w:r>
        <w:rPr>
          <w:rFonts w:ascii="MS PGothic" w:cs="MS PGothic" w:eastAsia="MS PGothic" w:hAnsi="MS PGothic"/>
          <w:sz w:val="14"/>
          <w:szCs w:val="14"/>
          <w:color w:val="auto"/>
        </w:rPr>
        <w:t>☐</w:t>
      </w:r>
    </w:p>
    <w:p>
      <w:pPr>
        <w:spacing w:after="0" w:line="214" w:lineRule="exact"/>
        <w:rPr>
          <w:sz w:val="24"/>
          <w:szCs w:val="24"/>
          <w:color w:val="auto"/>
        </w:rPr>
      </w:pPr>
    </w:p>
    <w:p>
      <w:pPr>
        <w:sectPr>
          <w:pgSz w:w="11900" w:h="16838" w:orient="portrait"/>
          <w:cols w:equalWidth="0" w:num="2">
            <w:col w:w="7840" w:space="140"/>
            <w:col w:w="2240"/>
          </w:cols>
          <w:pgMar w:left="320" w:top="239" w:right="1359" w:bottom="1440" w:gutter="0" w:footer="0" w:header="0"/>
          <w:type w:val="continuous"/>
        </w:sectPr>
      </w:pPr>
    </w:p>
    <w:p>
      <w:pPr>
        <w:ind w:left="500" w:right="640" w:firstLine="36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80645</wp:posOffset>
            </wp:positionV>
            <wp:extent cx="6180455" cy="1011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011555"/>
                    </a:xfrm>
                    <a:prstGeom prst="rect">
                      <a:avLst/>
                    </a:prstGeom>
                    <a:noFill/>
                  </pic:spPr>
                </pic:pic>
              </a:graphicData>
            </a:graphic>
          </wp:anchor>
        </w:drawing>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4040" w:type="dxa"/>
            <w:vAlign w:val="bottom"/>
          </w:tcPr>
          <w:p>
            <w:pPr>
              <w:jc w:val="center"/>
              <w:ind w:left="1064"/>
              <w:spacing w:after="0"/>
              <w:rPr>
                <w:sz w:val="20"/>
                <w:szCs w:val="20"/>
                <w:color w:val="auto"/>
              </w:rPr>
            </w:pPr>
            <w:r>
              <w:rPr>
                <w:rFonts w:ascii="Arial" w:cs="Arial" w:eastAsia="Arial" w:hAnsi="Arial"/>
                <w:sz w:val="14"/>
                <w:szCs w:val="14"/>
                <w:b w:val="1"/>
                <w:bCs w:val="1"/>
                <w:color w:val="auto"/>
                <w:w w:val="88"/>
              </w:rPr>
              <w:t>Amount to be Registered/</w:t>
            </w:r>
          </w:p>
        </w:tc>
        <w:tc>
          <w:tcPr>
            <w:tcW w:w="110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4040" w:type="dxa"/>
            <w:vAlign w:val="bottom"/>
          </w:tcPr>
          <w:p>
            <w:pPr>
              <w:jc w:val="center"/>
              <w:ind w:left="1044"/>
              <w:spacing w:after="0"/>
              <w:rPr>
                <w:sz w:val="20"/>
                <w:szCs w:val="20"/>
                <w:color w:val="auto"/>
              </w:rPr>
            </w:pPr>
            <w:r>
              <w:rPr>
                <w:rFonts w:ascii="Arial" w:cs="Arial" w:eastAsia="Arial" w:hAnsi="Arial"/>
                <w:sz w:val="14"/>
                <w:szCs w:val="14"/>
                <w:b w:val="1"/>
                <w:bCs w:val="1"/>
                <w:color w:val="auto"/>
                <w:w w:val="91"/>
              </w:rPr>
              <w:t>Proposed Maximum Offering Price per Unit /</w:t>
            </w:r>
          </w:p>
        </w:tc>
        <w:tc>
          <w:tcPr>
            <w:tcW w:w="110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4040" w:type="dxa"/>
            <w:vAlign w:val="bottom"/>
          </w:tcPr>
          <w:p>
            <w:pPr>
              <w:jc w:val="center"/>
              <w:ind w:left="1044"/>
              <w:spacing w:after="0"/>
              <w:rPr>
                <w:sz w:val="20"/>
                <w:szCs w:val="20"/>
                <w:color w:val="auto"/>
              </w:rPr>
            </w:pPr>
            <w:r>
              <w:rPr>
                <w:rFonts w:ascii="Arial" w:cs="Arial" w:eastAsia="Arial" w:hAnsi="Arial"/>
                <w:sz w:val="14"/>
                <w:szCs w:val="14"/>
                <w:b w:val="1"/>
                <w:bCs w:val="1"/>
                <w:color w:val="auto"/>
                <w:w w:val="89"/>
              </w:rPr>
              <w:t>Proposed Maximum Aggregate</w:t>
            </w:r>
          </w:p>
        </w:tc>
        <w:tc>
          <w:tcPr>
            <w:tcW w:w="1100" w:type="dxa"/>
            <w:vAlign w:val="bottom"/>
          </w:tcPr>
          <w:p>
            <w:pPr>
              <w:jc w:val="right"/>
              <w:ind w:right="102"/>
              <w:spacing w:after="0"/>
              <w:rPr>
                <w:sz w:val="20"/>
                <w:szCs w:val="20"/>
                <w:color w:val="auto"/>
              </w:rPr>
            </w:pPr>
            <w:r>
              <w:rPr>
                <w:rFonts w:ascii="Arial" w:cs="Arial" w:eastAsia="Arial" w:hAnsi="Arial"/>
                <w:sz w:val="14"/>
                <w:szCs w:val="14"/>
                <w:b w:val="1"/>
                <w:bCs w:val="1"/>
                <w:color w:val="auto"/>
              </w:rPr>
              <w:t>Amount of</w:t>
            </w:r>
          </w:p>
        </w:tc>
      </w:tr>
      <w:tr>
        <w:trPr>
          <w:trHeight w:val="192"/>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040" w:type="dxa"/>
            <w:vAlign w:val="bottom"/>
            <w:tcBorders>
              <w:bottom w:val="single" w:sz="8" w:color="auto"/>
            </w:tcBorders>
          </w:tcPr>
          <w:p>
            <w:pPr>
              <w:jc w:val="center"/>
              <w:ind w:left="1084"/>
              <w:spacing w:after="0"/>
              <w:rPr>
                <w:sz w:val="20"/>
                <w:szCs w:val="20"/>
                <w:color w:val="auto"/>
              </w:rPr>
            </w:pPr>
            <w:r>
              <w:rPr>
                <w:rFonts w:ascii="Arial" w:cs="Arial" w:eastAsia="Arial" w:hAnsi="Arial"/>
                <w:sz w:val="14"/>
                <w:szCs w:val="14"/>
                <w:b w:val="1"/>
                <w:bCs w:val="1"/>
                <w:color w:val="auto"/>
                <w:w w:val="90"/>
              </w:rPr>
              <w:t>Offering Price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Registration Fee</w:t>
            </w:r>
          </w:p>
        </w:tc>
      </w:tr>
      <w:tr>
        <w:trPr>
          <w:trHeight w:val="202"/>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 par value $0.01 per share</w:t>
            </w:r>
          </w:p>
        </w:tc>
        <w:tc>
          <w:tcPr>
            <w:tcW w:w="4040" w:type="dxa"/>
            <w:vAlign w:val="bottom"/>
            <w:shd w:val="clear" w:color="auto" w:fill="CCEEFF"/>
          </w:tcPr>
          <w:p>
            <w:pPr>
              <w:jc w:val="right"/>
              <w:ind w:right="1244"/>
              <w:spacing w:after="0"/>
              <w:rPr>
                <w:sz w:val="20"/>
                <w:szCs w:val="20"/>
                <w:color w:val="auto"/>
              </w:rPr>
            </w:pPr>
            <w:r>
              <w:rPr>
                <w:rFonts w:ascii="Arial" w:cs="Arial" w:eastAsia="Arial" w:hAnsi="Arial"/>
                <w:sz w:val="16"/>
                <w:szCs w:val="16"/>
                <w:color w:val="auto"/>
              </w:rPr>
              <w:t>(1)</w:t>
            </w:r>
          </w:p>
        </w:tc>
        <w:tc>
          <w:tcPr>
            <w:tcW w:w="11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w:t>
            </w: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Class C common stock, par value $0.01 per share</w:t>
            </w:r>
          </w:p>
        </w:tc>
        <w:tc>
          <w:tcPr>
            <w:tcW w:w="4040" w:type="dxa"/>
            <w:vAlign w:val="bottom"/>
          </w:tcPr>
          <w:p>
            <w:pPr>
              <w:jc w:val="right"/>
              <w:ind w:right="1244"/>
              <w:spacing w:after="0"/>
              <w:rPr>
                <w:sz w:val="20"/>
                <w:szCs w:val="20"/>
                <w:color w:val="auto"/>
              </w:rPr>
            </w:pPr>
            <w:r>
              <w:rPr>
                <w:rFonts w:ascii="Arial" w:cs="Arial" w:eastAsia="Arial" w:hAnsi="Arial"/>
                <w:sz w:val="16"/>
                <w:szCs w:val="16"/>
                <w:color w:val="auto"/>
              </w:rPr>
              <w:t>(1)</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(1)</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Debt Securities</w:t>
            </w:r>
          </w:p>
        </w:tc>
        <w:tc>
          <w:tcPr>
            <w:tcW w:w="4040" w:type="dxa"/>
            <w:vAlign w:val="bottom"/>
            <w:shd w:val="clear" w:color="auto" w:fill="CCEEFF"/>
          </w:tcPr>
          <w:p>
            <w:pPr>
              <w:jc w:val="right"/>
              <w:ind w:right="1244"/>
              <w:spacing w:after="0"/>
              <w:rPr>
                <w:sz w:val="20"/>
                <w:szCs w:val="20"/>
                <w:color w:val="auto"/>
              </w:rPr>
            </w:pPr>
            <w:r>
              <w:rPr>
                <w:rFonts w:ascii="Arial" w:cs="Arial" w:eastAsia="Arial" w:hAnsi="Arial"/>
                <w:sz w:val="16"/>
                <w:szCs w:val="16"/>
                <w:color w:val="auto"/>
              </w:rPr>
              <w:t>(1)</w:t>
            </w:r>
          </w:p>
        </w:tc>
        <w:tc>
          <w:tcPr>
            <w:tcW w:w="11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w:t>
            </w:r>
          </w:p>
        </w:tc>
      </w:tr>
      <w:tr>
        <w:trPr>
          <w:trHeight w:val="224"/>
        </w:trPr>
        <w:tc>
          <w:tcPr>
            <w:tcW w:w="4580" w:type="dxa"/>
            <w:vAlign w:val="bottom"/>
          </w:tcPr>
          <w:p>
            <w:pPr>
              <w:spacing w:after="0"/>
              <w:rPr>
                <w:sz w:val="20"/>
                <w:szCs w:val="20"/>
                <w:color w:val="auto"/>
              </w:rPr>
            </w:pPr>
            <w:r>
              <w:rPr>
                <w:rFonts w:ascii="Arial" w:cs="Arial" w:eastAsia="Arial" w:hAnsi="Arial"/>
                <w:sz w:val="16"/>
                <w:szCs w:val="16"/>
                <w:color w:val="auto"/>
              </w:rPr>
              <w:t>Preferred Stock</w:t>
            </w:r>
          </w:p>
        </w:tc>
        <w:tc>
          <w:tcPr>
            <w:tcW w:w="4040" w:type="dxa"/>
            <w:vAlign w:val="bottom"/>
          </w:tcPr>
          <w:p>
            <w:pPr>
              <w:jc w:val="right"/>
              <w:ind w:right="1244"/>
              <w:spacing w:after="0"/>
              <w:rPr>
                <w:sz w:val="20"/>
                <w:szCs w:val="20"/>
                <w:color w:val="auto"/>
              </w:rPr>
            </w:pPr>
            <w:r>
              <w:rPr>
                <w:rFonts w:ascii="Arial" w:cs="Arial" w:eastAsia="Arial" w:hAnsi="Arial"/>
                <w:sz w:val="16"/>
                <w:szCs w:val="16"/>
                <w:color w:val="auto"/>
              </w:rPr>
              <w:t>(1)</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(1)</w:t>
            </w:r>
          </w:p>
        </w:tc>
      </w:tr>
    </w:tbl>
    <w:p>
      <w:pPr>
        <w:ind w:left="860" w:right="80" w:hanging="366"/>
        <w:spacing w:after="0" w:line="251"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unspecified aggregate initial offering price, principal amount or number of securities of each identified class is being registered as may from time to time be issued at unspecified prices or upon conversion of, or in exchange for, or upon exercise of securities registered hereunder to the extent any such securities are, by their terms, convertible into, or exchangeable or exercisable for, such securities. Separate consideration may or may not be received for securities that are issuable upon conversion of, or in exchange for, or upon exercise of, convertible or exchangeable securities. The Registrant is deferring payment of the registration fee pursuant to Rule 456(b) and is omitting this information in reliance on Rule 456(b) and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41910</wp:posOffset>
            </wp:positionV>
            <wp:extent cx="6189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85090</wp:posOffset>
            </wp:positionV>
            <wp:extent cx="618934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6196965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128905</wp:posOffset>
            </wp:positionV>
            <wp:extent cx="3780155" cy="840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Clearway Energy, Inc.</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Class C Common Stock</w:t>
      </w:r>
    </w:p>
    <w:p>
      <w:pPr>
        <w:jc w:val="center"/>
        <w:ind w:right="-540"/>
        <w:spacing w:after="0" w:line="236" w:lineRule="auto"/>
        <w:rPr>
          <w:sz w:val="20"/>
          <w:szCs w:val="20"/>
          <w:color w:val="auto"/>
        </w:rPr>
      </w:pPr>
      <w:r>
        <w:rPr>
          <w:rFonts w:ascii="Arial" w:cs="Arial" w:eastAsia="Arial" w:hAnsi="Arial"/>
          <w:sz w:val="25"/>
          <w:szCs w:val="25"/>
          <w:b w:val="1"/>
          <w:bCs w:val="1"/>
          <w:color w:val="auto"/>
        </w:rPr>
        <w:t>Debt Securities</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25"/>
          <w:szCs w:val="25"/>
          <w:b w:val="1"/>
          <w:bCs w:val="1"/>
          <w:color w:val="auto"/>
        </w:rPr>
        <w:t>Preferred Stock</w:t>
      </w:r>
    </w:p>
    <w:p>
      <w:pPr>
        <w:spacing w:after="0" w:line="125"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Clearway Energy,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96"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We may offer and sell these securities to or through one or more underwriters, dealers and agents, or directly to purchasers, or through a combination of these methods, on a continuous or delayed basis.</w:t>
      </w:r>
    </w:p>
    <w:p>
      <w:pPr>
        <w:spacing w:after="0" w:line="79"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7"/>
          <w:szCs w:val="17"/>
          <w:color w:val="auto"/>
        </w:rPr>
        <w:t>Our Class A common stock is traded on the New York Stock Exchange under the symbol “CWEN.A.” Our Class C common stock is traded on the New York Stock Exchange under the symbol “CWEN.”</w:t>
      </w:r>
    </w:p>
    <w:p>
      <w:pPr>
        <w:spacing w:after="0" w:line="75" w:lineRule="exact"/>
        <w:rPr>
          <w:sz w:val="20"/>
          <w:szCs w:val="20"/>
          <w:color w:val="auto"/>
        </w:rPr>
      </w:pPr>
    </w:p>
    <w:p>
      <w:pPr>
        <w:ind w:left="1260" w:right="69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securities involves risks. You should carefully consider the risks described under “Risk Factors” on page </w:t>
      </w:r>
      <w:hyperlink w:anchor="page7">
        <w:r>
          <w:rPr>
            <w:rFonts w:ascii="Arial" w:cs="Arial" w:eastAsia="Arial" w:hAnsi="Arial"/>
            <w:sz w:val="15"/>
            <w:szCs w:val="15"/>
            <w:b w:val="1"/>
            <w:bCs w:val="1"/>
            <w:u w:val="single" w:color="auto"/>
            <w:color w:val="0000EE"/>
          </w:rPr>
          <w:t>1</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167640</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202565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The date of this prospectus is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2218055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152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57"/>
        </w:trPr>
        <w:tc>
          <w:tcPr>
            <w:tcW w:w="67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DESCRIPTION OF CAPITAL STOCK</w:t>
              </w:r>
            </w:hyperlink>
          </w:p>
        </w:tc>
        <w:tc>
          <w:tcPr>
            <w:tcW w:w="15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DEBT SECURITIES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MATTERS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EXPERTS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8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INCORPORATION BY REFERENCE OF CERTAIN INFORMATION</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270"/>
        </w:trPr>
        <w:tc>
          <w:tcPr>
            <w:tcW w:w="670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WHERE YOU CAN FIND MORE INFORMATION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1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32" w:lineRule="exact"/>
        <w:rPr>
          <w:sz w:val="20"/>
          <w:szCs w:val="20"/>
          <w:color w:val="auto"/>
        </w:rPr>
      </w:pPr>
    </w:p>
    <w:p>
      <w:pPr>
        <w:jc w:val="both"/>
        <w:ind w:left="1260" w:right="779" w:firstLine="360"/>
        <w:spacing w:after="0" w:line="269" w:lineRule="auto"/>
        <w:rPr>
          <w:sz w:val="20"/>
          <w:szCs w:val="20"/>
          <w:color w:val="auto"/>
        </w:rPr>
      </w:pPr>
      <w:r>
        <w:rPr>
          <w:rFonts w:ascii="Arial" w:cs="Arial" w:eastAsia="Arial" w:hAnsi="Arial"/>
          <w:sz w:val="17"/>
          <w:szCs w:val="17"/>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w:t>
      </w:r>
    </w:p>
    <w:p>
      <w:pPr>
        <w:spacing w:after="0" w:line="2"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References to our “common stock” or our “preferred stock” refer to the common stock or preferred stock of Clearway Energy, Inc. and not any of its subsidiaries,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but are not limited to, the following:</w:t>
      </w:r>
    </w:p>
    <w:p>
      <w:pPr>
        <w:spacing w:after="0" w:line="72" w:lineRule="exact"/>
        <w:rPr>
          <w:sz w:val="20"/>
          <w:szCs w:val="20"/>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Pacific Gas and Electric Company bankruptcy;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103" w:lineRule="exact"/>
        <w:rPr>
          <w:rFonts w:ascii="Arial" w:cs="Arial" w:eastAsia="Arial" w:hAnsi="Arial"/>
          <w:sz w:val="18"/>
          <w:szCs w:val="18"/>
          <w:color w:val="auto"/>
        </w:rPr>
      </w:pPr>
    </w:p>
    <w:p>
      <w:pPr>
        <w:ind w:left="1800" w:right="779" w:hanging="178"/>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risks related to our relationships with Global Infrastructure Investors III, LLC (“GIP”) and Clearway Energy Group LLC (“CEG”), including our ability to acquire assets from GIP or CEG;</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103"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103" w:lineRule="exact"/>
        <w:rPr>
          <w:rFonts w:ascii="Arial" w:cs="Arial" w:eastAsia="Arial" w:hAnsi="Arial"/>
          <w:sz w:val="18"/>
          <w:szCs w:val="18"/>
          <w:color w:val="auto"/>
        </w:rPr>
      </w:pPr>
    </w:p>
    <w:p>
      <w:pPr>
        <w:ind w:left="1800" w:right="919" w:hanging="178"/>
        <w:spacing w:after="0" w:line="272"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69"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62"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48"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contracts to sell power and procure fuel on acceptable terms and prices as current offtake agreements expire;</w:t>
      </w:r>
    </w:p>
    <w:p>
      <w:pPr>
        <w:spacing w:after="0" w:line="48"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compliance with regulatory requirements and changes in market rules, rates, tariffs and environmental laws;</w:t>
      </w:r>
    </w:p>
    <w:p>
      <w:pPr>
        <w:spacing w:after="0" w:line="48" w:lineRule="exact"/>
        <w:rPr>
          <w:rFonts w:ascii="Arial" w:cs="Arial" w:eastAsia="Arial" w:hAnsi="Arial"/>
          <w:sz w:val="18"/>
          <w:szCs w:val="18"/>
          <w:color w:val="auto"/>
        </w:rPr>
      </w:pPr>
    </w:p>
    <w:p>
      <w:pPr>
        <w:ind w:left="1800" w:right="719" w:hanging="178"/>
        <w:spacing w:after="0" w:line="272"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and financial restrictions placed on us that are contained in the project-level debt facilities and other agreements of certain subsidiaries and project-level subsidiaries generally, in the Clearway Energy Operating LLC (“Clearway Operating LLC”) amended and restated revolving credit facility, in the indentures governing the $600.0 million aggregate principal amount of Clearway Operating LLC’s 5.750% unsecured senior notes due 2025, the $350.0 million aggregate principal amount of Clearway Operating LLC’s 5.00% unsecured senior notes due 2026, and the $850.0 million aggregate principal amount of Clearway Operating LLC’s 4.750% unsecured senior notes due 2028;</w:t>
      </w:r>
    </w:p>
    <w:p>
      <w:pPr>
        <w:spacing w:after="0" w:line="55" w:lineRule="exact"/>
        <w:rPr>
          <w:rFonts w:ascii="Arial" w:cs="Arial" w:eastAsia="Arial" w:hAnsi="Arial"/>
          <w:sz w:val="17"/>
          <w:szCs w:val="17"/>
          <w:color w:val="auto"/>
        </w:rPr>
      </w:pPr>
    </w:p>
    <w:p>
      <w:pPr>
        <w:ind w:left="1800" w:right="899" w:hanging="178"/>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117" w:lineRule="exact"/>
        <w:rPr>
          <w:rFonts w:ascii="Arial" w:cs="Arial" w:eastAsia="Arial" w:hAnsi="Arial"/>
          <w:sz w:val="18"/>
          <w:szCs w:val="18"/>
          <w:color w:val="auto"/>
        </w:rPr>
      </w:pPr>
    </w:p>
    <w:p>
      <w:pPr>
        <w:ind w:left="1800" w:right="1419" w:hanging="178"/>
        <w:spacing w:after="0" w:line="308"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borrow additional funds and access capital markets, as well as our substantial indebtedness and the possibility that we may incur additional indebtedness going forward.</w:t>
      </w:r>
    </w:p>
    <w:p>
      <w:pPr>
        <w:spacing w:after="0" w:line="65"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or incorporated herein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SUMMARY</w:t>
      </w:r>
    </w:p>
    <w:p>
      <w:pPr>
        <w:spacing w:after="0" w:line="14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are a publicly-traded energy infrastructure investor in and owner of modern, sustainable and long-term contracted assets across North America. We are sponsored by GIP III Zephyr Acquisition Partners, L.P. through its portfolio company, CEG. GIP is an independent fund manager that invests in infrastructure assets in energy and transport sectors.</w:t>
      </w:r>
    </w:p>
    <w:p>
      <w:pPr>
        <w:spacing w:after="0" w:line="119"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 xml:space="preserve">We were incorporated as a Delaware corporation on December 20, 2012. Our Class A common stock is listed on the New York Stock Exchange under the symbol “CWEN.A,” and our Class C common stock is listed on the New York Stock Exchange under the symbol “CWEN.” Our headquarters and principal executive offices are located at 300 Carnegie Center, Suite 300, Princeton, New Jersey 08540. Our telephone number is (609) 608-1525. Our website is </w:t>
      </w:r>
      <w:r>
        <w:rPr>
          <w:rFonts w:ascii="Arial" w:cs="Arial" w:eastAsia="Arial" w:hAnsi="Arial"/>
          <w:sz w:val="17"/>
          <w:szCs w:val="17"/>
          <w:i w:val="1"/>
          <w:iCs w:val="1"/>
          <w:color w:val="auto"/>
        </w:rPr>
        <w:t>www.clearwayenergy.com</w:t>
      </w:r>
      <w:r>
        <w:rPr>
          <w:rFonts w:ascii="Arial" w:cs="Arial" w:eastAsia="Arial" w:hAnsi="Arial"/>
          <w:sz w:val="17"/>
          <w:szCs w:val="17"/>
          <w:color w:val="auto"/>
        </w:rPr>
        <w:t>. Information on our website is not part of this prospectus and is not incorporated into this prospectus by reference.</w:t>
      </w:r>
    </w:p>
    <w:p>
      <w:pPr>
        <w:spacing w:after="0" w:line="97"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2019, our Quarterly Reports on Form 10-Q for the quarterly periods ended March 31, 2020 and June 30, 2020, and the other reports we file with the SEC. See “Where You Can Find More Information.”</w:t>
      </w:r>
    </w:p>
    <w:p>
      <w:pPr>
        <w:spacing w:after="0" w:line="1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18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Unless we inform you otherwise in the prospectus supplement, we expect to use the net proceeds from the sale of securities for general corporate purposes, which may include, among other things:</w:t>
      </w:r>
    </w:p>
    <w:p>
      <w:pPr>
        <w:spacing w:after="0" w:line="38"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 or refinancing of debt;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funding working capital, capital expenditures or acquisitions.</w:t>
      </w:r>
    </w:p>
    <w:p>
      <w:pPr>
        <w:spacing w:after="0" w:line="14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2140585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our Amended and Restated Certificate of Incorporation (“Certificate of Incorporation”) and our Fourth Amended and Restated Bylaws (“Bylaws”). The following description may not contain all of the information that is important to you. To understand them fully, you should read our Certificate of Incorporation and our Bylaws and the applicable provisions of the Delaware General Corporation Law (the “DGCL”).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Capitalization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authorized capital stock consists, as of June 30, 2020, of:</w:t>
      </w:r>
    </w:p>
    <w:p>
      <w:pPr>
        <w:spacing w:after="0" w:line="158" w:lineRule="exact"/>
        <w:rPr>
          <w:sz w:val="20"/>
          <w:szCs w:val="20"/>
          <w:color w:val="auto"/>
        </w:rPr>
      </w:pPr>
    </w:p>
    <w:p>
      <w:pPr>
        <w:ind w:left="1980" w:right="105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$0.01 per share, of which 34,599,645 shares are issued and outstanding;</w:t>
      </w:r>
    </w:p>
    <w:p>
      <w:pPr>
        <w:spacing w:after="0" w:line="89" w:lineRule="exact"/>
        <w:rPr>
          <w:rFonts w:ascii="Arial" w:cs="Arial" w:eastAsia="Arial" w:hAnsi="Arial"/>
          <w:sz w:val="18"/>
          <w:szCs w:val="18"/>
          <w:color w:val="auto"/>
        </w:rPr>
      </w:pPr>
    </w:p>
    <w:p>
      <w:pPr>
        <w:ind w:left="1980" w:right="105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500,000,000 shares of Class B common stock, par value $0.01 per share, of which 42,738,750 shares are issued and outstanding;</w:t>
      </w:r>
    </w:p>
    <w:p>
      <w:pPr>
        <w:spacing w:after="0" w:line="102"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1,000,000,000 shares of Class C common stock, par value $0.01 per share, of which 80,601,556 shares are issued and outstanding;</w:t>
      </w:r>
    </w:p>
    <w:p>
      <w:pPr>
        <w:spacing w:after="0" w:line="89"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1,000,000,000 shares of Class D common stock, par value $0.01 per share, of which 42,738,750 shares are issued and outstanding; and</w:t>
      </w:r>
    </w:p>
    <w:p>
      <w:pPr>
        <w:spacing w:after="0" w:line="102" w:lineRule="exact"/>
        <w:rPr>
          <w:rFonts w:ascii="Arial" w:cs="Arial" w:eastAsia="Arial" w:hAnsi="Arial"/>
          <w:sz w:val="18"/>
          <w:szCs w:val="18"/>
          <w:color w:val="auto"/>
        </w:rPr>
      </w:pPr>
    </w:p>
    <w:p>
      <w:pPr>
        <w:ind w:left="1980" w:right="111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89"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In addition, as of June 30, 2020, (i) an aggregate of 1,590,375 shares of our Class A common stock and Class C common stock are reserved for issuance under our equity -based compensation plans, (ii) an aggregate of 42,738,750 shares of our Class A common stock are reserved for issuance upon the exchange of Class B units and (iii) an aggregate of 42,738,750 shares of our Class C common stock are reserved for issuance upon the exchange of Class D units. Unless our Board of Directors determines otherwise, we will issue all shares of our capital stock in uncertificated form.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Each share of Class A common stock entitles the holder to one vote with respect to each matter presented to our stockholders on which the holders of Class A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our Class A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5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shares of our Class A common stock may be declared by our Board of Directors at any regular or special meeting, and may</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color w:val="auto"/>
        </w:rPr>
        <w:t>be paid in cash, in property or in shares of capital stock. The holders of shares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44"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In the event of any voluntary or involuntary liquidation, dissolution or winding up of our affairs, holders of shares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Rights</w:t>
      </w:r>
    </w:p>
    <w:p>
      <w:pPr>
        <w:spacing w:after="0" w:line="15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Holders of shares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shares of our Class A common stock are subject to, and may be adversely affected by, the rights of the holders of shares of any series of our preferred stock that we may designate and issue in the future.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the NYSE under the symbol “CWEN.A.”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4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B common stock entitles the holder to one vote with respect to each matter presented to our stockholders on which the holders of Class B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B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5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Holders of shares of our Class B common stock do not have any right to receive dividends, other than dividends payable solely in shares of Class B common stock in the event of payment of a dividend in shares</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44"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Shares of Class B common stock are subject to redemption at a price per share equal to par value upon the conversion of Class B units of Clearway Energy LLC (“Clearway LLC”) to Class A units of Clearway LLC. Shares of Class B common stock so redeemed are automatically cancelled and are not available to be reissued.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58"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44"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Rights</w:t>
      </w:r>
    </w:p>
    <w:p>
      <w:pPr>
        <w:spacing w:after="0" w:line="158" w:lineRule="exact"/>
        <w:rPr>
          <w:sz w:val="20"/>
          <w:szCs w:val="20"/>
          <w:color w:val="auto"/>
        </w:rPr>
      </w:pPr>
    </w:p>
    <w:p>
      <w:pPr>
        <w:jc w:val="center"/>
        <w:ind w:left="1500" w:right="80"/>
        <w:spacing w:after="0" w:line="291" w:lineRule="auto"/>
        <w:rPr>
          <w:sz w:val="20"/>
          <w:szCs w:val="20"/>
          <w:color w:val="auto"/>
        </w:rPr>
      </w:pPr>
      <w:r>
        <w:rPr>
          <w:rFonts w:ascii="Arial" w:cs="Arial" w:eastAsia="Arial" w:hAnsi="Arial"/>
          <w:sz w:val="17"/>
          <w:szCs w:val="17"/>
          <w:color w:val="auto"/>
        </w:rPr>
        <w:t>Holders of shares of our Class C common stock have no preemptive, conversion or other rights to subscribe for additional shares. All outstanding shares are, and all shares offered by this prospectus will be,</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4" w:lineRule="auto"/>
        <w:rPr>
          <w:sz w:val="20"/>
          <w:szCs w:val="20"/>
          <w:color w:val="auto"/>
        </w:rPr>
      </w:pPr>
      <w:r>
        <w:rPr>
          <w:rFonts w:ascii="Arial" w:cs="Arial" w:eastAsia="Arial" w:hAnsi="Arial"/>
          <w:sz w:val="16"/>
          <w:szCs w:val="16"/>
          <w:color w:val="auto"/>
        </w:rPr>
        <w:t>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Equal Status</w:t>
      </w:r>
    </w:p>
    <w:p>
      <w:pPr>
        <w:spacing w:after="0" w:line="144"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Except as expressly provided in our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Listing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C common stock is listed on the NYSE under the symbol “CWEN.”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5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D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5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Holders of shares of our Class D common stock do not have any right to receive dividends, other than dividends payable solely in shares of Class D common stock in the event of payment of a dividend in shares</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44"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0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7"/>
          <w:szCs w:val="17"/>
          <w:color w:val="auto"/>
        </w:rPr>
        <w:t>Under our Certificate of Incorporation, we will continue to be authorized to issue up to 10,000,000 shares of preferred stock, par value $0.01 per share, none of which is issued and outstanding.</w:t>
      </w:r>
    </w:p>
    <w:p>
      <w:pPr>
        <w:spacing w:after="0" w:line="79" w:lineRule="exact"/>
        <w:rPr>
          <w:sz w:val="20"/>
          <w:szCs w:val="20"/>
          <w:color w:val="auto"/>
        </w:rPr>
      </w:pPr>
    </w:p>
    <w:p>
      <w:pPr>
        <w:ind w:left="1260" w:right="799" w:firstLine="360"/>
        <w:spacing w:after="0" w:line="237" w:lineRule="auto"/>
        <w:rPr>
          <w:sz w:val="20"/>
          <w:szCs w:val="20"/>
          <w:color w:val="auto"/>
        </w:rPr>
      </w:pPr>
      <w:r>
        <w:rPr>
          <w:rFonts w:ascii="Arial" w:cs="Arial" w:eastAsia="Arial" w:hAnsi="Arial"/>
          <w:sz w:val="18"/>
          <w:szCs w:val="18"/>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Opportunity</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As permitted under the Delaware General Corporation Law (“DGCL”), in our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GIP may serve as our directors and/or officers, and GIP and its controlled affiliates, not including us (individually, a “GIP Entity”, and collectively, the “GIP Entities”), may engage in similar activities or lines of business that we do, our Certificate of Incorporation provides for the allocation of certain corporate opportunities between us and the GIP Entities. Specifically, none of the GIP Entities will have any duty to refrain from engaging directly or indirectly in the same or similar business activities or lines of business that we do. In the event that a director or officer of any GIP Entity who also is one of our directors or officers acquires knowledge of a potential transaction or matter which may be a corporate opportunity for any of the GIP Entities and us, we will not have any expectancy in such corporate opportunity, and the director or officer will not have any duty to present such corporate opportunity to us and may pursue or acquire such corporate opportunity for himself/</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38" w:lineRule="auto"/>
        <w:rPr>
          <w:sz w:val="20"/>
          <w:szCs w:val="20"/>
          <w:color w:val="auto"/>
        </w:rPr>
      </w:pPr>
      <w:r>
        <w:rPr>
          <w:rFonts w:ascii="Arial" w:cs="Arial" w:eastAsia="Arial" w:hAnsi="Arial"/>
          <w:sz w:val="18"/>
          <w:szCs w:val="18"/>
          <w:color w:val="auto"/>
        </w:rPr>
        <w:t>herself or direct such opportunity to another person. A corporate opportunity that an officer or director of ours who is also a director or officer of any of the GIP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GIP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GIP Entities, the corporate opportunity doctrine applies as construed pursuant to applicable Delaware laws, without limitation.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4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In addition to the disproportionate voting rights that GIP has as a result of its indirect ownership of our Class B common stock and Class D common stock, some provisions of Delaware law contain, and our Certificate of Incorporation and our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these provisions also give our Board of Directors the power to discourage acquisitions that some stockholders may favor.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5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15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Certificate of Incorporation provides that a special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called only by our Board of Directors by a resolution adopted by the affirmative vote of a majority of the total number of directors then in office.</w:t>
      </w:r>
    </w:p>
    <w:p>
      <w:pPr>
        <w:spacing w:after="0" w:line="101" w:lineRule="exact"/>
        <w:rPr>
          <w:sz w:val="20"/>
          <w:szCs w:val="20"/>
          <w:color w:val="auto"/>
        </w:rPr>
      </w:pPr>
    </w:p>
    <w:p>
      <w:pPr>
        <w:jc w:val="both"/>
        <w:ind w:left="1260" w:right="1219" w:firstLine="360"/>
        <w:spacing w:after="0" w:line="291" w:lineRule="auto"/>
        <w:rPr>
          <w:sz w:val="20"/>
          <w:szCs w:val="20"/>
          <w:color w:val="auto"/>
        </w:rPr>
      </w:pPr>
      <w:r>
        <w:rPr>
          <w:rFonts w:ascii="Arial" w:cs="Arial" w:eastAsia="Arial" w:hAnsi="Arial"/>
          <w:sz w:val="17"/>
          <w:szCs w:val="17"/>
          <w:i w:val="1"/>
          <w:iCs w:val="1"/>
          <w:color w:val="auto"/>
        </w:rPr>
        <w:t xml:space="preserve">Elimination of Stockholder Action by Written Consent. </w:t>
      </w:r>
      <w:r>
        <w:rPr>
          <w:rFonts w:ascii="Arial" w:cs="Arial" w:eastAsia="Arial" w:hAnsi="Arial"/>
          <w:sz w:val="17"/>
          <w:szCs w:val="17"/>
          <w:color w:val="auto"/>
        </w:rPr>
        <w:t>Our Certificate of Incorporation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provide that holders of our common stock cannot act by written consent in lieu of a meeting.</w:t>
      </w:r>
    </w:p>
    <w:p>
      <w:pPr>
        <w:spacing w:after="0" w:line="79"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w:t>
      </w:r>
      <w:r>
        <w:rPr>
          <w:rFonts w:ascii="Arial" w:cs="Arial" w:eastAsia="Arial" w:hAnsi="Arial"/>
          <w:sz w:val="18"/>
          <w:szCs w:val="18"/>
          <w:i w:val="1"/>
          <w:iCs w:val="1"/>
          <w:color w:val="auto"/>
        </w:rPr>
        <w:t xml:space="preserve"> </w:t>
      </w:r>
      <w:r>
        <w:rPr>
          <w:rFonts w:ascii="Arial" w:cs="Arial" w:eastAsia="Arial" w:hAnsi="Arial"/>
          <w:sz w:val="18"/>
          <w:szCs w:val="18"/>
          <w:color w:val="auto"/>
        </w:rPr>
        <w:t>be filled only by a majority of the directors remaining in office (even if less than a quorum), subject to the rights of holders of any series of preferred stock.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Amendments</w:t>
      </w:r>
    </w:p>
    <w:p>
      <w:pPr>
        <w:spacing w:after="0" w:line="158"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i w:val="1"/>
          <w:iCs w:val="1"/>
          <w:color w:val="auto"/>
        </w:rPr>
        <w:t xml:space="preserve">Amendments of Certificate of Incorporation. </w:t>
      </w:r>
      <w:r>
        <w:rPr>
          <w:rFonts w:ascii="Arial" w:cs="Arial" w:eastAsia="Arial" w:hAnsi="Arial"/>
          <w:sz w:val="18"/>
          <w:szCs w:val="18"/>
          <w:color w:val="auto"/>
        </w:rPr>
        <w:t>The provisions described above under “—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Stockholders,” “— Elimination of Stockholder Action by Written Consent” and “— Vacancies” may be amended only by the affirmative vote of holders of at least two-thirds of the combined voting power of outstanding shares of our capital stock entitled to vote in the election of directors, voting together as a single class.</w:t>
      </w:r>
    </w:p>
    <w:p>
      <w:pPr>
        <w:spacing w:after="0" w:line="10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w:t>
      </w:r>
      <w:r>
        <w:rPr>
          <w:rFonts w:ascii="Arial" w:cs="Arial" w:eastAsia="Arial" w:hAnsi="Arial"/>
          <w:sz w:val="18"/>
          <w:szCs w:val="18"/>
          <w:i w:val="1"/>
          <w:iCs w:val="1"/>
          <w:color w:val="auto"/>
        </w:rPr>
        <w:t xml:space="preserve"> </w:t>
      </w:r>
      <w:r>
        <w:rPr>
          <w:rFonts w:ascii="Arial" w:cs="Arial" w:eastAsia="Arial" w:hAnsi="Arial"/>
          <w:sz w:val="18"/>
          <w:szCs w:val="18"/>
          <w:color w:val="auto"/>
        </w:rPr>
        <w:t>our Bylaws or adopt new bylaws by the affirmative vote of a majority of the total number of directors then in office.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15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Our Bylaws also impose some procedural requirements on stockholders who wish to make nominations in the election of directors or propose any other business to be brought before an annual or special meeting of stockholders.</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Specifically, a stockholder may (i) bring a proposal before an annual meeting of stockholders,</w:t>
      </w:r>
    </w:p>
    <w:p>
      <w:pPr>
        <w:spacing w:after="0" w:line="23" w:lineRule="exact"/>
        <w:rPr>
          <w:sz w:val="20"/>
          <w:szCs w:val="20"/>
          <w:color w:val="auto"/>
        </w:rPr>
      </w:pPr>
    </w:p>
    <w:p>
      <w:pPr>
        <w:ind w:left="1540" w:hanging="278"/>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nominate a candidate for election to our Board of Directors at an annual meeting of stockholders, or</w:t>
      </w:r>
    </w:p>
    <w:p>
      <w:pPr>
        <w:spacing w:after="0" w:line="9" w:lineRule="exact"/>
        <w:rPr>
          <w:rFonts w:ascii="Arial" w:cs="Arial" w:eastAsia="Arial" w:hAnsi="Arial"/>
          <w:sz w:val="18"/>
          <w:szCs w:val="18"/>
          <w:color w:val="auto"/>
        </w:rPr>
      </w:pPr>
    </w:p>
    <w:p>
      <w:pPr>
        <w:ind w:left="1260" w:right="679" w:firstLine="2"/>
        <w:spacing w:after="0" w:line="253" w:lineRule="auto"/>
        <w:tabs>
          <w:tab w:leader="none" w:pos="159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131" w:lineRule="exact"/>
        <w:rPr>
          <w:sz w:val="20"/>
          <w:szCs w:val="20"/>
          <w:color w:val="auto"/>
        </w:rPr>
      </w:pPr>
    </w:p>
    <w:p>
      <w:pPr>
        <w:ind w:left="1800" w:right="719" w:hanging="178"/>
        <w:spacing w:after="0" w:line="25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date of the annual meeting is advanced more than 30 days before or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88" w:lineRule="exact"/>
        <w:rPr>
          <w:rFonts w:ascii="Arial" w:cs="Arial" w:eastAsia="Arial" w:hAnsi="Arial"/>
          <w:sz w:val="18"/>
          <w:szCs w:val="18"/>
          <w:color w:val="auto"/>
        </w:rPr>
      </w:pPr>
    </w:p>
    <w:p>
      <w:pPr>
        <w:ind w:left="1800" w:right="759" w:hanging="178"/>
        <w:spacing w:after="0" w:line="279"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04"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With respect to special meetings of stockholders, our Bylaws provide that only such business shall be conducted as shall have been stated in the notice of the meeting.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4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We have opted out of Section 203 of the DGCL. However, our Certificate of Incorporation provides that in the event GIP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70" w:lineRule="exact"/>
        <w:rPr>
          <w:sz w:val="20"/>
          <w:szCs w:val="20"/>
          <w:color w:val="auto"/>
        </w:rPr>
      </w:pPr>
    </w:p>
    <w:p>
      <w:pPr>
        <w:ind w:left="1800" w:right="1519" w:hanging="178"/>
        <w:spacing w:after="0" w:line="308"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38" w:lineRule="exact"/>
        <w:rPr>
          <w:rFonts w:ascii="Arial" w:cs="Arial" w:eastAsia="Arial" w:hAnsi="Arial"/>
          <w:sz w:val="17"/>
          <w:szCs w:val="17"/>
          <w:color w:val="auto"/>
        </w:rPr>
      </w:pPr>
    </w:p>
    <w:p>
      <w:pPr>
        <w:ind w:left="1800" w:right="679" w:hanging="178"/>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03"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1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w:t>
      </w:r>
    </w:p>
    <w:p>
      <w:pPr>
        <w:spacing w:after="0" w:line="14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Any amendments to our Certificate of Incorporation, subject to the rights of holders of our preferred stock, regarding the provisions thereof summarized under “— Corporate Opportunity” or “— Antitakeover Effects of Delaware Law and Our Certificate of Incorporation and Bylaws” will require the affirmative vote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shares of our common stock then outstanding.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Fourth Amended and Restated Limited Liability Company Agreement of Clearway LLC</w:t>
      </w:r>
    </w:p>
    <w:p>
      <w:pPr>
        <w:spacing w:after="0" w:line="162"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is a description of the material terms of Clearway LLC’s Fourth Amended and Restated Limited Liability Company Agreement.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Governance</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Clearway Inc. serves as the sole managing member of Clearway LLC. As such, Clearway Inc., and effectively our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our independent directors.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4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Clearway LLC has issued four classes of units: Class A units and Class C units, which may only be issued to Clearway Inc., as the sole managing member, and Class B units and Class D units, which may only be issued to CEG and its permitted transferees (collectively, the “GIP Member”) and held by the GIP Member.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the GIP Member exchanges a Class B unit of Clearway LLC for a share of our Class A common stock, we will automatically redeem and cancel a corresponding share of our Class B common stock, and the Class B unit will automatically convert into a Class A unit of Clearway LLC issued to us. When the GIP Member exchanges a Class D unit of Clearway LLC for a share of our Class C common stock, we will automatically redeem and cancel a corresponding share of our Class D common stock, and the Class D unit will automatically convert into a Class C unit of Clearway LLC issued to us. None of the units have any voting rights.</w:t>
      </w:r>
    </w:p>
    <w:p>
      <w:pPr>
        <w:spacing w:after="0" w:line="12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Net profits and net losses and distributions by Clearway LLC are allocated and made to holders of units in accordance with the respective number of membership units of Clearway LLC held. Clearway LLC will make distributions to us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Clearway Operating LLC, and Clearway Operating LLC’s Amended and Restated Credit Agreement restricts the ability of Clearway Operating LLC to make distributions to Clearway LLC, Clearway LLC may not have any funds available to make distributions to us and CEG (including with respect to tax obligations).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Coordination of Clearway Inc. and Clearway LLC</w:t>
      </w:r>
    </w:p>
    <w:p>
      <w:pPr>
        <w:spacing w:after="0" w:line="144" w:lineRule="exact"/>
        <w:rPr>
          <w:sz w:val="20"/>
          <w:szCs w:val="20"/>
          <w:color w:val="auto"/>
        </w:rPr>
      </w:pPr>
    </w:p>
    <w:p>
      <w:pPr>
        <w:jc w:val="both"/>
        <w:ind w:left="1260" w:right="999" w:firstLine="360"/>
        <w:spacing w:after="0" w:line="248" w:lineRule="auto"/>
        <w:rPr>
          <w:sz w:val="20"/>
          <w:szCs w:val="20"/>
          <w:color w:val="auto"/>
        </w:rPr>
      </w:pPr>
      <w:r>
        <w:rPr>
          <w:rFonts w:ascii="Arial" w:cs="Arial" w:eastAsia="Arial" w:hAnsi="Arial"/>
          <w:sz w:val="18"/>
          <w:szCs w:val="18"/>
          <w:color w:val="auto"/>
        </w:rPr>
        <w:t>At any time Clearway Inc. issues a share of its Class A common stock or Class C common stock for cash, the net proceeds therefrom will promptly be transferred to Clearway LLC and Clearway LLC will either:</w:t>
      </w:r>
    </w:p>
    <w:p>
      <w:pPr>
        <w:spacing w:after="0" w:line="74" w:lineRule="exact"/>
        <w:rPr>
          <w:sz w:val="20"/>
          <w:szCs w:val="20"/>
          <w:color w:val="auto"/>
        </w:rPr>
      </w:pPr>
    </w:p>
    <w:p>
      <w:pPr>
        <w:ind w:left="1800" w:right="719" w:hanging="178"/>
        <w:spacing w:after="0" w:line="254"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one or more “Yield LLC Unitholders” (as defined in the Amended and Restated Exchange Agreement (as defined below)), which Class B Units or Class D Units, as applicable, shall automatically be reclassified into Class A Units or Class Units, as applicable; or</w:t>
      </w:r>
    </w:p>
    <w:p>
      <w:pPr>
        <w:spacing w:after="0" w:line="86" w:lineRule="exact"/>
        <w:rPr>
          <w:rFonts w:ascii="Arial" w:cs="Arial" w:eastAsia="Arial" w:hAnsi="Arial"/>
          <w:sz w:val="18"/>
          <w:szCs w:val="18"/>
          <w:color w:val="auto"/>
        </w:rPr>
      </w:pPr>
    </w:p>
    <w:p>
      <w:pPr>
        <w:ind w:left="1800" w:right="739" w:hanging="178"/>
        <w:spacing w:after="0" w:line="255"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a portion of the net proceeds to purchase a Class B unit of Clearway LLC from the GIP Member in the case of the issuance of a share of Class A common stock, which Class B unit will automatically convert into a Class A unit of Clearway LLC when transferred to Clearway Inc. or use the net proceeds to purchase a Class D unit of Clearway LLC from the GIP Member in the case of the issuance of a share of Class C common stock, which Class D unit will automatically convert into a Class C unit of Clearway LLC when transferred to Clearway Inc.</w:t>
      </w:r>
    </w:p>
    <w:p>
      <w:pPr>
        <w:spacing w:after="0" w:line="111"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In the event Clearway LLC purchases a Class B unit or a Class D unit of Clearway LLC from the GIP Member, Clearway Inc. will concurrently redeem and cancel the corresponding share of its Class B common stock or Class D common stock, as applicable.</w:t>
      </w:r>
    </w:p>
    <w:p>
      <w:pPr>
        <w:spacing w:after="0" w:line="114" w:lineRule="exact"/>
        <w:rPr>
          <w:sz w:val="20"/>
          <w:szCs w:val="20"/>
          <w:color w:val="auto"/>
        </w:rPr>
      </w:pPr>
    </w:p>
    <w:p>
      <w:pPr>
        <w:ind w:left="1260" w:right="819" w:firstLine="360"/>
        <w:spacing w:after="0" w:line="251" w:lineRule="auto"/>
        <w:rPr>
          <w:sz w:val="20"/>
          <w:szCs w:val="20"/>
          <w:color w:val="auto"/>
        </w:rPr>
      </w:pPr>
      <w:r>
        <w:rPr>
          <w:rFonts w:ascii="Arial" w:cs="Arial" w:eastAsia="Arial" w:hAnsi="Arial"/>
          <w:sz w:val="17"/>
          <w:szCs w:val="17"/>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w:t>
      </w:r>
    </w:p>
    <w:p>
      <w:pPr>
        <w:spacing w:after="0" w:line="4" w:lineRule="exact"/>
        <w:rPr>
          <w:sz w:val="20"/>
          <w:szCs w:val="20"/>
          <w:color w:val="auto"/>
        </w:rPr>
      </w:pPr>
    </w:p>
    <w:p>
      <w:pPr>
        <w:ind w:left="1260" w:right="739"/>
        <w:spacing w:after="0" w:line="239" w:lineRule="auto"/>
        <w:rPr>
          <w:sz w:val="20"/>
          <w:szCs w:val="20"/>
          <w:color w:val="auto"/>
        </w:rPr>
      </w:pPr>
      <w:r>
        <w:rPr>
          <w:rFonts w:ascii="Arial" w:cs="Arial" w:eastAsia="Arial" w:hAnsi="Arial"/>
          <w:sz w:val="18"/>
          <w:szCs w:val="18"/>
          <w:color w:val="auto"/>
        </w:rPr>
        <w:t>its units of the corresponding classes or series) held by Clearway Inc. upon the same terms and for the same price, as the shares of Class A common stock or Class C common stock (or equity securities of such other classes or series) so redeemed.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14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7"/>
          <w:szCs w:val="17"/>
          <w:color w:val="auto"/>
        </w:rPr>
        <w:t>Class A units and Class C units may only be issued to Clearway Inc., as the sole managing member of Clearway LLC, and are non-transferable except upon redemption by Clearway LLC. Class B units and Class D units may only be issued to the GIP Member. Class B units and Class D units may not be transferred without our consent, subject to such conditions as we may specify, except the GIP Member may transfer Class B units or Class D units to its direct or indirect limited partners or other equityholders and to a permitted transferee (including an affiliate) without our consent. The GIP Member may not transfer any Class B units or Class D units to any person unless the GIP Member transfers an equal number of shares of our Class B common stock or Class D common stock, as applicable, to the same transferee.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15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When CEG or its permitted transferee exchanges a Class B unit of Clearway LLC for a share of our Class A common stock, we will automatically redeem and cancel a corresponding share of our Class B common stock and the Class B unit will automatically convert into a Class A unit when issued to Clearway Inc. Similarly, when CEG or its permitted transferee exchanges a Class D unit of Clearway LLC for a share of our Class C common stock, we will automatically redeem and cancel a corresponding share of our Class D common stock and the Class D unit will automatically convert into a Class C unit when issued to Clearway Inc. As a result, when a holder exchanges its Class B units for shares of our Class A common stock, or its Class D units for shares of our Class C common stock, our interest in Clearway LLC will be correspondingly increased. We have reserved for issuance 42,738,750 shares of our Class A common stock, which is the aggregate number of shares of Class A common stock expected to be issued over time upon the exchange of all Class B units of Clearway LLC currently outstanding, and 42,738,750 shares of our Class C common stock, which is the aggregate number of shares of Class C common stock expected to be issued over time upon the exchange of all Class D units of Clearway LLC currently outstanding.</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14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To the extent permitted by applicable law, Clearway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25" w:lineRule="exact"/>
        <w:rPr>
          <w:sz w:val="20"/>
          <w:szCs w:val="20"/>
          <w:color w:val="auto"/>
        </w:rPr>
      </w:pPr>
    </w:p>
    <w:p>
      <w:pPr>
        <w:jc w:val="both"/>
        <w:ind w:left="1260" w:right="1239" w:firstLine="360"/>
        <w:spacing w:after="0" w:line="257" w:lineRule="auto"/>
        <w:rPr>
          <w:sz w:val="20"/>
          <w:szCs w:val="20"/>
          <w:color w:val="auto"/>
        </w:rPr>
      </w:pPr>
      <w:r>
        <w:rPr>
          <w:rFonts w:ascii="Arial" w:cs="Arial" w:eastAsia="Arial" w:hAnsi="Arial"/>
          <w:sz w:val="18"/>
          <w:szCs w:val="18"/>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We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our Class A common stock that are issuable upon exchange of Class B units of Clearway LLC that CEG owns, and for shares of our Class C common stock that are issuable upon exchange of Class D units of Clearway LLC that CEG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14"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aggregate principal amount of debt securities that may be issued under the indenture is unlimited.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debt securities may be issued in one or more series as may be authorized from time to time.</w:t>
      </w:r>
    </w:p>
    <w:p>
      <w:pPr>
        <w:spacing w:after="0" w:line="115" w:lineRule="exact"/>
        <w:rPr>
          <w:sz w:val="20"/>
          <w:szCs w:val="20"/>
          <w:color w:val="auto"/>
        </w:rPr>
      </w:pPr>
    </w:p>
    <w:p>
      <w:pPr>
        <w:ind w:left="1260" w:right="1419" w:firstLine="360"/>
        <w:spacing w:after="0" w:line="261" w:lineRule="auto"/>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63" w:lineRule="exact"/>
        <w:rPr>
          <w:sz w:val="20"/>
          <w:szCs w:val="20"/>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117"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103"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dates on which interest will accrue or the method for determining dates on which interest will accrue and dates on which interest will be payable;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117" w:lineRule="exact"/>
        <w:rPr>
          <w:rFonts w:ascii="Arial" w:cs="Arial" w:eastAsia="Arial" w:hAnsi="Arial"/>
          <w:sz w:val="18"/>
          <w:szCs w:val="18"/>
          <w:color w:val="auto"/>
        </w:rPr>
      </w:pPr>
    </w:p>
    <w:p>
      <w:pPr>
        <w:ind w:left="1800" w:right="147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103" w:lineRule="exact"/>
        <w:rPr>
          <w:rFonts w:ascii="Arial" w:cs="Arial" w:eastAsia="Arial" w:hAnsi="Arial"/>
          <w:sz w:val="18"/>
          <w:szCs w:val="18"/>
          <w:color w:val="auto"/>
        </w:rPr>
      </w:pPr>
    </w:p>
    <w:p>
      <w:pPr>
        <w:ind w:left="1800" w:right="939" w:hanging="178"/>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75" w:lineRule="exact"/>
        <w:rPr>
          <w:rFonts w:ascii="Arial" w:cs="Arial" w:eastAsia="Arial" w:hAnsi="Arial"/>
          <w:sz w:val="18"/>
          <w:szCs w:val="18"/>
          <w:color w:val="auto"/>
        </w:rPr>
      </w:pPr>
    </w:p>
    <w:p>
      <w:pPr>
        <w:jc w:val="both"/>
        <w:ind w:left="1800" w:right="75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terms upon which beneficial interests in a temporary global security may be exchanged in whole or in part for beneficial interests in a definitive global security or for individual definitive securities;</w:t>
      </w:r>
    </w:p>
    <w:p>
      <w:pPr>
        <w:spacing w:after="0" w:line="24" w:lineRule="exact"/>
        <w:rPr>
          <w:rFonts w:ascii="Arial" w:cs="Arial" w:eastAsia="Arial" w:hAnsi="Arial"/>
          <w:sz w:val="17"/>
          <w:szCs w:val="17"/>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103"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7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117"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117"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158" w:lineRule="exact"/>
        <w:rPr>
          <w:sz w:val="20"/>
          <w:szCs w:val="20"/>
          <w:color w:val="auto"/>
        </w:rPr>
      </w:pPr>
    </w:p>
    <w:p>
      <w:pPr>
        <w:jc w:val="both"/>
        <w:ind w:left="1260" w:right="759" w:firstLine="360"/>
        <w:spacing w:after="0" w:line="243"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2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90"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6"/>
          <w:szCs w:val="16"/>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00"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14"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Global Securities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The indenture and the debt securities shall be construed in accordance with and governed by the laws of the State of New York, without giving effect to the principles thereof relating to conflicts of law.</w:t>
      </w:r>
    </w:p>
    <w:p>
      <w:pPr>
        <w:spacing w:after="0" w:line="14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117" w:lineRule="exact"/>
        <w:rPr>
          <w:sz w:val="20"/>
          <w:szCs w:val="20"/>
          <w:color w:val="auto"/>
        </w:rPr>
      </w:pPr>
    </w:p>
    <w:p>
      <w:pPr>
        <w:ind w:left="1800" w:right="121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we indicate otherwise in the applicable prospectus supplement, agents will act on a best efforts basis for the period of their appointment.</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any of the securities that they offer or sell.</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117" w:lineRule="exact"/>
        <w:rPr>
          <w:sz w:val="20"/>
          <w:szCs w:val="20"/>
          <w:color w:val="auto"/>
        </w:rPr>
      </w:pPr>
    </w:p>
    <w:p>
      <w:pPr>
        <w:ind w:left="1800" w:right="1099" w:hanging="178"/>
        <w:spacing w:after="0" w:line="308"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use an underwriter or underwriters, we will execute an underwriting agreement with the underwriter or underwriters at the time that we reach an agreement for the sale of the securities.</w:t>
      </w:r>
    </w:p>
    <w:p>
      <w:pPr>
        <w:spacing w:after="0" w:line="51" w:lineRule="exact"/>
        <w:rPr>
          <w:rFonts w:ascii="Arial" w:cs="Arial" w:eastAsia="Arial" w:hAnsi="Arial"/>
          <w:sz w:val="17"/>
          <w:szCs w:val="17"/>
          <w:color w:val="auto"/>
        </w:rPr>
      </w:pPr>
    </w:p>
    <w:p>
      <w:pPr>
        <w:ind w:left="1800" w:right="759" w:hanging="178"/>
        <w:spacing w:after="0" w:line="259"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78"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use a dealer to sell the securities.</w:t>
      </w:r>
    </w:p>
    <w:p>
      <w:pPr>
        <w:spacing w:after="0" w:line="117" w:lineRule="exact"/>
        <w:rPr>
          <w:sz w:val="20"/>
          <w:szCs w:val="20"/>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62"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w:t>
      </w:r>
    </w:p>
    <w:p>
      <w:pPr>
        <w:spacing w:after="0" w:line="103" w:lineRule="exact"/>
        <w:rPr>
          <w:sz w:val="20"/>
          <w:szCs w:val="20"/>
          <w:color w:val="auto"/>
        </w:rPr>
      </w:pPr>
    </w:p>
    <w:p>
      <w:pPr>
        <w:ind w:left="1260" w:right="1139" w:firstLine="360"/>
        <w:spacing w:after="0" w:line="263"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0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color w:val="auto"/>
        </w:rPr>
        <w:t>its agreement, if any, with us, and its compensation will be described in the applicable prospectus supplement. Remarketing firms may be deemed to be underwriters under the Securities Act in connection with the securities they remarket.</w:t>
      </w:r>
    </w:p>
    <w:p>
      <w:pPr>
        <w:spacing w:after="0" w:line="103"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1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76" w:lineRule="exact"/>
        <w:rPr>
          <w:sz w:val="20"/>
          <w:szCs w:val="20"/>
          <w:color w:val="auto"/>
        </w:rPr>
      </w:pPr>
    </w:p>
    <w:p>
      <w:pPr>
        <w:ind w:left="1800" w:right="79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102" w:lineRule="exact"/>
        <w:rPr>
          <w:rFonts w:ascii="Arial" w:cs="Arial" w:eastAsia="Arial" w:hAnsi="Arial"/>
          <w:sz w:val="18"/>
          <w:szCs w:val="18"/>
          <w:color w:val="auto"/>
        </w:rPr>
      </w:pPr>
    </w:p>
    <w:p>
      <w:pPr>
        <w:ind w:left="1800" w:right="125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75" w:lineRule="exact"/>
        <w:rPr>
          <w:rFonts w:ascii="Arial" w:cs="Arial" w:eastAsia="Arial" w:hAnsi="Arial"/>
          <w:sz w:val="18"/>
          <w:szCs w:val="18"/>
          <w:color w:val="auto"/>
        </w:rPr>
      </w:pPr>
    </w:p>
    <w:p>
      <w:pPr>
        <w:ind w:left="1800" w:right="1119" w:hanging="178"/>
        <w:spacing w:after="0" w:line="30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describe in the applicable prospectus supplement the commission that underwriters and agents soliciting purchases of the securities under delayed contracts will be entitled to receive.</w:t>
      </w:r>
    </w:p>
    <w:p>
      <w:pPr>
        <w:spacing w:after="0" w:line="79"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03" w:lineRule="exact"/>
        <w:rPr>
          <w:sz w:val="20"/>
          <w:szCs w:val="20"/>
          <w:color w:val="auto"/>
        </w:rPr>
      </w:pPr>
    </w:p>
    <w:p>
      <w:pPr>
        <w:ind w:left="1260" w:right="959" w:firstLine="360"/>
        <w:spacing w:after="0" w:line="286" w:lineRule="auto"/>
        <w:rPr>
          <w:sz w:val="20"/>
          <w:szCs w:val="20"/>
          <w:color w:val="auto"/>
        </w:rPr>
      </w:pPr>
      <w:r>
        <w:rPr>
          <w:rFonts w:ascii="Arial" w:cs="Arial" w:eastAsia="Arial" w:hAnsi="Arial"/>
          <w:sz w:val="17"/>
          <w:szCs w:val="17"/>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9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1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1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0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w:t>
      </w:r>
    </w:p>
    <w:p>
      <w:pPr>
        <w:spacing w:after="0" w:line="16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699" w:firstLine="360"/>
        <w:spacing w:after="0" w:line="22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Clearway Energy, Inc. as of December 31, 2019 and 2018, and for each of the years in the three-year period ended </w:t>
      </w:r>
      <w:hyperlink r:id="rId40">
        <w:r>
          <w:rPr>
            <w:rFonts w:ascii="Arial" w:cs="Arial" w:eastAsia="Arial" w:hAnsi="Arial"/>
            <w:sz w:val="18"/>
            <w:szCs w:val="18"/>
            <w:u w:val="single" w:color="auto"/>
            <w:color w:val="0000EE"/>
          </w:rPr>
          <w:t>December 31, 2019</w:t>
        </w:r>
      </w:hyperlink>
      <w:r>
        <w:rPr>
          <w:rFonts w:ascii="Arial" w:cs="Arial" w:eastAsia="Arial" w:hAnsi="Arial"/>
          <w:sz w:val="18"/>
          <w:szCs w:val="18"/>
          <w:color w:val="auto"/>
        </w:rPr>
        <w:t xml:space="preserve">, and management’s assessment of the effectiveness of internal control over financial reporting as of December 31, 2019 have been incorporated by reference herein and in the prospectus, in reliance upon the reports of KPMG LLP, independent registered public accounting firm, incorporated by reference herein, and upon the authority of said firm as experts in accounting and auditing. The audit report covering the December 31, 2019 consolidated financial statements refers to changes in accounting principle, the Company’s adoption of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and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w:t>
      </w:r>
    </w:p>
    <w:p>
      <w:pPr>
        <w:spacing w:after="0" w:line="18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148" w:lineRule="exact"/>
        <w:rPr>
          <w:sz w:val="20"/>
          <w:szCs w:val="20"/>
          <w:color w:val="auto"/>
        </w:rPr>
      </w:pPr>
    </w:p>
    <w:p>
      <w:pPr>
        <w:ind w:left="1260" w:right="679" w:firstLine="360"/>
        <w:spacing w:after="0" w:line="224"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w:t>
      </w:r>
    </w:p>
    <w:p>
      <w:pPr>
        <w:spacing w:after="0" w:line="70" w:lineRule="exact"/>
        <w:rPr>
          <w:sz w:val="20"/>
          <w:szCs w:val="20"/>
          <w:color w:val="auto"/>
        </w:rPr>
      </w:pPr>
    </w:p>
    <w:p>
      <w:pPr>
        <w:ind w:left="1800" w:right="679" w:hanging="178"/>
        <w:spacing w:after="0" w:line="277" w:lineRule="auto"/>
        <w:tabs>
          <w:tab w:leader="none" w:pos="1800" w:val="left"/>
        </w:tabs>
        <w:numPr>
          <w:ilvl w:val="0"/>
          <w:numId w:val="16"/>
        </w:numPr>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Our Annual Report on Form 10-K for the year ended December 31, 2019, filed on March 2, 2020</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our Amendment No. 1 on Form 10-K/A to such annual report filed on March 30, 2020.</w:t>
        </w:r>
      </w:hyperlink>
    </w:p>
    <w:p>
      <w:pPr>
        <w:spacing w:after="0" w:line="62" w:lineRule="exact"/>
        <w:rPr>
          <w:rFonts w:ascii="Arial" w:cs="Arial" w:eastAsia="Arial" w:hAnsi="Arial"/>
          <w:sz w:val="18"/>
          <w:szCs w:val="18"/>
          <w:u w:val="single" w:color="auto"/>
          <w:color w:val="0000EE"/>
        </w:rPr>
      </w:pPr>
    </w:p>
    <w:p>
      <w:pPr>
        <w:ind w:left="1800" w:right="859" w:hanging="178"/>
        <w:spacing w:after="0" w:line="277" w:lineRule="auto"/>
        <w:tabs>
          <w:tab w:leader="none" w:pos="1800" w:val="left"/>
        </w:tabs>
        <w:numPr>
          <w:ilvl w:val="0"/>
          <w:numId w:val="16"/>
        </w:numPr>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The information specifically incorporated by reference into our Annual Report on Form 10-K from</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our definitive proxy statement on Schedule 14A, filed on March 17, 2020.</w:t>
        </w:r>
      </w:hyperlink>
    </w:p>
    <w:p>
      <w:pPr>
        <w:spacing w:after="0" w:line="62" w:lineRule="exact"/>
        <w:rPr>
          <w:rFonts w:ascii="Arial" w:cs="Arial" w:eastAsia="Arial" w:hAnsi="Arial"/>
          <w:sz w:val="18"/>
          <w:szCs w:val="18"/>
          <w:u w:val="single" w:color="auto"/>
          <w:color w:val="0000EE"/>
        </w:rPr>
      </w:pPr>
    </w:p>
    <w:p>
      <w:pPr>
        <w:ind w:left="1800" w:right="799" w:hanging="178"/>
        <w:spacing w:after="0" w:line="277" w:lineRule="auto"/>
        <w:tabs>
          <w:tab w:leader="none" w:pos="1800" w:val="left"/>
        </w:tabs>
        <w:numPr>
          <w:ilvl w:val="0"/>
          <w:numId w:val="16"/>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Our Quarterly Report on Form 10-Q for the quarterly period ended March 31, 2020, filed on May 7,</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w:t>
        </w:r>
      </w:hyperlink>
    </w:p>
    <w:p>
      <w:pPr>
        <w:spacing w:after="0" w:line="62" w:lineRule="exact"/>
        <w:rPr>
          <w:rFonts w:ascii="Arial" w:cs="Arial" w:eastAsia="Arial" w:hAnsi="Arial"/>
          <w:sz w:val="18"/>
          <w:szCs w:val="18"/>
          <w:u w:val="single" w:color="auto"/>
          <w:color w:val="0000EE"/>
        </w:rPr>
      </w:pPr>
    </w:p>
    <w:p>
      <w:pPr>
        <w:ind w:left="1800" w:right="739" w:hanging="178"/>
        <w:spacing w:after="0" w:line="277" w:lineRule="auto"/>
        <w:tabs>
          <w:tab w:leader="none" w:pos="1800" w:val="left"/>
        </w:tabs>
        <w:numPr>
          <w:ilvl w:val="0"/>
          <w:numId w:val="16"/>
        </w:numPr>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Our Quarterly Report on Form 10-Q for the quarterly period ended June 30, 2020, filed on August 6,</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2020</w:t>
        </w:r>
      </w:hyperlink>
    </w:p>
    <w:p>
      <w:pPr>
        <w:spacing w:after="0" w:line="62" w:lineRule="exact"/>
        <w:rPr>
          <w:rFonts w:ascii="Arial" w:cs="Arial" w:eastAsia="Arial" w:hAnsi="Arial"/>
          <w:sz w:val="18"/>
          <w:szCs w:val="18"/>
          <w:u w:val="single" w:color="auto"/>
          <w:color w:val="0000EE"/>
        </w:rPr>
      </w:pPr>
    </w:p>
    <w:p>
      <w:pPr>
        <w:ind w:left="1800" w:right="859" w:hanging="178"/>
        <w:spacing w:after="0" w:line="277" w:lineRule="auto"/>
        <w:tabs>
          <w:tab w:leader="none" w:pos="1800" w:val="left"/>
        </w:tabs>
        <w:numPr>
          <w:ilvl w:val="0"/>
          <w:numId w:val="16"/>
        </w:numPr>
        <w:rPr>
          <w:rFonts w:ascii="Arial" w:cs="Arial" w:eastAsia="Arial" w:hAnsi="Arial"/>
          <w:sz w:val="18"/>
          <w:szCs w:val="18"/>
          <w:color w:val="0000EE"/>
        </w:rPr>
      </w:pPr>
      <w:hyperlink r:id="rId45">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4,</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May 21, 2020</w:t>
        </w:r>
      </w:hyperlink>
      <w:hyperlink r:id="rId4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 xml:space="preserve">July 21, 2020 </w:t>
        </w:r>
      </w:hyperlink>
      <w:hyperlink r:id="rId4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July 23, 2020.</w:t>
        </w:r>
      </w:hyperlink>
    </w:p>
    <w:p>
      <w:pPr>
        <w:spacing w:after="0" w:line="62" w:lineRule="exact"/>
        <w:rPr>
          <w:rFonts w:ascii="Arial" w:cs="Arial" w:eastAsia="Arial" w:hAnsi="Arial"/>
          <w:sz w:val="18"/>
          <w:szCs w:val="18"/>
          <w:color w:val="0000EE"/>
        </w:rPr>
      </w:pPr>
    </w:p>
    <w:p>
      <w:pPr>
        <w:ind w:left="1800" w:right="699" w:hanging="178"/>
        <w:spacing w:after="0" w:line="259" w:lineRule="auto"/>
        <w:tabs>
          <w:tab w:leader="none" w:pos="1800" w:val="left"/>
        </w:tabs>
        <w:numPr>
          <w:ilvl w:val="0"/>
          <w:numId w:val="16"/>
        </w:numPr>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The description of our Class A common stock and our Class C common stock contained in the</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Registration Statement on Form 8-A/A filed with the SEC on May 8, 2015, to register such securities</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under the Exchange Act including any amendment or report filed for the purpose of updating such</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description.</w:t>
        </w:r>
      </w:hyperlink>
    </w:p>
    <w:p>
      <w:pPr>
        <w:spacing w:after="0" w:line="106" w:lineRule="exact"/>
        <w:rPr>
          <w:rFonts w:ascii="Arial" w:cs="Arial" w:eastAsia="Arial" w:hAnsi="Arial"/>
          <w:sz w:val="18"/>
          <w:szCs w:val="18"/>
          <w:u w:val="single" w:color="auto"/>
          <w:color w:val="0000EE"/>
        </w:rPr>
      </w:pPr>
    </w:p>
    <w:p>
      <w:pPr>
        <w:ind w:left="1260" w:right="699" w:firstLine="360"/>
        <w:spacing w:after="0" w:line="241" w:lineRule="auto"/>
        <w:rPr>
          <w:sz w:val="20"/>
          <w:szCs w:val="20"/>
          <w:color w:val="auto"/>
        </w:rPr>
      </w:pPr>
      <w:r>
        <w:rPr>
          <w:rFonts w:ascii="Arial" w:cs="Arial" w:eastAsia="Arial" w:hAnsi="Arial"/>
          <w:sz w:val="18"/>
          <w:szCs w:val="18"/>
          <w:color w:val="auto"/>
        </w:rPr>
        <w:t xml:space="preserve">You may obtain any of the documents incorporated by reference from the SEC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You may also request a copy of any document incorporated by reference in this prospectus (including exhibits to those documents specifically incorporated by reference in this prospectus), at no cost, by visiting our website at </w:t>
      </w:r>
      <w:r>
        <w:rPr>
          <w:rFonts w:ascii="Arial" w:cs="Arial" w:eastAsia="Arial" w:hAnsi="Arial"/>
          <w:sz w:val="18"/>
          <w:szCs w:val="18"/>
          <w:i w:val="1"/>
          <w:iCs w:val="1"/>
          <w:color w:val="auto"/>
        </w:rPr>
        <w:t>www.clearwayenergy.com</w:t>
      </w:r>
      <w:r>
        <w:rPr>
          <w:rFonts w:ascii="Arial" w:cs="Arial" w:eastAsia="Arial" w:hAnsi="Arial"/>
          <w:sz w:val="18"/>
          <w:szCs w:val="18"/>
          <w:color w:val="auto"/>
        </w:rPr>
        <w:t>, or by writing or calling us at the following address:</w:t>
      </w:r>
    </w:p>
    <w:p>
      <w:pPr>
        <w:spacing w:after="0" w:line="122"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Clearway Energy, Inc.</w:t>
      </w:r>
    </w:p>
    <w:p>
      <w:pPr>
        <w:spacing w:after="0" w:line="7" w:lineRule="exact"/>
        <w:rPr>
          <w:rFonts w:ascii="Arial" w:cs="Arial" w:eastAsia="Arial" w:hAnsi="Arial"/>
          <w:sz w:val="18"/>
          <w:szCs w:val="18"/>
          <w:u w:val="single" w:color="auto"/>
          <w:color w:val="0000EE"/>
        </w:rPr>
      </w:pPr>
    </w:p>
    <w:p>
      <w:pPr>
        <w:jc w:val="center"/>
        <w:ind w:right="-540"/>
        <w:spacing w:after="0"/>
        <w:rPr>
          <w:sz w:val="20"/>
          <w:szCs w:val="20"/>
          <w:color w:val="auto"/>
        </w:rPr>
      </w:pPr>
      <w:r>
        <w:rPr>
          <w:rFonts w:ascii="Arial" w:cs="Arial" w:eastAsia="Arial" w:hAnsi="Arial"/>
          <w:sz w:val="18"/>
          <w:szCs w:val="18"/>
          <w:color w:val="auto"/>
        </w:rPr>
        <w:t>300 Carnegie Center, Suite 300</w:t>
      </w:r>
    </w:p>
    <w:p>
      <w:pPr>
        <w:jc w:val="center"/>
        <w:ind w:right="-540"/>
        <w:spacing w:after="0" w:line="234" w:lineRule="auto"/>
        <w:rPr>
          <w:sz w:val="20"/>
          <w:szCs w:val="20"/>
          <w:color w:val="auto"/>
        </w:rPr>
      </w:pPr>
      <w:r>
        <w:rPr>
          <w:rFonts w:ascii="Arial" w:cs="Arial" w:eastAsia="Arial" w:hAnsi="Arial"/>
          <w:sz w:val="18"/>
          <w:szCs w:val="18"/>
          <w:color w:val="auto"/>
        </w:rPr>
        <w:t>Princeton, NJ 08540</w:t>
      </w:r>
    </w:p>
    <w:p>
      <w:pPr>
        <w:jc w:val="center"/>
        <w:ind w:right="-540"/>
        <w:spacing w:after="0" w:line="235" w:lineRule="auto"/>
        <w:rPr>
          <w:sz w:val="20"/>
          <w:szCs w:val="20"/>
          <w:color w:val="auto"/>
        </w:rPr>
      </w:pPr>
      <w:r>
        <w:rPr>
          <w:rFonts w:ascii="Arial" w:cs="Arial" w:eastAsia="Arial" w:hAnsi="Arial"/>
          <w:sz w:val="18"/>
          <w:szCs w:val="18"/>
          <w:color w:val="auto"/>
        </w:rPr>
        <w:t>(609) 608-1525</w:t>
      </w:r>
    </w:p>
    <w:p>
      <w:pPr>
        <w:spacing w:after="0" w:line="1"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Attention: Corporate Secretary</w:t>
      </w:r>
    </w:p>
    <w:p>
      <w:pPr>
        <w:spacing w:after="0" w:line="371"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7"/>
          <w:szCs w:val="17"/>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Additionally, our filings with the SEC that are filed or furnished pursuant to section 13(a) or 15(d) of the Exchange Act are available free of charge through the “Investor Relations” section of our website, http://www.clearwayenergy.com,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w:t>
      </w:r>
    </w:p>
    <w:p>
      <w:pPr>
        <w:spacing w:after="0" w:line="125"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62" w:lineRule="exact"/>
        <w:rPr>
          <w:sz w:val="20"/>
          <w:szCs w:val="20"/>
          <w:color w:val="auto"/>
        </w:rPr>
      </w:pPr>
    </w:p>
    <w:p>
      <w:pPr>
        <w:ind w:left="1260" w:right="1519" w:firstLine="360"/>
        <w:spacing w:after="0" w:line="291" w:lineRule="auto"/>
        <w:rPr>
          <w:sz w:val="20"/>
          <w:szCs w:val="20"/>
          <w:color w:val="auto"/>
        </w:rPr>
      </w:pPr>
      <w:r>
        <w:rPr>
          <w:rFonts w:ascii="Arial" w:cs="Arial" w:eastAsia="Arial" w:hAnsi="Arial"/>
          <w:sz w:val="17"/>
          <w:szCs w:val="17"/>
          <w:color w:val="auto"/>
        </w:rPr>
        <w:t>The following is a statement of the estimated expenses, to be paid solely by the registrant, in connection with the issuance and distribution of the securities being registered hereby:</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Amount to</w:t>
            </w:r>
          </w:p>
        </w:tc>
      </w:tr>
      <w:tr>
        <w:trPr>
          <w:trHeight w:val="186"/>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be Paid</w:t>
            </w:r>
          </w:p>
        </w:tc>
      </w:tr>
      <w:tr>
        <w:trPr>
          <w:trHeight w:val="26"/>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Stock exchange listing fees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Blue sky fees</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Printing fees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-1688465</wp:posOffset>
            </wp:positionV>
            <wp:extent cx="42773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5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w:t>
      </w:r>
    </w:p>
    <w:p>
      <w:pPr>
        <w:spacing w:after="0" w:line="77" w:lineRule="exact"/>
        <w:rPr>
          <w:sz w:val="20"/>
          <w:szCs w:val="20"/>
          <w:color w:val="auto"/>
        </w:rPr>
      </w:pPr>
    </w:p>
    <w:p>
      <w:pPr>
        <w:ind w:left="1620" w:right="719" w:hanging="358"/>
        <w:spacing w:after="0" w:line="255"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 The foregoing sets forth the general categories of expenses (other than underwriting discounts and commissions) that we anticipate to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88"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Delaware General Corporation Law; Certificate of Incorporation</w:t>
      </w:r>
    </w:p>
    <w:p>
      <w:pPr>
        <w:spacing w:after="0" w:line="144"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12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w:t>
      </w:r>
    </w:p>
    <w:p>
      <w:pPr>
        <w:sectPr>
          <w:pgSz w:w="11900" w:h="16838" w:orient="portrait"/>
          <w:cols w:equalWidth="0" w:num="1">
            <w:col w:w="10139"/>
          </w:cols>
          <w:pgMar w:left="320" w:top="131"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2" w:lineRule="auto"/>
        <w:rPr>
          <w:sz w:val="20"/>
          <w:szCs w:val="20"/>
          <w:color w:val="auto"/>
        </w:rPr>
      </w:pPr>
      <w:r>
        <w:rPr>
          <w:rFonts w:ascii="Arial" w:cs="Arial" w:eastAsia="Arial" w:hAnsi="Arial"/>
          <w:sz w:val="17"/>
          <w:szCs w:val="17"/>
          <w:color w:val="auto"/>
        </w:rPr>
        <w:t>indemnity may include expenses (including attorneys’ fees) actually and reasonably incurred by such person in connection with the defense or settlement of such action or suit, provided such person acted in good faith and in a manner such person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96"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Bylaws</w:t>
      </w:r>
    </w:p>
    <w:p>
      <w:pPr>
        <w:spacing w:after="0" w:line="15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Our Fourth Amended and Restated Bylaws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5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have entered into indemnification agreements with certain of our executive officers and directors pursuant to which we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w:t>
      </w:r>
    </w:p>
    <w:p>
      <w:pPr>
        <w:spacing w:after="0" w:line="10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indemnification rights set forth above are not exclusive of any other right which an indemnified person may have or hereafter acquire under any statute, provision of our Amended and Restated Certificate of Incorporation, our Fourth Amended and Restated Bylaws, agreement, vote of stockholders or disinterested directors or otherwise.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Insurance</w:t>
      </w:r>
    </w:p>
    <w:p>
      <w:pPr>
        <w:spacing w:after="0" w:line="158"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80"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39"/>
          </w:cols>
          <w:pgMar w:left="320" w:top="131" w:right="1440"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1280"/>
        <w:spacing w:after="0"/>
        <w:tabs>
          <w:tab w:leader="none" w:pos="34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47625</wp:posOffset>
            </wp:positionV>
            <wp:extent cx="2760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2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0" w:hanging="728"/>
        <w:spacing w:after="0" w:line="235" w:lineRule="auto"/>
        <w:tabs>
          <w:tab w:leader="none" w:pos="1980" w:val="left"/>
        </w:tabs>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56">
        <w:r>
          <w:rPr>
            <w:rFonts w:ascii="Arial" w:cs="Arial" w:eastAsia="Arial" w:hAnsi="Arial"/>
            <w:sz w:val="18"/>
            <w:szCs w:val="18"/>
            <w:u w:val="single" w:color="auto"/>
            <w:color w:val="0000EE"/>
          </w:rPr>
          <w:t>Amended and Restated Certificate of</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Incorporation of Clearway Energy, Inc., dated</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as of May 1,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22" w:lineRule="exact"/>
        <w:rPr>
          <w:rFonts w:ascii="Arial" w:cs="Arial" w:eastAsia="Arial" w:hAnsi="Arial"/>
          <w:sz w:val="18"/>
          <w:szCs w:val="18"/>
          <w:u w:val="single" w:color="auto"/>
          <w:color w:val="0000EE"/>
        </w:rPr>
      </w:pPr>
    </w:p>
    <w:p>
      <w:pPr>
        <w:jc w:val="center"/>
        <w:ind w:right="6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57785</wp:posOffset>
            </wp:positionV>
            <wp:extent cx="2297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4" w:lineRule="exact"/>
        <w:rPr>
          <w:rFonts w:ascii="Arial" w:cs="Arial" w:eastAsia="Arial" w:hAnsi="Arial"/>
          <w:sz w:val="18"/>
          <w:szCs w:val="18"/>
          <w:u w:val="single" w:color="auto"/>
          <w:color w:val="0000EE"/>
        </w:rPr>
      </w:pPr>
    </w:p>
    <w:p>
      <w:pPr>
        <w:ind w:right="779"/>
        <w:spacing w:after="0" w:line="228" w:lineRule="auto"/>
        <w:rPr>
          <w:sz w:val="20"/>
          <w:szCs w:val="20"/>
          <w:color w:val="auto"/>
        </w:rPr>
      </w:pPr>
      <w:r>
        <w:rPr>
          <w:rFonts w:ascii="Arial" w:cs="Arial" w:eastAsia="Arial" w:hAnsi="Arial"/>
          <w:sz w:val="18"/>
          <w:szCs w:val="18"/>
          <w:color w:val="auto"/>
        </w:rPr>
        <w:t>To be filed by an amendment or an exhibit to a document to be incorporated or deemed incorporated by reference to this registration statement, including a Current Report on Form 8-K.</w:t>
      </w:r>
    </w:p>
    <w:p>
      <w:pPr>
        <w:spacing w:after="0" w:line="29" w:lineRule="exact"/>
        <w:rPr>
          <w:rFonts w:ascii="Arial" w:cs="Arial" w:eastAsia="Arial" w:hAnsi="Arial"/>
          <w:sz w:val="18"/>
          <w:szCs w:val="18"/>
          <w:u w:val="single" w:color="auto"/>
          <w:color w:val="0000EE"/>
        </w:rPr>
      </w:pPr>
    </w:p>
    <w:p>
      <w:pPr>
        <w:jc w:val="both"/>
        <w:ind w:right="759"/>
        <w:spacing w:after="0" w:line="235" w:lineRule="auto"/>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Incorporated herein by reference to Exhibit 3.1</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to the Company’s Current Report on Form 8-K</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filed on May 4, 2020.</w:t>
        </w:r>
      </w:hyperlink>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5460" w:space="380"/>
            <w:col w:w="4299"/>
          </w:cols>
          <w:pgMar w:left="320" w:top="131" w:right="1440" w:bottom="1440" w:gutter="0" w:footer="0" w:header="0"/>
          <w:type w:val="continuous"/>
        </w:sectPr>
      </w:pPr>
    </w:p>
    <w:p>
      <w:pPr>
        <w:spacing w:after="0" w:line="177"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1280"/>
        <w:spacing w:after="0"/>
        <w:tabs>
          <w:tab w:leader="none" w:pos="34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47625</wp:posOffset>
            </wp:positionV>
            <wp:extent cx="27603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22" w:lineRule="exact"/>
        <w:rPr>
          <w:sz w:val="20"/>
          <w:szCs w:val="20"/>
          <w:color w:val="auto"/>
        </w:rPr>
      </w:pPr>
    </w:p>
    <w:p>
      <w:pPr>
        <w:ind w:left="2000" w:right="40" w:hanging="638"/>
        <w:spacing w:after="0" w:line="308" w:lineRule="auto"/>
        <w:tabs>
          <w:tab w:leader="none" w:pos="1980" w:val="left"/>
        </w:tabs>
        <w:rPr>
          <w:rFonts w:ascii="Arial" w:cs="Arial" w:eastAsia="Arial" w:hAnsi="Arial"/>
          <w:sz w:val="17"/>
          <w:szCs w:val="17"/>
          <w:u w:val="single" w:color="auto"/>
          <w:color w:val="0000EE"/>
        </w:rPr>
      </w:pPr>
      <w:hyperlink r:id="rId60">
        <w:r>
          <w:rPr>
            <w:rFonts w:ascii="Arial" w:cs="Arial" w:eastAsia="Arial" w:hAnsi="Arial"/>
            <w:sz w:val="18"/>
            <w:szCs w:val="18"/>
            <w:u w:val="single" w:color="auto"/>
            <w:color w:val="0000EE"/>
          </w:rPr>
          <w:t>3.3</w:t>
        </w:r>
      </w:hyperlink>
      <w:r>
        <w:rPr>
          <w:rFonts w:ascii="Arial" w:cs="Arial" w:eastAsia="Arial" w:hAnsi="Arial"/>
          <w:sz w:val="18"/>
          <w:szCs w:val="18"/>
          <w:u w:val="single" w:color="auto"/>
          <w:color w:val="0000EE"/>
        </w:rPr>
        <w:tab/>
      </w:r>
      <w:hyperlink r:id="rId60">
        <w:r>
          <w:rPr>
            <w:rFonts w:ascii="Arial" w:cs="Arial" w:eastAsia="Arial" w:hAnsi="Arial"/>
            <w:sz w:val="17"/>
            <w:szCs w:val="17"/>
            <w:u w:val="single" w:color="auto"/>
            <w:color w:val="0000EE"/>
          </w:rPr>
          <w:t>Fourth Amended and Restated Bylaws of</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Clearway Energy, Inc., dated August 31, 2018.</w:t>
        </w:r>
      </w:hyperlink>
    </w:p>
    <w:p>
      <w:pPr>
        <w:spacing w:after="0" w:line="254" w:lineRule="exact"/>
        <w:rPr>
          <w:rFonts w:ascii="Arial" w:cs="Arial" w:eastAsia="Arial" w:hAnsi="Arial"/>
          <w:sz w:val="18"/>
          <w:szCs w:val="18"/>
          <w:u w:val="single" w:color="auto"/>
          <w:color w:val="0000EE"/>
        </w:rPr>
      </w:pPr>
    </w:p>
    <w:p>
      <w:pPr>
        <w:ind w:left="2000" w:right="580" w:hanging="638"/>
        <w:spacing w:after="0" w:line="277" w:lineRule="auto"/>
        <w:tabs>
          <w:tab w:leader="none" w:pos="1980" w:val="left"/>
        </w:tabs>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61">
        <w:r>
          <w:rPr>
            <w:rFonts w:ascii="Arial" w:cs="Arial" w:eastAsia="Arial" w:hAnsi="Arial"/>
            <w:sz w:val="18"/>
            <w:szCs w:val="18"/>
            <w:u w:val="single" w:color="auto"/>
            <w:color w:val="0000EE"/>
          </w:rPr>
          <w:t>Form of Specimen Stock Certificate for</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Class A Common Stock.</w:t>
        </w:r>
      </w:hyperlink>
    </w:p>
    <w:p>
      <w:pPr>
        <w:spacing w:after="0" w:line="278" w:lineRule="exact"/>
        <w:rPr>
          <w:rFonts w:ascii="Arial" w:cs="Arial" w:eastAsia="Arial" w:hAnsi="Arial"/>
          <w:sz w:val="18"/>
          <w:szCs w:val="18"/>
          <w:u w:val="single" w:color="auto"/>
          <w:color w:val="0000EE"/>
        </w:rPr>
      </w:pPr>
    </w:p>
    <w:p>
      <w:pPr>
        <w:ind w:left="2000" w:right="580" w:hanging="638"/>
        <w:spacing w:after="0" w:line="277" w:lineRule="auto"/>
        <w:tabs>
          <w:tab w:leader="none" w:pos="1980" w:val="left"/>
        </w:tabs>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62">
        <w:r>
          <w:rPr>
            <w:rFonts w:ascii="Arial" w:cs="Arial" w:eastAsia="Arial" w:hAnsi="Arial"/>
            <w:sz w:val="18"/>
            <w:szCs w:val="18"/>
            <w:u w:val="single" w:color="auto"/>
            <w:color w:val="0000EE"/>
          </w:rPr>
          <w:t>Form of Specimen Stock Certificate for</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Class C Common Stock.</w:t>
        </w:r>
      </w:hyperlink>
    </w:p>
    <w:p>
      <w:pPr>
        <w:spacing w:after="0" w:line="278" w:lineRule="exact"/>
        <w:rPr>
          <w:rFonts w:ascii="Arial" w:cs="Arial" w:eastAsia="Arial" w:hAnsi="Arial"/>
          <w:sz w:val="18"/>
          <w:szCs w:val="18"/>
          <w:u w:val="single" w:color="auto"/>
          <w:color w:val="0000EE"/>
        </w:rPr>
      </w:pPr>
    </w:p>
    <w:p>
      <w:pPr>
        <w:ind w:left="2000" w:right="40" w:hanging="638"/>
        <w:spacing w:after="0" w:line="263" w:lineRule="auto"/>
        <w:tabs>
          <w:tab w:leader="none" w:pos="1980" w:val="left"/>
        </w:tabs>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32">
        <w:r>
          <w:rPr>
            <w:rFonts w:ascii="Arial" w:cs="Arial" w:eastAsia="Arial" w:hAnsi="Arial"/>
            <w:sz w:val="18"/>
            <w:szCs w:val="18"/>
            <w:u w:val="single" w:color="auto"/>
            <w:color w:val="0000EE"/>
          </w:rPr>
          <w:t>Form of Indenture for Debt Securities of</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Clearway Energy, Inc. (including form of Debt</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Security).</w:t>
        </w:r>
      </w:hyperlink>
    </w:p>
    <w:p>
      <w:pPr>
        <w:spacing w:after="0" w:line="76" w:lineRule="exact"/>
        <w:rPr>
          <w:rFonts w:ascii="Arial" w:cs="Arial" w:eastAsia="Arial" w:hAnsi="Arial"/>
          <w:sz w:val="18"/>
          <w:szCs w:val="18"/>
          <w:u w:val="single" w:color="auto"/>
          <w:color w:val="0000EE"/>
        </w:rPr>
      </w:pPr>
    </w:p>
    <w:p>
      <w:pPr>
        <w:ind w:left="1360"/>
        <w:spacing w:after="0"/>
        <w:tabs>
          <w:tab w:leader="none" w:pos="19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Form of Certificate of Designation.</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81" w:lineRule="exact"/>
        <w:rPr>
          <w:rFonts w:ascii="Arial" w:cs="Arial" w:eastAsia="Arial" w:hAnsi="Arial"/>
          <w:sz w:val="18"/>
          <w:szCs w:val="18"/>
          <w:u w:val="single" w:color="auto"/>
          <w:color w:val="0000EE"/>
        </w:rPr>
      </w:pPr>
    </w:p>
    <w:p>
      <w:pPr>
        <w:ind w:left="1360"/>
        <w:spacing w:after="0"/>
        <w:tabs>
          <w:tab w:leader="none" w:pos="19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Form of Specimen Preferred Stock Certificate.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5" w:lineRule="exact"/>
        <w:rPr>
          <w:rFonts w:ascii="Arial" w:cs="Arial" w:eastAsia="Arial" w:hAnsi="Arial"/>
          <w:sz w:val="18"/>
          <w:szCs w:val="18"/>
          <w:u w:val="single" w:color="auto"/>
          <w:color w:val="0000EE"/>
        </w:rPr>
      </w:pPr>
    </w:p>
    <w:p>
      <w:pPr>
        <w:ind w:left="1360"/>
        <w:spacing w:after="0"/>
        <w:tabs>
          <w:tab w:leader="none" w:pos="1980" w:val="left"/>
        </w:tabs>
        <w:rPr>
          <w:rFonts w:ascii="Arial" w:cs="Arial" w:eastAsia="Arial" w:hAnsi="Arial"/>
          <w:sz w:val="17"/>
          <w:szCs w:val="17"/>
          <w:u w:val="single" w:color="auto"/>
          <w:color w:val="0000EE"/>
        </w:rPr>
      </w:pPr>
      <w:hyperlink w:anchor="page85">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85">
        <w:r>
          <w:rPr>
            <w:rFonts w:ascii="Arial" w:cs="Arial" w:eastAsia="Arial" w:hAnsi="Arial"/>
            <w:sz w:val="17"/>
            <w:szCs w:val="17"/>
            <w:u w:val="single" w:color="auto"/>
            <w:color w:val="0000EE"/>
          </w:rPr>
          <w:t>Opinion of Baker Botts L.L.P.</w:t>
        </w:r>
      </w:hyperlink>
    </w:p>
    <w:p>
      <w:pPr>
        <w:spacing w:after="0" w:line="104" w:lineRule="exact"/>
        <w:rPr>
          <w:sz w:val="20"/>
          <w:szCs w:val="20"/>
          <w:color w:val="auto"/>
        </w:rPr>
      </w:pPr>
    </w:p>
    <w:p>
      <w:pPr>
        <w:ind w:left="2000" w:right="140" w:hanging="728"/>
        <w:spacing w:after="0" w:line="286" w:lineRule="auto"/>
        <w:tabs>
          <w:tab w:leader="none" w:pos="1980" w:val="left"/>
        </w:tabs>
        <w:rPr>
          <w:rFonts w:ascii="Arial" w:cs="Arial" w:eastAsia="Arial" w:hAnsi="Arial"/>
          <w:sz w:val="17"/>
          <w:szCs w:val="17"/>
          <w:u w:val="single" w:color="auto"/>
          <w:color w:val="0000EE"/>
        </w:rPr>
      </w:pPr>
      <w:hyperlink w:anchor="page88">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88">
        <w:r>
          <w:rPr>
            <w:rFonts w:ascii="Arial" w:cs="Arial" w:eastAsia="Arial" w:hAnsi="Arial"/>
            <w:sz w:val="17"/>
            <w:szCs w:val="17"/>
            <w:u w:val="single" w:color="auto"/>
            <w:color w:val="0000EE"/>
          </w:rPr>
          <w:t>Consent of KPMG LLP, independent public</w:t>
        </w:r>
      </w:hyperlink>
      <w:r>
        <w:rPr>
          <w:rFonts w:ascii="Arial" w:cs="Arial" w:eastAsia="Arial" w:hAnsi="Arial"/>
          <w:sz w:val="17"/>
          <w:szCs w:val="17"/>
          <w:u w:val="single" w:color="auto"/>
          <w:color w:val="0000EE"/>
        </w:rPr>
        <w:t xml:space="preserve"> </w:t>
      </w:r>
      <w:hyperlink w:anchor="page88">
        <w:r>
          <w:rPr>
            <w:rFonts w:ascii="Arial" w:cs="Arial" w:eastAsia="Arial" w:hAnsi="Arial"/>
            <w:sz w:val="17"/>
            <w:szCs w:val="17"/>
            <w:u w:val="single" w:color="auto"/>
            <w:color w:val="0000EE"/>
          </w:rPr>
          <w:t>registered accounting firm with respect to the</w:t>
        </w:r>
      </w:hyperlink>
      <w:r>
        <w:rPr>
          <w:rFonts w:ascii="Arial" w:cs="Arial" w:eastAsia="Arial" w:hAnsi="Arial"/>
          <w:sz w:val="17"/>
          <w:szCs w:val="17"/>
          <w:u w:val="single" w:color="auto"/>
          <w:color w:val="0000EE"/>
        </w:rPr>
        <w:t xml:space="preserve"> </w:t>
      </w:r>
      <w:hyperlink w:anchor="page88">
        <w:r>
          <w:rPr>
            <w:rFonts w:ascii="Arial" w:cs="Arial" w:eastAsia="Arial" w:hAnsi="Arial"/>
            <w:sz w:val="17"/>
            <w:szCs w:val="17"/>
            <w:u w:val="single" w:color="auto"/>
            <w:color w:val="0000EE"/>
          </w:rPr>
          <w:t>audited financials of Clearway Energy, Inc.</w:t>
        </w:r>
      </w:hyperlink>
    </w:p>
    <w:p>
      <w:pPr>
        <w:spacing w:after="0" w:line="71" w:lineRule="exact"/>
        <w:rPr>
          <w:rFonts w:ascii="Arial" w:cs="Arial" w:eastAsia="Arial" w:hAnsi="Arial"/>
          <w:sz w:val="17"/>
          <w:szCs w:val="17"/>
          <w:u w:val="single" w:color="auto"/>
          <w:color w:val="0000EE"/>
        </w:rPr>
      </w:pPr>
    </w:p>
    <w:p>
      <w:pPr>
        <w:ind w:left="1280"/>
        <w:spacing w:after="0"/>
        <w:tabs>
          <w:tab w:leader="none" w:pos="1980" w:val="left"/>
        </w:tabs>
        <w:rPr>
          <w:rFonts w:ascii="Arial" w:cs="Arial" w:eastAsia="Arial" w:hAnsi="Arial"/>
          <w:sz w:val="17"/>
          <w:szCs w:val="17"/>
          <w:u w:val="single" w:color="auto"/>
          <w:color w:val="0000EE"/>
        </w:rPr>
      </w:pPr>
      <w:hyperlink w:anchor="page85">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85">
        <w:r>
          <w:rPr>
            <w:rFonts w:ascii="Arial" w:cs="Arial" w:eastAsia="Arial" w:hAnsi="Arial"/>
            <w:sz w:val="17"/>
            <w:szCs w:val="17"/>
            <w:u w:val="single" w:color="auto"/>
            <w:color w:val="0000EE"/>
          </w:rPr>
          <w:t>Consent of Baker Botts L.L.P.</w:t>
        </w:r>
      </w:hyperlink>
    </w:p>
    <w:p>
      <w:pPr>
        <w:spacing w:after="0" w:line="117" w:lineRule="exact"/>
        <w:rPr>
          <w:sz w:val="20"/>
          <w:szCs w:val="20"/>
          <w:color w:val="auto"/>
        </w:rPr>
      </w:pPr>
    </w:p>
    <w:p>
      <w:pPr>
        <w:ind w:left="1280"/>
        <w:spacing w:after="0"/>
        <w:tabs>
          <w:tab w:leader="none" w:pos="1980" w:val="left"/>
        </w:tabs>
        <w:rPr>
          <w:rFonts w:ascii="Arial" w:cs="Arial" w:eastAsia="Arial" w:hAnsi="Arial"/>
          <w:sz w:val="17"/>
          <w:szCs w:val="17"/>
          <w:u w:val="single" w:color="auto"/>
          <w:color w:val="0000EE"/>
        </w:rPr>
      </w:pPr>
      <w:hyperlink w:anchor="page29">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29">
        <w:r>
          <w:rPr>
            <w:rFonts w:ascii="Arial" w:cs="Arial" w:eastAsia="Arial" w:hAnsi="Arial"/>
            <w:sz w:val="17"/>
            <w:szCs w:val="17"/>
            <w:u w:val="single" w:color="auto"/>
            <w:color w:val="0000EE"/>
          </w:rPr>
          <w:t>Powers of Attorney.</w:t>
        </w:r>
      </w:hyperlink>
    </w:p>
    <w:p>
      <w:pPr>
        <w:spacing w:after="0" w:line="104" w:lineRule="exact"/>
        <w:rPr>
          <w:sz w:val="20"/>
          <w:szCs w:val="20"/>
          <w:color w:val="auto"/>
        </w:rPr>
      </w:pPr>
    </w:p>
    <w:p>
      <w:pPr>
        <w:ind w:left="2000" w:hanging="728"/>
        <w:spacing w:after="0" w:line="277" w:lineRule="auto"/>
        <w:tabs>
          <w:tab w:leader="none" w:pos="1980" w:val="left"/>
        </w:tabs>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25.1</w:t>
        </w:r>
      </w:hyperlink>
      <w:r>
        <w:rPr>
          <w:rFonts w:ascii="Arial" w:cs="Arial" w:eastAsia="Arial" w:hAnsi="Arial"/>
          <w:sz w:val="18"/>
          <w:szCs w:val="18"/>
          <w:u w:val="single" w:color="auto"/>
          <w:color w:val="0000EE"/>
        </w:rPr>
        <w:tab/>
      </w:r>
      <w:hyperlink w:anchor="page89">
        <w:r>
          <w:rPr>
            <w:rFonts w:ascii="Arial" w:cs="Arial" w:eastAsia="Arial" w:hAnsi="Arial"/>
            <w:sz w:val="18"/>
            <w:szCs w:val="18"/>
            <w:u w:val="single" w:color="auto"/>
            <w:color w:val="0000EE"/>
          </w:rPr>
          <w:t>T-1 Statement of Eligibility of Trustee on Form</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T-1 of Delaware Trust Company.</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right="6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57785</wp:posOffset>
            </wp:positionV>
            <wp:extent cx="2297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8" w:lineRule="exact"/>
        <w:rPr>
          <w:rFonts w:ascii="Arial" w:cs="Arial" w:eastAsia="Arial" w:hAnsi="Arial"/>
          <w:sz w:val="18"/>
          <w:szCs w:val="18"/>
          <w:u w:val="single" w:color="auto"/>
          <w:color w:val="0000EE"/>
        </w:rPr>
      </w:pPr>
    </w:p>
    <w:p>
      <w:pPr>
        <w:jc w:val="both"/>
        <w:ind w:right="759"/>
        <w:spacing w:after="0" w:line="263" w:lineRule="auto"/>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Incorporated herein by reference to Exhibit 3.2</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to the Company’s Current Report on Form 8-K</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filed on September 5, 2018.</w:t>
        </w:r>
      </w:hyperlink>
    </w:p>
    <w:p>
      <w:pPr>
        <w:spacing w:after="0" w:line="76" w:lineRule="exact"/>
        <w:rPr>
          <w:rFonts w:ascii="Arial" w:cs="Arial" w:eastAsia="Arial" w:hAnsi="Arial"/>
          <w:sz w:val="18"/>
          <w:szCs w:val="18"/>
          <w:u w:val="single" w:color="auto"/>
          <w:color w:val="0000EE"/>
        </w:rPr>
      </w:pPr>
    </w:p>
    <w:p>
      <w:pPr>
        <w:ind w:right="759"/>
        <w:spacing w:after="0" w:line="263" w:lineRule="auto"/>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Incorporated by reference to Exhibit 4.1 to</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NRG Yield, Inc.’s Form 8-A/A filed on May 8,</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2015.</w:t>
        </w:r>
      </w:hyperlink>
    </w:p>
    <w:p>
      <w:pPr>
        <w:spacing w:after="0" w:line="76" w:lineRule="exact"/>
        <w:rPr>
          <w:rFonts w:ascii="Arial" w:cs="Arial" w:eastAsia="Arial" w:hAnsi="Arial"/>
          <w:sz w:val="18"/>
          <w:szCs w:val="18"/>
          <w:u w:val="single" w:color="auto"/>
          <w:color w:val="0000EE"/>
        </w:rPr>
      </w:pPr>
    </w:p>
    <w:p>
      <w:pPr>
        <w:ind w:right="759"/>
        <w:spacing w:after="0" w:line="263" w:lineRule="auto"/>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Incorporated by reference to Exhibit 4.2 to</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NRG Yield, Inc.’s Form 8-A/A filed on May 8,</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2015.</w:t>
        </w:r>
      </w:hyperlink>
    </w:p>
    <w:p>
      <w:pPr>
        <w:spacing w:after="0" w:line="76"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ind w:right="779"/>
        <w:spacing w:after="0" w:line="257" w:lineRule="auto"/>
        <w:rPr>
          <w:sz w:val="20"/>
          <w:szCs w:val="20"/>
          <w:color w:val="auto"/>
        </w:rPr>
      </w:pPr>
      <w:r>
        <w:rPr>
          <w:rFonts w:ascii="Arial" w:cs="Arial" w:eastAsia="Arial" w:hAnsi="Arial"/>
          <w:sz w:val="18"/>
          <w:szCs w:val="18"/>
          <w:color w:val="auto"/>
        </w:rPr>
        <w:t>To be filed by an amendment or an exhibit to a document to be incorporated or deemed incorporated by reference to this registration statement, including a Current Report on Form 8-K.</w:t>
      </w:r>
    </w:p>
    <w:p>
      <w:pPr>
        <w:spacing w:after="0" w:line="80" w:lineRule="exact"/>
        <w:rPr>
          <w:rFonts w:ascii="Arial" w:cs="Arial" w:eastAsia="Arial" w:hAnsi="Arial"/>
          <w:sz w:val="18"/>
          <w:szCs w:val="18"/>
          <w:u w:val="single" w:color="auto"/>
          <w:color w:val="0000EE"/>
        </w:rPr>
      </w:pPr>
    </w:p>
    <w:p>
      <w:pPr>
        <w:ind w:right="779"/>
        <w:spacing w:after="0" w:line="257" w:lineRule="auto"/>
        <w:rPr>
          <w:sz w:val="20"/>
          <w:szCs w:val="20"/>
          <w:color w:val="auto"/>
        </w:rPr>
      </w:pPr>
      <w:r>
        <w:rPr>
          <w:rFonts w:ascii="Arial" w:cs="Arial" w:eastAsia="Arial" w:hAnsi="Arial"/>
          <w:sz w:val="18"/>
          <w:szCs w:val="18"/>
          <w:color w:val="auto"/>
        </w:rPr>
        <w:t>To be filed by an amendment or an exhibit to a document to be incorporated or deemed incorporated by reference to this registration statement, including a Current Report on Form 8-K.</w:t>
      </w:r>
    </w:p>
    <w:p>
      <w:pPr>
        <w:spacing w:after="0" w:line="9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Filed herewith.</w:t>
        </w:r>
      </w:hyperlink>
    </w:p>
    <w:p>
      <w:pPr>
        <w:spacing w:after="0" w:line="10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Included in Exhibit 5.1.</w:t>
        </w:r>
      </w:hyperlink>
    </w:p>
    <w:p>
      <w:pPr>
        <w:spacing w:after="0" w:line="117"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Included on the signature pages hereof.</w:t>
        </w:r>
      </w:hyperlink>
    </w:p>
    <w:p>
      <w:pPr>
        <w:spacing w:after="0" w:line="10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Filed herewith.</w:t>
        </w:r>
      </w:hyperlink>
    </w:p>
    <w:p>
      <w:pPr>
        <w:spacing w:after="0" w:line="470" w:lineRule="exact"/>
        <w:rPr>
          <w:rFonts w:ascii="Arial" w:cs="Arial" w:eastAsia="Arial" w:hAnsi="Arial"/>
          <w:sz w:val="18"/>
          <w:szCs w:val="18"/>
          <w:u w:val="single" w:color="auto"/>
          <w:color w:val="0000EE"/>
        </w:rPr>
      </w:pPr>
    </w:p>
    <w:p>
      <w:pPr>
        <w:sectPr>
          <w:pgSz w:w="11900" w:h="16838" w:orient="portrait"/>
          <w:cols w:equalWidth="0" w:num="2">
            <w:col w:w="5580" w:space="260"/>
            <w:col w:w="4299"/>
          </w:cols>
          <w:pgMar w:left="320" w:top="131" w:right="1440" w:bottom="1440" w:gutter="0" w:footer="0" w:header="0"/>
        </w:sectPr>
      </w:pPr>
    </w:p>
    <w:p>
      <w:pPr>
        <w:spacing w:after="0" w:line="169" w:lineRule="exact"/>
        <w:rPr>
          <w:rFonts w:ascii="Arial" w:cs="Arial" w:eastAsia="Arial" w:hAnsi="Arial"/>
          <w:sz w:val="18"/>
          <w:szCs w:val="18"/>
          <w:u w:val="single" w:color="auto"/>
          <w:color w:val="0000EE"/>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75" w:lineRule="exact"/>
        <w:rPr>
          <w:rFonts w:ascii="Arial" w:cs="Arial" w:eastAsia="Arial" w:hAnsi="Arial"/>
          <w:sz w:val="18"/>
          <w:szCs w:val="18"/>
          <w:u w:val="single" w:color="auto"/>
          <w:color w:val="0000EE"/>
        </w:rPr>
      </w:pPr>
    </w:p>
    <w:p>
      <w:pPr>
        <w:ind w:left="1620" w:hanging="35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980" w:right="839" w:hanging="358"/>
        <w:spacing w:after="0" w:line="277" w:lineRule="auto"/>
        <w:tabs>
          <w:tab w:leader="none" w:pos="1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340" w:hanging="358"/>
        <w:spacing w:after="0"/>
        <w:tabs>
          <w:tab w:leader="none" w:pos="23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left="2340" w:right="859" w:hanging="358"/>
        <w:spacing w:after="0" w:line="253" w:lineRule="auto"/>
        <w:tabs>
          <w:tab w:leader="none" w:pos="23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w:t>
      </w:r>
    </w:p>
    <w:p>
      <w:pPr>
        <w:sectPr>
          <w:pgSz w:w="11900" w:h="16838" w:orient="portrait"/>
          <w:cols w:equalWidth="0" w:num="1">
            <w:col w:w="10139"/>
          </w:cols>
          <w:pgMar w:left="320" w:top="131" w:right="1440" w:bottom="1440" w:gutter="0" w:footer="0" w:header="0"/>
          <w:type w:val="continuous"/>
        </w:sectPr>
      </w:pPr>
    </w:p>
    <w:p>
      <w:pPr>
        <w:spacing w:after="0" w:line="372"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799"/>
        <w:spacing w:after="0" w:line="277" w:lineRule="auto"/>
        <w:rPr>
          <w:sz w:val="20"/>
          <w:szCs w:val="20"/>
          <w:color w:val="auto"/>
        </w:rPr>
      </w:pPr>
      <w:r>
        <w:rPr>
          <w:rFonts w:ascii="Arial" w:cs="Arial" w:eastAsia="Arial" w:hAnsi="Arial"/>
          <w:sz w:val="18"/>
          <w:szCs w:val="18"/>
          <w:color w:val="auto"/>
        </w:rPr>
        <w:t>change in the maximum aggregate offering price set forth in the “Calculation of Registration Fee” table in the effective registration statement; and</w:t>
      </w:r>
    </w:p>
    <w:p>
      <w:pPr>
        <w:spacing w:after="0" w:line="103" w:lineRule="exact"/>
        <w:rPr>
          <w:sz w:val="20"/>
          <w:szCs w:val="20"/>
          <w:color w:val="auto"/>
        </w:rPr>
      </w:pPr>
    </w:p>
    <w:p>
      <w:pPr>
        <w:ind w:left="2340" w:right="999" w:hanging="358"/>
        <w:spacing w:after="0" w:line="263" w:lineRule="auto"/>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both"/>
        <w:ind w:left="1620" w:right="799"/>
        <w:spacing w:after="0" w:line="271"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reports filed with or furnished to the Commission by the registrant pursuant to Section 13 or</w:t>
      </w:r>
    </w:p>
    <w:p>
      <w:pPr>
        <w:jc w:val="both"/>
        <w:ind w:left="1620" w:right="679"/>
        <w:spacing w:after="0" w:line="290" w:lineRule="auto"/>
        <w:rPr>
          <w:sz w:val="20"/>
          <w:szCs w:val="20"/>
          <w:color w:val="auto"/>
        </w:rPr>
      </w:pPr>
      <w:r>
        <w:rPr>
          <w:rFonts w:ascii="Arial" w:cs="Arial" w:eastAsia="Arial" w:hAnsi="Arial"/>
          <w:sz w:val="17"/>
          <w:szCs w:val="17"/>
          <w:color w:val="auto"/>
        </w:rPr>
        <w:t>Section 15(d) of the Exchange Act that are incorporated by reference in the registration statement, or is contained in a form of prospectus filed pursuant to Rule 424(b) that is part of the registration statement.</w:t>
      </w:r>
    </w:p>
    <w:p>
      <w:pPr>
        <w:spacing w:after="0" w:line="94" w:lineRule="exact"/>
        <w:rPr>
          <w:sz w:val="20"/>
          <w:szCs w:val="20"/>
          <w:color w:val="auto"/>
        </w:rPr>
      </w:pPr>
    </w:p>
    <w:p>
      <w:pPr>
        <w:ind w:left="1980" w:right="859" w:hanging="358"/>
        <w:spacing w:after="0" w:line="259"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980" w:right="899" w:hanging="358"/>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2340" w:right="799" w:hanging="358"/>
        <w:spacing w:after="0" w:line="263" w:lineRule="auto"/>
        <w:tabs>
          <w:tab w:leader="none" w:pos="2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2340" w:right="719" w:hanging="358"/>
        <w:spacing w:after="0" w:line="267" w:lineRule="auto"/>
        <w:tabs>
          <w:tab w:leader="none" w:pos="2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3" w:lineRule="exact"/>
        <w:rPr>
          <w:rFonts w:ascii="Arial" w:cs="Arial" w:eastAsia="Arial" w:hAnsi="Arial"/>
          <w:sz w:val="17"/>
          <w:szCs w:val="17"/>
          <w:color w:val="auto"/>
        </w:rPr>
      </w:pPr>
    </w:p>
    <w:p>
      <w:pPr>
        <w:ind w:left="1980" w:right="699" w:hanging="358"/>
        <w:spacing w:after="0" w:line="254"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to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2340" w:right="1319" w:hanging="358"/>
        <w:spacing w:after="0" w:line="277" w:lineRule="auto"/>
        <w:tabs>
          <w:tab w:leader="none" w:pos="2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340" w:right="1539" w:hanging="358"/>
        <w:spacing w:after="0" w:line="308" w:lineRule="auto"/>
        <w:tabs>
          <w:tab w:leader="none" w:pos="2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839" w:hanging="358"/>
        <w:spacing w:after="0" w:line="263" w:lineRule="auto"/>
        <w:tabs>
          <w:tab w:leader="none" w:pos="2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2340" w:right="859" w:hanging="358"/>
        <w:spacing w:after="0" w:line="277" w:lineRule="auto"/>
        <w:tabs>
          <w:tab w:leader="none" w:pos="2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620" w:right="779" w:hanging="358"/>
        <w:spacing w:after="0" w:line="273"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Arial" w:cs="Arial" w:eastAsia="Arial" w:hAnsi="Arial"/>
          <w:sz w:val="17"/>
          <w:szCs w:val="17"/>
          <w:color w:val="auto"/>
        </w:rPr>
      </w:pPr>
    </w:p>
    <w:p>
      <w:pPr>
        <w:ind w:left="1620" w:right="739" w:hanging="358"/>
        <w:spacing w:after="0" w:line="269"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referred to in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August 6, 2020.</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CLEARWAY ENERGY, INC.</w:t>
      </w:r>
    </w:p>
    <w:p>
      <w:pPr>
        <w:spacing w:after="0" w:line="2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23495</wp:posOffset>
            </wp:positionV>
            <wp:extent cx="2537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President and Chief Executive Officer</w:t>
      </w:r>
    </w:p>
    <w:p>
      <w:pPr>
        <w:spacing w:after="0" w:line="24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Christopher S. Sotos, Kevin P. Malcarney and Michael A. Brown,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24"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2600"/>
        <w:spacing w:after="0"/>
        <w:tabs>
          <w:tab w:leader="none" w:pos="6180" w:val="left"/>
          <w:tab w:leader="none" w:pos="86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93" w:lineRule="exact"/>
        <w:rPr>
          <w:sz w:val="20"/>
          <w:szCs w:val="20"/>
          <w:color w:val="auto"/>
        </w:rPr>
      </w:pPr>
    </w:p>
    <w:p>
      <w:pPr>
        <w:jc w:val="center"/>
        <w:ind w:left="176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56515</wp:posOffset>
            </wp:positionV>
            <wp:extent cx="2057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9"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Christopher S. Sotos</w:t>
      </w:r>
    </w:p>
    <w:p>
      <w:pPr>
        <w:spacing w:after="0" w:line="360"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05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9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Chad Plotkin</w:t>
      </w:r>
    </w:p>
    <w:p>
      <w:pPr>
        <w:spacing w:after="0" w:line="360"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05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9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Mary-Lee Stillwell</w:t>
      </w:r>
    </w:p>
    <w:p>
      <w:pPr>
        <w:spacing w:after="0" w:line="360"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057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9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Jonathan Bram</w:t>
      </w:r>
    </w:p>
    <w:p>
      <w:pPr>
        <w:spacing w:after="0" w:line="360" w:lineRule="exact"/>
        <w:rPr>
          <w:sz w:val="20"/>
          <w:szCs w:val="20"/>
          <w:color w:val="auto"/>
        </w:rPr>
      </w:pPr>
    </w:p>
    <w:p>
      <w:pPr>
        <w:jc w:val="center"/>
        <w:ind w:left="1760"/>
        <w:spacing w:after="0"/>
        <w:rPr>
          <w:sz w:val="20"/>
          <w:szCs w:val="20"/>
          <w:color w:val="auto"/>
        </w:rPr>
      </w:pPr>
      <w:r>
        <w:rPr>
          <w:rFonts w:ascii="Arial" w:cs="Arial" w:eastAsia="Arial" w:hAnsi="Arial"/>
          <w:sz w:val="17"/>
          <w:szCs w:val="17"/>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56515</wp:posOffset>
            </wp:positionV>
            <wp:extent cx="2057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9"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Nathaniel Anschuetz</w:t>
      </w:r>
    </w:p>
    <w:p>
      <w:pPr>
        <w:spacing w:after="0" w:line="360"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05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9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Brian R. Ford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7"/>
          <w:szCs w:val="17"/>
          <w:color w:val="auto"/>
        </w:rPr>
        <w:t>August 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Director</w:t>
      </w:r>
    </w:p>
    <w:p>
      <w:pPr>
        <w:spacing w:after="0" w:line="200" w:lineRule="exact"/>
        <w:rPr>
          <w:sz w:val="20"/>
          <w:szCs w:val="20"/>
          <w:color w:val="auto"/>
        </w:rPr>
      </w:pPr>
    </w:p>
    <w:p>
      <w:pPr>
        <w:spacing w:after="0" w:line="25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Senior Vice President and Chief Financial</w:t>
      </w:r>
      <w:r>
        <w:rPr>
          <w:sz w:val="20"/>
          <w:szCs w:val="20"/>
          <w:color w:val="auto"/>
        </w:rPr>
        <w:tab/>
      </w:r>
      <w:r>
        <w:rPr>
          <w:rFonts w:ascii="Arial" w:cs="Arial" w:eastAsia="Arial" w:hAnsi="Arial"/>
          <w:sz w:val="17"/>
          <w:szCs w:val="17"/>
          <w:color w:val="auto"/>
        </w:rPr>
        <w:t>August 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financial officer)</w:t>
      </w:r>
    </w:p>
    <w:p>
      <w:pPr>
        <w:spacing w:after="0" w:line="200" w:lineRule="exact"/>
        <w:rPr>
          <w:sz w:val="20"/>
          <w:szCs w:val="20"/>
          <w:color w:val="auto"/>
        </w:rPr>
      </w:pPr>
    </w:p>
    <w:p>
      <w:pPr>
        <w:spacing w:after="0" w:line="25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Vice President and Chief Accounting</w:t>
      </w:r>
      <w:r>
        <w:rPr>
          <w:sz w:val="20"/>
          <w:szCs w:val="20"/>
          <w:color w:val="auto"/>
        </w:rPr>
        <w:tab/>
      </w:r>
      <w:r>
        <w:rPr>
          <w:rFonts w:ascii="Arial" w:cs="Arial" w:eastAsia="Arial" w:hAnsi="Arial"/>
          <w:sz w:val="17"/>
          <w:szCs w:val="17"/>
          <w:color w:val="auto"/>
        </w:rPr>
        <w:t>August 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accounting officer)</w:t>
      </w:r>
    </w:p>
    <w:p>
      <w:pPr>
        <w:spacing w:after="0" w:line="200" w:lineRule="exact"/>
        <w:rPr>
          <w:sz w:val="20"/>
          <w:szCs w:val="20"/>
          <w:color w:val="auto"/>
        </w:rPr>
      </w:pPr>
    </w:p>
    <w:p>
      <w:pPr>
        <w:spacing w:after="0" w:line="254"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August 6, 2020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August 6, 2020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August 6, 2020</w:t>
      </w:r>
    </w:p>
    <w:p>
      <w:pPr>
        <w:spacing w:after="0" w:line="535" w:lineRule="exact"/>
        <w:rPr>
          <w:sz w:val="20"/>
          <w:szCs w:val="20"/>
          <w:color w:val="auto"/>
        </w:rPr>
      </w:pPr>
    </w:p>
    <w:p>
      <w:pPr>
        <w:sectPr>
          <w:pgSz w:w="11900" w:h="16838" w:orient="portrait"/>
          <w:cols w:equalWidth="0" w:num="2">
            <w:col w:w="4000" w:space="720"/>
            <w:col w:w="5419"/>
          </w:cols>
          <w:pgMar w:left="320" w:top="131" w:right="1440" w:bottom="1440" w:gutter="0" w:footer="0" w:header="0"/>
          <w:type w:val="continuous"/>
        </w:sect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460" w:type="dxa"/>
            <w:vAlign w:val="bottom"/>
            <w:gridSpan w:val="2"/>
          </w:tcPr>
          <w:p>
            <w:pPr>
              <w:ind w:left="1480"/>
              <w:spacing w:after="0"/>
              <w:rPr>
                <w:sz w:val="20"/>
                <w:szCs w:val="20"/>
                <w:color w:val="auto"/>
              </w:rPr>
            </w:pPr>
            <w:r>
              <w:rPr>
                <w:rFonts w:ascii="Arial" w:cs="Arial" w:eastAsia="Arial" w:hAnsi="Arial"/>
                <w:sz w:val="14"/>
                <w:szCs w:val="14"/>
                <w:b w:val="1"/>
                <w:bCs w:val="1"/>
                <w:color w:val="auto"/>
              </w:rPr>
              <w:t>Title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53"/>
        </w:trPr>
        <w:tc>
          <w:tcPr>
            <w:tcW w:w="3240" w:type="dxa"/>
            <w:vAlign w:val="bottom"/>
          </w:tcPr>
          <w:p>
            <w:pPr>
              <w:jc w:val="center"/>
              <w:spacing w:after="0"/>
              <w:rPr>
                <w:sz w:val="20"/>
                <w:szCs w:val="20"/>
                <w:color w:val="auto"/>
              </w:rPr>
            </w:pPr>
            <w:r>
              <w:rPr>
                <w:rFonts w:ascii="Arial" w:cs="Arial" w:eastAsia="Arial" w:hAnsi="Arial"/>
                <w:sz w:val="18"/>
                <w:szCs w:val="18"/>
                <w:color w:val="auto"/>
                <w:w w:val="94"/>
              </w:rPr>
              <w:t>/s/ Bruce MacLennan</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August 6, 2020</w:t>
            </w:r>
          </w:p>
        </w:tc>
      </w:tr>
      <w:tr>
        <w:trPr>
          <w:trHeight w:val="41"/>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Bruce MacLennan</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80"/>
        </w:trPr>
        <w:tc>
          <w:tcPr>
            <w:tcW w:w="3240" w:type="dxa"/>
            <w:vAlign w:val="bottom"/>
          </w:tcPr>
          <w:p>
            <w:pPr>
              <w:jc w:val="center"/>
              <w:spacing w:after="0"/>
              <w:rPr>
                <w:sz w:val="20"/>
                <w:szCs w:val="20"/>
                <w:color w:val="auto"/>
              </w:rPr>
            </w:pPr>
            <w:r>
              <w:rPr>
                <w:rFonts w:ascii="Arial" w:cs="Arial" w:eastAsia="Arial" w:hAnsi="Arial"/>
                <w:sz w:val="18"/>
                <w:szCs w:val="18"/>
                <w:color w:val="auto"/>
                <w:w w:val="94"/>
              </w:rPr>
              <w:t>/s/ Ferrell P. McClean</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August 6, 2020</w:t>
            </w:r>
          </w:p>
        </w:tc>
      </w:tr>
      <w:tr>
        <w:trPr>
          <w:trHeight w:val="41"/>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3"/>
              </w:rPr>
              <w:t>Ferrell P. McClean</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81"/>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Daniel More</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August 6, 2020</w:t>
            </w:r>
          </w:p>
        </w:tc>
      </w:tr>
      <w:tr>
        <w:trPr>
          <w:trHeight w:val="40"/>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8"/>
              </w:rPr>
              <w:t>Daniel More</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81"/>
        </w:trPr>
        <w:tc>
          <w:tcPr>
            <w:tcW w:w="3240" w:type="dxa"/>
            <w:vAlign w:val="bottom"/>
          </w:tcPr>
          <w:p>
            <w:pPr>
              <w:jc w:val="center"/>
              <w:spacing w:after="0"/>
              <w:rPr>
                <w:sz w:val="20"/>
                <w:szCs w:val="20"/>
                <w:color w:val="auto"/>
              </w:rPr>
            </w:pPr>
            <w:r>
              <w:rPr>
                <w:rFonts w:ascii="Arial" w:cs="Arial" w:eastAsia="Arial" w:hAnsi="Arial"/>
                <w:sz w:val="18"/>
                <w:szCs w:val="18"/>
                <w:color w:val="auto"/>
                <w:w w:val="96"/>
              </w:rPr>
              <w:t>/s/ E. Stanley O’Neal</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August 6, 2020</w:t>
            </w:r>
          </w:p>
        </w:tc>
      </w:tr>
      <w:tr>
        <w:trPr>
          <w:trHeight w:val="40"/>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5"/>
              </w:rPr>
              <w:t>E. Stanley O’Neal</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81"/>
        </w:trPr>
        <w:tc>
          <w:tcPr>
            <w:tcW w:w="3240" w:type="dxa"/>
            <w:vAlign w:val="bottom"/>
          </w:tcPr>
          <w:p>
            <w:pPr>
              <w:jc w:val="center"/>
              <w:spacing w:after="0"/>
              <w:rPr>
                <w:sz w:val="20"/>
                <w:szCs w:val="20"/>
                <w:color w:val="auto"/>
              </w:rPr>
            </w:pPr>
            <w:r>
              <w:rPr>
                <w:rFonts w:ascii="Arial" w:cs="Arial" w:eastAsia="Arial" w:hAnsi="Arial"/>
                <w:sz w:val="18"/>
                <w:szCs w:val="18"/>
                <w:color w:val="auto"/>
                <w:w w:val="95"/>
              </w:rPr>
              <w:t>/s/ Scott Stanley</w:t>
            </w:r>
          </w:p>
        </w:tc>
        <w:tc>
          <w:tcPr>
            <w:tcW w:w="36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August 6, 2020</w:t>
            </w:r>
          </w:p>
        </w:tc>
      </w:tr>
      <w:tr>
        <w:trPr>
          <w:trHeight w:val="40"/>
        </w:trPr>
        <w:tc>
          <w:tcPr>
            <w:tcW w:w="3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240" w:type="dxa"/>
            <w:vAlign w:val="bottom"/>
          </w:tcPr>
          <w:p>
            <w:pPr>
              <w:jc w:val="center"/>
              <w:spacing w:after="0"/>
              <w:rPr>
                <w:sz w:val="20"/>
                <w:szCs w:val="20"/>
                <w:color w:val="auto"/>
              </w:rPr>
            </w:pPr>
            <w:r>
              <w:rPr>
                <w:rFonts w:ascii="Arial" w:cs="Arial" w:eastAsia="Arial" w:hAnsi="Arial"/>
                <w:sz w:val="18"/>
                <w:szCs w:val="18"/>
                <w:color w:val="auto"/>
                <w:w w:val="94"/>
              </w:rPr>
              <w:t>Scott Stanley</w:t>
            </w:r>
          </w:p>
        </w:tc>
        <w:tc>
          <w:tcPr>
            <w:tcW w:w="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820"/>
        <w:spacing w:after="0"/>
        <w:tabs>
          <w:tab w:leader="none" w:pos="512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285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Delaware Trust Company,</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589280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26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w:t>
            </w:r>
          </w:p>
        </w:tc>
        <w:tc>
          <w:tcPr>
            <w:tcW w:w="72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w:t>
            </w:r>
          </w:p>
        </w:tc>
        <w:tc>
          <w:tcPr>
            <w:tcW w:w="7260" w:type="dxa"/>
            <w:vAlign w:val="bottom"/>
          </w:tcPr>
          <w:p>
            <w:pPr>
              <w:ind w:left="240"/>
              <w:spacing w:after="0"/>
              <w:rPr>
                <w:sz w:val="20"/>
                <w:szCs w:val="20"/>
                <w:color w:val="auto"/>
              </w:rPr>
            </w:pPr>
            <w:r>
              <w:rPr>
                <w:rFonts w:ascii="Arial" w:cs="Arial" w:eastAsia="Arial" w:hAnsi="Arial"/>
                <w:sz w:val="18"/>
                <w:szCs w:val="18"/>
                <w:color w:val="auto"/>
              </w:rPr>
              <w:t>Other Definitions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w:t>
            </w:r>
          </w:p>
        </w:tc>
        <w:tc>
          <w:tcPr>
            <w:tcW w:w="7260" w:type="dxa"/>
            <w:vAlign w:val="bottom"/>
          </w:tcPr>
          <w:p>
            <w:pPr>
              <w:ind w:left="240"/>
              <w:spacing w:after="0"/>
              <w:rPr>
                <w:sz w:val="20"/>
                <w:szCs w:val="20"/>
                <w:color w:val="auto"/>
              </w:rPr>
            </w:pPr>
            <w:r>
              <w:rPr>
                <w:rFonts w:ascii="Arial" w:cs="Arial" w:eastAsia="Arial" w:hAnsi="Arial"/>
                <w:sz w:val="18"/>
                <w:szCs w:val="18"/>
                <w:color w:val="auto"/>
              </w:rPr>
              <w:t>Incorporation by Reference of Trust Indenture Act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1.4</w:t>
            </w:r>
          </w:p>
        </w:tc>
        <w:tc>
          <w:tcPr>
            <w:tcW w:w="7260" w:type="dxa"/>
            <w:vAlign w:val="bottom"/>
          </w:tcPr>
          <w:p>
            <w:pPr>
              <w:ind w:left="240"/>
              <w:spacing w:after="0"/>
              <w:rPr>
                <w:sz w:val="20"/>
                <w:szCs w:val="20"/>
                <w:color w:val="auto"/>
              </w:rPr>
            </w:pPr>
            <w:r>
              <w:rPr>
                <w:rFonts w:ascii="Arial" w:cs="Arial" w:eastAsia="Arial" w:hAnsi="Arial"/>
                <w:sz w:val="18"/>
                <w:szCs w:val="18"/>
                <w:color w:val="auto"/>
              </w:rPr>
              <w:t>Rules of Construction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2.1</w:t>
            </w:r>
          </w:p>
        </w:tc>
        <w:tc>
          <w:tcPr>
            <w:tcW w:w="7260" w:type="dxa"/>
            <w:vAlign w:val="bottom"/>
          </w:tcPr>
          <w:p>
            <w:pPr>
              <w:ind w:left="240"/>
              <w:spacing w:after="0"/>
              <w:rPr>
                <w:sz w:val="20"/>
                <w:szCs w:val="20"/>
                <w:color w:val="auto"/>
              </w:rPr>
            </w:pPr>
            <w:r>
              <w:rPr>
                <w:rFonts w:ascii="Arial" w:cs="Arial" w:eastAsia="Arial" w:hAnsi="Arial"/>
                <w:sz w:val="18"/>
                <w:szCs w:val="18"/>
                <w:color w:val="auto"/>
              </w:rPr>
              <w:t>Issuable in Series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7260" w:type="dxa"/>
            <w:vAlign w:val="bottom"/>
          </w:tcPr>
          <w:p>
            <w:pPr>
              <w:ind w:left="240"/>
              <w:spacing w:after="0"/>
              <w:rPr>
                <w:sz w:val="20"/>
                <w:szCs w:val="20"/>
                <w:color w:val="auto"/>
              </w:rPr>
            </w:pPr>
            <w:r>
              <w:rPr>
                <w:rFonts w:ascii="Arial" w:cs="Arial" w:eastAsia="Arial" w:hAnsi="Arial"/>
                <w:sz w:val="18"/>
                <w:szCs w:val="18"/>
                <w:color w:val="auto"/>
              </w:rPr>
              <w:t>Establishment of Terms of Series of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2.3</w:t>
            </w:r>
          </w:p>
        </w:tc>
        <w:tc>
          <w:tcPr>
            <w:tcW w:w="7260" w:type="dxa"/>
            <w:vAlign w:val="bottom"/>
          </w:tcPr>
          <w:p>
            <w:pPr>
              <w:ind w:left="240"/>
              <w:spacing w:after="0"/>
              <w:rPr>
                <w:sz w:val="20"/>
                <w:szCs w:val="20"/>
                <w:color w:val="auto"/>
              </w:rPr>
            </w:pPr>
            <w:r>
              <w:rPr>
                <w:rFonts w:ascii="Arial" w:cs="Arial" w:eastAsia="Arial" w:hAnsi="Arial"/>
                <w:sz w:val="18"/>
                <w:szCs w:val="18"/>
                <w:color w:val="auto"/>
              </w:rPr>
              <w:t>Execution and Authentication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7260" w:type="dxa"/>
            <w:vAlign w:val="bottom"/>
          </w:tcPr>
          <w:p>
            <w:pPr>
              <w:ind w:left="240"/>
              <w:spacing w:after="0"/>
              <w:rPr>
                <w:sz w:val="20"/>
                <w:szCs w:val="20"/>
                <w:color w:val="auto"/>
              </w:rPr>
            </w:pPr>
            <w:r>
              <w:rPr>
                <w:rFonts w:ascii="Arial" w:cs="Arial" w:eastAsia="Arial" w:hAnsi="Arial"/>
                <w:sz w:val="18"/>
                <w:szCs w:val="18"/>
                <w:color w:val="auto"/>
              </w:rPr>
              <w:t>Registrar and Paying Agent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2.5</w:t>
            </w:r>
          </w:p>
        </w:tc>
        <w:tc>
          <w:tcPr>
            <w:tcW w:w="7260" w:type="dxa"/>
            <w:vAlign w:val="bottom"/>
          </w:tcPr>
          <w:p>
            <w:pPr>
              <w:ind w:left="240"/>
              <w:spacing w:after="0"/>
              <w:rPr>
                <w:sz w:val="20"/>
                <w:szCs w:val="20"/>
                <w:color w:val="auto"/>
              </w:rPr>
            </w:pPr>
            <w:r>
              <w:rPr>
                <w:rFonts w:ascii="Arial" w:cs="Arial" w:eastAsia="Arial" w:hAnsi="Arial"/>
                <w:sz w:val="18"/>
                <w:szCs w:val="18"/>
                <w:color w:val="auto"/>
              </w:rPr>
              <w:t>Paying Agent to Hold Money in Trust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2.6</w:t>
            </w:r>
          </w:p>
        </w:tc>
        <w:tc>
          <w:tcPr>
            <w:tcW w:w="7260" w:type="dxa"/>
            <w:vAlign w:val="bottom"/>
          </w:tcPr>
          <w:p>
            <w:pPr>
              <w:ind w:left="240"/>
              <w:spacing w:after="0"/>
              <w:rPr>
                <w:sz w:val="20"/>
                <w:szCs w:val="20"/>
                <w:color w:val="auto"/>
              </w:rPr>
            </w:pPr>
            <w:r>
              <w:rPr>
                <w:rFonts w:ascii="Arial" w:cs="Arial" w:eastAsia="Arial" w:hAnsi="Arial"/>
                <w:sz w:val="18"/>
                <w:szCs w:val="18"/>
                <w:color w:val="auto"/>
              </w:rPr>
              <w:t>Securityholder Lists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2.7</w:t>
            </w:r>
          </w:p>
        </w:tc>
        <w:tc>
          <w:tcPr>
            <w:tcW w:w="7260" w:type="dxa"/>
            <w:vAlign w:val="bottom"/>
          </w:tcPr>
          <w:p>
            <w:pPr>
              <w:ind w:left="240"/>
              <w:spacing w:after="0"/>
              <w:rPr>
                <w:sz w:val="20"/>
                <w:szCs w:val="20"/>
                <w:color w:val="auto"/>
              </w:rPr>
            </w:pPr>
            <w:r>
              <w:rPr>
                <w:rFonts w:ascii="Arial" w:cs="Arial" w:eastAsia="Arial" w:hAnsi="Arial"/>
                <w:sz w:val="18"/>
                <w:szCs w:val="18"/>
                <w:color w:val="auto"/>
              </w:rPr>
              <w:t>Transfer and Exchange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2.8</w:t>
            </w:r>
          </w:p>
        </w:tc>
        <w:tc>
          <w:tcPr>
            <w:tcW w:w="7260" w:type="dxa"/>
            <w:vAlign w:val="bottom"/>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2.9</w:t>
            </w:r>
          </w:p>
        </w:tc>
        <w:tc>
          <w:tcPr>
            <w:tcW w:w="7260" w:type="dxa"/>
            <w:vAlign w:val="bottom"/>
          </w:tcPr>
          <w:p>
            <w:pPr>
              <w:ind w:left="240"/>
              <w:spacing w:after="0"/>
              <w:rPr>
                <w:sz w:val="20"/>
                <w:szCs w:val="20"/>
                <w:color w:val="auto"/>
              </w:rPr>
            </w:pPr>
            <w:r>
              <w:rPr>
                <w:rFonts w:ascii="Arial" w:cs="Arial" w:eastAsia="Arial" w:hAnsi="Arial"/>
                <w:sz w:val="18"/>
                <w:szCs w:val="18"/>
                <w:color w:val="auto"/>
              </w:rPr>
              <w:t>Outstanding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7260" w:type="dxa"/>
            <w:vAlign w:val="bottom"/>
          </w:tcPr>
          <w:p>
            <w:pPr>
              <w:ind w:left="240"/>
              <w:spacing w:after="0"/>
              <w:rPr>
                <w:sz w:val="20"/>
                <w:szCs w:val="20"/>
                <w:color w:val="auto"/>
              </w:rPr>
            </w:pPr>
            <w:r>
              <w:rPr>
                <w:rFonts w:ascii="Arial" w:cs="Arial" w:eastAsia="Arial" w:hAnsi="Arial"/>
                <w:sz w:val="18"/>
                <w:szCs w:val="18"/>
                <w:color w:val="auto"/>
              </w:rPr>
              <w:t>Treasury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2.11</w:t>
            </w:r>
          </w:p>
        </w:tc>
        <w:tc>
          <w:tcPr>
            <w:tcW w:w="726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2.12</w:t>
            </w:r>
          </w:p>
        </w:tc>
        <w:tc>
          <w:tcPr>
            <w:tcW w:w="726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2.13</w:t>
            </w:r>
          </w:p>
        </w:tc>
        <w:tc>
          <w:tcPr>
            <w:tcW w:w="7260" w:type="dxa"/>
            <w:vAlign w:val="bottom"/>
          </w:tcPr>
          <w:p>
            <w:pPr>
              <w:ind w:left="240"/>
              <w:spacing w:after="0"/>
              <w:rPr>
                <w:sz w:val="20"/>
                <w:szCs w:val="20"/>
                <w:color w:val="auto"/>
              </w:rPr>
            </w:pPr>
            <w:r>
              <w:rPr>
                <w:rFonts w:ascii="Arial" w:cs="Arial" w:eastAsia="Arial" w:hAnsi="Arial"/>
                <w:sz w:val="18"/>
                <w:szCs w:val="18"/>
                <w:color w:val="auto"/>
              </w:rPr>
              <w:t>Defaulted Interest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2.14</w:t>
            </w:r>
          </w:p>
        </w:tc>
        <w:tc>
          <w:tcPr>
            <w:tcW w:w="7260" w:type="dxa"/>
            <w:vAlign w:val="bottom"/>
          </w:tcPr>
          <w:p>
            <w:pPr>
              <w:ind w:left="240"/>
              <w:spacing w:after="0"/>
              <w:rPr>
                <w:sz w:val="20"/>
                <w:szCs w:val="20"/>
                <w:color w:val="auto"/>
              </w:rPr>
            </w:pPr>
            <w:r>
              <w:rPr>
                <w:rFonts w:ascii="Arial" w:cs="Arial" w:eastAsia="Arial" w:hAnsi="Arial"/>
                <w:sz w:val="18"/>
                <w:szCs w:val="18"/>
                <w:color w:val="auto"/>
              </w:rPr>
              <w:t>Global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2.15</w:t>
            </w:r>
          </w:p>
        </w:tc>
        <w:tc>
          <w:tcPr>
            <w:tcW w:w="726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3.1</w:t>
            </w:r>
          </w:p>
        </w:tc>
        <w:tc>
          <w:tcPr>
            <w:tcW w:w="7260" w:type="dxa"/>
            <w:vAlign w:val="bottom"/>
          </w:tcPr>
          <w:p>
            <w:pPr>
              <w:ind w:left="240"/>
              <w:spacing w:after="0"/>
              <w:rPr>
                <w:sz w:val="20"/>
                <w:szCs w:val="20"/>
                <w:color w:val="auto"/>
              </w:rPr>
            </w:pPr>
            <w:r>
              <w:rPr>
                <w:rFonts w:ascii="Arial" w:cs="Arial" w:eastAsia="Arial" w:hAnsi="Arial"/>
                <w:sz w:val="18"/>
                <w:szCs w:val="18"/>
                <w:color w:val="auto"/>
              </w:rPr>
              <w:t>Notice to Trustee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3.2</w:t>
            </w:r>
          </w:p>
        </w:tc>
        <w:tc>
          <w:tcPr>
            <w:tcW w:w="7260" w:type="dxa"/>
            <w:vAlign w:val="bottom"/>
          </w:tcPr>
          <w:p>
            <w:pPr>
              <w:ind w:left="240"/>
              <w:spacing w:after="0"/>
              <w:rPr>
                <w:sz w:val="20"/>
                <w:szCs w:val="20"/>
                <w:color w:val="auto"/>
              </w:rPr>
            </w:pPr>
            <w:r>
              <w:rPr>
                <w:rFonts w:ascii="Arial" w:cs="Arial" w:eastAsia="Arial" w:hAnsi="Arial"/>
                <w:sz w:val="18"/>
                <w:szCs w:val="18"/>
                <w:color w:val="auto"/>
              </w:rPr>
              <w:t>Selection of Securities to be Redeemed or Repurchased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3.3</w:t>
            </w:r>
          </w:p>
        </w:tc>
        <w:tc>
          <w:tcPr>
            <w:tcW w:w="726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3.4</w:t>
            </w:r>
          </w:p>
        </w:tc>
        <w:tc>
          <w:tcPr>
            <w:tcW w:w="7260" w:type="dxa"/>
            <w:vAlign w:val="bottom"/>
          </w:tcPr>
          <w:p>
            <w:pPr>
              <w:ind w:left="240"/>
              <w:spacing w:after="0"/>
              <w:rPr>
                <w:sz w:val="20"/>
                <w:szCs w:val="20"/>
                <w:color w:val="auto"/>
              </w:rPr>
            </w:pPr>
            <w:r>
              <w:rPr>
                <w:rFonts w:ascii="Arial" w:cs="Arial" w:eastAsia="Arial" w:hAnsi="Arial"/>
                <w:sz w:val="18"/>
                <w:szCs w:val="18"/>
                <w:color w:val="auto"/>
              </w:rPr>
              <w:t>Effect of Notice of Redemption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3.5</w:t>
            </w:r>
          </w:p>
        </w:tc>
        <w:tc>
          <w:tcPr>
            <w:tcW w:w="726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3.6</w:t>
            </w:r>
          </w:p>
        </w:tc>
        <w:tc>
          <w:tcPr>
            <w:tcW w:w="726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7260" w:type="dxa"/>
            <w:vAlign w:val="bottom"/>
          </w:tcPr>
          <w:p>
            <w:pPr>
              <w:ind w:left="240"/>
              <w:spacing w:after="0"/>
              <w:rPr>
                <w:sz w:val="20"/>
                <w:szCs w:val="20"/>
                <w:color w:val="auto"/>
              </w:rPr>
            </w:pPr>
            <w:r>
              <w:rPr>
                <w:rFonts w:ascii="Arial" w:cs="Arial" w:eastAsia="Arial" w:hAnsi="Arial"/>
                <w:sz w:val="18"/>
                <w:szCs w:val="18"/>
                <w:color w:val="auto"/>
              </w:rPr>
              <w:t>Payment of Principal and Interest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4.2</w:t>
            </w:r>
          </w:p>
        </w:tc>
        <w:tc>
          <w:tcPr>
            <w:tcW w:w="726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7260" w:type="dxa"/>
            <w:vAlign w:val="bottom"/>
          </w:tcPr>
          <w:p>
            <w:pPr>
              <w:ind w:left="240"/>
              <w:spacing w:after="0"/>
              <w:rPr>
                <w:sz w:val="20"/>
                <w:szCs w:val="20"/>
                <w:color w:val="auto"/>
              </w:rPr>
            </w:pPr>
            <w:r>
              <w:rPr>
                <w:rFonts w:ascii="Arial" w:cs="Arial" w:eastAsia="Arial" w:hAnsi="Arial"/>
                <w:sz w:val="18"/>
                <w:szCs w:val="18"/>
                <w:color w:val="auto"/>
              </w:rPr>
              <w:t>Reports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4.4</w:t>
            </w:r>
          </w:p>
        </w:tc>
        <w:tc>
          <w:tcPr>
            <w:tcW w:w="7260" w:type="dxa"/>
            <w:vAlign w:val="bottom"/>
          </w:tcPr>
          <w:p>
            <w:pPr>
              <w:ind w:left="240"/>
              <w:spacing w:after="0"/>
              <w:rPr>
                <w:sz w:val="20"/>
                <w:szCs w:val="20"/>
                <w:color w:val="auto"/>
              </w:rPr>
            </w:pPr>
            <w:r>
              <w:rPr>
                <w:rFonts w:ascii="Arial" w:cs="Arial" w:eastAsia="Arial" w:hAnsi="Arial"/>
                <w:sz w:val="18"/>
                <w:szCs w:val="18"/>
                <w:color w:val="auto"/>
              </w:rPr>
              <w:t>Compliance Certificate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7260" w:type="dxa"/>
            <w:vAlign w:val="bottom"/>
          </w:tcPr>
          <w:p>
            <w:pPr>
              <w:ind w:left="240"/>
              <w:spacing w:after="0"/>
              <w:rPr>
                <w:sz w:val="20"/>
                <w:szCs w:val="20"/>
                <w:color w:val="auto"/>
              </w:rPr>
            </w:pPr>
            <w:r>
              <w:rPr>
                <w:rFonts w:ascii="Arial" w:cs="Arial" w:eastAsia="Arial" w:hAnsi="Arial"/>
                <w:sz w:val="18"/>
                <w:szCs w:val="18"/>
                <w:color w:val="auto"/>
              </w:rPr>
              <w:t>Taxes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4.6</w:t>
            </w:r>
          </w:p>
        </w:tc>
        <w:tc>
          <w:tcPr>
            <w:tcW w:w="7260" w:type="dxa"/>
            <w:vAlign w:val="bottom"/>
          </w:tcPr>
          <w:p>
            <w:pPr>
              <w:ind w:left="240"/>
              <w:spacing w:after="0"/>
              <w:rPr>
                <w:sz w:val="20"/>
                <w:szCs w:val="20"/>
                <w:color w:val="auto"/>
              </w:rPr>
            </w:pPr>
            <w:r>
              <w:rPr>
                <w:rFonts w:ascii="Arial" w:cs="Arial" w:eastAsia="Arial" w:hAnsi="Arial"/>
                <w:sz w:val="18"/>
                <w:szCs w:val="18"/>
                <w:color w:val="auto"/>
              </w:rPr>
              <w:t>Stay, Extension and Usury Laws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260" w:type="dxa"/>
            <w:vAlign w:val="bottom"/>
          </w:tcPr>
          <w:p>
            <w:pPr>
              <w:ind w:left="240"/>
              <w:spacing w:after="0"/>
              <w:rPr>
                <w:sz w:val="20"/>
                <w:szCs w:val="20"/>
                <w:color w:val="auto"/>
              </w:rPr>
            </w:pPr>
            <w:r>
              <w:rPr>
                <w:rFonts w:ascii="Arial" w:cs="Arial" w:eastAsia="Arial" w:hAnsi="Arial"/>
                <w:sz w:val="18"/>
                <w:szCs w:val="18"/>
                <w:color w:val="auto"/>
              </w:rPr>
              <w:t>Corporate Existence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992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5.1</w:t>
            </w:r>
          </w:p>
        </w:tc>
        <w:tc>
          <w:tcPr>
            <w:tcW w:w="8460" w:type="dxa"/>
            <w:vAlign w:val="bottom"/>
          </w:tcPr>
          <w:p>
            <w:pPr>
              <w:ind w:left="240"/>
              <w:spacing w:after="0"/>
              <w:rPr>
                <w:sz w:val="20"/>
                <w:szCs w:val="20"/>
                <w:color w:val="auto"/>
              </w:rPr>
            </w:pPr>
            <w:r>
              <w:rPr>
                <w:rFonts w:ascii="Arial" w:cs="Arial" w:eastAsia="Arial" w:hAnsi="Arial"/>
                <w:sz w:val="18"/>
                <w:szCs w:val="18"/>
                <w:color w:val="auto"/>
              </w:rPr>
              <w:t>Merger, Consolidation, or Sale of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5.2</w:t>
            </w:r>
          </w:p>
        </w:tc>
        <w:tc>
          <w:tcPr>
            <w:tcW w:w="8460" w:type="dxa"/>
            <w:vAlign w:val="bottom"/>
          </w:tcPr>
          <w:p>
            <w:pPr>
              <w:ind w:left="240"/>
              <w:spacing w:after="0"/>
              <w:rPr>
                <w:sz w:val="20"/>
                <w:szCs w:val="20"/>
                <w:color w:val="auto"/>
              </w:rPr>
            </w:pPr>
            <w:r>
              <w:rPr>
                <w:rFonts w:ascii="Arial" w:cs="Arial" w:eastAsia="Arial" w:hAnsi="Arial"/>
                <w:sz w:val="18"/>
                <w:szCs w:val="18"/>
                <w:color w:val="auto"/>
              </w:rPr>
              <w:t>Successor Corporation Substituted</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92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846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6.2</w:t>
            </w:r>
          </w:p>
        </w:tc>
        <w:tc>
          <w:tcPr>
            <w:tcW w:w="8460" w:type="dxa"/>
            <w:vAlign w:val="bottom"/>
          </w:tcPr>
          <w:p>
            <w:pPr>
              <w:ind w:left="240"/>
              <w:spacing w:after="0"/>
              <w:rPr>
                <w:sz w:val="20"/>
                <w:szCs w:val="20"/>
                <w:color w:val="auto"/>
              </w:rPr>
            </w:pPr>
            <w:r>
              <w:rPr>
                <w:rFonts w:ascii="Arial" w:cs="Arial" w:eastAsia="Arial" w:hAnsi="Arial"/>
                <w:sz w:val="18"/>
                <w:szCs w:val="18"/>
                <w:color w:val="auto"/>
              </w:rPr>
              <w:t>Acceleration</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6.3</w:t>
            </w:r>
          </w:p>
        </w:tc>
        <w:tc>
          <w:tcPr>
            <w:tcW w:w="8460" w:type="dxa"/>
            <w:vAlign w:val="bottom"/>
          </w:tcPr>
          <w:p>
            <w:pPr>
              <w:ind w:left="240"/>
              <w:spacing w:after="0"/>
              <w:rPr>
                <w:sz w:val="20"/>
                <w:szCs w:val="20"/>
                <w:color w:val="auto"/>
              </w:rPr>
            </w:pPr>
            <w:r>
              <w:rPr>
                <w:rFonts w:ascii="Arial" w:cs="Arial" w:eastAsia="Arial" w:hAnsi="Arial"/>
                <w:sz w:val="18"/>
                <w:szCs w:val="18"/>
                <w:color w:val="auto"/>
              </w:rPr>
              <w:t>Other Remedies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6.4</w:t>
            </w:r>
          </w:p>
        </w:tc>
        <w:tc>
          <w:tcPr>
            <w:tcW w:w="8460" w:type="dxa"/>
            <w:vAlign w:val="bottom"/>
          </w:tcPr>
          <w:p>
            <w:pPr>
              <w:ind w:left="240"/>
              <w:spacing w:after="0"/>
              <w:rPr>
                <w:sz w:val="20"/>
                <w:szCs w:val="20"/>
                <w:color w:val="auto"/>
              </w:rPr>
            </w:pPr>
            <w:r>
              <w:rPr>
                <w:rFonts w:ascii="Arial" w:cs="Arial" w:eastAsia="Arial" w:hAnsi="Arial"/>
                <w:sz w:val="18"/>
                <w:szCs w:val="18"/>
                <w:color w:val="auto"/>
              </w:rPr>
              <w:t>Waiver of Past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6.5</w:t>
            </w:r>
          </w:p>
        </w:tc>
        <w:tc>
          <w:tcPr>
            <w:tcW w:w="8460" w:type="dxa"/>
            <w:vAlign w:val="bottom"/>
          </w:tcPr>
          <w:p>
            <w:pPr>
              <w:ind w:left="240"/>
              <w:spacing w:after="0"/>
              <w:rPr>
                <w:sz w:val="20"/>
                <w:szCs w:val="20"/>
                <w:color w:val="auto"/>
              </w:rPr>
            </w:pPr>
            <w:r>
              <w:rPr>
                <w:rFonts w:ascii="Arial" w:cs="Arial" w:eastAsia="Arial" w:hAnsi="Arial"/>
                <w:sz w:val="18"/>
                <w:szCs w:val="18"/>
                <w:color w:val="auto"/>
              </w:rPr>
              <w:t>Control by Majority</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6.6</w:t>
            </w:r>
          </w:p>
        </w:tc>
        <w:tc>
          <w:tcPr>
            <w:tcW w:w="846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6.7</w:t>
            </w:r>
          </w:p>
        </w:tc>
        <w:tc>
          <w:tcPr>
            <w:tcW w:w="8460" w:type="dxa"/>
            <w:vAlign w:val="bottom"/>
          </w:tcPr>
          <w:p>
            <w:pPr>
              <w:ind w:left="240"/>
              <w:spacing w:after="0"/>
              <w:rPr>
                <w:sz w:val="20"/>
                <w:szCs w:val="20"/>
                <w:color w:val="auto"/>
              </w:rPr>
            </w:pPr>
            <w:r>
              <w:rPr>
                <w:rFonts w:ascii="Arial" w:cs="Arial" w:eastAsia="Arial" w:hAnsi="Arial"/>
                <w:sz w:val="18"/>
                <w:szCs w:val="18"/>
                <w:color w:val="auto"/>
              </w:rPr>
              <w:t>Rights of Holders of Security to Receive Payment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6.8</w:t>
            </w:r>
          </w:p>
        </w:tc>
        <w:tc>
          <w:tcPr>
            <w:tcW w:w="8460" w:type="dxa"/>
            <w:vAlign w:val="bottom"/>
          </w:tcPr>
          <w:p>
            <w:pPr>
              <w:ind w:left="240"/>
              <w:spacing w:after="0"/>
              <w:rPr>
                <w:sz w:val="20"/>
                <w:szCs w:val="20"/>
                <w:color w:val="auto"/>
              </w:rPr>
            </w:pPr>
            <w:r>
              <w:rPr>
                <w:rFonts w:ascii="Arial" w:cs="Arial" w:eastAsia="Arial" w:hAnsi="Arial"/>
                <w:sz w:val="18"/>
                <w:szCs w:val="18"/>
                <w:color w:val="auto"/>
              </w:rPr>
              <w:t>Collection Suit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6.9</w:t>
            </w:r>
          </w:p>
        </w:tc>
        <w:tc>
          <w:tcPr>
            <w:tcW w:w="8460" w:type="dxa"/>
            <w:vAlign w:val="bottom"/>
          </w:tcPr>
          <w:p>
            <w:pPr>
              <w:ind w:left="240"/>
              <w:spacing w:after="0"/>
              <w:rPr>
                <w:sz w:val="20"/>
                <w:szCs w:val="20"/>
                <w:color w:val="auto"/>
              </w:rPr>
            </w:pPr>
            <w:r>
              <w:rPr>
                <w:rFonts w:ascii="Arial" w:cs="Arial" w:eastAsia="Arial" w:hAnsi="Arial"/>
                <w:sz w:val="18"/>
                <w:szCs w:val="18"/>
                <w:color w:val="auto"/>
              </w:rPr>
              <w:t>Trustee May File Proofs of Claim</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8460" w:type="dxa"/>
            <w:vAlign w:val="bottom"/>
          </w:tcPr>
          <w:p>
            <w:pPr>
              <w:ind w:left="240"/>
              <w:spacing w:after="0"/>
              <w:rPr>
                <w:sz w:val="20"/>
                <w:szCs w:val="20"/>
                <w:color w:val="auto"/>
              </w:rPr>
            </w:pPr>
            <w:r>
              <w:rPr>
                <w:rFonts w:ascii="Arial" w:cs="Arial" w:eastAsia="Arial" w:hAnsi="Arial"/>
                <w:sz w:val="18"/>
                <w:szCs w:val="18"/>
                <w:color w:val="auto"/>
              </w:rPr>
              <w:t>Priorities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6.11</w:t>
            </w:r>
          </w:p>
        </w:tc>
        <w:tc>
          <w:tcPr>
            <w:tcW w:w="8460" w:type="dxa"/>
            <w:vAlign w:val="bottom"/>
          </w:tcPr>
          <w:p>
            <w:pPr>
              <w:ind w:left="240"/>
              <w:spacing w:after="0"/>
              <w:rPr>
                <w:sz w:val="20"/>
                <w:szCs w:val="20"/>
                <w:color w:val="auto"/>
              </w:rPr>
            </w:pPr>
            <w:r>
              <w:rPr>
                <w:rFonts w:ascii="Arial" w:cs="Arial" w:eastAsia="Arial" w:hAnsi="Arial"/>
                <w:sz w:val="18"/>
                <w:szCs w:val="18"/>
                <w:color w:val="auto"/>
              </w:rPr>
              <w:t>Undertaking for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92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7.1</w:t>
            </w:r>
          </w:p>
        </w:tc>
        <w:tc>
          <w:tcPr>
            <w:tcW w:w="8460" w:type="dxa"/>
            <w:vAlign w:val="bottom"/>
          </w:tcPr>
          <w:p>
            <w:pPr>
              <w:ind w:left="240"/>
              <w:spacing w:after="0"/>
              <w:rPr>
                <w:sz w:val="20"/>
                <w:szCs w:val="20"/>
                <w:color w:val="auto"/>
              </w:rPr>
            </w:pPr>
            <w:r>
              <w:rPr>
                <w:rFonts w:ascii="Arial" w:cs="Arial" w:eastAsia="Arial" w:hAnsi="Arial"/>
                <w:sz w:val="18"/>
                <w:szCs w:val="18"/>
                <w:color w:val="auto"/>
              </w:rPr>
              <w:t>Duties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7.2</w:t>
            </w:r>
          </w:p>
        </w:tc>
        <w:tc>
          <w:tcPr>
            <w:tcW w:w="8460" w:type="dxa"/>
            <w:vAlign w:val="bottom"/>
          </w:tcPr>
          <w:p>
            <w:pPr>
              <w:ind w:left="240"/>
              <w:spacing w:after="0"/>
              <w:rPr>
                <w:sz w:val="20"/>
                <w:szCs w:val="20"/>
                <w:color w:val="auto"/>
              </w:rPr>
            </w:pPr>
            <w:r>
              <w:rPr>
                <w:rFonts w:ascii="Arial" w:cs="Arial" w:eastAsia="Arial" w:hAnsi="Arial"/>
                <w:sz w:val="18"/>
                <w:szCs w:val="18"/>
                <w:color w:val="auto"/>
              </w:rPr>
              <w:t>Rights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7.3</w:t>
            </w:r>
          </w:p>
        </w:tc>
        <w:tc>
          <w:tcPr>
            <w:tcW w:w="8460" w:type="dxa"/>
            <w:vAlign w:val="bottom"/>
          </w:tcPr>
          <w:p>
            <w:pPr>
              <w:ind w:left="240"/>
              <w:spacing w:after="0"/>
              <w:rPr>
                <w:sz w:val="20"/>
                <w:szCs w:val="20"/>
                <w:color w:val="auto"/>
              </w:rPr>
            </w:pPr>
            <w:r>
              <w:rPr>
                <w:rFonts w:ascii="Arial" w:cs="Arial" w:eastAsia="Arial" w:hAnsi="Arial"/>
                <w:sz w:val="18"/>
                <w:szCs w:val="18"/>
                <w:color w:val="auto"/>
              </w:rPr>
              <w:t>Individual Rights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7.4</w:t>
            </w:r>
          </w:p>
        </w:tc>
        <w:tc>
          <w:tcPr>
            <w:tcW w:w="8460" w:type="dxa"/>
            <w:vAlign w:val="bottom"/>
          </w:tcPr>
          <w:p>
            <w:pPr>
              <w:ind w:left="240"/>
              <w:spacing w:after="0"/>
              <w:rPr>
                <w:sz w:val="20"/>
                <w:szCs w:val="20"/>
                <w:color w:val="auto"/>
              </w:rPr>
            </w:pPr>
            <w:r>
              <w:rPr>
                <w:rFonts w:ascii="Arial" w:cs="Arial" w:eastAsia="Arial" w:hAnsi="Arial"/>
                <w:sz w:val="18"/>
                <w:szCs w:val="18"/>
                <w:color w:val="auto"/>
              </w:rPr>
              <w:t>Trustee’s Disclaimer</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7.5</w:t>
            </w:r>
          </w:p>
        </w:tc>
        <w:tc>
          <w:tcPr>
            <w:tcW w:w="8460" w:type="dxa"/>
            <w:vAlign w:val="bottom"/>
          </w:tcPr>
          <w:p>
            <w:pPr>
              <w:ind w:left="240"/>
              <w:spacing w:after="0"/>
              <w:rPr>
                <w:sz w:val="20"/>
                <w:szCs w:val="20"/>
                <w:color w:val="auto"/>
              </w:rPr>
            </w:pPr>
            <w:r>
              <w:rPr>
                <w:rFonts w:ascii="Arial" w:cs="Arial" w:eastAsia="Arial" w:hAnsi="Arial"/>
                <w:sz w:val="18"/>
                <w:szCs w:val="18"/>
                <w:color w:val="auto"/>
              </w:rPr>
              <w:t>Notice of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7.6</w:t>
            </w:r>
          </w:p>
        </w:tc>
        <w:tc>
          <w:tcPr>
            <w:tcW w:w="8460" w:type="dxa"/>
            <w:vAlign w:val="bottom"/>
          </w:tcPr>
          <w:p>
            <w:pPr>
              <w:ind w:left="240"/>
              <w:spacing w:after="0"/>
              <w:rPr>
                <w:sz w:val="20"/>
                <w:szCs w:val="20"/>
                <w:color w:val="auto"/>
              </w:rPr>
            </w:pPr>
            <w:r>
              <w:rPr>
                <w:rFonts w:ascii="Arial" w:cs="Arial" w:eastAsia="Arial" w:hAnsi="Arial"/>
                <w:sz w:val="18"/>
                <w:szCs w:val="18"/>
                <w:color w:val="auto"/>
              </w:rPr>
              <w:t>Reports by Trustee to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7.7</w:t>
            </w:r>
          </w:p>
        </w:tc>
        <w:tc>
          <w:tcPr>
            <w:tcW w:w="8460" w:type="dxa"/>
            <w:vAlign w:val="bottom"/>
          </w:tcPr>
          <w:p>
            <w:pPr>
              <w:ind w:left="240"/>
              <w:spacing w:after="0"/>
              <w:rPr>
                <w:sz w:val="20"/>
                <w:szCs w:val="20"/>
                <w:color w:val="auto"/>
              </w:rPr>
            </w:pPr>
            <w:r>
              <w:rPr>
                <w:rFonts w:ascii="Arial" w:cs="Arial" w:eastAsia="Arial" w:hAnsi="Arial"/>
                <w:sz w:val="18"/>
                <w:szCs w:val="18"/>
                <w:color w:val="auto"/>
              </w:rPr>
              <w:t>Compensation and Indemnity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7.8</w:t>
            </w:r>
          </w:p>
        </w:tc>
        <w:tc>
          <w:tcPr>
            <w:tcW w:w="8460" w:type="dxa"/>
            <w:vAlign w:val="bottom"/>
          </w:tcPr>
          <w:p>
            <w:pPr>
              <w:ind w:left="240"/>
              <w:spacing w:after="0"/>
              <w:rPr>
                <w:sz w:val="20"/>
                <w:szCs w:val="20"/>
                <w:color w:val="auto"/>
              </w:rPr>
            </w:pPr>
            <w:r>
              <w:rPr>
                <w:rFonts w:ascii="Arial" w:cs="Arial" w:eastAsia="Arial" w:hAnsi="Arial"/>
                <w:sz w:val="18"/>
                <w:szCs w:val="18"/>
                <w:color w:val="auto"/>
              </w:rPr>
              <w:t>Replacement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7.9</w:t>
            </w:r>
          </w:p>
        </w:tc>
        <w:tc>
          <w:tcPr>
            <w:tcW w:w="8460" w:type="dxa"/>
            <w:vAlign w:val="bottom"/>
          </w:tcPr>
          <w:p>
            <w:pPr>
              <w:ind w:left="240"/>
              <w:spacing w:after="0"/>
              <w:rPr>
                <w:sz w:val="20"/>
                <w:szCs w:val="20"/>
                <w:color w:val="auto"/>
              </w:rPr>
            </w:pPr>
            <w:r>
              <w:rPr>
                <w:rFonts w:ascii="Arial" w:cs="Arial" w:eastAsia="Arial" w:hAnsi="Arial"/>
                <w:sz w:val="18"/>
                <w:szCs w:val="18"/>
                <w:color w:val="auto"/>
              </w:rPr>
              <w:t>Successor Trustee by Merger, etc</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7.10</w:t>
            </w:r>
          </w:p>
        </w:tc>
        <w:tc>
          <w:tcPr>
            <w:tcW w:w="8460" w:type="dxa"/>
            <w:vAlign w:val="bottom"/>
          </w:tcPr>
          <w:p>
            <w:pPr>
              <w:ind w:left="240"/>
              <w:spacing w:after="0"/>
              <w:rPr>
                <w:sz w:val="20"/>
                <w:szCs w:val="20"/>
                <w:color w:val="auto"/>
              </w:rPr>
            </w:pPr>
            <w:r>
              <w:rPr>
                <w:rFonts w:ascii="Arial" w:cs="Arial" w:eastAsia="Arial" w:hAnsi="Arial"/>
                <w:sz w:val="18"/>
                <w:szCs w:val="18"/>
                <w:color w:val="auto"/>
              </w:rPr>
              <w:t>Eligibility; Disqualification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7.11</w:t>
            </w:r>
          </w:p>
        </w:tc>
        <w:tc>
          <w:tcPr>
            <w:tcW w:w="8460" w:type="dxa"/>
            <w:vAlign w:val="bottom"/>
          </w:tcPr>
          <w:p>
            <w:pPr>
              <w:ind w:left="240"/>
              <w:spacing w:after="0"/>
              <w:rPr>
                <w:sz w:val="20"/>
                <w:szCs w:val="20"/>
                <w:color w:val="auto"/>
              </w:rPr>
            </w:pPr>
            <w:r>
              <w:rPr>
                <w:rFonts w:ascii="Arial" w:cs="Arial" w:eastAsia="Arial" w:hAnsi="Arial"/>
                <w:sz w:val="18"/>
                <w:szCs w:val="18"/>
                <w:color w:val="auto"/>
              </w:rPr>
              <w:t>Preferential Collection of Claims Against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920" w:type="dxa"/>
            <w:vAlign w:val="bottom"/>
            <w:gridSpan w:val="2"/>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8.1</w:t>
            </w:r>
          </w:p>
        </w:tc>
        <w:tc>
          <w:tcPr>
            <w:tcW w:w="8460" w:type="dxa"/>
            <w:vAlign w:val="bottom"/>
          </w:tcPr>
          <w:p>
            <w:pPr>
              <w:ind w:left="240"/>
              <w:spacing w:after="0"/>
              <w:rPr>
                <w:sz w:val="20"/>
                <w:szCs w:val="20"/>
                <w:color w:val="auto"/>
              </w:rPr>
            </w:pPr>
            <w:r>
              <w:rPr>
                <w:rFonts w:ascii="Arial" w:cs="Arial" w:eastAsia="Arial" w:hAnsi="Arial"/>
                <w:sz w:val="18"/>
                <w:szCs w:val="18"/>
                <w:color w:val="auto"/>
              </w:rPr>
              <w:t>Option to Effect Legal Defeasance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8.2</w:t>
            </w:r>
          </w:p>
        </w:tc>
        <w:tc>
          <w:tcPr>
            <w:tcW w:w="8460" w:type="dxa"/>
            <w:vAlign w:val="bottom"/>
          </w:tcPr>
          <w:p>
            <w:pPr>
              <w:ind w:left="240"/>
              <w:spacing w:after="0"/>
              <w:rPr>
                <w:sz w:val="20"/>
                <w:szCs w:val="20"/>
                <w:color w:val="auto"/>
              </w:rPr>
            </w:pPr>
            <w:r>
              <w:rPr>
                <w:rFonts w:ascii="Arial" w:cs="Arial" w:eastAsia="Arial" w:hAnsi="Arial"/>
                <w:sz w:val="18"/>
                <w:szCs w:val="18"/>
                <w:color w:val="auto"/>
              </w:rPr>
              <w:t>Legal Defeasance and Discharge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80"/>
              <w:spacing w:after="0"/>
              <w:rPr>
                <w:sz w:val="20"/>
                <w:szCs w:val="20"/>
                <w:color w:val="auto"/>
              </w:rPr>
            </w:pPr>
            <w:r>
              <w:rPr>
                <w:rFonts w:ascii="Arial" w:cs="Arial" w:eastAsia="Arial" w:hAnsi="Arial"/>
                <w:sz w:val="18"/>
                <w:szCs w:val="18"/>
                <w:color w:val="auto"/>
              </w:rPr>
              <w:t>Section 8.3</w:t>
            </w:r>
          </w:p>
        </w:tc>
        <w:tc>
          <w:tcPr>
            <w:tcW w:w="846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8.4</w:t>
            </w:r>
          </w:p>
        </w:tc>
        <w:tc>
          <w:tcPr>
            <w:tcW w:w="8460" w:type="dxa"/>
            <w:vAlign w:val="bottom"/>
          </w:tcPr>
          <w:p>
            <w:pPr>
              <w:ind w:left="240"/>
              <w:spacing w:after="0"/>
              <w:rPr>
                <w:sz w:val="20"/>
                <w:szCs w:val="20"/>
                <w:color w:val="auto"/>
              </w:rPr>
            </w:pPr>
            <w:r>
              <w:rPr>
                <w:rFonts w:ascii="Arial" w:cs="Arial" w:eastAsia="Arial" w:hAnsi="Arial"/>
                <w:sz w:val="18"/>
                <w:szCs w:val="18"/>
                <w:color w:val="auto"/>
              </w:rPr>
              <w:t>Conditions to Legal or Covenant Defeasance</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8.5</w:t>
            </w:r>
          </w:p>
        </w:tc>
        <w:tc>
          <w:tcPr>
            <w:tcW w:w="8460" w:type="dxa"/>
            <w:vAlign w:val="bottom"/>
          </w:tcPr>
          <w:p>
            <w:pPr>
              <w:ind w:left="24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8.6</w:t>
            </w:r>
          </w:p>
        </w:tc>
        <w:tc>
          <w:tcPr>
            <w:tcW w:w="8460" w:type="dxa"/>
            <w:vAlign w:val="bottom"/>
          </w:tcPr>
          <w:p>
            <w:pPr>
              <w:ind w:left="240"/>
              <w:spacing w:after="0"/>
              <w:rPr>
                <w:sz w:val="20"/>
                <w:szCs w:val="20"/>
                <w:color w:val="auto"/>
              </w:rPr>
            </w:pPr>
            <w:r>
              <w:rPr>
                <w:rFonts w:ascii="Arial" w:cs="Arial" w:eastAsia="Arial" w:hAnsi="Arial"/>
                <w:sz w:val="18"/>
                <w:szCs w:val="18"/>
                <w:color w:val="auto"/>
              </w:rPr>
              <w:t>Repayment to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8.7</w:t>
            </w:r>
          </w:p>
        </w:tc>
        <w:tc>
          <w:tcPr>
            <w:tcW w:w="846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992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460" w:type="dxa"/>
            <w:vAlign w:val="bottom"/>
          </w:tcPr>
          <w:p>
            <w:pPr>
              <w:ind w:left="340"/>
              <w:spacing w:after="0"/>
              <w:rPr>
                <w:sz w:val="20"/>
                <w:szCs w:val="20"/>
                <w:color w:val="auto"/>
              </w:rPr>
            </w:pPr>
            <w:r>
              <w:rPr>
                <w:rFonts w:ascii="Arial" w:cs="Arial" w:eastAsia="Arial" w:hAnsi="Arial"/>
                <w:sz w:val="18"/>
                <w:szCs w:val="18"/>
                <w:color w:val="auto"/>
              </w:rPr>
              <w:t>Section 9.1</w:t>
            </w:r>
          </w:p>
        </w:tc>
        <w:tc>
          <w:tcPr>
            <w:tcW w:w="8460" w:type="dxa"/>
            <w:vAlign w:val="bottom"/>
          </w:tcPr>
          <w:p>
            <w:pPr>
              <w:ind w:left="240"/>
              <w:spacing w:after="0"/>
              <w:rPr>
                <w:sz w:val="20"/>
                <w:szCs w:val="20"/>
                <w:color w:val="auto"/>
              </w:rPr>
            </w:pPr>
            <w:r>
              <w:rPr>
                <w:rFonts w:ascii="Arial" w:cs="Arial" w:eastAsia="Arial" w:hAnsi="Arial"/>
                <w:sz w:val="18"/>
                <w:szCs w:val="18"/>
                <w:color w:val="auto"/>
              </w:rPr>
              <w:t>Without Consent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9.2</w:t>
            </w:r>
          </w:p>
        </w:tc>
        <w:tc>
          <w:tcPr>
            <w:tcW w:w="8460" w:type="dxa"/>
            <w:vAlign w:val="bottom"/>
          </w:tcPr>
          <w:p>
            <w:pPr>
              <w:ind w:left="240"/>
              <w:spacing w:after="0"/>
              <w:rPr>
                <w:sz w:val="20"/>
                <w:szCs w:val="20"/>
                <w:color w:val="auto"/>
              </w:rPr>
            </w:pPr>
            <w:r>
              <w:rPr>
                <w:rFonts w:ascii="Arial" w:cs="Arial" w:eastAsia="Arial" w:hAnsi="Arial"/>
                <w:sz w:val="18"/>
                <w:szCs w:val="18"/>
                <w:color w:val="auto"/>
              </w:rPr>
              <w:t>With Consent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9.3</w:t>
            </w:r>
          </w:p>
        </w:tc>
        <w:tc>
          <w:tcPr>
            <w:tcW w:w="798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9.4</w:t>
            </w:r>
          </w:p>
        </w:tc>
        <w:tc>
          <w:tcPr>
            <w:tcW w:w="7980" w:type="dxa"/>
            <w:vAlign w:val="bottom"/>
          </w:tcPr>
          <w:p>
            <w:pPr>
              <w:ind w:left="200"/>
              <w:spacing w:after="0"/>
              <w:rPr>
                <w:sz w:val="20"/>
                <w:szCs w:val="20"/>
                <w:color w:val="auto"/>
              </w:rPr>
            </w:pPr>
            <w:r>
              <w:rPr>
                <w:rFonts w:ascii="Arial" w:cs="Arial" w:eastAsia="Arial" w:hAnsi="Arial"/>
                <w:sz w:val="18"/>
                <w:szCs w:val="18"/>
                <w:color w:val="auto"/>
              </w:rPr>
              <w:t>Compliance with 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9.5</w:t>
            </w:r>
          </w:p>
        </w:tc>
        <w:tc>
          <w:tcPr>
            <w:tcW w:w="798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9.6</w:t>
            </w:r>
          </w:p>
        </w:tc>
        <w:tc>
          <w:tcPr>
            <w:tcW w:w="7980" w:type="dxa"/>
            <w:vAlign w:val="bottom"/>
          </w:tcPr>
          <w:p>
            <w:pPr>
              <w:ind w:left="200"/>
              <w:spacing w:after="0"/>
              <w:rPr>
                <w:sz w:val="20"/>
                <w:szCs w:val="20"/>
                <w:color w:val="auto"/>
              </w:rPr>
            </w:pPr>
            <w:r>
              <w:rPr>
                <w:rFonts w:ascii="Arial" w:cs="Arial" w:eastAsia="Arial" w:hAnsi="Arial"/>
                <w:sz w:val="18"/>
                <w:szCs w:val="18"/>
                <w:color w:val="auto"/>
              </w:rPr>
              <w:t>Notation on or Exchange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Section 9.7</w:t>
            </w:r>
          </w:p>
        </w:tc>
        <w:tc>
          <w:tcPr>
            <w:tcW w:w="7980" w:type="dxa"/>
            <w:vAlign w:val="bottom"/>
          </w:tcPr>
          <w:p>
            <w:pPr>
              <w:ind w:left="200"/>
              <w:spacing w:after="0"/>
              <w:rPr>
                <w:sz w:val="20"/>
                <w:szCs w:val="20"/>
                <w:color w:val="auto"/>
              </w:rPr>
            </w:pPr>
            <w:r>
              <w:rPr>
                <w:rFonts w:ascii="Arial" w:cs="Arial" w:eastAsia="Arial" w:hAnsi="Arial"/>
                <w:sz w:val="18"/>
                <w:szCs w:val="18"/>
                <w:color w:val="auto"/>
              </w:rPr>
              <w:t>Trustee Protected</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color w:val="auto"/>
              </w:rPr>
              <w:t>ARTICLE X. SATISFACTION AND DISCHARGE</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50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7980" w:type="dxa"/>
            <w:vAlign w:val="bottom"/>
          </w:tcPr>
          <w:p>
            <w:pPr>
              <w:ind w:left="200"/>
              <w:spacing w:after="0"/>
              <w:rPr>
                <w:sz w:val="20"/>
                <w:szCs w:val="20"/>
                <w:color w:val="auto"/>
              </w:rPr>
            </w:pPr>
            <w:r>
              <w:rPr>
                <w:rFonts w:ascii="Arial" w:cs="Arial" w:eastAsia="Arial" w:hAnsi="Arial"/>
                <w:sz w:val="18"/>
                <w:szCs w:val="18"/>
                <w:color w:val="auto"/>
              </w:rPr>
              <w:t>Satisfaction and Discharge</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Section 10.2</w:t>
            </w:r>
          </w:p>
        </w:tc>
        <w:tc>
          <w:tcPr>
            <w:tcW w:w="7980" w:type="dxa"/>
            <w:vAlign w:val="bottom"/>
          </w:tcPr>
          <w:p>
            <w:pPr>
              <w:ind w:left="200"/>
              <w:spacing w:after="0"/>
              <w:rPr>
                <w:sz w:val="20"/>
                <w:szCs w:val="20"/>
                <w:color w:val="auto"/>
              </w:rPr>
            </w:pPr>
            <w:r>
              <w:rPr>
                <w:rFonts w:ascii="Arial" w:cs="Arial" w:eastAsia="Arial" w:hAnsi="Arial"/>
                <w:sz w:val="18"/>
                <w:szCs w:val="18"/>
                <w:color w:val="auto"/>
              </w:rPr>
              <w:t>Application of Trust Money</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50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7980" w:type="dxa"/>
            <w:vAlign w:val="bottom"/>
          </w:tcPr>
          <w:p>
            <w:pPr>
              <w:ind w:left="200"/>
              <w:spacing w:after="0"/>
              <w:rPr>
                <w:sz w:val="20"/>
                <w:szCs w:val="20"/>
                <w:color w:val="auto"/>
              </w:rPr>
            </w:pPr>
            <w:r>
              <w:rPr>
                <w:rFonts w:ascii="Arial" w:cs="Arial" w:eastAsia="Arial" w:hAnsi="Arial"/>
                <w:sz w:val="18"/>
                <w:szCs w:val="18"/>
                <w:color w:val="auto"/>
              </w:rPr>
              <w:t>Trust Indenture Act Controls</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11.2</w:t>
            </w:r>
          </w:p>
        </w:tc>
        <w:tc>
          <w:tcPr>
            <w:tcW w:w="7980" w:type="dxa"/>
            <w:vAlign w:val="bottom"/>
          </w:tcPr>
          <w:p>
            <w:pPr>
              <w:ind w:left="20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7980" w:type="dxa"/>
            <w:vAlign w:val="bottom"/>
          </w:tcPr>
          <w:p>
            <w:pPr>
              <w:ind w:left="200"/>
              <w:spacing w:after="0"/>
              <w:rPr>
                <w:sz w:val="20"/>
                <w:szCs w:val="20"/>
                <w:color w:val="auto"/>
              </w:rPr>
            </w:pPr>
            <w:r>
              <w:rPr>
                <w:rFonts w:ascii="Arial" w:cs="Arial" w:eastAsia="Arial" w:hAnsi="Arial"/>
                <w:sz w:val="18"/>
                <w:szCs w:val="18"/>
                <w:color w:val="auto"/>
              </w:rPr>
              <w:t>Communication by Holders with Other 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11.4</w:t>
            </w:r>
          </w:p>
        </w:tc>
        <w:tc>
          <w:tcPr>
            <w:tcW w:w="7980" w:type="dxa"/>
            <w:vAlign w:val="bottom"/>
          </w:tcPr>
          <w:p>
            <w:pPr>
              <w:ind w:left="200"/>
              <w:spacing w:after="0"/>
              <w:rPr>
                <w:sz w:val="20"/>
                <w:szCs w:val="20"/>
                <w:color w:val="auto"/>
              </w:rPr>
            </w:pPr>
            <w:r>
              <w:rPr>
                <w:rFonts w:ascii="Arial" w:cs="Arial" w:eastAsia="Arial" w:hAnsi="Arial"/>
                <w:sz w:val="18"/>
                <w:szCs w:val="18"/>
                <w:color w:val="auto"/>
              </w:rPr>
              <w:t>Certificate and Opinion as to Conditions Precedent</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11.5</w:t>
            </w:r>
          </w:p>
        </w:tc>
        <w:tc>
          <w:tcPr>
            <w:tcW w:w="7980" w:type="dxa"/>
            <w:vAlign w:val="bottom"/>
          </w:tcPr>
          <w:p>
            <w:pPr>
              <w:ind w:left="200"/>
              <w:spacing w:after="0"/>
              <w:rPr>
                <w:sz w:val="20"/>
                <w:szCs w:val="20"/>
                <w:color w:val="auto"/>
              </w:rPr>
            </w:pPr>
            <w:r>
              <w:rPr>
                <w:rFonts w:ascii="Arial" w:cs="Arial" w:eastAsia="Arial" w:hAnsi="Arial"/>
                <w:sz w:val="18"/>
                <w:szCs w:val="18"/>
                <w:color w:val="auto"/>
              </w:rPr>
              <w:t>Statements Required in Certificate or Opinion</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11.6</w:t>
            </w:r>
          </w:p>
        </w:tc>
        <w:tc>
          <w:tcPr>
            <w:tcW w:w="7980" w:type="dxa"/>
            <w:vAlign w:val="bottom"/>
          </w:tcPr>
          <w:p>
            <w:pPr>
              <w:ind w:left="200"/>
              <w:spacing w:after="0"/>
              <w:rPr>
                <w:sz w:val="20"/>
                <w:szCs w:val="20"/>
                <w:color w:val="auto"/>
              </w:rPr>
            </w:pPr>
            <w:r>
              <w:rPr>
                <w:rFonts w:ascii="Arial" w:cs="Arial" w:eastAsia="Arial" w:hAnsi="Arial"/>
                <w:sz w:val="18"/>
                <w:szCs w:val="18"/>
                <w:color w:val="auto"/>
              </w:rPr>
              <w:t>Rules by Trustee and Agents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11.7</w:t>
            </w:r>
          </w:p>
        </w:tc>
        <w:tc>
          <w:tcPr>
            <w:tcW w:w="7980" w:type="dxa"/>
            <w:vAlign w:val="bottom"/>
          </w:tcPr>
          <w:p>
            <w:pPr>
              <w:ind w:left="200"/>
              <w:spacing w:after="0"/>
              <w:rPr>
                <w:sz w:val="20"/>
                <w:szCs w:val="20"/>
                <w:color w:val="auto"/>
              </w:rPr>
            </w:pPr>
            <w:r>
              <w:rPr>
                <w:rFonts w:ascii="Arial" w:cs="Arial" w:eastAsia="Arial" w:hAnsi="Arial"/>
                <w:sz w:val="18"/>
                <w:szCs w:val="18"/>
                <w:color w:val="auto"/>
              </w:rPr>
              <w:t>Legal Holidays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11.8</w:t>
            </w:r>
          </w:p>
        </w:tc>
        <w:tc>
          <w:tcPr>
            <w:tcW w:w="7980" w:type="dxa"/>
            <w:vAlign w:val="bottom"/>
          </w:tcPr>
          <w:p>
            <w:pPr>
              <w:ind w:left="200"/>
              <w:spacing w:after="0"/>
              <w:rPr>
                <w:sz w:val="20"/>
                <w:szCs w:val="20"/>
                <w:color w:val="auto"/>
              </w:rPr>
            </w:pPr>
            <w:r>
              <w:rPr>
                <w:rFonts w:ascii="Arial" w:cs="Arial" w:eastAsia="Arial" w:hAnsi="Arial"/>
                <w:sz w:val="18"/>
                <w:szCs w:val="18"/>
                <w:color w:val="auto"/>
              </w:rPr>
              <w:t>No Recourse Against Others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11.9</w:t>
            </w:r>
          </w:p>
        </w:tc>
        <w:tc>
          <w:tcPr>
            <w:tcW w:w="79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11.10</w:t>
            </w:r>
          </w:p>
        </w:tc>
        <w:tc>
          <w:tcPr>
            <w:tcW w:w="7980" w:type="dxa"/>
            <w:vAlign w:val="bottom"/>
          </w:tcPr>
          <w:p>
            <w:pPr>
              <w:ind w:left="200"/>
              <w:spacing w:after="0"/>
              <w:rPr>
                <w:sz w:val="20"/>
                <w:szCs w:val="20"/>
                <w:color w:val="auto"/>
              </w:rPr>
            </w:pPr>
            <w:r>
              <w:rPr>
                <w:rFonts w:ascii="Arial" w:cs="Arial" w:eastAsia="Arial" w:hAnsi="Arial"/>
                <w:sz w:val="18"/>
                <w:szCs w:val="18"/>
                <w:color w:val="auto"/>
              </w:rPr>
              <w:t>Governing Laws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11.11</w:t>
            </w:r>
          </w:p>
        </w:tc>
        <w:tc>
          <w:tcPr>
            <w:tcW w:w="7980" w:type="dxa"/>
            <w:vAlign w:val="bottom"/>
          </w:tcPr>
          <w:p>
            <w:pPr>
              <w:ind w:left="200"/>
              <w:spacing w:after="0"/>
              <w:rPr>
                <w:sz w:val="20"/>
                <w:szCs w:val="20"/>
                <w:color w:val="auto"/>
              </w:rPr>
            </w:pPr>
            <w:r>
              <w:rPr>
                <w:rFonts w:ascii="Arial" w:cs="Arial" w:eastAsia="Arial" w:hAnsi="Arial"/>
                <w:sz w:val="18"/>
                <w:szCs w:val="18"/>
                <w:color w:val="auto"/>
              </w:rPr>
              <w:t>No Adverse Interpretation of Other Agreements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11.12</w:t>
            </w:r>
          </w:p>
        </w:tc>
        <w:tc>
          <w:tcPr>
            <w:tcW w:w="798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11.13</w:t>
            </w:r>
          </w:p>
        </w:tc>
        <w:tc>
          <w:tcPr>
            <w:tcW w:w="79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Section 11.14</w:t>
            </w:r>
          </w:p>
        </w:tc>
        <w:tc>
          <w:tcPr>
            <w:tcW w:w="7980" w:type="dxa"/>
            <w:vAlign w:val="bottom"/>
          </w:tcPr>
          <w:p>
            <w:pPr>
              <w:ind w:left="200"/>
              <w:spacing w:after="0"/>
              <w:rPr>
                <w:sz w:val="20"/>
                <w:szCs w:val="20"/>
                <w:color w:val="auto"/>
              </w:rPr>
            </w:pPr>
            <w:r>
              <w:rPr>
                <w:rFonts w:ascii="Arial" w:cs="Arial" w:eastAsia="Arial" w:hAnsi="Arial"/>
                <w:sz w:val="18"/>
                <w:szCs w:val="18"/>
                <w:color w:val="auto"/>
              </w:rPr>
              <w:t>Table of Contents, Headings, Etc</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color w:val="auto"/>
              </w:rPr>
              <w:t>ARTICLE XII.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500" w:type="dxa"/>
            <w:vAlign w:val="bottom"/>
          </w:tcPr>
          <w:p>
            <w:pPr>
              <w:ind w:left="340"/>
              <w:spacing w:after="0"/>
              <w:rPr>
                <w:sz w:val="20"/>
                <w:szCs w:val="20"/>
                <w:color w:val="auto"/>
              </w:rPr>
            </w:pPr>
            <w:r>
              <w:rPr>
                <w:rFonts w:ascii="Arial" w:cs="Arial" w:eastAsia="Arial" w:hAnsi="Arial"/>
                <w:sz w:val="18"/>
                <w:szCs w:val="18"/>
                <w:color w:val="auto"/>
              </w:rPr>
              <w:t>Section 12.1</w:t>
            </w:r>
          </w:p>
        </w:tc>
        <w:tc>
          <w:tcPr>
            <w:tcW w:w="798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12.2</w:t>
            </w:r>
          </w:p>
        </w:tc>
        <w:tc>
          <w:tcPr>
            <w:tcW w:w="7980" w:type="dxa"/>
            <w:vAlign w:val="bottom"/>
          </w:tcPr>
          <w:p>
            <w:pPr>
              <w:ind w:left="200"/>
              <w:spacing w:after="0"/>
              <w:rPr>
                <w:sz w:val="20"/>
                <w:szCs w:val="20"/>
                <w:color w:val="auto"/>
              </w:rPr>
            </w:pPr>
            <w:r>
              <w:rPr>
                <w:rFonts w:ascii="Arial" w:cs="Arial" w:eastAsia="Arial" w:hAnsi="Arial"/>
                <w:sz w:val="18"/>
                <w:szCs w:val="18"/>
                <w:color w:val="auto"/>
              </w:rPr>
              <w:t>Satisfaction of Sinking Fund Payments with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Section 12.3</w:t>
            </w:r>
          </w:p>
        </w:tc>
        <w:tc>
          <w:tcPr>
            <w:tcW w:w="7980" w:type="dxa"/>
            <w:vAlign w:val="bottom"/>
          </w:tcPr>
          <w:p>
            <w:pPr>
              <w:ind w:left="200"/>
              <w:spacing w:after="0"/>
              <w:rPr>
                <w:sz w:val="20"/>
                <w:szCs w:val="20"/>
                <w:color w:val="auto"/>
              </w:rPr>
            </w:pPr>
            <w:r>
              <w:rPr>
                <w:rFonts w:ascii="Arial" w:cs="Arial" w:eastAsia="Arial" w:hAnsi="Arial"/>
                <w:sz w:val="18"/>
                <w:szCs w:val="18"/>
                <w:color w:val="auto"/>
              </w:rPr>
              <w:t>Redemption of Securities for Sinking Fund</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Section 12.4</w:t>
            </w:r>
          </w:p>
        </w:tc>
        <w:tc>
          <w:tcPr>
            <w:tcW w:w="7980" w:type="dxa"/>
            <w:vAlign w:val="bottom"/>
          </w:tcPr>
          <w:p>
            <w:pPr>
              <w:ind w:left="20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160" w:type="dxa"/>
            <w:vAlign w:val="bottom"/>
          </w:tcPr>
          <w:p>
            <w:pPr>
              <w:jc w:val="center"/>
              <w:ind w:right="1990"/>
              <w:spacing w:after="0"/>
              <w:rPr>
                <w:sz w:val="20"/>
                <w:szCs w:val="20"/>
                <w:color w:val="auto"/>
              </w:rPr>
            </w:pPr>
            <w:r>
              <w:rPr>
                <w:rFonts w:ascii="Arial" w:cs="Arial" w:eastAsia="Arial" w:hAnsi="Arial"/>
                <w:sz w:val="18"/>
                <w:szCs w:val="18"/>
                <w:b w:val="1"/>
                <w:bCs w:val="1"/>
                <w:color w:val="auto"/>
                <w:w w:val="98"/>
              </w:rPr>
              <w:t>CLEARWAY ENERGY, INC.</w:t>
            </w:r>
          </w:p>
        </w:tc>
      </w:tr>
      <w:tr>
        <w:trPr>
          <w:trHeight w:val="418"/>
        </w:trPr>
        <w:tc>
          <w:tcPr>
            <w:tcW w:w="2080" w:type="dxa"/>
            <w:vAlign w:val="bottom"/>
          </w:tcPr>
          <w:p>
            <w:pPr>
              <w:spacing w:after="0"/>
              <w:rPr>
                <w:sz w:val="24"/>
                <w:szCs w:val="24"/>
                <w:color w:val="auto"/>
              </w:rPr>
            </w:pPr>
          </w:p>
        </w:tc>
        <w:tc>
          <w:tcPr>
            <w:tcW w:w="9160" w:type="dxa"/>
            <w:vAlign w:val="bottom"/>
          </w:tcPr>
          <w:p>
            <w:pPr>
              <w:jc w:val="center"/>
              <w:ind w:right="1970"/>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230"/>
        </w:trPr>
        <w:tc>
          <w:tcPr>
            <w:tcW w:w="2080" w:type="dxa"/>
            <w:vAlign w:val="bottom"/>
          </w:tcPr>
          <w:p>
            <w:pPr>
              <w:spacing w:after="0"/>
              <w:rPr>
                <w:sz w:val="20"/>
                <w:szCs w:val="20"/>
                <w:color w:val="auto"/>
              </w:rPr>
            </w:pPr>
          </w:p>
        </w:tc>
        <w:tc>
          <w:tcPr>
            <w:tcW w:w="9160" w:type="dxa"/>
            <w:vAlign w:val="bottom"/>
          </w:tcPr>
          <w:p>
            <w:pPr>
              <w:jc w:val="center"/>
              <w:ind w:right="1990"/>
              <w:spacing w:after="0"/>
              <w:rPr>
                <w:sz w:val="20"/>
                <w:szCs w:val="20"/>
                <w:color w:val="auto"/>
              </w:rPr>
            </w:pPr>
            <w:r>
              <w:rPr>
                <w:rFonts w:ascii="Arial" w:cs="Arial" w:eastAsia="Arial" w:hAnsi="Arial"/>
                <w:sz w:val="18"/>
                <w:szCs w:val="18"/>
                <w:color w:val="auto"/>
                <w:w w:val="88"/>
              </w:rPr>
              <w:t>Indenture, dated as of ,</w:t>
            </w:r>
          </w:p>
        </w:tc>
      </w:tr>
      <w:tr>
        <w:trPr>
          <w:trHeight w:val="216"/>
        </w:trPr>
        <w:tc>
          <w:tcPr>
            <w:tcW w:w="2080" w:type="dxa"/>
            <w:vAlign w:val="bottom"/>
          </w:tcPr>
          <w:p>
            <w:pPr>
              <w:spacing w:after="0"/>
              <w:rPr>
                <w:sz w:val="18"/>
                <w:szCs w:val="18"/>
                <w:color w:val="auto"/>
              </w:rPr>
            </w:pPr>
          </w:p>
        </w:tc>
        <w:tc>
          <w:tcPr>
            <w:tcW w:w="9160" w:type="dxa"/>
            <w:vAlign w:val="bottom"/>
          </w:tcPr>
          <w:p>
            <w:pPr>
              <w:spacing w:after="0"/>
              <w:rPr>
                <w:sz w:val="18"/>
                <w:szCs w:val="18"/>
                <w:color w:val="auto"/>
              </w:rPr>
            </w:pP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§310(a)(1)</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(a)(2)</w:t>
            </w:r>
          </w:p>
        </w:tc>
        <w:tc>
          <w:tcPr>
            <w:tcW w:w="9160" w:type="dxa"/>
            <w:vAlign w:val="bottom"/>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(a)(3)</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(a)(4)</w:t>
            </w:r>
          </w:p>
        </w:tc>
        <w:tc>
          <w:tcPr>
            <w:tcW w:w="91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(a)(5)</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7.10</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 311(a)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7.11</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7.11</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 312(a)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2.6</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§313(a)</w:t>
            </w:r>
          </w:p>
        </w:tc>
        <w:tc>
          <w:tcPr>
            <w:tcW w:w="9160" w:type="dxa"/>
            <w:vAlign w:val="bottom"/>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(b)(1)</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(b)(2)</w:t>
            </w:r>
          </w:p>
        </w:tc>
        <w:tc>
          <w:tcPr>
            <w:tcW w:w="9160" w:type="dxa"/>
            <w:vAlign w:val="bottom"/>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(c)(1)</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(d)</w:t>
            </w:r>
          </w:p>
        </w:tc>
        <w:tc>
          <w:tcPr>
            <w:tcW w:w="9160" w:type="dxa"/>
            <w:vAlign w:val="bottom"/>
          </w:tcPr>
          <w:p>
            <w:pPr>
              <w:ind w:left="3540"/>
              <w:spacing w:after="0"/>
              <w:rPr>
                <w:sz w:val="20"/>
                <w:szCs w:val="20"/>
                <w:color w:val="auto"/>
              </w:rPr>
            </w:pPr>
            <w:r>
              <w:rPr>
                <w:rFonts w:ascii="Arial" w:cs="Arial" w:eastAsia="Arial" w:hAnsi="Arial"/>
                <w:sz w:val="18"/>
                <w:szCs w:val="18"/>
                <w:color w:val="auto"/>
              </w:rPr>
              <w:t>7.6</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 314(a)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4.3, 11.5</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(c)(1)</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11.4</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(c)(2)</w:t>
            </w:r>
          </w:p>
        </w:tc>
        <w:tc>
          <w:tcPr>
            <w:tcW w:w="9160" w:type="dxa"/>
            <w:vAlign w:val="bottom"/>
          </w:tcPr>
          <w:p>
            <w:pPr>
              <w:ind w:left="3540"/>
              <w:spacing w:after="0"/>
              <w:rPr>
                <w:sz w:val="20"/>
                <w:szCs w:val="20"/>
                <w:color w:val="auto"/>
              </w:rPr>
            </w:pPr>
            <w:r>
              <w:rPr>
                <w:rFonts w:ascii="Arial" w:cs="Arial" w:eastAsia="Arial" w:hAnsi="Arial"/>
                <w:sz w:val="18"/>
                <w:szCs w:val="18"/>
                <w:color w:val="auto"/>
              </w:rPr>
              <w:t>11.4</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(c)(3)</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(d)</w:t>
            </w:r>
          </w:p>
        </w:tc>
        <w:tc>
          <w:tcPr>
            <w:tcW w:w="91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(e)</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11.5</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(f)</w:t>
            </w:r>
          </w:p>
        </w:tc>
        <w:tc>
          <w:tcPr>
            <w:tcW w:w="9160" w:type="dxa"/>
            <w:vAlign w:val="bottom"/>
          </w:tcPr>
          <w:p>
            <w:pPr>
              <w:ind w:left="3540"/>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 315(a)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7.5</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(d)</w:t>
            </w:r>
          </w:p>
        </w:tc>
        <w:tc>
          <w:tcPr>
            <w:tcW w:w="9160" w:type="dxa"/>
            <w:vAlign w:val="bottom"/>
          </w:tcPr>
          <w:p>
            <w:pPr>
              <w:ind w:left="3540"/>
              <w:spacing w:after="0"/>
              <w:rPr>
                <w:sz w:val="20"/>
                <w:szCs w:val="20"/>
                <w:color w:val="auto"/>
              </w:rPr>
            </w:pPr>
            <w:r>
              <w:rPr>
                <w:rFonts w:ascii="Arial" w:cs="Arial" w:eastAsia="Arial" w:hAnsi="Arial"/>
                <w:sz w:val="18"/>
                <w:szCs w:val="18"/>
                <w:color w:val="auto"/>
              </w:rPr>
              <w:t>7.1</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(e)</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6.11</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§316(a)</w:t>
            </w:r>
          </w:p>
        </w:tc>
        <w:tc>
          <w:tcPr>
            <w:tcW w:w="9160" w:type="dxa"/>
            <w:vAlign w:val="bottom"/>
          </w:tcPr>
          <w:p>
            <w:pPr>
              <w:ind w:left="3540"/>
              <w:spacing w:after="0"/>
              <w:rPr>
                <w:sz w:val="20"/>
                <w:szCs w:val="20"/>
                <w:color w:val="auto"/>
              </w:rPr>
            </w:pPr>
            <w:r>
              <w:rPr>
                <w:rFonts w:ascii="Arial" w:cs="Arial" w:eastAsia="Arial" w:hAnsi="Arial"/>
                <w:sz w:val="18"/>
                <w:szCs w:val="18"/>
                <w:color w:val="auto"/>
              </w:rPr>
              <w:t>2.10</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(a)(1)(A)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6.5</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(a)(1)(B)</w:t>
            </w:r>
          </w:p>
        </w:tc>
        <w:tc>
          <w:tcPr>
            <w:tcW w:w="9160" w:type="dxa"/>
            <w:vAlign w:val="bottom"/>
          </w:tcPr>
          <w:p>
            <w:pPr>
              <w:ind w:left="3540"/>
              <w:spacing w:after="0"/>
              <w:rPr>
                <w:sz w:val="20"/>
                <w:szCs w:val="20"/>
                <w:color w:val="auto"/>
              </w:rPr>
            </w:pPr>
            <w:r>
              <w:rPr>
                <w:rFonts w:ascii="Arial" w:cs="Arial" w:eastAsia="Arial" w:hAnsi="Arial"/>
                <w:sz w:val="18"/>
                <w:szCs w:val="18"/>
                <w:color w:val="auto"/>
              </w:rPr>
              <w:t>6.4</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(b)</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9.3</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§317(a)(1)</w:t>
            </w:r>
          </w:p>
        </w:tc>
        <w:tc>
          <w:tcPr>
            <w:tcW w:w="9160" w:type="dxa"/>
            <w:vAlign w:val="bottom"/>
          </w:tcPr>
          <w:p>
            <w:pPr>
              <w:ind w:left="3540"/>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(a)(2)</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6.9</w:t>
            </w:r>
          </w:p>
        </w:tc>
      </w:tr>
      <w:tr>
        <w:trPr>
          <w:trHeight w:val="216"/>
        </w:trPr>
        <w:tc>
          <w:tcPr>
            <w:tcW w:w="2080" w:type="dxa"/>
            <w:vAlign w:val="bottom"/>
          </w:tcPr>
          <w:p>
            <w:pPr>
              <w:ind w:left="60"/>
              <w:spacing w:after="0"/>
              <w:rPr>
                <w:sz w:val="20"/>
                <w:szCs w:val="20"/>
                <w:color w:val="auto"/>
              </w:rPr>
            </w:pPr>
            <w:r>
              <w:rPr>
                <w:rFonts w:ascii="Arial" w:cs="Arial" w:eastAsia="Arial" w:hAnsi="Arial"/>
                <w:sz w:val="18"/>
                <w:szCs w:val="18"/>
                <w:color w:val="auto"/>
              </w:rPr>
              <w:t>(b)</w:t>
            </w:r>
          </w:p>
        </w:tc>
        <w:tc>
          <w:tcPr>
            <w:tcW w:w="9160" w:type="dxa"/>
            <w:vAlign w:val="bottom"/>
          </w:tcPr>
          <w:p>
            <w:pPr>
              <w:ind w:left="3540"/>
              <w:spacing w:after="0"/>
              <w:rPr>
                <w:sz w:val="20"/>
                <w:szCs w:val="20"/>
                <w:color w:val="auto"/>
              </w:rPr>
            </w:pPr>
            <w:r>
              <w:rPr>
                <w:rFonts w:ascii="Arial" w:cs="Arial" w:eastAsia="Arial" w:hAnsi="Arial"/>
                <w:sz w:val="18"/>
                <w:szCs w:val="18"/>
                <w:color w:val="auto"/>
              </w:rPr>
              <w:t>2.5</w:t>
            </w:r>
          </w:p>
        </w:tc>
      </w:tr>
      <w:tr>
        <w:trPr>
          <w:trHeight w:val="216"/>
        </w:trPr>
        <w:tc>
          <w:tcPr>
            <w:tcW w:w="2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 318(a)</w:t>
            </w:r>
          </w:p>
        </w:tc>
        <w:tc>
          <w:tcPr>
            <w:tcW w:w="9160" w:type="dxa"/>
            <w:vAlign w:val="bottom"/>
            <w:shd w:val="clear" w:color="auto" w:fill="D9D9D9"/>
          </w:tcPr>
          <w:p>
            <w:pPr>
              <w:ind w:left="3540"/>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140" w:type="dxa"/>
            <w:vAlign w:val="bottom"/>
          </w:tcPr>
          <w:p>
            <w:pPr>
              <w:ind w:left="1300"/>
              <w:spacing w:after="0"/>
              <w:rPr>
                <w:sz w:val="20"/>
                <w:szCs w:val="20"/>
                <w:color w:val="auto"/>
              </w:rPr>
            </w:pPr>
            <w:r>
              <w:rPr>
                <w:rFonts w:ascii="Arial" w:cs="Arial" w:eastAsia="Arial" w:hAnsi="Arial"/>
                <w:sz w:val="18"/>
                <w:szCs w:val="18"/>
                <w:color w:val="auto"/>
              </w:rPr>
              <w:t>Indenture, dated as of</w:t>
            </w:r>
          </w:p>
        </w:tc>
        <w:tc>
          <w:tcPr>
            <w:tcW w:w="560" w:type="dxa"/>
            <w:vAlign w:val="bottom"/>
            <w:tcBorders>
              <w:bottom w:val="single" w:sz="8" w:color="auto"/>
            </w:tcBorders>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1"/>
              </w:rPr>
              <w:t>, , between Clearway Energy, Inc., a Delaware corporation (“Company”), and Delaware Trust Company,</w:t>
            </w: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as trustee (“Trustee”).</w:t>
            </w:r>
          </w:p>
        </w:tc>
        <w:tc>
          <w:tcPr>
            <w:tcW w:w="560" w:type="dxa"/>
            <w:vAlign w:val="bottom"/>
          </w:tcPr>
          <w:p>
            <w:pPr>
              <w:spacing w:after="0"/>
              <w:rPr>
                <w:sz w:val="20"/>
                <w:szCs w:val="20"/>
                <w:color w:val="auto"/>
              </w:rPr>
            </w:pPr>
          </w:p>
        </w:tc>
        <w:tc>
          <w:tcPr>
            <w:tcW w:w="7540" w:type="dxa"/>
            <w:vAlign w:val="bottom"/>
          </w:tcPr>
          <w:p>
            <w:pPr>
              <w:spacing w:after="0"/>
              <w:rPr>
                <w:sz w:val="20"/>
                <w:szCs w:val="20"/>
                <w:color w:val="auto"/>
              </w:rPr>
            </w:pPr>
          </w:p>
        </w:tc>
      </w:tr>
    </w:tbl>
    <w:p>
      <w:pPr>
        <w:spacing w:after="0" w:line="20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010000"/>
        </w:rPr>
        <w:t>Section 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“Additional Amounts”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means any Registrar, Paying Agent or Service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2000" w:hanging="696"/>
        <w:spacing w:after="0"/>
        <w:tabs>
          <w:tab w:leader="none" w:pos="2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board;</w:t>
      </w:r>
    </w:p>
    <w:p>
      <w:pPr>
        <w:spacing w:after="0" w:line="211" w:lineRule="exact"/>
        <w:rPr>
          <w:sz w:val="20"/>
          <w:szCs w:val="20"/>
          <w:color w:val="auto"/>
        </w:rPr>
      </w:pPr>
    </w:p>
    <w:p>
      <w:pPr>
        <w:ind w:left="2000" w:hanging="696"/>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a limited liability company, the managing member or members or any controlling committee of managing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members thereof; and</w:t>
      </w:r>
    </w:p>
    <w:p>
      <w:pPr>
        <w:spacing w:after="0" w:line="210" w:lineRule="exact"/>
        <w:rPr>
          <w:rFonts w:ascii="Arial" w:cs="Arial" w:eastAsia="Arial" w:hAnsi="Arial"/>
          <w:sz w:val="17"/>
          <w:szCs w:val="17"/>
          <w:color w:val="auto"/>
        </w:rPr>
      </w:pPr>
    </w:p>
    <w:p>
      <w:pPr>
        <w:ind w:left="2000" w:hanging="696"/>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firstLine="1296"/>
        <w:spacing w:after="0" w:line="263"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“Business Day” means any day except a Saturday, Sunday or a legal holiday in The City of New York on which banking institutions are authorized or required by law, regulation or executive order to close and any other day expressly provided for as a “Business Day” in a Board Resolution, Officers’ Certificate or supplemental indenture hereto for a particular Series.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“Capital Lease Obligation”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2060" w:hanging="756"/>
        <w:spacing w:after="0"/>
        <w:tabs>
          <w:tab w:leader="none" w:pos="2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firstLine="1304"/>
        <w:spacing w:after="0" w:line="277" w:lineRule="auto"/>
        <w:tabs>
          <w:tab w:leader="none" w:pos="20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interests; and</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means the party named as such above until a successor replaces it and thereafter means the successor.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“Company Order”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administered.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is, or with the passage of time or the giving of notice or both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59" w:lineRule="auto"/>
        <w:rPr>
          <w:sz w:val="20"/>
          <w:szCs w:val="20"/>
          <w:color w:val="auto"/>
        </w:rPr>
      </w:pPr>
      <w:r>
        <w:rPr>
          <w:rFonts w:ascii="Arial" w:cs="Arial" w:eastAsia="Arial" w:hAnsi="Arial"/>
          <w:sz w:val="18"/>
          <w:szCs w:val="18"/>
          <w:color w:val="auto"/>
        </w:rPr>
        <w:t>“Depositary”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“Discount Security”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“Dollars” and “$”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“ECU” means the European Currency Unit as determined by the Commission of the European Union.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“EDGAR” means the SEC’s Electronic Data Gathering, Analysis and Retrieval system or any successor thereto.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“Foreign Currency”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“Global Security”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“Government Securities”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firstLine="1304"/>
        <w:spacing w:after="0" w:line="277"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2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 or “Securityholder” means a person in whose name a Security is registered.</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“Indebtedness” means, with respect to any specified person, any indebtedness of such person (excluding accrued expenses and trade payables), whether or not contingent:</w:t>
      </w:r>
    </w:p>
    <w:p>
      <w:pPr>
        <w:spacing w:after="0" w:line="170" w:lineRule="exact"/>
        <w:rPr>
          <w:sz w:val="20"/>
          <w:szCs w:val="20"/>
          <w:color w:val="auto"/>
        </w:rPr>
      </w:pPr>
    </w:p>
    <w:p>
      <w:pPr>
        <w:ind w:left="2000" w:hanging="696"/>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2000" w:hanging="696"/>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225" w:lineRule="exact"/>
        <w:rPr>
          <w:rFonts w:ascii="Arial" w:cs="Arial" w:eastAsia="Arial" w:hAnsi="Arial"/>
          <w:sz w:val="18"/>
          <w:szCs w:val="18"/>
          <w:color w:val="auto"/>
        </w:rPr>
      </w:pPr>
    </w:p>
    <w:p>
      <w:pPr>
        <w:ind w:firstLine="1304"/>
        <w:spacing w:after="0" w:line="277" w:lineRule="auto"/>
        <w:tabs>
          <w:tab w:leader="none" w:pos="20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(including trade payables) or services due more than six months after such property is acquired or such services are completed; or</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the amount of such Indebtedness shall be deemed not to exceed the lesser of the amount secured by such Lien and the value of the person’s property securing such Lien.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1296"/>
        <w:spacing w:after="0" w:line="277" w:lineRule="auto"/>
        <w:rPr>
          <w:sz w:val="20"/>
          <w:szCs w:val="20"/>
          <w:color w:val="auto"/>
        </w:rPr>
      </w:pPr>
      <w:r>
        <w:rPr>
          <w:rFonts w:ascii="Arial" w:cs="Arial" w:eastAsia="Arial" w:hAnsi="Arial"/>
          <w:sz w:val="18"/>
          <w:szCs w:val="18"/>
          <w:color w:val="auto"/>
        </w:rPr>
        <w:t>“Indenture”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“interest” with respect to any Discount Security which by its terms bears interest only after Maturity, means interest payable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“Lien” means, with respect to any asset:</w:t>
      </w:r>
    </w:p>
    <w:p>
      <w:pPr>
        <w:spacing w:after="0" w:line="225" w:lineRule="exact"/>
        <w:rPr>
          <w:sz w:val="20"/>
          <w:szCs w:val="20"/>
          <w:color w:val="auto"/>
        </w:rPr>
      </w:pPr>
    </w:p>
    <w:p>
      <w:pPr>
        <w:ind w:firstLine="1304"/>
        <w:spacing w:after="0" w:line="277" w:lineRule="auto"/>
        <w:tabs>
          <w:tab w:leader="none" w:pos="20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right="20" w:firstLine="1304"/>
        <w:spacing w:after="0" w:line="277" w:lineRule="auto"/>
        <w:tabs>
          <w:tab w:leader="none" w:pos="2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right="20" w:firstLine="1304"/>
        <w:spacing w:after="0" w:line="277" w:lineRule="auto"/>
        <w:tabs>
          <w:tab w:leader="none" w:pos="20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“Maturity,”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“Officer” means the Chief Executive Officer, the President, any Vice-President, the Treasurer, the Secretary, any Assistant Treasurer or any Assistant Secretary of the Company.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“Officers’ Certificate”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“Opinion of Counsel” means a written opinion of legal counsel who is acceptable to the Trustee. The counsel may be an employee of or counsel to the Company who is acceptable to the Trustee.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“principal”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“Responsible Officer” means any officer of the Trustee in its Corporate Trust Office (including any managing director, director, vice president, assistant vice president, trust officer or corporate secretary) and also means, with respect to a particular corporate trust matter, any other officer customarily performing functions similar to those performed by the above designated officers and also means, any other officer to whom any corporate trust matter is referred because of his or her knowledge of and familiarity with a particular subject.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1300"/>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“Securities”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“Series” or “Series of Securities” means each series of debentures, notes or other debt instruments of the Company created pursuant to Sections 2.1 and 2.2 hereof.</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“Stated Maturity”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means, with respect to any specified person:</w:t>
      </w:r>
    </w:p>
    <w:p>
      <w:pPr>
        <w:spacing w:after="0" w:line="225" w:lineRule="exact"/>
        <w:rPr>
          <w:sz w:val="20"/>
          <w:szCs w:val="20"/>
          <w:color w:val="auto"/>
        </w:rPr>
      </w:pPr>
    </w:p>
    <w:p>
      <w:pPr>
        <w:jc w:val="both"/>
        <w:ind w:firstLine="1304"/>
        <w:spacing w:after="0" w:line="301" w:lineRule="auto"/>
        <w:tabs>
          <w:tab w:leader="none" w:pos="216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7" w:lineRule="exact"/>
        <w:rPr>
          <w:rFonts w:ascii="Arial" w:cs="Arial" w:eastAsia="Arial" w:hAnsi="Arial"/>
          <w:sz w:val="16"/>
          <w:szCs w:val="16"/>
          <w:color w:val="auto"/>
        </w:rPr>
      </w:pPr>
    </w:p>
    <w:p>
      <w:pPr>
        <w:ind w:right="20" w:firstLine="1304"/>
        <w:spacing w:after="0" w:line="308" w:lineRule="auto"/>
        <w:tabs>
          <w:tab w:leader="none" w:pos="21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“TIA”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000" w:type="dxa"/>
            <w:vAlign w:val="bottom"/>
          </w:tcPr>
          <w:p>
            <w:pPr>
              <w:ind w:left="660"/>
              <w:spacing w:after="0"/>
              <w:rPr>
                <w:sz w:val="20"/>
                <w:szCs w:val="20"/>
                <w:color w:val="auto"/>
              </w:rPr>
            </w:pPr>
            <w:r>
              <w:rPr>
                <w:rFonts w:ascii="Arial" w:cs="Arial" w:eastAsia="Arial" w:hAnsi="Arial"/>
                <w:sz w:val="18"/>
                <w:szCs w:val="18"/>
                <w:color w:val="010000"/>
              </w:rPr>
              <w:t>Section 1.2</w:t>
            </w:r>
          </w:p>
        </w:tc>
        <w:tc>
          <w:tcPr>
            <w:tcW w:w="4260" w:type="dxa"/>
            <w:vAlign w:val="bottom"/>
            <w:gridSpan w:val="2"/>
          </w:tcPr>
          <w:p>
            <w:pPr>
              <w:spacing w:after="0"/>
              <w:rPr>
                <w:sz w:val="20"/>
                <w:szCs w:val="20"/>
                <w:color w:val="auto"/>
              </w:rPr>
            </w:pPr>
            <w:r>
              <w:rPr>
                <w:rFonts w:ascii="Arial" w:cs="Arial" w:eastAsia="Arial" w:hAnsi="Arial"/>
                <w:sz w:val="18"/>
                <w:szCs w:val="18"/>
                <w:color w:val="auto"/>
              </w:rPr>
              <w:t>Other Definitions.</w:t>
            </w:r>
          </w:p>
        </w:tc>
        <w:tc>
          <w:tcPr>
            <w:tcW w:w="4980" w:type="dxa"/>
            <w:vAlign w:val="bottom"/>
          </w:tcPr>
          <w:p>
            <w:pPr>
              <w:spacing w:after="0"/>
              <w:rPr>
                <w:sz w:val="17"/>
                <w:szCs w:val="17"/>
                <w:color w:val="auto"/>
              </w:rPr>
            </w:pPr>
          </w:p>
        </w:tc>
      </w:tr>
      <w:tr>
        <w:trPr>
          <w:trHeight w:val="434"/>
        </w:trPr>
        <w:tc>
          <w:tcPr>
            <w:tcW w:w="20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4980" w:type="dxa"/>
            <w:vAlign w:val="bottom"/>
          </w:tcPr>
          <w:p>
            <w:pPr>
              <w:ind w:left="2940"/>
              <w:spacing w:after="0"/>
              <w:rPr>
                <w:sz w:val="20"/>
                <w:szCs w:val="20"/>
                <w:color w:val="auto"/>
              </w:rPr>
            </w:pPr>
            <w:r>
              <w:rPr>
                <w:rFonts w:ascii="Arial" w:cs="Arial" w:eastAsia="Arial" w:hAnsi="Arial"/>
                <w:sz w:val="18"/>
                <w:szCs w:val="18"/>
                <w:b w:val="1"/>
                <w:bCs w:val="1"/>
                <w:color w:val="auto"/>
              </w:rPr>
              <w:t>DEFINED IN</w:t>
            </w:r>
          </w:p>
        </w:tc>
      </w:tr>
      <w:tr>
        <w:trPr>
          <w:trHeight w:val="241"/>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TERM</w:t>
            </w:r>
          </w:p>
        </w:tc>
        <w:tc>
          <w:tcPr>
            <w:tcW w:w="1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2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“Bankruptcy Law”</w:t>
            </w:r>
          </w:p>
        </w:tc>
        <w:tc>
          <w:tcPr>
            <w:tcW w:w="1320" w:type="dxa"/>
            <w:vAlign w:val="bottom"/>
            <w:shd w:val="clear" w:color="auto" w:fill="D9D9D9"/>
          </w:tcPr>
          <w:p>
            <w:pPr>
              <w:spacing w:after="0"/>
              <w:rPr>
                <w:sz w:val="18"/>
                <w:szCs w:val="18"/>
                <w:color w:val="auto"/>
              </w:rPr>
            </w:pPr>
          </w:p>
        </w:tc>
        <w:tc>
          <w:tcPr>
            <w:tcW w:w="2940" w:type="dxa"/>
            <w:vAlign w:val="bottom"/>
            <w:shd w:val="clear" w:color="auto" w:fill="D9D9D9"/>
          </w:tcPr>
          <w:p>
            <w:pPr>
              <w:spacing w:after="0"/>
              <w:rPr>
                <w:sz w:val="18"/>
                <w:szCs w:val="18"/>
                <w:color w:val="auto"/>
              </w:rPr>
            </w:pPr>
          </w:p>
        </w:tc>
        <w:tc>
          <w:tcPr>
            <w:tcW w:w="4980" w:type="dxa"/>
            <w:vAlign w:val="bottom"/>
            <w:shd w:val="clear" w:color="auto" w:fill="D9D9D9"/>
          </w:tcPr>
          <w:p>
            <w:pPr>
              <w:ind w:left="2940"/>
              <w:spacing w:after="0"/>
              <w:rPr>
                <w:sz w:val="20"/>
                <w:szCs w:val="20"/>
                <w:color w:val="auto"/>
              </w:rPr>
            </w:pPr>
            <w:r>
              <w:rPr>
                <w:rFonts w:ascii="Arial" w:cs="Arial" w:eastAsia="Arial" w:hAnsi="Arial"/>
                <w:sz w:val="18"/>
                <w:szCs w:val="18"/>
                <w:color w:val="auto"/>
              </w:rPr>
              <w:t>6.1</w:t>
            </w:r>
          </w:p>
        </w:tc>
      </w:tr>
      <w:tr>
        <w:trPr>
          <w:trHeight w:val="223"/>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“Custodian”</w:t>
            </w:r>
          </w:p>
        </w:tc>
        <w:tc>
          <w:tcPr>
            <w:tcW w:w="1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6.1</w:t>
            </w:r>
          </w:p>
        </w:tc>
      </w:tr>
      <w:tr>
        <w:trPr>
          <w:trHeight w:val="216"/>
        </w:trPr>
        <w:tc>
          <w:tcPr>
            <w:tcW w:w="2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“Event of Default”</w:t>
            </w:r>
          </w:p>
        </w:tc>
        <w:tc>
          <w:tcPr>
            <w:tcW w:w="1320" w:type="dxa"/>
            <w:vAlign w:val="bottom"/>
            <w:shd w:val="clear" w:color="auto" w:fill="D9D9D9"/>
          </w:tcPr>
          <w:p>
            <w:pPr>
              <w:spacing w:after="0"/>
              <w:rPr>
                <w:sz w:val="18"/>
                <w:szCs w:val="18"/>
                <w:color w:val="auto"/>
              </w:rPr>
            </w:pPr>
          </w:p>
        </w:tc>
        <w:tc>
          <w:tcPr>
            <w:tcW w:w="2940" w:type="dxa"/>
            <w:vAlign w:val="bottom"/>
            <w:shd w:val="clear" w:color="auto" w:fill="D9D9D9"/>
          </w:tcPr>
          <w:p>
            <w:pPr>
              <w:spacing w:after="0"/>
              <w:rPr>
                <w:sz w:val="18"/>
                <w:szCs w:val="18"/>
                <w:color w:val="auto"/>
              </w:rPr>
            </w:pPr>
          </w:p>
        </w:tc>
        <w:tc>
          <w:tcPr>
            <w:tcW w:w="4980" w:type="dxa"/>
            <w:vAlign w:val="bottom"/>
            <w:shd w:val="clear" w:color="auto" w:fill="D9D9D9"/>
          </w:tcPr>
          <w:p>
            <w:pPr>
              <w:ind w:left="2940"/>
              <w:spacing w:after="0"/>
              <w:rPr>
                <w:sz w:val="20"/>
                <w:szCs w:val="20"/>
                <w:color w:val="auto"/>
              </w:rPr>
            </w:pPr>
            <w:r>
              <w:rPr>
                <w:rFonts w:ascii="Arial" w:cs="Arial" w:eastAsia="Arial" w:hAnsi="Arial"/>
                <w:sz w:val="18"/>
                <w:szCs w:val="18"/>
                <w:color w:val="auto"/>
              </w:rPr>
              <w:t>6.1</w:t>
            </w:r>
          </w:p>
        </w:tc>
      </w:tr>
      <w:tr>
        <w:trPr>
          <w:trHeight w:val="223"/>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“Legal Holiday”</w:t>
            </w:r>
          </w:p>
        </w:tc>
        <w:tc>
          <w:tcPr>
            <w:tcW w:w="1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11.7</w:t>
            </w:r>
          </w:p>
        </w:tc>
      </w:tr>
      <w:tr>
        <w:trPr>
          <w:trHeight w:val="216"/>
        </w:trPr>
        <w:tc>
          <w:tcPr>
            <w:tcW w:w="6260" w:type="dxa"/>
            <w:vAlign w:val="bottom"/>
            <w:gridSpan w:val="3"/>
            <w:shd w:val="clear" w:color="auto" w:fill="D9D9D9"/>
          </w:tcPr>
          <w:p>
            <w:pPr>
              <w:ind w:left="100"/>
              <w:spacing w:after="0"/>
              <w:rPr>
                <w:sz w:val="20"/>
                <w:szCs w:val="20"/>
                <w:color w:val="auto"/>
              </w:rPr>
            </w:pPr>
            <w:r>
              <w:rPr>
                <w:rFonts w:ascii="Arial" w:cs="Arial" w:eastAsia="Arial" w:hAnsi="Arial"/>
                <w:sz w:val="18"/>
                <w:szCs w:val="18"/>
                <w:color w:val="auto"/>
              </w:rPr>
              <w:t>“mandatory sinking fund payment”</w:t>
            </w:r>
          </w:p>
        </w:tc>
        <w:tc>
          <w:tcPr>
            <w:tcW w:w="4980" w:type="dxa"/>
            <w:vAlign w:val="bottom"/>
            <w:shd w:val="clear" w:color="auto" w:fill="D9D9D9"/>
          </w:tcPr>
          <w:p>
            <w:pPr>
              <w:ind w:left="2940"/>
              <w:spacing w:after="0"/>
              <w:rPr>
                <w:sz w:val="20"/>
                <w:szCs w:val="20"/>
                <w:color w:val="auto"/>
              </w:rPr>
            </w:pPr>
            <w:r>
              <w:rPr>
                <w:rFonts w:ascii="Arial" w:cs="Arial" w:eastAsia="Arial" w:hAnsi="Arial"/>
                <w:sz w:val="18"/>
                <w:szCs w:val="18"/>
                <w:color w:val="auto"/>
              </w:rPr>
              <w:t>12.1</w:t>
            </w:r>
          </w:p>
        </w:tc>
      </w:tr>
      <w:tr>
        <w:trPr>
          <w:trHeight w:val="223"/>
        </w:trPr>
        <w:tc>
          <w:tcPr>
            <w:tcW w:w="6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“optional sinking fund payment”</w:t>
            </w:r>
          </w:p>
        </w:tc>
        <w:tc>
          <w:tcPr>
            <w:tcW w:w="49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12.1</w:t>
            </w:r>
          </w:p>
        </w:tc>
      </w:tr>
      <w:tr>
        <w:trPr>
          <w:trHeight w:val="216"/>
        </w:trPr>
        <w:tc>
          <w:tcPr>
            <w:tcW w:w="2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“Paying Agent”</w:t>
            </w:r>
          </w:p>
        </w:tc>
        <w:tc>
          <w:tcPr>
            <w:tcW w:w="1320" w:type="dxa"/>
            <w:vAlign w:val="bottom"/>
            <w:shd w:val="clear" w:color="auto" w:fill="D9D9D9"/>
          </w:tcPr>
          <w:p>
            <w:pPr>
              <w:spacing w:after="0"/>
              <w:rPr>
                <w:sz w:val="18"/>
                <w:szCs w:val="18"/>
                <w:color w:val="auto"/>
              </w:rPr>
            </w:pPr>
          </w:p>
        </w:tc>
        <w:tc>
          <w:tcPr>
            <w:tcW w:w="2940" w:type="dxa"/>
            <w:vAlign w:val="bottom"/>
            <w:shd w:val="clear" w:color="auto" w:fill="D9D9D9"/>
          </w:tcPr>
          <w:p>
            <w:pPr>
              <w:spacing w:after="0"/>
              <w:rPr>
                <w:sz w:val="18"/>
                <w:szCs w:val="18"/>
                <w:color w:val="auto"/>
              </w:rPr>
            </w:pPr>
          </w:p>
        </w:tc>
        <w:tc>
          <w:tcPr>
            <w:tcW w:w="4980" w:type="dxa"/>
            <w:vAlign w:val="bottom"/>
            <w:shd w:val="clear" w:color="auto" w:fill="D9D9D9"/>
          </w:tcPr>
          <w:p>
            <w:pPr>
              <w:ind w:left="2940"/>
              <w:spacing w:after="0"/>
              <w:rPr>
                <w:sz w:val="20"/>
                <w:szCs w:val="20"/>
                <w:color w:val="auto"/>
              </w:rPr>
            </w:pPr>
            <w:r>
              <w:rPr>
                <w:rFonts w:ascii="Arial" w:cs="Arial" w:eastAsia="Arial" w:hAnsi="Arial"/>
                <w:sz w:val="18"/>
                <w:szCs w:val="18"/>
                <w:color w:val="auto"/>
              </w:rPr>
              <w:t>2.4</w:t>
            </w:r>
          </w:p>
        </w:tc>
      </w:tr>
      <w:tr>
        <w:trPr>
          <w:trHeight w:val="223"/>
        </w:trPr>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“Registrar”</w:t>
            </w:r>
          </w:p>
        </w:tc>
        <w:tc>
          <w:tcPr>
            <w:tcW w:w="1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2.4</w:t>
            </w:r>
          </w:p>
        </w:tc>
      </w:tr>
      <w:tr>
        <w:trPr>
          <w:trHeight w:val="216"/>
        </w:trPr>
        <w:tc>
          <w:tcPr>
            <w:tcW w:w="2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“Service Agent”</w:t>
            </w:r>
          </w:p>
        </w:tc>
        <w:tc>
          <w:tcPr>
            <w:tcW w:w="1320" w:type="dxa"/>
            <w:vAlign w:val="bottom"/>
            <w:shd w:val="clear" w:color="auto" w:fill="D9D9D9"/>
          </w:tcPr>
          <w:p>
            <w:pPr>
              <w:spacing w:after="0"/>
              <w:rPr>
                <w:sz w:val="18"/>
                <w:szCs w:val="18"/>
                <w:color w:val="auto"/>
              </w:rPr>
            </w:pPr>
          </w:p>
        </w:tc>
        <w:tc>
          <w:tcPr>
            <w:tcW w:w="2940" w:type="dxa"/>
            <w:vAlign w:val="bottom"/>
            <w:shd w:val="clear" w:color="auto" w:fill="D9D9D9"/>
          </w:tcPr>
          <w:p>
            <w:pPr>
              <w:spacing w:after="0"/>
              <w:rPr>
                <w:sz w:val="18"/>
                <w:szCs w:val="18"/>
                <w:color w:val="auto"/>
              </w:rPr>
            </w:pPr>
          </w:p>
        </w:tc>
        <w:tc>
          <w:tcPr>
            <w:tcW w:w="4980" w:type="dxa"/>
            <w:vAlign w:val="bottom"/>
            <w:shd w:val="clear" w:color="auto" w:fill="D9D9D9"/>
          </w:tcPr>
          <w:p>
            <w:pPr>
              <w:ind w:left="2940"/>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1.3</w:t>
      </w:r>
      <w:r>
        <w:rPr>
          <w:sz w:val="20"/>
          <w:szCs w:val="20"/>
          <w:color w:val="auto"/>
        </w:rPr>
        <w:tab/>
      </w:r>
      <w:r>
        <w:rPr>
          <w:rFonts w:ascii="Arial" w:cs="Arial" w:eastAsia="Arial" w:hAnsi="Arial"/>
          <w:sz w:val="16"/>
          <w:szCs w:val="16"/>
          <w:u w:val="single" w:color="auto"/>
          <w:color w:val="auto"/>
        </w:rPr>
        <w:t>Incorporation by Reference of Trust Indenture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Securityholder.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700" w:hanging="748"/>
        <w:spacing w:after="0"/>
        <w:tabs>
          <w:tab w:leader="none" w:pos="270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010000"/>
        </w:rPr>
      </w:pPr>
    </w:p>
    <w:p>
      <w:pPr>
        <w:ind w:left="2940" w:hanging="988"/>
        <w:spacing w:after="0"/>
        <w:tabs>
          <w:tab w:leader="none" w:pos="2940"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an accounting term not otherwise defined has the meaning assigned to it in accordance with generally accepted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ind w:firstLine="1952"/>
        <w:spacing w:after="0" w:line="277" w:lineRule="auto"/>
        <w:tabs>
          <w:tab w:leader="none" w:pos="2899"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70" w:lineRule="exact"/>
        <w:rPr>
          <w:rFonts w:ascii="Arial" w:cs="Arial" w:eastAsia="Arial" w:hAnsi="Arial"/>
          <w:sz w:val="18"/>
          <w:szCs w:val="18"/>
          <w:color w:val="010000"/>
        </w:rPr>
      </w:pPr>
    </w:p>
    <w:p>
      <w:pPr>
        <w:ind w:left="2700" w:hanging="748"/>
        <w:spacing w:after="0"/>
        <w:tabs>
          <w:tab w:leader="none" w:pos="27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010000"/>
        </w:rPr>
      </w:pPr>
    </w:p>
    <w:p>
      <w:pPr>
        <w:ind w:left="2700" w:hanging="748"/>
        <w:spacing w:after="0"/>
        <w:tabs>
          <w:tab w:leader="none" w:pos="27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010000"/>
        </w:rPr>
      </w:pPr>
    </w:p>
    <w:p>
      <w:pPr>
        <w:ind w:left="2680" w:hanging="728"/>
        <w:spacing w:after="0"/>
        <w:tabs>
          <w:tab w:leader="none" w:pos="268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“including” is not limiting; and</w:t>
      </w:r>
    </w:p>
    <w:p>
      <w:pPr>
        <w:spacing w:after="0" w:line="225" w:lineRule="exact"/>
        <w:rPr>
          <w:rFonts w:ascii="Arial" w:cs="Arial" w:eastAsia="Arial" w:hAnsi="Arial"/>
          <w:sz w:val="18"/>
          <w:szCs w:val="18"/>
          <w:color w:val="010000"/>
        </w:rPr>
      </w:pPr>
    </w:p>
    <w:p>
      <w:pPr>
        <w:ind w:left="2700" w:hanging="748"/>
        <w:spacing w:after="0"/>
        <w:tabs>
          <w:tab w:leader="none" w:pos="27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2.1</w:t>
      </w:r>
      <w:r>
        <w:rPr>
          <w:sz w:val="20"/>
          <w:szCs w:val="20"/>
          <w:color w:val="auto"/>
        </w:rPr>
        <w:tab/>
      </w:r>
      <w:r>
        <w:rPr>
          <w:rFonts w:ascii="Arial" w:cs="Arial" w:eastAsia="Arial" w:hAnsi="Arial"/>
          <w:sz w:val="15"/>
          <w:szCs w:val="15"/>
          <w:u w:val="single" w:color="auto"/>
          <w:color w:val="auto"/>
        </w:rPr>
        <w:t>Issuable in Series.</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2.2</w:t>
      </w:r>
      <w:r>
        <w:rPr>
          <w:sz w:val="20"/>
          <w:szCs w:val="20"/>
          <w:color w:val="auto"/>
        </w:rPr>
        <w:tab/>
      </w:r>
      <w:r>
        <w:rPr>
          <w:rFonts w:ascii="Arial" w:cs="Arial" w:eastAsia="Arial" w:hAnsi="Arial"/>
          <w:sz w:val="16"/>
          <w:szCs w:val="16"/>
          <w:u w:val="single" w:color="auto"/>
          <w:color w:val="auto"/>
        </w:rPr>
        <w:t>Establishment of Terms of Series of Securities.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or an Officers’ Certificate pursuant to authority granted under a Board Resolution:</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010000"/>
        </w:rPr>
        <w:t>2.2.1</w:t>
      </w:r>
      <w:r>
        <w:rPr>
          <w:sz w:val="20"/>
          <w:szCs w:val="20"/>
          <w:color w:val="auto"/>
        </w:rPr>
        <w:tab/>
      </w:r>
      <w:r>
        <w:rPr>
          <w:rFonts w:ascii="Arial" w:cs="Arial" w:eastAsia="Arial" w:hAnsi="Arial"/>
          <w:sz w:val="16"/>
          <w:szCs w:val="16"/>
          <w:color w:val="auto"/>
        </w:rPr>
        <w:t>the title of the Series (which shall distinguish the Securities of that particular Series from the Securities of any other Series);</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010000"/>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color w:val="000000"/>
        </w:rPr>
        <w:t>any limit upon the aggregate principal amount of the Securities of the Series which may be authenticated and delivered under</w:t>
      </w:r>
      <w:r>
        <w:rPr>
          <w:rFonts w:ascii="Arial" w:cs="Arial" w:eastAsia="Arial" w:hAnsi="Arial"/>
          <w:sz w:val="18"/>
          <w:szCs w:val="18"/>
          <w:color w:val="010000"/>
        </w:rPr>
        <w:t xml:space="preserve"> </w:t>
      </w:r>
      <w:r>
        <w:rPr>
          <w:rFonts w:ascii="Arial" w:cs="Arial" w:eastAsia="Arial" w:hAnsi="Arial"/>
          <w:sz w:val="18"/>
          <w:szCs w:val="18"/>
          <w:color w:val="000000"/>
        </w:rPr>
        <w:t>this Indenture (except for Securities authenticated and delivered upon registration of transfer of, or in exchange for, or in lieu of, other Securities of the Series pursuant to Section 2.7, 2.8, 2.11, 3.6 or 9.6);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1300"/>
        <w:spacing w:after="0"/>
        <w:tabs>
          <w:tab w:leader="none" w:pos="2000" w:val="left"/>
        </w:tabs>
        <w:rPr>
          <w:sz w:val="20"/>
          <w:szCs w:val="20"/>
          <w:color w:val="auto"/>
        </w:rPr>
      </w:pPr>
      <w:r>
        <w:rPr>
          <w:rFonts w:ascii="Arial" w:cs="Arial" w:eastAsia="Arial" w:hAnsi="Arial"/>
          <w:sz w:val="18"/>
          <w:szCs w:val="18"/>
          <w:color w:val="010000"/>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2.2.5 </w:t>
      </w:r>
      <w:r>
        <w:rPr>
          <w:rFonts w:ascii="Arial" w:cs="Arial" w:eastAsia="Arial" w:hAnsi="Arial"/>
          <w:sz w:val="17"/>
          <w:szCs w:val="17"/>
          <w:color w:val="000000"/>
        </w:rPr>
        <w:t>the rate or rates (which may be fixed or variable) per annum or, if applicable, the method used to determine such rate or rates</w:t>
      </w:r>
      <w:r>
        <w:rPr>
          <w:rFonts w:ascii="Arial" w:cs="Arial" w:eastAsia="Arial" w:hAnsi="Arial"/>
          <w:sz w:val="17"/>
          <w:szCs w:val="17"/>
          <w:color w:val="010000"/>
        </w:rPr>
        <w:t xml:space="preserve"> </w:t>
      </w:r>
      <w:r>
        <w:rPr>
          <w:rFonts w:ascii="Arial" w:cs="Arial" w:eastAsia="Arial" w:hAnsi="Arial"/>
          <w:sz w:val="17"/>
          <w:szCs w:val="17"/>
          <w:color w:val="000000"/>
        </w:rPr>
        <w:t>(including,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provided, however, that the method used to determine such rate or rates at which the Securities of the Series shall bear interest must be acceptable to the Trustee;</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2.2.6 </w:t>
      </w:r>
      <w:r>
        <w:rPr>
          <w:rFonts w:ascii="Arial" w:cs="Arial" w:eastAsia="Arial" w:hAnsi="Arial"/>
          <w:sz w:val="17"/>
          <w:szCs w:val="17"/>
          <w:color w:val="000000"/>
        </w:rPr>
        <w:t>the place or places where the principal of and interest, if any, on the Securities of the Series shall be payable, where the</w:t>
      </w:r>
      <w:r>
        <w:rPr>
          <w:rFonts w:ascii="Arial" w:cs="Arial" w:eastAsia="Arial" w:hAnsi="Arial"/>
          <w:sz w:val="17"/>
          <w:szCs w:val="17"/>
          <w:color w:val="010000"/>
        </w:rPr>
        <w:t xml:space="preserve"> </w:t>
      </w:r>
      <w:r>
        <w:rPr>
          <w:rFonts w:ascii="Arial" w:cs="Arial" w:eastAsia="Arial" w:hAnsi="Arial"/>
          <w:sz w:val="17"/>
          <w:szCs w:val="17"/>
          <w:color w:val="000000"/>
        </w:rPr>
        <w:t>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2.2.7 </w:t>
      </w:r>
      <w:r>
        <w:rPr>
          <w:rFonts w:ascii="Arial" w:cs="Arial" w:eastAsia="Arial" w:hAnsi="Arial"/>
          <w:sz w:val="18"/>
          <w:szCs w:val="18"/>
          <w:color w:val="000000"/>
        </w:rPr>
        <w:t>if applicable, the period or periods within which, the price or prices at which and the terms and conditions upon which the</w:t>
      </w:r>
      <w:r>
        <w:rPr>
          <w:rFonts w:ascii="Arial" w:cs="Arial" w:eastAsia="Arial" w:hAnsi="Arial"/>
          <w:sz w:val="18"/>
          <w:szCs w:val="18"/>
          <w:color w:val="010000"/>
        </w:rPr>
        <w:t xml:space="preserve"> </w:t>
      </w:r>
      <w:r>
        <w:rPr>
          <w:rFonts w:ascii="Arial" w:cs="Arial" w:eastAsia="Arial" w:hAnsi="Arial"/>
          <w:sz w:val="18"/>
          <w:szCs w:val="18"/>
          <w:color w:val="000000"/>
        </w:rPr>
        <w:t>Securities of the Series may be redeemed, in whole or in part, at the option of the Company;</w:t>
      </w:r>
    </w:p>
    <w:p>
      <w:pPr>
        <w:spacing w:after="0" w:line="17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010000"/>
        </w:rPr>
        <w:t xml:space="preserve">2.2.8 </w:t>
      </w:r>
      <w:r>
        <w:rPr>
          <w:rFonts w:ascii="Arial" w:cs="Arial" w:eastAsia="Arial" w:hAnsi="Arial"/>
          <w:sz w:val="18"/>
          <w:szCs w:val="18"/>
          <w:color w:val="000000"/>
        </w:rPr>
        <w:t>the obligation, if any, of the Company to redeem or purchase the Securities of the Series pursuant to any sinking fund or</w:t>
      </w:r>
      <w:r>
        <w:rPr>
          <w:rFonts w:ascii="Arial" w:cs="Arial" w:eastAsia="Arial" w:hAnsi="Arial"/>
          <w:sz w:val="18"/>
          <w:szCs w:val="18"/>
          <w:color w:val="010000"/>
        </w:rPr>
        <w:t xml:space="preserve"> </w:t>
      </w:r>
      <w:r>
        <w:rPr>
          <w:rFonts w:ascii="Arial" w:cs="Arial" w:eastAsia="Arial" w:hAnsi="Arial"/>
          <w:sz w:val="18"/>
          <w:szCs w:val="18"/>
          <w:color w:val="000000"/>
        </w:rPr>
        <w:t>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2.2.9 </w:t>
      </w:r>
      <w:r>
        <w:rPr>
          <w:rFonts w:ascii="Arial" w:cs="Arial" w:eastAsia="Arial" w:hAnsi="Arial"/>
          <w:sz w:val="18"/>
          <w:szCs w:val="18"/>
          <w:color w:val="000000"/>
        </w:rPr>
        <w:t>the dates, if any, on which and the price or prices at which the Securities of the Series will be repurchased by the Company at</w:t>
      </w:r>
      <w:r>
        <w:rPr>
          <w:rFonts w:ascii="Arial" w:cs="Arial" w:eastAsia="Arial" w:hAnsi="Arial"/>
          <w:sz w:val="18"/>
          <w:szCs w:val="18"/>
          <w:color w:val="010000"/>
        </w:rPr>
        <w:t xml:space="preserve"> </w:t>
      </w:r>
      <w:r>
        <w:rPr>
          <w:rFonts w:ascii="Arial" w:cs="Arial" w:eastAsia="Arial" w:hAnsi="Arial"/>
          <w:sz w:val="18"/>
          <w:szCs w:val="18"/>
          <w:color w:val="000000"/>
        </w:rPr>
        <w:t>the option of the Holders thereof and other detailed terms and provisions of such repurchase obligations;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2.2.10 </w:t>
      </w:r>
      <w:r>
        <w:rPr>
          <w:rFonts w:ascii="Arial" w:cs="Arial" w:eastAsia="Arial" w:hAnsi="Arial"/>
          <w:sz w:val="18"/>
          <w:szCs w:val="18"/>
          <w:color w:val="000000"/>
        </w:rPr>
        <w:t>if other than denominations of $2,000 and any integral multiple of $1,000 in excess thereof, the denominations in which the</w:t>
      </w:r>
      <w:r>
        <w:rPr>
          <w:rFonts w:ascii="Arial" w:cs="Arial" w:eastAsia="Arial" w:hAnsi="Arial"/>
          <w:sz w:val="18"/>
          <w:szCs w:val="18"/>
          <w:color w:val="010000"/>
        </w:rPr>
        <w:t xml:space="preserve"> </w:t>
      </w:r>
      <w:r>
        <w:rPr>
          <w:rFonts w:ascii="Arial" w:cs="Arial" w:eastAsia="Arial" w:hAnsi="Arial"/>
          <w:sz w:val="18"/>
          <w:szCs w:val="18"/>
          <w:color w:val="000000"/>
        </w:rPr>
        <w:t>Securities of the Series shall be issuable;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2.2.11 </w:t>
      </w:r>
      <w:r>
        <w:rPr>
          <w:rFonts w:ascii="Arial" w:cs="Arial" w:eastAsia="Arial" w:hAnsi="Arial"/>
          <w:sz w:val="18"/>
          <w:szCs w:val="18"/>
          <w:color w:val="000000"/>
        </w:rPr>
        <w:t>whether the Securities of the Series are to be issued in whole or in part in the form of one or more Global Securities and, in</w:t>
      </w:r>
      <w:r>
        <w:rPr>
          <w:rFonts w:ascii="Arial" w:cs="Arial" w:eastAsia="Arial" w:hAnsi="Arial"/>
          <w:sz w:val="18"/>
          <w:szCs w:val="18"/>
          <w:color w:val="010000"/>
        </w:rPr>
        <w:t xml:space="preserve"> </w:t>
      </w:r>
      <w:r>
        <w:rPr>
          <w:rFonts w:ascii="Arial" w:cs="Arial" w:eastAsia="Arial" w:hAnsi="Arial"/>
          <w:sz w:val="18"/>
          <w:szCs w:val="18"/>
          <w:color w:val="000000"/>
        </w:rPr>
        <w:t>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2.2.12 </w:t>
      </w:r>
      <w:r>
        <w:rPr>
          <w:rFonts w:ascii="Arial" w:cs="Arial" w:eastAsia="Arial" w:hAnsi="Arial"/>
          <w:sz w:val="18"/>
          <w:szCs w:val="18"/>
          <w:color w:val="000000"/>
        </w:rPr>
        <w:t>if other than the principal amount thereof, the portion of the principal amount of the Securities of the Series that shall be</w:t>
      </w:r>
      <w:r>
        <w:rPr>
          <w:rFonts w:ascii="Arial" w:cs="Arial" w:eastAsia="Arial" w:hAnsi="Arial"/>
          <w:sz w:val="18"/>
          <w:szCs w:val="18"/>
          <w:color w:val="010000"/>
        </w:rPr>
        <w:t xml:space="preserve"> </w:t>
      </w:r>
      <w:r>
        <w:rPr>
          <w:rFonts w:ascii="Arial" w:cs="Arial" w:eastAsia="Arial" w:hAnsi="Arial"/>
          <w:sz w:val="18"/>
          <w:szCs w:val="18"/>
          <w:color w:val="000000"/>
        </w:rPr>
        <w:t>payable upon declaration of acceleration of the maturity thereof pursuant to Section 6.2;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296"/>
        <w:spacing w:after="0" w:line="263" w:lineRule="auto"/>
        <w:rPr>
          <w:sz w:val="20"/>
          <w:szCs w:val="20"/>
          <w:color w:val="auto"/>
        </w:rPr>
      </w:pPr>
      <w:r>
        <w:rPr>
          <w:rFonts w:ascii="Arial" w:cs="Arial" w:eastAsia="Arial" w:hAnsi="Arial"/>
          <w:sz w:val="18"/>
          <w:szCs w:val="18"/>
          <w:color w:val="010000"/>
        </w:rPr>
        <w:t xml:space="preserve">2.2.13 </w:t>
      </w:r>
      <w:r>
        <w:rPr>
          <w:rFonts w:ascii="Arial" w:cs="Arial" w:eastAsia="Arial" w:hAnsi="Arial"/>
          <w:sz w:val="18"/>
          <w:szCs w:val="18"/>
          <w:color w:val="000000"/>
        </w:rPr>
        <w:t>the currency of denomination of the Securities of the Series, which may be Dollars or any Foreign Currency, including, but not</w:t>
      </w:r>
      <w:r>
        <w:rPr>
          <w:rFonts w:ascii="Arial" w:cs="Arial" w:eastAsia="Arial" w:hAnsi="Arial"/>
          <w:sz w:val="18"/>
          <w:szCs w:val="18"/>
          <w:color w:val="010000"/>
        </w:rPr>
        <w:t xml:space="preserve"> </w:t>
      </w:r>
      <w:r>
        <w:rPr>
          <w:rFonts w:ascii="Arial" w:cs="Arial" w:eastAsia="Arial" w:hAnsi="Arial"/>
          <w:sz w:val="18"/>
          <w:szCs w:val="18"/>
          <w:color w:val="000000"/>
        </w:rPr>
        <w:t>limited to, the ECU, and if such currency of denomination is a composite currency other than the ECU, the agency or organization, if any, responsible for overseeing such composite currency;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2.2.14 </w:t>
      </w:r>
      <w:r>
        <w:rPr>
          <w:rFonts w:ascii="Arial" w:cs="Arial" w:eastAsia="Arial" w:hAnsi="Arial"/>
          <w:sz w:val="18"/>
          <w:szCs w:val="18"/>
          <w:color w:val="000000"/>
        </w:rPr>
        <w:t>the designation of the currency, currencies or currency units in which payment of the principal of and interest, if any, on the</w:t>
      </w:r>
      <w:r>
        <w:rPr>
          <w:rFonts w:ascii="Arial" w:cs="Arial" w:eastAsia="Arial" w:hAnsi="Arial"/>
          <w:sz w:val="18"/>
          <w:szCs w:val="18"/>
          <w:color w:val="010000"/>
        </w:rPr>
        <w:t xml:space="preserve"> </w:t>
      </w:r>
      <w:r>
        <w:rPr>
          <w:rFonts w:ascii="Arial" w:cs="Arial" w:eastAsia="Arial" w:hAnsi="Arial"/>
          <w:sz w:val="18"/>
          <w:szCs w:val="18"/>
          <w:color w:val="000000"/>
        </w:rPr>
        <w:t>Securities of the Series will be made;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2.2.15 </w:t>
      </w:r>
      <w:r>
        <w:rPr>
          <w:rFonts w:ascii="Arial" w:cs="Arial" w:eastAsia="Arial" w:hAnsi="Arial"/>
          <w:sz w:val="18"/>
          <w:szCs w:val="18"/>
          <w:color w:val="000000"/>
        </w:rPr>
        <w:t>if payments of principal of or interest, if any, on the Securities of the Series are to be made in one or more currencies or</w:t>
      </w:r>
      <w:r>
        <w:rPr>
          <w:rFonts w:ascii="Arial" w:cs="Arial" w:eastAsia="Arial" w:hAnsi="Arial"/>
          <w:sz w:val="18"/>
          <w:szCs w:val="18"/>
          <w:color w:val="010000"/>
        </w:rPr>
        <w:t xml:space="preserve"> </w:t>
      </w:r>
      <w:r>
        <w:rPr>
          <w:rFonts w:ascii="Arial" w:cs="Arial" w:eastAsia="Arial" w:hAnsi="Arial"/>
          <w:sz w:val="18"/>
          <w:szCs w:val="18"/>
          <w:color w:val="000000"/>
        </w:rPr>
        <w:t>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2.2.16 </w:t>
      </w:r>
      <w:r>
        <w:rPr>
          <w:rFonts w:ascii="Arial" w:cs="Arial" w:eastAsia="Arial" w:hAnsi="Arial"/>
          <w:sz w:val="18"/>
          <w:szCs w:val="18"/>
          <w:color w:val="000000"/>
        </w:rPr>
        <w:t>the manner in which the amounts of payment of principal of or interest, if any, on the Securities of the Series will be</w:t>
      </w:r>
      <w:r>
        <w:rPr>
          <w:rFonts w:ascii="Arial" w:cs="Arial" w:eastAsia="Arial" w:hAnsi="Arial"/>
          <w:sz w:val="18"/>
          <w:szCs w:val="18"/>
          <w:color w:val="010000"/>
        </w:rPr>
        <w:t xml:space="preserve"> </w:t>
      </w:r>
      <w:r>
        <w:rPr>
          <w:rFonts w:ascii="Arial" w:cs="Arial" w:eastAsia="Arial" w:hAnsi="Arial"/>
          <w:sz w:val="18"/>
          <w:szCs w:val="18"/>
          <w:color w:val="000000"/>
        </w:rPr>
        <w:t>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2.2.17 </w:t>
      </w:r>
      <w:r>
        <w:rPr>
          <w:rFonts w:ascii="Arial" w:cs="Arial" w:eastAsia="Arial" w:hAnsi="Arial"/>
          <w:sz w:val="18"/>
          <w:szCs w:val="18"/>
          <w:color w:val="000000"/>
        </w:rPr>
        <w:t>the provisions, if any, relating to any security or guarantee provided for the Securities of the Series, and any subordination in</w:t>
      </w:r>
      <w:r>
        <w:rPr>
          <w:rFonts w:ascii="Arial" w:cs="Arial" w:eastAsia="Arial" w:hAnsi="Arial"/>
          <w:sz w:val="18"/>
          <w:szCs w:val="18"/>
          <w:color w:val="010000"/>
        </w:rPr>
        <w:t xml:space="preserve"> </w:t>
      </w:r>
      <w:r>
        <w:rPr>
          <w:rFonts w:ascii="Arial" w:cs="Arial" w:eastAsia="Arial" w:hAnsi="Arial"/>
          <w:sz w:val="18"/>
          <w:szCs w:val="18"/>
          <w:color w:val="000000"/>
        </w:rPr>
        <w:t>right of payment, if any, of the Securities of the Series;</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 xml:space="preserve">2.2.18 </w:t>
      </w:r>
      <w:r>
        <w:rPr>
          <w:rFonts w:ascii="Arial" w:cs="Arial" w:eastAsia="Arial" w:hAnsi="Arial"/>
          <w:sz w:val="17"/>
          <w:szCs w:val="17"/>
          <w:color w:val="000000"/>
        </w:rPr>
        <w:t>any addition to or change in the Events of Default which applies to any Securities of the Series and any change in the right of</w:t>
      </w:r>
      <w:r>
        <w:rPr>
          <w:rFonts w:ascii="Arial" w:cs="Arial" w:eastAsia="Arial" w:hAnsi="Arial"/>
          <w:sz w:val="17"/>
          <w:szCs w:val="17"/>
          <w:color w:val="010000"/>
        </w:rPr>
        <w:t xml:space="preserve"> </w:t>
      </w:r>
      <w:r>
        <w:rPr>
          <w:rFonts w:ascii="Arial" w:cs="Arial" w:eastAsia="Arial" w:hAnsi="Arial"/>
          <w:sz w:val="17"/>
          <w:szCs w:val="17"/>
          <w:color w:val="000000"/>
        </w:rPr>
        <w:t>the Trustee or the requisite Holders of such Securities to declare the principal amount thereof due and payable pursuant to Section 6.2;</w:t>
      </w:r>
    </w:p>
    <w:p>
      <w:pPr>
        <w:spacing w:after="0" w:line="14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010000"/>
        </w:rPr>
        <w:t>2.2.19</w:t>
      </w:r>
      <w:r>
        <w:rPr>
          <w:sz w:val="20"/>
          <w:szCs w:val="20"/>
          <w:color w:val="auto"/>
        </w:rPr>
        <w:tab/>
      </w:r>
      <w:r>
        <w:rPr>
          <w:rFonts w:ascii="Arial" w:cs="Arial" w:eastAsia="Arial" w:hAnsi="Arial"/>
          <w:sz w:val="16"/>
          <w:szCs w:val="16"/>
          <w:color w:val="auto"/>
        </w:rPr>
        <w:t>any addition to or change in the covenants set forth in Articles IV or V which applies to Securities of the Series;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2.2.20 </w:t>
      </w:r>
      <w:r>
        <w:rPr>
          <w:rFonts w:ascii="Arial" w:cs="Arial" w:eastAsia="Arial" w:hAnsi="Arial"/>
          <w:sz w:val="18"/>
          <w:szCs w:val="18"/>
          <w:color w:val="000000"/>
        </w:rPr>
        <w:t>any other terms of the Securities of the Series (which may modify or delete any provision of this Indenture insofar as it applies</w:t>
      </w:r>
      <w:r>
        <w:rPr>
          <w:rFonts w:ascii="Arial" w:cs="Arial" w:eastAsia="Arial" w:hAnsi="Arial"/>
          <w:sz w:val="18"/>
          <w:szCs w:val="18"/>
          <w:color w:val="010000"/>
        </w:rPr>
        <w:t xml:space="preserve"> </w:t>
      </w:r>
      <w:r>
        <w:rPr>
          <w:rFonts w:ascii="Arial" w:cs="Arial" w:eastAsia="Arial" w:hAnsi="Arial"/>
          <w:sz w:val="18"/>
          <w:szCs w:val="18"/>
          <w:color w:val="000000"/>
        </w:rPr>
        <w:t>to such Series); and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2.2.21 </w:t>
      </w:r>
      <w:r>
        <w:rPr>
          <w:rFonts w:ascii="Arial" w:cs="Arial" w:eastAsia="Arial" w:hAnsi="Arial"/>
          <w:sz w:val="18"/>
          <w:szCs w:val="18"/>
          <w:color w:val="000000"/>
        </w:rPr>
        <w:t>any depositories, interest rate calculation agents, exchange rate calculation agents or other agents with respect to Securities of</w:t>
      </w:r>
      <w:r>
        <w:rPr>
          <w:rFonts w:ascii="Arial" w:cs="Arial" w:eastAsia="Arial" w:hAnsi="Arial"/>
          <w:sz w:val="18"/>
          <w:szCs w:val="18"/>
          <w:color w:val="010000"/>
        </w:rPr>
        <w:t xml:space="preserve"> </w:t>
      </w:r>
      <w:r>
        <w:rPr>
          <w:rFonts w:ascii="Arial" w:cs="Arial" w:eastAsia="Arial" w:hAnsi="Arial"/>
          <w:sz w:val="18"/>
          <w:szCs w:val="18"/>
          <w:color w:val="000000"/>
        </w:rPr>
        <w:t>such Series if other than those appointed herein.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296"/>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relying on: (a) the Board Resolution, supplemental indenture hereto or Officers’ Certificate establishing the form of the Securities of that Series 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within that Series and the terms of the Securities of that Series or of Securities within that Series, (b) an Officers’ Certificate complying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11.4, and (c) an Opinion of Counsel complying with Section 11.4.</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could expose the Trustee to personal liability.</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serve as an agent or officer for the purpose of service of process on behalf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1296"/>
        <w:spacing w:after="0" w:line="273" w:lineRule="auto"/>
        <w:rPr>
          <w:sz w:val="20"/>
          <w:szCs w:val="20"/>
          <w:color w:val="auto"/>
        </w:rPr>
      </w:pPr>
      <w:r>
        <w:rPr>
          <w:rFonts w:ascii="Arial" w:cs="Arial" w:eastAsia="Arial" w:hAnsi="Arial"/>
          <w:sz w:val="17"/>
          <w:szCs w:val="17"/>
          <w:color w:val="auto"/>
        </w:rPr>
        <w:t xml:space="preserve">The Company may also from time to time designate one or more co-registrars, additional paying agents or additional service agents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hereby appoints the Trustee as the initial Registrar, Paying Agent and Service Agent for each Series unless another Registrar, Paying Agent or Service Agent, as the case may be, is appointed prior to the time Securities of that Series are first issued.</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2.5</w:t>
      </w:r>
      <w:r>
        <w:rPr>
          <w:sz w:val="20"/>
          <w:szCs w:val="20"/>
          <w:color w:val="auto"/>
        </w:rPr>
        <w:tab/>
      </w:r>
      <w:r>
        <w:rPr>
          <w:rFonts w:ascii="Arial" w:cs="Arial" w:eastAsia="Arial" w:hAnsi="Arial"/>
          <w:sz w:val="16"/>
          <w:szCs w:val="16"/>
          <w:u w:val="single" w:color="auto"/>
          <w:color w:val="auto"/>
        </w:rPr>
        <w:t>Paying Agent to Hold Money in Trust.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2.6</w:t>
      </w:r>
      <w:r>
        <w:rPr>
          <w:sz w:val="20"/>
          <w:szCs w:val="20"/>
          <w:color w:val="auto"/>
        </w:rPr>
        <w:tab/>
      </w:r>
      <w:r>
        <w:rPr>
          <w:rFonts w:ascii="Arial" w:cs="Arial" w:eastAsia="Arial" w:hAnsi="Arial"/>
          <w:sz w:val="16"/>
          <w:szCs w:val="16"/>
          <w:u w:val="single" w:color="auto"/>
          <w:color w:val="auto"/>
        </w:rPr>
        <w:t>Securityholder Lists.</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payment date and at such other times as the Trustee may request in writing a list, in such form and as of such date as the Trustee may reasonably require, of the names and addresses of Securityholders of each Series of Securities.</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2.7</w:t>
      </w:r>
      <w:r>
        <w:rPr>
          <w:sz w:val="20"/>
          <w:szCs w:val="20"/>
          <w:color w:val="auto"/>
        </w:rPr>
        <w:tab/>
      </w:r>
      <w:r>
        <w:rPr>
          <w:rFonts w:ascii="Arial" w:cs="Arial" w:eastAsia="Arial" w:hAnsi="Arial"/>
          <w:sz w:val="16"/>
          <w:szCs w:val="16"/>
          <w:u w:val="single" w:color="auto"/>
          <w:color w:val="auto"/>
        </w:rPr>
        <w:t>Transfer and Exchange.</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set forth in this Indenture and the Board Resolution, supplemental indenture hereto or Officers’ Certificate applicable to such Series of Securities are met with respect to such transfer or exchange.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296"/>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Notwithstanding anything contained herein to the contrary, neither the Trustee nor the Registrar shall have any obligation or duty to monitor, determine or inquire as to compliance with any restrictions on transfer imposed under this Indenture, any Board Resolution, any supplemental indenture hereto, any Officers’ Certificate, any Securities or under applicable law with respect to any transfer of any interest in any Securities other than to require delivery of such certificates and other documentation or evidence as are expressly required by, and to do so if and when expressly required by the terms of, this Indenture or the Board Resolution, supplemental indenture hereto or Officers’ Certificate applicable to such Series of Securities, and to examine the same to determine substantial compliance as to form with the express requirements hereof or thereof.</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2.8</w:t>
      </w:r>
      <w:r>
        <w:rPr>
          <w:sz w:val="20"/>
          <w:szCs w:val="20"/>
          <w:color w:val="auto"/>
        </w:rPr>
        <w:tab/>
      </w:r>
      <w:r>
        <w:rPr>
          <w:rFonts w:ascii="Arial" w:cs="Arial" w:eastAsia="Arial" w:hAnsi="Arial"/>
          <w:sz w:val="16"/>
          <w:szCs w:val="16"/>
          <w:u w:val="single" w:color="auto"/>
          <w:color w:val="auto"/>
        </w:rPr>
        <w:t>Mutilated, Destroyed, Lost and Stolen Securities.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296"/>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Subject to Section 2.10,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a redemption date or the Maturity of Securities of a Series money sufficient to pay such Securities payable on that date, then on and after that date such Securities of the Series shall cease to be outstanding and interest on such Securities shall cease to accrue.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Section 2.10, a Security does not cease to be outstanding because the Company or an Affiliate of the Company holds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2.10</w:t>
      </w:r>
      <w:r>
        <w:rPr>
          <w:sz w:val="20"/>
          <w:szCs w:val="20"/>
          <w:color w:val="auto"/>
        </w:rPr>
        <w:tab/>
      </w:r>
      <w:r>
        <w:rPr>
          <w:rFonts w:ascii="Arial" w:cs="Arial" w:eastAsia="Arial" w:hAnsi="Arial"/>
          <w:sz w:val="16"/>
          <w:szCs w:val="16"/>
          <w:u w:val="single" w:color="auto"/>
          <w:color w:val="auto"/>
        </w:rPr>
        <w:t>Treasury Securities.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 owned by the Company or an Affiliate of the Company shall be disregarded, except that for the purposes of determining whether the Trustee shall be protected in relying on any such request, demand, authorization, direction, notice, consent or waiver only Securities of a Series that the Trustee has received written notice from the Company, certifying that the relevant Securities of such Series are owned by the Company or an Affiliate of the Company shall be so disregarded.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1296"/>
        <w:spacing w:after="0" w:line="259" w:lineRule="auto"/>
        <w:rPr>
          <w:sz w:val="20"/>
          <w:szCs w:val="20"/>
          <w:color w:val="auto"/>
        </w:rPr>
      </w:pPr>
      <w:r>
        <w:rPr>
          <w:rFonts w:ascii="Arial" w:cs="Arial" w:eastAsia="Arial" w:hAnsi="Arial"/>
          <w:sz w:val="18"/>
          <w:szCs w:val="18"/>
          <w:color w:val="auto"/>
        </w:rPr>
        <w:t>Upon request of the Trustee, the Company shall promptly furnish to the Trustee an Officer’s Certificate listing and identifying all Securities, if any, known by the Company to be owned or held by or for the account of the Company or an Affiliate of the Company, and the Trustee shall be entitled to accept such Officer’s Certificate as conclusive evidence of the facts therein set forth and of the fact that all Securities not listed therein are outstanding for the purpose of any such determination.</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2.11</w:t>
      </w:r>
      <w:r>
        <w:rPr>
          <w:sz w:val="20"/>
          <w:szCs w:val="20"/>
          <w:color w:val="auto"/>
        </w:rPr>
        <w:tab/>
      </w:r>
      <w:r>
        <w:rPr>
          <w:rFonts w:ascii="Arial" w:cs="Arial" w:eastAsia="Arial" w:hAnsi="Arial"/>
          <w:sz w:val="16"/>
          <w:szCs w:val="16"/>
          <w:u w:val="single" w:color="auto"/>
          <w:color w:val="auto"/>
        </w:rPr>
        <w:t>Temporary Securities.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2.12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written request of an Officer, the Trustee shall cancel all Securities surrendered for transfer, exchange, payment, replacement or cancellation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2.13</w:t>
      </w:r>
      <w:r>
        <w:rPr>
          <w:sz w:val="20"/>
          <w:szCs w:val="20"/>
          <w:color w:val="auto"/>
        </w:rPr>
        <w:tab/>
      </w:r>
      <w:r>
        <w:rPr>
          <w:rFonts w:ascii="Arial" w:cs="Arial" w:eastAsia="Arial" w:hAnsi="Arial"/>
          <w:sz w:val="16"/>
          <w:szCs w:val="16"/>
          <w:u w:val="single" w:color="auto"/>
          <w:color w:val="auto"/>
        </w:rPr>
        <w:t>Defaulted Interest.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2.14</w:t>
      </w:r>
      <w:r>
        <w:rPr>
          <w:sz w:val="20"/>
          <w:szCs w:val="20"/>
          <w:color w:val="auto"/>
        </w:rPr>
        <w:tab/>
      </w:r>
      <w:r>
        <w:rPr>
          <w:rFonts w:ascii="Arial" w:cs="Arial" w:eastAsia="Arial" w:hAnsi="Arial"/>
          <w:sz w:val="16"/>
          <w:szCs w:val="16"/>
          <w:u w:val="single" w:color="auto"/>
          <w:color w:val="auto"/>
        </w:rPr>
        <w:t>Global Securities.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2.14.1 </w:t>
      </w:r>
      <w:r>
        <w:rPr>
          <w:rFonts w:ascii="Arial" w:cs="Arial" w:eastAsia="Arial" w:hAnsi="Arial"/>
          <w:sz w:val="18"/>
          <w:szCs w:val="18"/>
          <w:u w:val="single" w:color="auto"/>
          <w:color w:val="000000"/>
        </w:rPr>
        <w:t>Terms of Securities</w:t>
      </w:r>
      <w:r>
        <w:rPr>
          <w:rFonts w:ascii="Arial" w:cs="Arial" w:eastAsia="Arial" w:hAnsi="Arial"/>
          <w:sz w:val="18"/>
          <w:szCs w:val="18"/>
          <w:color w:val="000000"/>
        </w:rPr>
        <w:t>. A Board Resolution, a supplemental indenture hereto or an Officers’ Certificate shall establish whether</w:t>
      </w:r>
      <w:r>
        <w:rPr>
          <w:rFonts w:ascii="Arial" w:cs="Arial" w:eastAsia="Arial" w:hAnsi="Arial"/>
          <w:sz w:val="18"/>
          <w:szCs w:val="18"/>
          <w:color w:val="010000"/>
        </w:rPr>
        <w:t xml:space="preserve"> </w:t>
      </w:r>
      <w:r>
        <w:rPr>
          <w:rFonts w:ascii="Arial" w:cs="Arial" w:eastAsia="Arial" w:hAnsi="Arial"/>
          <w:sz w:val="18"/>
          <w:szCs w:val="18"/>
          <w:color w:val="000000"/>
        </w:rPr>
        <w:t>the Securities of a Series shall be issued in whole or in part in the form of one or more Global Securities and the Depositary for such Global Security or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296"/>
        <w:spacing w:after="0" w:line="270" w:lineRule="auto"/>
        <w:rPr>
          <w:sz w:val="20"/>
          <w:szCs w:val="20"/>
          <w:color w:val="auto"/>
        </w:rPr>
      </w:pPr>
      <w:r>
        <w:rPr>
          <w:rFonts w:ascii="Arial" w:cs="Arial" w:eastAsia="Arial" w:hAnsi="Arial"/>
          <w:sz w:val="17"/>
          <w:szCs w:val="17"/>
          <w:color w:val="010000"/>
        </w:rPr>
        <w:t xml:space="preserve">2.14.2 </w:t>
      </w:r>
      <w:r>
        <w:rPr>
          <w:rFonts w:ascii="Arial" w:cs="Arial" w:eastAsia="Arial" w:hAnsi="Arial"/>
          <w:sz w:val="17"/>
          <w:szCs w:val="17"/>
          <w:u w:val="single" w:color="auto"/>
          <w:color w:val="000000"/>
        </w:rPr>
        <w:t>Transfer and Exchange</w:t>
      </w:r>
      <w:r>
        <w:rPr>
          <w:rFonts w:ascii="Arial" w:cs="Arial" w:eastAsia="Arial" w:hAnsi="Arial"/>
          <w:sz w:val="17"/>
          <w:szCs w:val="17"/>
          <w:color w:val="000000"/>
        </w:rPr>
        <w:t>. Notwithstanding any provisions to the contrary contained in Section 2.7 of the Indenture and in</w:t>
      </w:r>
      <w:r>
        <w:rPr>
          <w:rFonts w:ascii="Arial" w:cs="Arial" w:eastAsia="Arial" w:hAnsi="Arial"/>
          <w:sz w:val="17"/>
          <w:szCs w:val="17"/>
          <w:color w:val="010000"/>
        </w:rPr>
        <w:t xml:space="preserve"> </w:t>
      </w:r>
      <w:r>
        <w:rPr>
          <w:rFonts w:ascii="Arial" w:cs="Arial" w:eastAsia="Arial" w:hAnsi="Arial"/>
          <w:sz w:val="17"/>
          <w:szCs w:val="17"/>
          <w:color w:val="000000"/>
        </w:rPr>
        <w:t>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010000"/>
        </w:rPr>
        <w:t>2.14.3</w:t>
      </w:r>
      <w:r>
        <w:rPr>
          <w:sz w:val="20"/>
          <w:szCs w:val="20"/>
          <w:color w:val="auto"/>
        </w:rPr>
        <w:tab/>
      </w:r>
      <w:r>
        <w:rPr>
          <w:rFonts w:ascii="Arial" w:cs="Arial" w:eastAsia="Arial" w:hAnsi="Arial"/>
          <w:sz w:val="16"/>
          <w:szCs w:val="16"/>
          <w:u w:val="single" w:color="auto"/>
          <w:color w:val="auto"/>
        </w:rPr>
        <w:t>Legend</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 xml:space="preserve">2.14.4 </w:t>
      </w:r>
      <w:r>
        <w:rPr>
          <w:rFonts w:ascii="Arial" w:cs="Arial" w:eastAsia="Arial" w:hAnsi="Arial"/>
          <w:sz w:val="17"/>
          <w:szCs w:val="17"/>
          <w:u w:val="single" w:color="auto"/>
          <w:color w:val="000000"/>
        </w:rPr>
        <w:t>Acts of Holders</w:t>
      </w:r>
      <w:r>
        <w:rPr>
          <w:rFonts w:ascii="Arial" w:cs="Arial" w:eastAsia="Arial" w:hAnsi="Arial"/>
          <w:sz w:val="17"/>
          <w:szCs w:val="17"/>
          <w:color w:val="000000"/>
        </w:rPr>
        <w:t>. The Depositary, as a Holder, may appoint agents and otherwise authorize participants to give or take any</w:t>
      </w:r>
      <w:r>
        <w:rPr>
          <w:rFonts w:ascii="Arial" w:cs="Arial" w:eastAsia="Arial" w:hAnsi="Arial"/>
          <w:sz w:val="17"/>
          <w:szCs w:val="17"/>
          <w:color w:val="010000"/>
        </w:rPr>
        <w:t xml:space="preserve"> </w:t>
      </w:r>
      <w:r>
        <w:rPr>
          <w:rFonts w:ascii="Arial" w:cs="Arial" w:eastAsia="Arial" w:hAnsi="Arial"/>
          <w:sz w:val="17"/>
          <w:szCs w:val="17"/>
          <w:color w:val="000000"/>
        </w:rPr>
        <w:t>request, demand, authorization, direction, notice, consent, waiver or other action which a Holder is entitled to give or take under the Indenture.</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2.14.5 </w:t>
      </w:r>
      <w:r>
        <w:rPr>
          <w:rFonts w:ascii="Arial" w:cs="Arial" w:eastAsia="Arial" w:hAnsi="Arial"/>
          <w:sz w:val="18"/>
          <w:szCs w:val="18"/>
          <w:u w:val="single" w:color="auto"/>
          <w:color w:val="000000"/>
        </w:rPr>
        <w:t>Payments</w:t>
      </w:r>
      <w:r>
        <w:rPr>
          <w:rFonts w:ascii="Arial" w:cs="Arial" w:eastAsia="Arial" w:hAnsi="Arial"/>
          <w:sz w:val="18"/>
          <w:szCs w:val="18"/>
          <w:color w:val="000000"/>
        </w:rPr>
        <w:t>. Notwithstanding the other provisions of this Indenture, unless otherwise specified as contemplated by Section 2.2,</w:t>
      </w:r>
      <w:r>
        <w:rPr>
          <w:rFonts w:ascii="Arial" w:cs="Arial" w:eastAsia="Arial" w:hAnsi="Arial"/>
          <w:sz w:val="18"/>
          <w:szCs w:val="18"/>
          <w:color w:val="010000"/>
        </w:rPr>
        <w:t xml:space="preserve"> </w:t>
      </w:r>
      <w:r>
        <w:rPr>
          <w:rFonts w:ascii="Arial" w:cs="Arial" w:eastAsia="Arial" w:hAnsi="Arial"/>
          <w:sz w:val="18"/>
          <w:szCs w:val="18"/>
          <w:color w:val="000000"/>
        </w:rPr>
        <w:t>payment of the principal of and interest, if any, on any Global Security shall be made to the Holder thereof.</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2.14.6 </w:t>
      </w:r>
      <w:r>
        <w:rPr>
          <w:rFonts w:ascii="Arial" w:cs="Arial" w:eastAsia="Arial" w:hAnsi="Arial"/>
          <w:sz w:val="18"/>
          <w:szCs w:val="18"/>
          <w:u w:val="single" w:color="auto"/>
          <w:color w:val="000000"/>
        </w:rPr>
        <w:t>Consents, Declaration and Directions</w:t>
      </w:r>
      <w:r>
        <w:rPr>
          <w:rFonts w:ascii="Arial" w:cs="Arial" w:eastAsia="Arial" w:hAnsi="Arial"/>
          <w:sz w:val="18"/>
          <w:szCs w:val="18"/>
          <w:color w:val="000000"/>
        </w:rPr>
        <w:t>. Except as provided in Section 2.14.5, the Company, the Trustee and any Agent shall treat</w:t>
      </w:r>
      <w:r>
        <w:rPr>
          <w:rFonts w:ascii="Arial" w:cs="Arial" w:eastAsia="Arial" w:hAnsi="Arial"/>
          <w:sz w:val="18"/>
          <w:szCs w:val="18"/>
          <w:color w:val="010000"/>
        </w:rPr>
        <w:t xml:space="preserve"> </w:t>
      </w:r>
      <w:r>
        <w:rPr>
          <w:rFonts w:ascii="Arial" w:cs="Arial" w:eastAsia="Arial" w:hAnsi="Arial"/>
          <w:sz w:val="18"/>
          <w:szCs w:val="18"/>
          <w:color w:val="000000"/>
        </w:rPr>
        <w:t>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296"/>
        <w:spacing w:after="0" w:line="269" w:lineRule="auto"/>
        <w:rPr>
          <w:sz w:val="20"/>
          <w:szCs w:val="20"/>
          <w:color w:val="auto"/>
        </w:rPr>
      </w:pPr>
      <w:r>
        <w:rPr>
          <w:rFonts w:ascii="Arial" w:cs="Arial" w:eastAsia="Arial" w:hAnsi="Arial"/>
          <w:sz w:val="17"/>
          <w:szCs w:val="17"/>
          <w:color w:val="010000"/>
        </w:rPr>
        <w:t xml:space="preserve">2.14.7 </w:t>
      </w:r>
      <w:r>
        <w:rPr>
          <w:rFonts w:ascii="Arial" w:cs="Arial" w:eastAsia="Arial" w:hAnsi="Arial"/>
          <w:sz w:val="17"/>
          <w:szCs w:val="17"/>
          <w:u w:val="single" w:color="auto"/>
          <w:color w:val="000000"/>
        </w:rPr>
        <w:t>General Provisions for Book-Entry Securities</w:t>
      </w:r>
      <w:r>
        <w:rPr>
          <w:rFonts w:ascii="Arial" w:cs="Arial" w:eastAsia="Arial" w:hAnsi="Arial"/>
          <w:sz w:val="17"/>
          <w:szCs w:val="17"/>
          <w:color w:val="000000"/>
        </w:rPr>
        <w:t>. Members of, or participants in, the Depositary (“Participants”) shall have no</w:t>
      </w:r>
      <w:r>
        <w:rPr>
          <w:rFonts w:ascii="Arial" w:cs="Arial" w:eastAsia="Arial" w:hAnsi="Arial"/>
          <w:sz w:val="17"/>
          <w:szCs w:val="17"/>
          <w:color w:val="010000"/>
        </w:rPr>
        <w:t xml:space="preserve"> </w:t>
      </w:r>
      <w:r>
        <w:rPr>
          <w:rFonts w:ascii="Arial" w:cs="Arial" w:eastAsia="Arial" w:hAnsi="Arial"/>
          <w:sz w:val="17"/>
          <w:szCs w:val="17"/>
          <w:color w:val="000000"/>
        </w:rPr>
        <w:t>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Participants, the operation of customary practices governing the exercise of the rights of a Holder of any Global Security. All notices and communications to be given to the Holders and all payments to be made to Holders in respect of the Global Securities shall be given or made only to or upon the order of the registered Holders (which shall be the Depositary or its nominee). The rights of beneficial owners in any Global Security shall be exercised only through the Depositary, subject to its applicable rules and procedures. The Trustee, Registrar, Paying Agent and Service Agent may each rely and shall be fully protected in relying upon information furnished by the Depositary with respect to its agent members and other members, participants and any beneficial owners.</w:t>
      </w:r>
    </w:p>
    <w:p>
      <w:pPr>
        <w:spacing w:after="0" w:line="1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2.15</w:t>
      </w:r>
      <w:r>
        <w:rPr>
          <w:sz w:val="20"/>
          <w:szCs w:val="20"/>
          <w:color w:val="auto"/>
        </w:rPr>
        <w:tab/>
      </w:r>
      <w:r>
        <w:rPr>
          <w:rFonts w:ascii="Arial" w:cs="Arial" w:eastAsia="Arial" w:hAnsi="Arial"/>
          <w:sz w:val="16"/>
          <w:szCs w:val="16"/>
          <w:u w:val="single" w:color="auto"/>
          <w:color w:val="auto"/>
        </w:rPr>
        <w:t>CUSIP Numbers.</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REDEMPTION</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3.1</w:t>
      </w:r>
      <w:r>
        <w:rPr>
          <w:sz w:val="20"/>
          <w:szCs w:val="20"/>
          <w:color w:val="auto"/>
        </w:rPr>
        <w:tab/>
      </w:r>
      <w:r>
        <w:rPr>
          <w:rFonts w:ascii="Arial" w:cs="Arial" w:eastAsia="Arial" w:hAnsi="Arial"/>
          <w:sz w:val="16"/>
          <w:szCs w:val="16"/>
          <w:u w:val="single" w:color="auto"/>
          <w:color w:val="auto"/>
        </w:rPr>
        <w:t>Notice to Trustee.</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10 days, but not more than 60 days, before the redemption date (or such shorter notice as may be acceptable to the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spacing w:after="0"/>
        <w:tabs>
          <w:tab w:leader="none" w:pos="1980" w:val="left"/>
        </w:tabs>
        <w:rPr>
          <w:sz w:val="20"/>
          <w:szCs w:val="20"/>
          <w:color w:val="auto"/>
        </w:rPr>
      </w:pPr>
      <w:r>
        <w:rPr>
          <w:rFonts w:ascii="Arial" w:cs="Arial" w:eastAsia="Arial" w:hAnsi="Arial"/>
          <w:sz w:val="18"/>
          <w:szCs w:val="18"/>
          <w:color w:val="010000"/>
        </w:rPr>
        <w:t>Section 3.2</w:t>
      </w:r>
      <w:r>
        <w:rPr>
          <w:sz w:val="20"/>
          <w:szCs w:val="20"/>
          <w:color w:val="auto"/>
        </w:rPr>
        <w:tab/>
      </w:r>
      <w:r>
        <w:rPr>
          <w:rFonts w:ascii="Arial" w:cs="Arial" w:eastAsia="Arial" w:hAnsi="Arial"/>
          <w:sz w:val="16"/>
          <w:szCs w:val="16"/>
          <w:u w:val="single" w:color="auto"/>
          <w:color w:val="auto"/>
        </w:rPr>
        <w:t>Selection of Securities to be Redeemed or Repurchased.</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Unless otherwise indicated for a particular Series by a Board Resolution, a supplemental indenture or an Officers’ Certificate, if less than all the Securities of a Series are to be redeemed or repurchased, the Trustee shall select the Securities of the Series to be redeemed or repurchased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unless otherwise required by law, rules of the applicable Depositary or applicable stock exchange requirements.</w:t>
      </w:r>
    </w:p>
    <w:p>
      <w:pPr>
        <w:spacing w:after="0" w:line="16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In the event of partial redemption or purchase by lot, the Trustee shall make the selection from Securities of the Series outstanding not previously called for redemption or repurchase. The Trustee may select for redemption or repurchase portions of the principal of Securities of the Series that have denominations larger than $2,000. Securities of the Series and portions of them it selects shall be in amounts of $2,000 or whole multiples of $1,000 in excess of $2,000 or, with respect to Securities of any Series issuable in other denominations pursuant to Section 2.2.10, the minimum principal denomination for each Series and integral multiples thereof. Provisions of this Indenture that apply to Securities of a Series called for redemption or repurchase also apply to portions of Securities of that Series called for redemption or repurchase.</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At least 10 days but not more than 60 days before a redemption date, the Company shall mail a notice of redemption by first-class mail to each Holder whose Securities are to be redeemed, except that redemption notices may be mailed more than 60 days prior to a redemption date if the notice is issued in connection with a defeasance of the Securities or a satisfaction and discharge of this Indenture pursuant to Articles 8 or 10 hereof.</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2700" w:hanging="748"/>
        <w:spacing w:after="0"/>
        <w:tabs>
          <w:tab w:leader="none" w:pos="270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2700" w:hanging="748"/>
        <w:spacing w:after="0"/>
        <w:tabs>
          <w:tab w:leader="none" w:pos="270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010000"/>
        </w:rPr>
      </w:pPr>
    </w:p>
    <w:p>
      <w:pPr>
        <w:ind w:left="2700" w:hanging="748"/>
        <w:spacing w:after="0"/>
        <w:tabs>
          <w:tab w:leader="none" w:pos="270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010000"/>
        </w:rPr>
      </w:pPr>
    </w:p>
    <w:p>
      <w:pPr>
        <w:ind w:left="2760" w:hanging="808"/>
        <w:spacing w:after="0"/>
        <w:tabs>
          <w:tab w:leader="none" w:pos="2760"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that Securities of the Series called for redemption must be surrendered to the Paying Agent to collect the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11" w:lineRule="exact"/>
        <w:rPr>
          <w:sz w:val="20"/>
          <w:szCs w:val="20"/>
          <w:color w:val="auto"/>
        </w:rPr>
      </w:pPr>
    </w:p>
    <w:p>
      <w:pPr>
        <w:jc w:val="both"/>
        <w:ind w:firstLine="1952"/>
        <w:spacing w:after="0" w:line="263" w:lineRule="auto"/>
        <w:tabs>
          <w:tab w:leader="none" w:pos="2805"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if any Security is being redeemed in part, the portion of the principal amount of such Security to be redeemed and that, after the redemption date upon surrender of such Security, a new Security or Securities in principal amount equal to the unredeemed portion will be issued upon cancellation of the original Security;</w:t>
      </w:r>
    </w:p>
    <w:p>
      <w:pPr>
        <w:spacing w:after="0" w:line="183" w:lineRule="exact"/>
        <w:rPr>
          <w:rFonts w:ascii="Arial" w:cs="Arial" w:eastAsia="Arial" w:hAnsi="Arial"/>
          <w:sz w:val="18"/>
          <w:szCs w:val="18"/>
          <w:color w:val="010000"/>
        </w:rPr>
      </w:pPr>
    </w:p>
    <w:p>
      <w:pPr>
        <w:ind w:left="2680" w:hanging="728"/>
        <w:spacing w:after="0"/>
        <w:tabs>
          <w:tab w:leader="none" w:pos="268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that interest on Securities of the Series called for redemption ceases to accrue on and after the redemption date;</w:t>
      </w:r>
    </w:p>
    <w:p>
      <w:pPr>
        <w:spacing w:after="0" w:line="236" w:lineRule="exact"/>
        <w:rPr>
          <w:rFonts w:ascii="Arial" w:cs="Arial" w:eastAsia="Arial" w:hAnsi="Arial"/>
          <w:sz w:val="17"/>
          <w:szCs w:val="17"/>
          <w:color w:val="010000"/>
        </w:rPr>
      </w:pPr>
    </w:p>
    <w:p>
      <w:pPr>
        <w:ind w:left="2700" w:hanging="748"/>
        <w:spacing w:after="0"/>
        <w:tabs>
          <w:tab w:leader="none" w:pos="2700"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 CUSIP number, if any;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2880" w:hanging="928"/>
        <w:spacing w:after="0"/>
        <w:tabs>
          <w:tab w:leader="none" w:pos="2880"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any other information as may be required by the terms of the particular Series or the Securities of a Series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redeemed.</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four business days prior to the date on which notice of redemption is to be delivered to the Holders pursuant to this Section 3.3 (or such shorter period as the Trustee in its sole discretion may allow), a written request by an Officer requesting that the Trustee give such notice and setting forth the information to be stated in such notice as provided in the preceding paragraph.</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Notwithstanding the foregoing, 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One Business Day prior to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pay or cause to be paid the principal of, premium, if any, and interest on, the Securities of that Series on the dates and in the manner provided in such Securities. Principal, premium, if any, and interest on any Series of Securities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spacing w:after="0"/>
        <w:tabs>
          <w:tab w:leader="none" w:pos="2040" w:val="left"/>
        </w:tabs>
        <w:rPr>
          <w:sz w:val="20"/>
          <w:szCs w:val="20"/>
          <w:color w:val="auto"/>
        </w:rPr>
      </w:pPr>
      <w:r>
        <w:rPr>
          <w:rFonts w:ascii="Arial" w:cs="Arial" w:eastAsia="Arial" w:hAnsi="Arial"/>
          <w:sz w:val="18"/>
          <w:szCs w:val="18"/>
          <w:color w:val="010000"/>
        </w:rPr>
        <w:t>Section 4.2</w:t>
      </w:r>
      <w:r>
        <w:rPr>
          <w:sz w:val="20"/>
          <w:szCs w:val="20"/>
          <w:color w:val="auto"/>
        </w:rPr>
        <w:tab/>
      </w:r>
      <w:r>
        <w:rPr>
          <w:rFonts w:ascii="Arial" w:cs="Arial" w:eastAsia="Arial" w:hAnsi="Arial"/>
          <w:sz w:val="16"/>
          <w:szCs w:val="16"/>
          <w:u w:val="single" w:color="auto"/>
          <w:color w:val="auto"/>
        </w:rPr>
        <w:t>Maintenance of Office or Agency.</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Company covenants and agrees for the benefit of the Holders of each Series of Securities that it will maintain an office or agency (which may be an office of the Trustee for such Securities or an affiliate of such Trustee, Registrar for such Securities or co-registrar) where such Securities may be surrendered for registration of transfer or for exchange and where notices and demands to or upon the Company in respect of such Securities and this Indenture may be served. The Company will give prompt written notice to the Trustee for such Securities of the location, and any change in the location, of such office or agency. If at any time the Company fails to maintain any such required office or agency or fails to furnish such Trustee with the address thereof, such presentations, surrenders, notices and demands may be made or served at the Corporate Trust Office of such Trustee; provided, however, that the Trustee shall not serve as an agent or officer for the purpose of service of process on behalf of the Company.</w:t>
      </w:r>
    </w:p>
    <w:p>
      <w:pPr>
        <w:spacing w:after="0" w:line="16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Securities may be presented or surrendered for any or all such purposes and may from time to time rescind such designations; provided, however, that no such designation or rescission will in any manner relieve the Company of its obligation described in the preceding paragraph. The Company will give prompt written notice to the Trustee for such Series of Securities of any such designation or rescission and of any change in the location of any such other office or agency.</w:t>
      </w:r>
    </w:p>
    <w:p>
      <w:pPr>
        <w:spacing w:after="0" w:line="15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With respect to each Series of Securities, the Company hereby designates the Corporate Trust Office of the Trustee as one such office or agency of the Company in accordance with Section 2.4 hereof.</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4.3</w:t>
      </w:r>
      <w:r>
        <w:rPr>
          <w:sz w:val="20"/>
          <w:szCs w:val="20"/>
          <w:color w:val="auto"/>
        </w:rPr>
        <w:tab/>
      </w:r>
      <w:r>
        <w:rPr>
          <w:rFonts w:ascii="Arial" w:cs="Arial" w:eastAsia="Arial" w:hAnsi="Arial"/>
          <w:sz w:val="15"/>
          <w:szCs w:val="15"/>
          <w:u w:val="single" w:color="auto"/>
          <w:color w:val="auto"/>
        </w:rPr>
        <w:t>Reports.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file with the Trustee and the SEC, and transmit to Holders, such information, documents and other reports, and such summaries thereof, as may be required pursuant to the TIA at the times and in the manner provided in the TIA;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4.4</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jc w:val="both"/>
        <w:ind w:firstLine="1952"/>
        <w:spacing w:after="0" w:line="288" w:lineRule="auto"/>
        <w:tabs>
          <w:tab w:leader="none" w:pos="2683"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The Company and each guarantor of any Series of Securities (to the extent that such guarantor is so required under the TIA) shall deliver to the Trustee with respect to such Series,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1952"/>
        <w:spacing w:after="0" w:line="263" w:lineRule="auto"/>
        <w:tabs>
          <w:tab w:leader="none" w:pos="2788"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So long as any of Series of Securities are outstanding, the Company will deliver to the Trustee with respect to such Series, forthwith upon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4.5</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such Securities.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4.6</w:t>
      </w:r>
      <w:r>
        <w:rPr>
          <w:sz w:val="20"/>
          <w:szCs w:val="20"/>
          <w:color w:val="auto"/>
        </w:rPr>
        <w:tab/>
      </w:r>
      <w:r>
        <w:rPr>
          <w:rFonts w:ascii="Arial" w:cs="Arial" w:eastAsia="Arial" w:hAnsi="Arial"/>
          <w:sz w:val="16"/>
          <w:szCs w:val="16"/>
          <w:u w:val="single" w:color="auto"/>
          <w:color w:val="auto"/>
        </w:rPr>
        <w:t>Stay, Extension and Usury Laws.</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Company covenants and agrees (to the extent that it may lawfully do so), that it will not, and each guarantor of such Securities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Securities, but will suffer and permit the execution of every such power as though no such law has been enacted.</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010000"/>
        </w:rPr>
        <w:t>Section 4.7</w:t>
      </w:r>
      <w:r>
        <w:rPr>
          <w:sz w:val="20"/>
          <w:szCs w:val="20"/>
          <w:color w:val="auto"/>
        </w:rPr>
        <w:tab/>
      </w:r>
      <w:r>
        <w:rPr>
          <w:rFonts w:ascii="Arial" w:cs="Arial" w:eastAsia="Arial" w:hAnsi="Arial"/>
          <w:sz w:val="16"/>
          <w:szCs w:val="16"/>
          <w:u w:val="single" w:color="auto"/>
          <w:color w:val="auto"/>
        </w:rPr>
        <w:t>Corporate Existence.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Article V hereof, the Company shall do or cause to be done all things necessary to preserve and keep in full force and effect:</w:t>
      </w:r>
    </w:p>
    <w:p>
      <w:pPr>
        <w:spacing w:after="0" w:line="248" w:lineRule="exact"/>
        <w:rPr>
          <w:sz w:val="20"/>
          <w:szCs w:val="20"/>
          <w:color w:val="auto"/>
        </w:rPr>
      </w:pPr>
    </w:p>
    <w:p>
      <w:pPr>
        <w:ind w:firstLine="2600"/>
        <w:spacing w:after="0" w:line="342" w:lineRule="auto"/>
        <w:tabs>
          <w:tab w:leader="none" w:pos="3598"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23" w:lineRule="exact"/>
        <w:rPr>
          <w:rFonts w:ascii="Arial" w:cs="Arial" w:eastAsia="Arial" w:hAnsi="Arial"/>
          <w:sz w:val="16"/>
          <w:szCs w:val="16"/>
          <w:color w:val="010000"/>
        </w:rPr>
      </w:pPr>
    </w:p>
    <w:p>
      <w:pPr>
        <w:jc w:val="both"/>
        <w:ind w:firstLine="2600"/>
        <w:spacing w:after="0" w:line="301" w:lineRule="auto"/>
        <w:tabs>
          <w:tab w:leader="none" w:pos="3544"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such Securities.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010000"/>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010000"/>
        </w:rPr>
        <w:t>Section 5.1</w:t>
      </w:r>
      <w:r>
        <w:rPr>
          <w:sz w:val="20"/>
          <w:szCs w:val="20"/>
          <w:color w:val="auto"/>
        </w:rPr>
        <w:tab/>
      </w:r>
      <w:r>
        <w:rPr>
          <w:rFonts w:ascii="Arial" w:cs="Arial" w:eastAsia="Arial" w:hAnsi="Arial"/>
          <w:sz w:val="16"/>
          <w:szCs w:val="16"/>
          <w:u w:val="single" w:color="auto"/>
          <w:color w:val="auto"/>
        </w:rPr>
        <w:t>Merger, Consolidation, or Sale of Assets.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covenants and agrees for the benefit of the Holders of each Series of Securities that it shall not, directly or indirectly:</w:t>
      </w:r>
    </w:p>
    <w:p>
      <w:pPr>
        <w:spacing w:after="0" w:line="35" w:lineRule="exact"/>
        <w:rPr>
          <w:sz w:val="20"/>
          <w:szCs w:val="20"/>
          <w:color w:val="auto"/>
        </w:rPr>
      </w:pPr>
    </w:p>
    <w:p>
      <w:pPr>
        <w:jc w:val="both"/>
        <w:ind w:firstLine="8"/>
        <w:spacing w:after="0" w:line="255" w:lineRule="auto"/>
        <w:tabs>
          <w:tab w:leader="none" w:pos="2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or merge with or into another person (whether or not the Company is the surviving corporation); or (ii) sell, assign, transfer, convey or otherwise dispose of all or substantially all of the properties or assets of the Company and its Subsidiaries taken as a whole, in one or more related transactions, to another person, unless:</w:t>
      </w:r>
    </w:p>
    <w:p>
      <w:pPr>
        <w:spacing w:after="0" w:line="189" w:lineRule="exact"/>
        <w:rPr>
          <w:rFonts w:ascii="Arial" w:cs="Arial" w:eastAsia="Arial" w:hAnsi="Arial"/>
          <w:sz w:val="18"/>
          <w:szCs w:val="18"/>
          <w:color w:val="auto"/>
        </w:rPr>
      </w:pPr>
    </w:p>
    <w:p>
      <w:pPr>
        <w:ind w:left="3340" w:hanging="740"/>
        <w:spacing w:after="0"/>
        <w:tabs>
          <w:tab w:leader="none" w:pos="334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010000"/>
        </w:rPr>
      </w:pPr>
    </w:p>
    <w:p>
      <w:pPr>
        <w:ind w:left="4040" w:hanging="792"/>
        <w:spacing w:after="0"/>
        <w:tabs>
          <w:tab w:leader="none" w:pos="4040" w:val="left"/>
        </w:tabs>
        <w:numPr>
          <w:ilvl w:val="2"/>
          <w:numId w:val="40"/>
        </w:numPr>
        <w:rPr>
          <w:rFonts w:ascii="Arial" w:cs="Arial" w:eastAsia="Arial" w:hAnsi="Arial"/>
          <w:sz w:val="18"/>
          <w:szCs w:val="18"/>
          <w:color w:val="010000"/>
        </w:rPr>
      </w:pPr>
      <w:r>
        <w:rPr>
          <w:rFonts w:ascii="Arial" w:cs="Arial" w:eastAsia="Arial" w:hAnsi="Arial"/>
          <w:sz w:val="18"/>
          <w:szCs w:val="18"/>
          <w:color w:val="auto"/>
        </w:rPr>
        <w:t>the Company is the surviving corporation; or</w:t>
      </w:r>
    </w:p>
    <w:p>
      <w:pPr>
        <w:spacing w:after="0" w:line="225" w:lineRule="exact"/>
        <w:rPr>
          <w:rFonts w:ascii="Arial" w:cs="Arial" w:eastAsia="Arial" w:hAnsi="Arial"/>
          <w:sz w:val="18"/>
          <w:szCs w:val="18"/>
          <w:color w:val="010000"/>
        </w:rPr>
      </w:pPr>
    </w:p>
    <w:p>
      <w:pPr>
        <w:jc w:val="both"/>
        <w:ind w:firstLine="3248"/>
        <w:spacing w:after="0" w:line="263" w:lineRule="auto"/>
        <w:tabs>
          <w:tab w:leader="none" w:pos="4047" w:val="left"/>
        </w:tabs>
        <w:numPr>
          <w:ilvl w:val="2"/>
          <w:numId w:val="40"/>
        </w:numPr>
        <w:rPr>
          <w:rFonts w:ascii="Arial" w:cs="Arial" w:eastAsia="Arial" w:hAnsi="Arial"/>
          <w:sz w:val="18"/>
          <w:szCs w:val="18"/>
          <w:color w:val="010000"/>
        </w:rPr>
      </w:pPr>
      <w:r>
        <w:rPr>
          <w:rFonts w:ascii="Arial" w:cs="Arial" w:eastAsia="Arial" w:hAnsi="Arial"/>
          <w:sz w:val="18"/>
          <w:szCs w:val="18"/>
          <w:color w:val="auto"/>
        </w:rPr>
        <w:t>the person formed by or surviving any such consolidation or merger (if other than the Company)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spacing w:after="0" w:line="183" w:lineRule="exact"/>
        <w:rPr>
          <w:rFonts w:ascii="Arial" w:cs="Arial" w:eastAsia="Arial" w:hAnsi="Arial"/>
          <w:sz w:val="18"/>
          <w:szCs w:val="18"/>
          <w:color w:val="010000"/>
        </w:rPr>
      </w:pPr>
    </w:p>
    <w:p>
      <w:pPr>
        <w:jc w:val="both"/>
        <w:ind w:firstLine="2600"/>
        <w:spacing w:after="0" w:line="263" w:lineRule="auto"/>
        <w:tabs>
          <w:tab w:leader="none" w:pos="353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the person formed by or surviving any such consolidation or merger (if other than the Company) or the person to which such sale, assignment, transfer, conveyance or other disposition has been made assumes all the obligations of the Company under such Securities and this Indenture pursuant to agreements reasonably satisfactory to the Trustee for such Securities; and</w:t>
      </w:r>
    </w:p>
    <w:p>
      <w:pPr>
        <w:spacing w:after="0" w:line="183" w:lineRule="exact"/>
        <w:rPr>
          <w:rFonts w:ascii="Arial" w:cs="Arial" w:eastAsia="Arial" w:hAnsi="Arial"/>
          <w:sz w:val="18"/>
          <w:szCs w:val="18"/>
          <w:color w:val="010000"/>
        </w:rPr>
      </w:pPr>
    </w:p>
    <w:p>
      <w:pPr>
        <w:ind w:left="3340" w:hanging="740"/>
        <w:spacing w:after="0"/>
        <w:tabs>
          <w:tab w:leader="none" w:pos="334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its properties or assets, in one or more related transactions, to any other person. This Section 5.1 will not apply to:</w:t>
      </w:r>
    </w:p>
    <w:p>
      <w:pPr>
        <w:spacing w:after="0" w:line="170" w:lineRule="exact"/>
        <w:rPr>
          <w:sz w:val="20"/>
          <w:szCs w:val="20"/>
          <w:color w:val="auto"/>
        </w:rPr>
      </w:pPr>
    </w:p>
    <w:p>
      <w:pPr>
        <w:ind w:firstLine="2600"/>
        <w:spacing w:after="0" w:line="277" w:lineRule="auto"/>
        <w:tabs>
          <w:tab w:leader="none" w:pos="3368"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a merger of the Company with an Affiliate solely for the purpose of reincorporating the Company in another jurisdiction or forming a direct holding company of the Company; or</w:t>
      </w:r>
    </w:p>
    <w:p>
      <w:pPr>
        <w:spacing w:after="0" w:line="170" w:lineRule="exact"/>
        <w:rPr>
          <w:rFonts w:ascii="Arial" w:cs="Arial" w:eastAsia="Arial" w:hAnsi="Arial"/>
          <w:sz w:val="18"/>
          <w:szCs w:val="18"/>
          <w:color w:val="010000"/>
        </w:rPr>
      </w:pPr>
    </w:p>
    <w:p>
      <w:pPr>
        <w:ind w:firstLine="2600"/>
        <w:spacing w:after="0" w:line="277" w:lineRule="auto"/>
        <w:tabs>
          <w:tab w:leader="none" w:pos="3625"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any sale, transfer, assignment, conveyance, lease or other disposition of assets between or among the Company and its Subsidiaries, including by way of merger or consolidation.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spacing w:after="0"/>
        <w:tabs>
          <w:tab w:leader="none" w:pos="1680" w:val="left"/>
        </w:tabs>
        <w:rPr>
          <w:sz w:val="20"/>
          <w:szCs w:val="20"/>
          <w:color w:val="auto"/>
        </w:rPr>
      </w:pPr>
      <w:r>
        <w:rPr>
          <w:rFonts w:ascii="Arial" w:cs="Arial" w:eastAsia="Arial" w:hAnsi="Arial"/>
          <w:sz w:val="18"/>
          <w:szCs w:val="18"/>
          <w:color w:val="010000"/>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any Series of Securities except in the case of a sale of all of the Company’s assets in a transaction that is subject to, and that complies with the provisions of, Section 5.1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DEFAULTS AND REMEDIES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4" w:lineRule="exact"/>
        <w:rPr>
          <w:sz w:val="20"/>
          <w:szCs w:val="20"/>
          <w:color w:val="auto"/>
        </w:rPr>
      </w:pPr>
    </w:p>
    <w:p>
      <w:pPr>
        <w:ind w:firstLine="1952"/>
        <w:spacing w:after="0" w:line="277" w:lineRule="auto"/>
        <w:tabs>
          <w:tab w:leader="none" w:pos="263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default in the payment of any interest on any Security of that Series when it becomes due and payable, and continuance of such default for a period of 60 days; or</w:t>
      </w:r>
    </w:p>
    <w:p>
      <w:pPr>
        <w:spacing w:after="0" w:line="170" w:lineRule="exact"/>
        <w:rPr>
          <w:rFonts w:ascii="Arial" w:cs="Arial" w:eastAsia="Arial" w:hAnsi="Arial"/>
          <w:sz w:val="18"/>
          <w:szCs w:val="18"/>
          <w:color w:val="010000"/>
        </w:rPr>
      </w:pPr>
    </w:p>
    <w:p>
      <w:pPr>
        <w:ind w:left="2660" w:hanging="708"/>
        <w:spacing w:after="0"/>
        <w:tabs>
          <w:tab w:leader="none" w:pos="266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default in payment when due of the principal of, or premium, if any, on any Security of that Series; or</w:t>
      </w:r>
    </w:p>
    <w:p>
      <w:pPr>
        <w:spacing w:after="0" w:line="225" w:lineRule="exact"/>
        <w:rPr>
          <w:rFonts w:ascii="Arial" w:cs="Arial" w:eastAsia="Arial" w:hAnsi="Arial"/>
          <w:sz w:val="18"/>
          <w:szCs w:val="18"/>
          <w:color w:val="010000"/>
        </w:rPr>
      </w:pPr>
    </w:p>
    <w:p>
      <w:pPr>
        <w:ind w:left="2640" w:hanging="688"/>
        <w:spacing w:after="0"/>
        <w:tabs>
          <w:tab w:leader="none" w:pos="2640"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default in the deposit of any sinking fund payment, when and as due in respect of any Security of that Series; or</w:t>
      </w:r>
    </w:p>
    <w:p>
      <w:pPr>
        <w:spacing w:after="0" w:line="236" w:lineRule="exact"/>
        <w:rPr>
          <w:rFonts w:ascii="Arial" w:cs="Arial" w:eastAsia="Arial" w:hAnsi="Arial"/>
          <w:sz w:val="17"/>
          <w:szCs w:val="17"/>
          <w:color w:val="010000"/>
        </w:rPr>
      </w:pPr>
    </w:p>
    <w:p>
      <w:pPr>
        <w:jc w:val="both"/>
        <w:ind w:firstLine="1952"/>
        <w:spacing w:after="0" w:line="286" w:lineRule="auto"/>
        <w:tabs>
          <w:tab w:leader="none" w:pos="2824"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written notice given by the Trustee for such Securities or Holders of such Securities; or</w:t>
      </w:r>
    </w:p>
    <w:p>
      <w:pPr>
        <w:spacing w:after="0" w:line="165" w:lineRule="exact"/>
        <w:rPr>
          <w:rFonts w:ascii="Arial" w:cs="Arial" w:eastAsia="Arial" w:hAnsi="Arial"/>
          <w:sz w:val="17"/>
          <w:szCs w:val="17"/>
          <w:color w:val="010000"/>
        </w:rPr>
      </w:pPr>
    </w:p>
    <w:p>
      <w:pPr>
        <w:ind w:left="2640" w:hanging="688"/>
        <w:spacing w:after="0"/>
        <w:tabs>
          <w:tab w:leader="none" w:pos="264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010000"/>
        </w:rPr>
      </w:pPr>
    </w:p>
    <w:p>
      <w:pPr>
        <w:ind w:left="3260" w:hanging="660"/>
        <w:spacing w:after="0"/>
        <w:tabs>
          <w:tab w:leader="none" w:pos="3260"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010000"/>
        </w:rPr>
      </w:pPr>
    </w:p>
    <w:p>
      <w:pPr>
        <w:ind w:left="3260" w:hanging="660"/>
        <w:spacing w:after="0"/>
        <w:tabs>
          <w:tab w:leader="none" w:pos="3260"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consents to the entry of an order for relief against it in an involuntary case,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ind w:left="3280" w:hanging="680"/>
        <w:spacing w:after="0"/>
        <w:tabs>
          <w:tab w:leader="none" w:pos="328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010000"/>
        </w:rPr>
      </w:pPr>
    </w:p>
    <w:p>
      <w:pPr>
        <w:ind w:left="3260" w:hanging="660"/>
        <w:spacing w:after="0"/>
        <w:tabs>
          <w:tab w:leader="none" w:pos="326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010000"/>
        </w:rPr>
      </w:pPr>
    </w:p>
    <w:p>
      <w:pPr>
        <w:ind w:left="2680" w:hanging="728"/>
        <w:spacing w:after="0"/>
        <w:tabs>
          <w:tab w:leader="none" w:pos="268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010000"/>
        </w:rPr>
      </w:pPr>
    </w:p>
    <w:p>
      <w:pPr>
        <w:ind w:left="3260" w:hanging="660"/>
        <w:spacing w:after="0"/>
        <w:tabs>
          <w:tab w:leader="none" w:pos="3260"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010000"/>
        </w:rPr>
      </w:pPr>
    </w:p>
    <w:p>
      <w:pPr>
        <w:ind w:left="3260" w:hanging="660"/>
        <w:spacing w:after="0"/>
        <w:tabs>
          <w:tab w:leader="none" w:pos="3260"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010000"/>
        </w:rPr>
      </w:pPr>
    </w:p>
    <w:p>
      <w:pPr>
        <w:ind w:left="3280" w:hanging="680"/>
        <w:spacing w:after="0"/>
        <w:tabs>
          <w:tab w:leader="none" w:pos="3280" w:val="left"/>
        </w:tabs>
        <w:numPr>
          <w:ilvl w:val="1"/>
          <w:numId w:val="44"/>
        </w:numPr>
        <w:rPr>
          <w:rFonts w:ascii="Arial" w:cs="Arial" w:eastAsia="Arial" w:hAnsi="Arial"/>
          <w:sz w:val="16"/>
          <w:szCs w:val="16"/>
          <w:color w:val="010000"/>
        </w:rPr>
      </w:pPr>
      <w:r>
        <w:rPr>
          <w:rFonts w:ascii="Arial" w:cs="Arial" w:eastAsia="Arial" w:hAnsi="Arial"/>
          <w:sz w:val="16"/>
          <w:szCs w:val="16"/>
          <w:color w:val="auto"/>
        </w:rPr>
        <w:t>orders the liquidation of the Company, and the order or decree remains unstayed and in effect for 90 days; or</w:t>
      </w:r>
    </w:p>
    <w:p>
      <w:pPr>
        <w:spacing w:after="0" w:line="248" w:lineRule="exact"/>
        <w:rPr>
          <w:rFonts w:ascii="Arial" w:cs="Arial" w:eastAsia="Arial" w:hAnsi="Arial"/>
          <w:sz w:val="16"/>
          <w:szCs w:val="16"/>
          <w:color w:val="010000"/>
        </w:rPr>
      </w:pPr>
    </w:p>
    <w:p>
      <w:pPr>
        <w:ind w:firstLine="1952"/>
        <w:spacing w:after="0" w:line="277" w:lineRule="auto"/>
        <w:tabs>
          <w:tab w:leader="none" w:pos="2675"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6.2</w:t>
      </w:r>
      <w:r>
        <w:rPr>
          <w:sz w:val="20"/>
          <w:szCs w:val="20"/>
          <w:color w:val="auto"/>
        </w:rPr>
        <w:tab/>
      </w:r>
      <w:r>
        <w:rPr>
          <w:rFonts w:ascii="Arial" w:cs="Arial" w:eastAsia="Arial" w:hAnsi="Arial"/>
          <w:sz w:val="16"/>
          <w:szCs w:val="16"/>
          <w:u w:val="single" w:color="auto"/>
          <w:color w:val="auto"/>
        </w:rPr>
        <w:t>Acceleration.</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6.1(e) or (f)) then in every such case the Trustee or the Holders of not less than 30%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6.1(e) or</w:t>
      </w:r>
    </w:p>
    <w:p>
      <w:pPr>
        <w:spacing w:after="0" w:line="4" w:lineRule="exact"/>
        <w:rPr>
          <w:sz w:val="20"/>
          <w:szCs w:val="20"/>
          <w:color w:val="auto"/>
        </w:rPr>
      </w:pPr>
    </w:p>
    <w:p>
      <w:pPr>
        <w:ind w:right="20" w:firstLine="8"/>
        <w:spacing w:after="0" w:line="260" w:lineRule="auto"/>
        <w:tabs>
          <w:tab w:leader="none" w:pos="2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At any time after such a declaration of acceleration with respect to any Series has been made, the Holders of a majority in principal amount of the outstanding Securities of that Series, by written notice to the Company and the Trustee, may rescind and annul such declaration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6.3</w:t>
      </w:r>
      <w:r>
        <w:rPr>
          <w:sz w:val="20"/>
          <w:szCs w:val="20"/>
          <w:color w:val="auto"/>
        </w:rPr>
        <w:tab/>
      </w:r>
      <w:r>
        <w:rPr>
          <w:rFonts w:ascii="Arial" w:cs="Arial" w:eastAsia="Arial" w:hAnsi="Arial"/>
          <w:sz w:val="16"/>
          <w:szCs w:val="16"/>
          <w:u w:val="single" w:color="auto"/>
          <w:color w:val="auto"/>
        </w:rPr>
        <w:t>Other Remedies.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 Trustee may pursue any available remedy to collect the payment of principal, premium, if any, and interest on such Securities or to enforce the performance of any provision of such Securities or this Indenture.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Trustee for such Securities may maintain a proceeding even if it does not possess any of such Securities or does not produce any of them in the proceeding. A delay or omission by the Trustee or any Holder of Securities in exercising any right or remedy accruing upon an Event of Default shall not impair the right or remedy or constitute a waiver of or acquiescence in the Event of Default. All remedies are cumulative to the extent permitted by law.</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6.4</w:t>
      </w:r>
      <w:r>
        <w:rPr>
          <w:sz w:val="20"/>
          <w:szCs w:val="20"/>
          <w:color w:val="auto"/>
        </w:rPr>
        <w:tab/>
      </w:r>
      <w:r>
        <w:rPr>
          <w:rFonts w:ascii="Arial" w:cs="Arial" w:eastAsia="Arial" w:hAnsi="Arial"/>
          <w:sz w:val="16"/>
          <w:szCs w:val="16"/>
          <w:u w:val="single" w:color="auto"/>
          <w:color w:val="auto"/>
        </w:rPr>
        <w:t>Waiver of Past Defaults.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Holders of not less than a majority in aggregate principal amount of the then outstanding Securities of any Series by notice to the Trustee for such Securities may on behalf of the Holders of all Securities of such Series waive an existing Default or Event of Default with respect to the Securities of such Series and its consequences hereunder, except a continuing Default or Event of Default in the payment of the principal of, premium, if any, or interest on, such Securities (including in connection with an offer to purchase); provided, however, that the Holders of a majority in aggregate principal amount of the then outstanding Securities of any Series may rescind an acceleration of the Securities of such Series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6.5</w:t>
      </w:r>
      <w:r>
        <w:rPr>
          <w:sz w:val="20"/>
          <w:szCs w:val="20"/>
          <w:color w:val="auto"/>
        </w:rPr>
        <w:tab/>
      </w:r>
      <w:r>
        <w:rPr>
          <w:rFonts w:ascii="Arial" w:cs="Arial" w:eastAsia="Arial" w:hAnsi="Arial"/>
          <w:sz w:val="17"/>
          <w:szCs w:val="17"/>
          <w:u w:val="single" w:color="auto"/>
          <w:color w:val="auto"/>
        </w:rPr>
        <w:t>Control by Majority.</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Holders of not less than a majority in aggregate principal amount of the then outstanding Securities of any Series may direct the time, method and place of conducting any proceeding for exercising any remedy available to the Trustee for such Securities or exercising any trust or power conferred on it. However, the Trustee for any Series of Securities may refuse to follow any direction that conflicts with law or this Indenture that such Trustee determines may be unduly prejudicial to the rights of other Holders of such Securities or that may involve the Trustee in personal liability.</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6.6</w:t>
      </w:r>
      <w:r>
        <w:rPr>
          <w:sz w:val="20"/>
          <w:szCs w:val="20"/>
          <w:color w:val="auto"/>
        </w:rPr>
        <w:tab/>
      </w:r>
      <w:r>
        <w:rPr>
          <w:rFonts w:ascii="Arial" w:cs="Arial" w:eastAsia="Arial" w:hAnsi="Arial"/>
          <w:sz w:val="17"/>
          <w:szCs w:val="17"/>
          <w:u w:val="single" w:color="auto"/>
          <w:color w:val="auto"/>
        </w:rPr>
        <w:t>Limitation on Suits.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Holder of any Series of Securities may pursue a remedy with respect to this Indenture or such Securities only if:</w:t>
      </w:r>
    </w:p>
    <w:p>
      <w:pPr>
        <w:spacing w:after="0" w:line="225" w:lineRule="exact"/>
        <w:rPr>
          <w:sz w:val="20"/>
          <w:szCs w:val="20"/>
          <w:color w:val="auto"/>
        </w:rPr>
      </w:pPr>
    </w:p>
    <w:p>
      <w:pPr>
        <w:ind w:left="5540" w:right="420" w:hanging="2940"/>
        <w:spacing w:after="0" w:line="778" w:lineRule="auto"/>
        <w:tabs>
          <w:tab w:leader="none" w:pos="3265"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such Holder gives to the Trustee for such Securities written notice that an Event of Default is continuing;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20" w:firstLine="2600"/>
        <w:spacing w:after="0" w:line="277" w:lineRule="auto"/>
        <w:tabs>
          <w:tab w:leader="none" w:pos="3251"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Holders of at least 30% in aggregate principal amount of the then outstanding Securities of such Series make a written request to the Trustee for such Securities to pursue the remedy;</w:t>
      </w:r>
    </w:p>
    <w:p>
      <w:pPr>
        <w:spacing w:after="0" w:line="170" w:lineRule="exact"/>
        <w:rPr>
          <w:rFonts w:ascii="Arial" w:cs="Arial" w:eastAsia="Arial" w:hAnsi="Arial"/>
          <w:sz w:val="18"/>
          <w:szCs w:val="18"/>
          <w:color w:val="010000"/>
        </w:rPr>
      </w:pPr>
    </w:p>
    <w:p>
      <w:pPr>
        <w:ind w:firstLine="2600"/>
        <w:spacing w:after="0" w:line="277" w:lineRule="auto"/>
        <w:tabs>
          <w:tab w:leader="none" w:pos="3251"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such Holder or Holders offer and, if requested, provide to the Trustee for such Securities security or indemnity reasonably satisfactory to such Trustee against any loss, liability or expense;</w:t>
      </w:r>
    </w:p>
    <w:p>
      <w:pPr>
        <w:spacing w:after="0" w:line="170" w:lineRule="exact"/>
        <w:rPr>
          <w:rFonts w:ascii="Arial" w:cs="Arial" w:eastAsia="Arial" w:hAnsi="Arial"/>
          <w:sz w:val="18"/>
          <w:szCs w:val="18"/>
          <w:color w:val="010000"/>
        </w:rPr>
      </w:pPr>
    </w:p>
    <w:p>
      <w:pPr>
        <w:ind w:left="3400" w:hanging="800"/>
        <w:spacing w:after="0"/>
        <w:tabs>
          <w:tab w:leader="none" w:pos="3400"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such Trustee does not comply with the request within 60 days after receipt of the request and the offer of</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security or indemnity; and</w:t>
      </w:r>
    </w:p>
    <w:p>
      <w:pPr>
        <w:spacing w:after="0" w:line="210" w:lineRule="exact"/>
        <w:rPr>
          <w:rFonts w:ascii="Arial" w:cs="Arial" w:eastAsia="Arial" w:hAnsi="Arial"/>
          <w:sz w:val="16"/>
          <w:szCs w:val="16"/>
          <w:color w:val="010000"/>
        </w:rPr>
      </w:pPr>
    </w:p>
    <w:p>
      <w:pPr>
        <w:ind w:firstLine="2600"/>
        <w:spacing w:after="0" w:line="277" w:lineRule="auto"/>
        <w:tabs>
          <w:tab w:leader="none" w:pos="3467"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during such 60-day period, Holders of a majority in aggregate principal amount of the then outstanding Securities of such Series do not give such Trustee a direction inconsistent with such request.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Holder of any Series of Securities may not use this Indenture to prejudice the rights of another Holder of such Series of Securities or to obtain a preference or priority over another Holder of a Securities of such Series.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6.7</w:t>
      </w:r>
      <w:r>
        <w:rPr>
          <w:sz w:val="20"/>
          <w:szCs w:val="20"/>
          <w:color w:val="auto"/>
        </w:rPr>
        <w:tab/>
      </w:r>
      <w:r>
        <w:rPr>
          <w:rFonts w:ascii="Arial" w:cs="Arial" w:eastAsia="Arial" w:hAnsi="Arial"/>
          <w:sz w:val="16"/>
          <w:szCs w:val="16"/>
          <w:u w:val="single" w:color="auto"/>
          <w:color w:val="auto"/>
        </w:rPr>
        <w:t>Rights of Holders of Security to Receive Payment.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Security of any Series to receive payment of principal, premium, if any, and interest on such Securities, on or after the respective due dates expressed in such Securities (including, if applicable, in connection with an offer to purchase),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6.8</w:t>
      </w:r>
      <w:r>
        <w:rPr>
          <w:sz w:val="20"/>
          <w:szCs w:val="20"/>
          <w:color w:val="auto"/>
        </w:rPr>
        <w:tab/>
      </w:r>
      <w:r>
        <w:rPr>
          <w:rFonts w:ascii="Arial" w:cs="Arial" w:eastAsia="Arial" w:hAnsi="Arial"/>
          <w:sz w:val="16"/>
          <w:szCs w:val="16"/>
          <w:u w:val="single" w:color="auto"/>
          <w:color w:val="auto"/>
        </w:rPr>
        <w:t>Collection Suit by Trustee.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an Event of Default specified in Section 6.1(a), (b) or (c) hereof with respect to Securities of any Series occurs and is continuing, the Trustee for such Securities is authorized to recover judgment in its own name and as trustee of an express trust against the Company for the whole amount of principal of, premium, if any, and interest remaining unpaid on, such Securities and interest on overdue principal and, to the extent lawful, interest and such further amount as shall be sufficient to cover the costs and expenses of collection, including the reasonable compensation, expenses, disbursements and advances of such Trustee, its agents and counsel.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tabs>
          <w:tab w:leader="none" w:pos="1980" w:val="left"/>
        </w:tabs>
        <w:rPr>
          <w:sz w:val="20"/>
          <w:szCs w:val="20"/>
          <w:color w:val="auto"/>
        </w:rPr>
      </w:pPr>
      <w:r>
        <w:rPr>
          <w:rFonts w:ascii="Arial" w:cs="Arial" w:eastAsia="Arial" w:hAnsi="Arial"/>
          <w:sz w:val="18"/>
          <w:szCs w:val="18"/>
          <w:color w:val="010000"/>
        </w:rPr>
        <w:t>Section 6.9</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Trustee for each Series of Securities is authorized to file such proofs of claim and other papers or documents as may be necessary or advisable in order to have the claims of such Trustee (including any claim for the reasonable compensation, expenses, disbursements and advances of such Trustee, its agents and counsel) and the Holders of the Securities for which it acts as trustee allowed in any judicial proceedings relative to the Company (or any other obligor upon such Securities), its creditors or its property and shall be entitled and empowered to collect, receive and distribute any money or other property payable or deliverable on any such claims and any Custodian in any such judicial proceeding is hereby authorized by each Holder of such Securities to make such payments to such Trustee, and in the event that such Trustee shall consent to the making of such payments directly to such Holders, to pay to such Trustee any amount due to it for the reasonable compensation, expenses, disbursements and advances of such Trustee, its agents and counsel, and any other amounts due such Trustee under the Indenture. To the extent that the payment of any such compensation, expenses, disbursements and advances of such Trustee, its agents and counsel, and any other amounts due such Trustee (including, without limitation, under Section 7.7 hereof) out of the estate in any such proceeding, shall be denied for any reason, payment of the same shall be secured by a Lien on, and shall be paid out of, any and all distributions, dividends, money, securities and other properties that such Holders may be entitled to receive in such proceeding whether in liquidation or under any plan of reorganization or arrangement or otherwise. Nothing herein contained shall be deemed to authorize such Trustee to authorize or consent to or accept or adopt on behalf of any Holder for which it acts as trustee any plan of reorganization, arrangement, adjustment or composition affecting the Securities or the rights of such Holder, or to authorize such Trustee to vote in respect of the claim of any such Holder in any such proceeding.</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6.10</w:t>
      </w:r>
      <w:r>
        <w:rPr>
          <w:sz w:val="20"/>
          <w:szCs w:val="20"/>
          <w:color w:val="auto"/>
        </w:rPr>
        <w:tab/>
      </w:r>
      <w:r>
        <w:rPr>
          <w:rFonts w:ascii="Arial" w:cs="Arial" w:eastAsia="Arial" w:hAnsi="Arial"/>
          <w:sz w:val="16"/>
          <w:szCs w:val="16"/>
          <w:u w:val="single" w:color="auto"/>
          <w:color w:val="auto"/>
        </w:rPr>
        <w:t>Priorities.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Trustee of any Series of Securities collects any money pursuant to this Article 6, it shall pay out the money in the following order:</w:t>
      </w:r>
    </w:p>
    <w:p>
      <w:pPr>
        <w:spacing w:after="0" w:line="24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the Trustee, its agents and attorneys for amounts due under the Indenture, including payment of all reasonable compensation, expenses, indemnities and liabilities incurred, and all advances made, by the Trustee and the costs and expenses of collection;</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Holders of such Securities for amounts due and unpaid on such Securities for principal, premium, if any, and interest, ratably, without preference or priority of any kind, according to the amounts due and payable on such Securities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Trustee may fix a record date and payment date for any payment to Holders of Securities pursuant to this Section 6.10.</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6.11</w:t>
      </w:r>
      <w:r>
        <w:rPr>
          <w:sz w:val="20"/>
          <w:szCs w:val="20"/>
          <w:color w:val="auto"/>
        </w:rPr>
        <w:tab/>
      </w:r>
      <w:r>
        <w:rPr>
          <w:rFonts w:ascii="Arial" w:cs="Arial" w:eastAsia="Arial" w:hAnsi="Arial"/>
          <w:sz w:val="16"/>
          <w:szCs w:val="16"/>
          <w:u w:val="single" w:color="auto"/>
          <w:color w:val="auto"/>
        </w:rPr>
        <w:t>Undertaking for Costs.</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Security pursuant to Section 6.7 hereof, or a suit by Holders of more than 10% in aggregate principal amount of the then outstanding Securities of any Series.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010000"/>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TRUSTEE</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7.1</w:t>
      </w:r>
      <w:r>
        <w:rPr>
          <w:sz w:val="20"/>
          <w:szCs w:val="20"/>
          <w:color w:val="auto"/>
        </w:rPr>
        <w:tab/>
      </w:r>
      <w:r>
        <w:rPr>
          <w:rFonts w:ascii="Arial" w:cs="Arial" w:eastAsia="Arial" w:hAnsi="Arial"/>
          <w:sz w:val="16"/>
          <w:szCs w:val="16"/>
          <w:u w:val="single" w:color="auto"/>
          <w:color w:val="auto"/>
        </w:rPr>
        <w:t>Duties of Trustee.</w:t>
      </w:r>
    </w:p>
    <w:p>
      <w:pPr>
        <w:spacing w:after="0" w:line="225" w:lineRule="exact"/>
        <w:rPr>
          <w:sz w:val="20"/>
          <w:szCs w:val="20"/>
          <w:color w:val="auto"/>
        </w:rPr>
      </w:pPr>
    </w:p>
    <w:p>
      <w:pPr>
        <w:jc w:val="both"/>
        <w:ind w:firstLine="1952"/>
        <w:spacing w:after="0" w:line="311" w:lineRule="auto"/>
        <w:tabs>
          <w:tab w:leader="none" w:pos="2692"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If an Event of Default with respect to any Series of Securities has occurred and is continuing, of which a Responsible Officer of the Trustee has actual knowledge,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148" w:lineRule="exact"/>
        <w:rPr>
          <w:rFonts w:ascii="Arial" w:cs="Arial" w:eastAsia="Arial" w:hAnsi="Arial"/>
          <w:sz w:val="16"/>
          <w:szCs w:val="16"/>
          <w:color w:val="010000"/>
        </w:rPr>
      </w:pPr>
    </w:p>
    <w:p>
      <w:pPr>
        <w:ind w:left="2900" w:hanging="948"/>
        <w:spacing w:after="0"/>
        <w:tabs>
          <w:tab w:leader="none" w:pos="2900"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Except during the continuance of an Event of Default of which a Responsible Officer of the Trustee has actual</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knowledge:</w:t>
      </w:r>
    </w:p>
    <w:p>
      <w:pPr>
        <w:spacing w:after="0" w:line="210" w:lineRule="exact"/>
        <w:rPr>
          <w:rFonts w:ascii="Arial" w:cs="Arial" w:eastAsia="Arial" w:hAnsi="Arial"/>
          <w:sz w:val="17"/>
          <w:szCs w:val="17"/>
          <w:color w:val="010000"/>
        </w:rPr>
      </w:pPr>
    </w:p>
    <w:p>
      <w:pPr>
        <w:ind w:firstLine="2600"/>
        <w:spacing w:after="0" w:line="277" w:lineRule="auto"/>
        <w:tabs>
          <w:tab w:leader="none" w:pos="3310"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70" w:lineRule="exact"/>
        <w:rPr>
          <w:rFonts w:ascii="Arial" w:cs="Arial" w:eastAsia="Arial" w:hAnsi="Arial"/>
          <w:sz w:val="18"/>
          <w:szCs w:val="18"/>
          <w:color w:val="010000"/>
        </w:rPr>
      </w:pPr>
    </w:p>
    <w:p>
      <w:pPr>
        <w:jc w:val="both"/>
        <w:ind w:firstLine="2600"/>
        <w:spacing w:after="0" w:line="255" w:lineRule="auto"/>
        <w:tabs>
          <w:tab w:leader="none" w:pos="3302"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92" w:lineRule="exact"/>
        <w:rPr>
          <w:rFonts w:ascii="Arial" w:cs="Arial" w:eastAsia="Arial" w:hAnsi="Arial"/>
          <w:sz w:val="18"/>
          <w:szCs w:val="18"/>
          <w:color w:val="010000"/>
        </w:rPr>
      </w:pPr>
    </w:p>
    <w:p>
      <w:pPr>
        <w:ind w:left="2720" w:hanging="768"/>
        <w:spacing w:after="0"/>
        <w:tabs>
          <w:tab w:leader="none" w:pos="2720"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The Trustee may not be relieved from liability for its own negligent action, its own negligent failure to act or its own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willful misconduct, except that:</w:t>
      </w:r>
    </w:p>
    <w:p>
      <w:pPr>
        <w:spacing w:after="0" w:line="210" w:lineRule="exact"/>
        <w:rPr>
          <w:rFonts w:ascii="Arial" w:cs="Arial" w:eastAsia="Arial" w:hAnsi="Arial"/>
          <w:sz w:val="16"/>
          <w:szCs w:val="16"/>
          <w:color w:val="010000"/>
        </w:rPr>
      </w:pPr>
    </w:p>
    <w:p>
      <w:pPr>
        <w:ind w:left="3260" w:hanging="660"/>
        <w:spacing w:after="0"/>
        <w:tabs>
          <w:tab w:leader="none" w:pos="3260"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010000"/>
        </w:rPr>
      </w:pPr>
    </w:p>
    <w:p>
      <w:pPr>
        <w:ind w:right="20" w:firstLine="2600"/>
        <w:spacing w:after="0" w:line="277" w:lineRule="auto"/>
        <w:tabs>
          <w:tab w:leader="none" w:pos="3262"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010000"/>
        </w:rPr>
      </w:pPr>
    </w:p>
    <w:p>
      <w:pPr>
        <w:jc w:val="both"/>
        <w:ind w:firstLine="2600"/>
        <w:spacing w:after="0" w:line="259" w:lineRule="auto"/>
        <w:tabs>
          <w:tab w:leader="none" w:pos="338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6" w:lineRule="exact"/>
        <w:rPr>
          <w:rFonts w:ascii="Arial" w:cs="Arial" w:eastAsia="Arial" w:hAnsi="Arial"/>
          <w:sz w:val="18"/>
          <w:szCs w:val="18"/>
          <w:color w:val="010000"/>
        </w:rPr>
      </w:pPr>
    </w:p>
    <w:p>
      <w:pPr>
        <w:ind w:left="2660" w:hanging="708"/>
        <w:spacing w:after="0"/>
        <w:tabs>
          <w:tab w:leader="none" w:pos="2660"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Every provision of this Indenture that in any way relates to the Trustee is subject to this Article VII.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firstLine="1952"/>
        <w:spacing w:after="0" w:line="277" w:lineRule="auto"/>
        <w:tabs>
          <w:tab w:leader="none" w:pos="2922"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The Trustee may refuse to perform any duty or exercise any right or power at the request or direction of any Holder(s) unless it receives indemnity satisfactory to it against any loss, liability or expense.</w:t>
      </w:r>
    </w:p>
    <w:p>
      <w:pPr>
        <w:spacing w:after="0" w:line="170" w:lineRule="exact"/>
        <w:rPr>
          <w:rFonts w:ascii="Arial" w:cs="Arial" w:eastAsia="Arial" w:hAnsi="Arial"/>
          <w:sz w:val="18"/>
          <w:szCs w:val="18"/>
          <w:color w:val="010000"/>
        </w:rPr>
      </w:pPr>
    </w:p>
    <w:p>
      <w:pPr>
        <w:ind w:firstLine="1952"/>
        <w:spacing w:after="0" w:line="277" w:lineRule="auto"/>
        <w:tabs>
          <w:tab w:leader="none" w:pos="2664"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010000"/>
        </w:rPr>
      </w:pPr>
    </w:p>
    <w:p>
      <w:pPr>
        <w:jc w:val="both"/>
        <w:ind w:firstLine="1952"/>
        <w:spacing w:after="0" w:line="263" w:lineRule="auto"/>
        <w:tabs>
          <w:tab w:leader="none" w:pos="2702"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3" w:lineRule="exact"/>
        <w:rPr>
          <w:rFonts w:ascii="Arial" w:cs="Arial" w:eastAsia="Arial" w:hAnsi="Arial"/>
          <w:sz w:val="18"/>
          <w:szCs w:val="18"/>
          <w:color w:val="010000"/>
        </w:rPr>
      </w:pPr>
    </w:p>
    <w:p>
      <w:pPr>
        <w:ind w:firstLine="1952"/>
        <w:spacing w:after="0" w:line="277" w:lineRule="auto"/>
        <w:tabs>
          <w:tab w:leader="none" w:pos="2932"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The Paying Agent, the Registrar, the Service Agent and any authenticating agent shall be entitled to the same protections, indemnities and immunities as are set forth in this Article VII with respect to the Trustee.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7.2</w:t>
      </w:r>
      <w:r>
        <w:rPr>
          <w:sz w:val="20"/>
          <w:szCs w:val="20"/>
          <w:color w:val="auto"/>
        </w:rPr>
        <w:tab/>
      </w:r>
      <w:r>
        <w:rPr>
          <w:rFonts w:ascii="Arial" w:cs="Arial" w:eastAsia="Arial" w:hAnsi="Arial"/>
          <w:sz w:val="16"/>
          <w:szCs w:val="16"/>
          <w:u w:val="single" w:color="auto"/>
          <w:color w:val="auto"/>
        </w:rPr>
        <w:t>Rights of Trustee.</w:t>
      </w:r>
    </w:p>
    <w:p>
      <w:pPr>
        <w:spacing w:after="0" w:line="225" w:lineRule="exact"/>
        <w:rPr>
          <w:sz w:val="20"/>
          <w:szCs w:val="20"/>
          <w:color w:val="auto"/>
        </w:rPr>
      </w:pPr>
    </w:p>
    <w:p>
      <w:pPr>
        <w:jc w:val="both"/>
        <w:ind w:firstLine="1952"/>
        <w:spacing w:after="0" w:line="263" w:lineRule="auto"/>
        <w:tabs>
          <w:tab w:leader="none" w:pos="2881"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The Trustee may conclusively rely on and shall be fully protected in acting or refraining from acting upon any document believed by it to be genuine and to have been signed or presented by the proper person. The Trustee need not investigate any fact or matter stated in the document.</w:t>
      </w:r>
    </w:p>
    <w:p>
      <w:pPr>
        <w:spacing w:after="0" w:line="183" w:lineRule="exact"/>
        <w:rPr>
          <w:rFonts w:ascii="Arial" w:cs="Arial" w:eastAsia="Arial" w:hAnsi="Arial"/>
          <w:sz w:val="18"/>
          <w:szCs w:val="18"/>
          <w:color w:val="010000"/>
        </w:rPr>
      </w:pPr>
    </w:p>
    <w:p>
      <w:pPr>
        <w:ind w:firstLine="1952"/>
        <w:spacing w:after="0" w:line="277" w:lineRule="auto"/>
        <w:tabs>
          <w:tab w:leader="none" w:pos="2702"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Before the Trustee acts or refrains from acting, it may require an Officers’ Certificate. The Trustee shall not be liable for any action it takes or omits to take in good faith in reliance on such Officers’ Certificate.</w:t>
      </w:r>
    </w:p>
    <w:p>
      <w:pPr>
        <w:spacing w:after="0" w:line="170" w:lineRule="exact"/>
        <w:rPr>
          <w:rFonts w:ascii="Arial" w:cs="Arial" w:eastAsia="Arial" w:hAnsi="Arial"/>
          <w:sz w:val="18"/>
          <w:szCs w:val="18"/>
          <w:color w:val="010000"/>
        </w:rPr>
      </w:pPr>
    </w:p>
    <w:p>
      <w:pPr>
        <w:jc w:val="both"/>
        <w:ind w:firstLine="1952"/>
        <w:spacing w:after="0" w:line="286" w:lineRule="auto"/>
        <w:tabs>
          <w:tab w:leader="none" w:pos="2652"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Trustee may act through agents, attorneys, custodians or nominees and shall not be responsible for the supervision of or any misconduct or negligence of any agent, attorney, custodian or nominee appointed with due care. No Depositary shall be deemed an agent, attorney, custodian or nominee of the Trustee and the Trustee shall not be responsible for any act or omission by any Depositary.</w:t>
      </w:r>
    </w:p>
    <w:p>
      <w:pPr>
        <w:spacing w:after="0" w:line="165" w:lineRule="exact"/>
        <w:rPr>
          <w:rFonts w:ascii="Arial" w:cs="Arial" w:eastAsia="Arial" w:hAnsi="Arial"/>
          <w:sz w:val="17"/>
          <w:szCs w:val="17"/>
          <w:color w:val="010000"/>
        </w:rPr>
      </w:pPr>
    </w:p>
    <w:p>
      <w:pPr>
        <w:ind w:firstLine="1952"/>
        <w:spacing w:after="0" w:line="277" w:lineRule="auto"/>
        <w:tabs>
          <w:tab w:leader="none" w:pos="264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170" w:lineRule="exact"/>
        <w:rPr>
          <w:rFonts w:ascii="Arial" w:cs="Arial" w:eastAsia="Arial" w:hAnsi="Arial"/>
          <w:sz w:val="18"/>
          <w:szCs w:val="18"/>
          <w:color w:val="010000"/>
        </w:rPr>
      </w:pPr>
    </w:p>
    <w:p>
      <w:pPr>
        <w:ind w:firstLine="1952"/>
        <w:spacing w:after="0" w:line="308" w:lineRule="auto"/>
        <w:tabs>
          <w:tab w:leader="none" w:pos="2787"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010000"/>
        </w:rPr>
      </w:pPr>
    </w:p>
    <w:p>
      <w:pPr>
        <w:jc w:val="both"/>
        <w:ind w:firstLine="1952"/>
        <w:spacing w:after="0" w:line="286" w:lineRule="auto"/>
        <w:tabs>
          <w:tab w:leader="none" w:pos="2772"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952"/>
        <w:spacing w:after="0" w:line="263" w:lineRule="auto"/>
        <w:tabs>
          <w:tab w:leader="none" w:pos="270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83" w:lineRule="exact"/>
        <w:rPr>
          <w:rFonts w:ascii="Arial" w:cs="Arial" w:eastAsia="Arial" w:hAnsi="Arial"/>
          <w:sz w:val="18"/>
          <w:szCs w:val="18"/>
          <w:color w:val="010000"/>
        </w:rPr>
      </w:pPr>
    </w:p>
    <w:p>
      <w:pPr>
        <w:jc w:val="both"/>
        <w:ind w:firstLine="1952"/>
        <w:spacing w:after="0" w:line="286" w:lineRule="auto"/>
        <w:tabs>
          <w:tab w:leader="none" w:pos="2689"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010000"/>
        </w:rPr>
      </w:pPr>
    </w:p>
    <w:p>
      <w:pPr>
        <w:jc w:val="both"/>
        <w:ind w:firstLine="1952"/>
        <w:spacing w:after="0" w:line="286" w:lineRule="auto"/>
        <w:tabs>
          <w:tab w:leader="none" w:pos="2681"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65" w:lineRule="exact"/>
        <w:rPr>
          <w:rFonts w:ascii="Arial" w:cs="Arial" w:eastAsia="Arial" w:hAnsi="Arial"/>
          <w:sz w:val="17"/>
          <w:szCs w:val="17"/>
          <w:color w:val="010000"/>
        </w:rPr>
      </w:pPr>
    </w:p>
    <w:p>
      <w:pPr>
        <w:jc w:val="both"/>
        <w:ind w:firstLine="1952"/>
        <w:spacing w:after="0" w:line="263" w:lineRule="auto"/>
        <w:tabs>
          <w:tab w:leader="none" w:pos="273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83" w:lineRule="exact"/>
        <w:rPr>
          <w:rFonts w:ascii="Arial" w:cs="Arial" w:eastAsia="Arial" w:hAnsi="Arial"/>
          <w:sz w:val="18"/>
          <w:szCs w:val="18"/>
          <w:color w:val="010000"/>
        </w:rPr>
      </w:pPr>
    </w:p>
    <w:p>
      <w:pPr>
        <w:jc w:val="both"/>
        <w:ind w:right="20" w:firstLine="1952"/>
        <w:spacing w:after="0" w:line="263" w:lineRule="auto"/>
        <w:tabs>
          <w:tab w:leader="none" w:pos="2837"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83" w:lineRule="exact"/>
        <w:rPr>
          <w:rFonts w:ascii="Arial" w:cs="Arial" w:eastAsia="Arial" w:hAnsi="Arial"/>
          <w:sz w:val="18"/>
          <w:szCs w:val="18"/>
          <w:color w:val="010000"/>
        </w:rPr>
      </w:pPr>
    </w:p>
    <w:p>
      <w:pPr>
        <w:jc w:val="both"/>
        <w:ind w:firstLine="1952"/>
        <w:spacing w:after="0" w:line="289" w:lineRule="auto"/>
        <w:tabs>
          <w:tab w:leader="none" w:pos="2654" w:val="left"/>
        </w:tabs>
        <w:numPr>
          <w:ilvl w:val="0"/>
          <w:numId w:val="51"/>
        </w:numPr>
        <w:rPr>
          <w:rFonts w:ascii="Arial" w:cs="Arial" w:eastAsia="Arial" w:hAnsi="Arial"/>
          <w:sz w:val="16"/>
          <w:szCs w:val="16"/>
          <w:color w:val="010000"/>
        </w:rPr>
      </w:pPr>
      <w:r>
        <w:rPr>
          <w:rFonts w:ascii="Arial" w:cs="Arial" w:eastAsia="Arial" w:hAnsi="Arial"/>
          <w:sz w:val="16"/>
          <w:szCs w:val="16"/>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66" w:lineRule="exact"/>
        <w:rPr>
          <w:rFonts w:ascii="Arial" w:cs="Arial" w:eastAsia="Arial" w:hAnsi="Arial"/>
          <w:sz w:val="16"/>
          <w:szCs w:val="16"/>
          <w:color w:val="010000"/>
        </w:rPr>
      </w:pPr>
    </w:p>
    <w:p>
      <w:pPr>
        <w:jc w:val="both"/>
        <w:ind w:firstLine="1952"/>
        <w:spacing w:after="0" w:line="259" w:lineRule="auto"/>
        <w:tabs>
          <w:tab w:leader="none" w:pos="2653"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Delivery of reports and other financial information related to the Company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conclusively on Officers’ Certificates).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2740" w:hanging="788"/>
        <w:spacing w:after="0"/>
        <w:tabs>
          <w:tab w:leader="none" w:pos="2740"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The right of the Trustee to perform any discretionary act enumerated in this Indenture or any related document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 be construed as a duty.</w:t>
      </w:r>
    </w:p>
    <w:p>
      <w:pPr>
        <w:spacing w:after="0" w:line="211" w:lineRule="exact"/>
        <w:rPr>
          <w:sz w:val="20"/>
          <w:szCs w:val="20"/>
          <w:color w:val="auto"/>
        </w:rPr>
      </w:pPr>
    </w:p>
    <w:p>
      <w:pPr>
        <w:jc w:val="both"/>
        <w:ind w:firstLine="1952"/>
        <w:spacing w:after="0" w:line="263" w:lineRule="auto"/>
        <w:tabs>
          <w:tab w:leader="none" w:pos="2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7.3</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7.4</w:t>
      </w:r>
      <w:r>
        <w:rPr>
          <w:sz w:val="20"/>
          <w:szCs w:val="20"/>
          <w:color w:val="auto"/>
        </w:rPr>
        <w:tab/>
      </w:r>
      <w:r>
        <w:rPr>
          <w:rFonts w:ascii="Arial" w:cs="Arial" w:eastAsia="Arial" w:hAnsi="Arial"/>
          <w:sz w:val="16"/>
          <w:szCs w:val="16"/>
          <w:u w:val="single" w:color="auto"/>
          <w:color w:val="auto"/>
        </w:rPr>
        <w:t>Trustee’s Disclaimer.</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7.5</w:t>
      </w:r>
      <w:r>
        <w:rPr>
          <w:sz w:val="20"/>
          <w:szCs w:val="20"/>
          <w:color w:val="auto"/>
        </w:rPr>
        <w:tab/>
      </w:r>
      <w:r>
        <w:rPr>
          <w:rFonts w:ascii="Arial" w:cs="Arial" w:eastAsia="Arial" w:hAnsi="Arial"/>
          <w:sz w:val="16"/>
          <w:szCs w:val="16"/>
          <w:u w:val="single" w:color="auto"/>
          <w:color w:val="auto"/>
        </w:rPr>
        <w:t>Notice of Defaults.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mail to each Securityholder of the Securities of that Series notice of such Default or Event of Default within 90 days after a Responsible Officer of the Trustee has knowledge of such Default or Event of Default. Except in the case of a Default or Event of Default in payment of principal of or interest on any Security of any Series, the Trustee may withhold the notice if it in good faith determines that withholding the notice is in the interests of Securityholders of that Series.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7.6</w:t>
      </w:r>
      <w:r>
        <w:rPr>
          <w:sz w:val="20"/>
          <w:szCs w:val="20"/>
          <w:color w:val="auto"/>
        </w:rPr>
        <w:tab/>
      </w:r>
      <w:r>
        <w:rPr>
          <w:rFonts w:ascii="Arial" w:cs="Arial" w:eastAsia="Arial" w:hAnsi="Arial"/>
          <w:sz w:val="16"/>
          <w:szCs w:val="16"/>
          <w:u w:val="single" w:color="auto"/>
          <w:color w:val="auto"/>
        </w:rPr>
        <w:t>Reports by Trustee to Holders.</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Within 60 days after May 15 in each year, and for so long as any Securities remain outstanding, the Trustee shall transmit by mail to all Securityholders, as their names and addresses appear on the register kept by the Registrar a brief report dated as of such May 15, in accordance with, and to the extent required under, TIA § 313(a) (but if no event described in TIA §313(a) has occurred within the twelve months preceding the reporting date, no report need be transmitted). The Trustee also will comply with TIA §313(b)(2) and transmit by mail all reports as required by TIA §313(c).</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mailed by the Trustee to the Company and filed by the Company with the SEC and each stock exchange on which the Securities of that Series are listed. The Company shall promptly notify the Trustee when Securities of any Series are listed on any stock exchange.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660"/>
        <w:spacing w:after="0"/>
        <w:tabs>
          <w:tab w:leader="none" w:pos="1980" w:val="left"/>
        </w:tabs>
        <w:rPr>
          <w:sz w:val="20"/>
          <w:szCs w:val="20"/>
          <w:color w:val="auto"/>
        </w:rPr>
      </w:pPr>
      <w:r>
        <w:rPr>
          <w:rFonts w:ascii="Arial" w:cs="Arial" w:eastAsia="Arial" w:hAnsi="Arial"/>
          <w:sz w:val="18"/>
          <w:szCs w:val="18"/>
          <w:color w:val="010000"/>
        </w:rPr>
        <w:t>Section 7.7</w:t>
      </w:r>
      <w:r>
        <w:rPr>
          <w:sz w:val="20"/>
          <w:szCs w:val="20"/>
          <w:color w:val="auto"/>
        </w:rPr>
        <w:tab/>
      </w:r>
      <w:r>
        <w:rPr>
          <w:rFonts w:ascii="Arial" w:cs="Arial" w:eastAsia="Arial" w:hAnsi="Arial"/>
          <w:sz w:val="16"/>
          <w:szCs w:val="16"/>
          <w:u w:val="single" w:color="auto"/>
          <w:color w:val="auto"/>
        </w:rPr>
        <w:t>Compensation and Indemnity.</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Company shall pay to the Trustee from time to time compensation for its services hereunder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in addition to the compensation for its services. Such expenses shall include the reasonable compensation and expenses of the Trustee’s agents and counsel.</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The Company shall indemnify each of the Trustee, any predecessor Trustee (including the cost of defending itself) and each of their respective officers, directors, employees, shareholders and agents (collectively, the “Indemnified Parties”) against any loss, liability or expense, including taxes (other than taxes based upon, measured by or determined by the income of the Trustee) incurred by such Indemnified Parties directly or indirectly arising out of or in connection with the acceptance or administration of its duties under this Indenture as Trustee or Agent; provided, however, that the Company shall not be required to indemnify for any such loss, liability or expense resulting directly from an Indemnified Party’s negligence, bad faith or willful misconduct as determined by a final judgment issued by a court of competent jurisdiction. An Indemnified Party shall notify the Company promptly of any claim for which it may seek indemnity, provided however that failure by such Indemnified Party to so notify the Company shall not relieve the Company of its obligations hereunder. The Company shall defend the claim and the Indemnified Party shall cooperate in the defense. Each Indemnified Party may have one separate counsel and the Company shall pay the reasonable fees and expenses of such counsel. The Company need not pay for any settlement made without its consent, which consent shall not be unreasonably withheld or delayed.</w:t>
      </w:r>
    </w:p>
    <w:p>
      <w:pPr>
        <w:spacing w:after="0" w:line="18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6.1(e) or (f) occurs, the expenses and the compensation for the services are intended to constitute expenses of administration under any Bankruptcy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provisions of this Section 7.7 shall survive the termination of this Indenture or the earlier resignation or removal of the Trustee.</w:t>
      </w:r>
    </w:p>
    <w:p>
      <w:pPr>
        <w:spacing w:after="0" w:line="23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7.8</w:t>
      </w:r>
      <w:r>
        <w:rPr>
          <w:sz w:val="20"/>
          <w:szCs w:val="20"/>
          <w:color w:val="auto"/>
        </w:rPr>
        <w:tab/>
      </w:r>
      <w:r>
        <w:rPr>
          <w:rFonts w:ascii="Arial" w:cs="Arial" w:eastAsia="Arial" w:hAnsi="Arial"/>
          <w:sz w:val="16"/>
          <w:szCs w:val="16"/>
          <w:u w:val="single" w:color="auto"/>
          <w:color w:val="auto"/>
        </w:rPr>
        <w:t>Replacement of Trustee.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296"/>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aggregate principal amount of the Securities of any Series may remove the Trustee with respect to that Series by so notifying the Trustee and the Company. The Company may remove the Trustee with respect to Securities of one or more Series if:</w:t>
      </w:r>
    </w:p>
    <w:p>
      <w:pPr>
        <w:spacing w:after="0" w:line="149" w:lineRule="exact"/>
        <w:rPr>
          <w:sz w:val="20"/>
          <w:szCs w:val="20"/>
          <w:color w:val="auto"/>
        </w:rPr>
      </w:pPr>
    </w:p>
    <w:p>
      <w:pPr>
        <w:ind w:left="2640" w:hanging="688"/>
        <w:spacing w:after="0"/>
        <w:tabs>
          <w:tab w:leader="none" w:pos="264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0"/>
          <w:numId w:val="54"/>
        </w:numPr>
        <w:rPr>
          <w:rFonts w:ascii="Arial" w:cs="Arial" w:eastAsia="Arial" w:hAnsi="Arial"/>
          <w:sz w:val="16"/>
          <w:szCs w:val="16"/>
          <w:color w:val="010000"/>
        </w:rPr>
      </w:pPr>
      <w:r>
        <w:rPr>
          <w:rFonts w:ascii="Arial" w:cs="Arial" w:eastAsia="Arial" w:hAnsi="Arial"/>
          <w:sz w:val="16"/>
          <w:szCs w:val="16"/>
          <w:color w:val="auto"/>
        </w:rPr>
        <w:t>the Trustee is adjudged a bankrupt or an insolvent or an order for relief is entered with respect to the Trustee under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Bankruptcy Law;</w:t>
      </w:r>
    </w:p>
    <w:p>
      <w:pPr>
        <w:spacing w:after="0" w:line="211" w:lineRule="exact"/>
        <w:rPr>
          <w:sz w:val="20"/>
          <w:szCs w:val="20"/>
          <w:color w:val="auto"/>
        </w:rPr>
      </w:pPr>
    </w:p>
    <w:p>
      <w:pPr>
        <w:ind w:left="2640" w:hanging="688"/>
        <w:spacing w:after="0"/>
        <w:tabs>
          <w:tab w:leader="none" w:pos="264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010000"/>
        </w:rPr>
      </w:pPr>
    </w:p>
    <w:p>
      <w:pPr>
        <w:ind w:left="2660" w:hanging="708"/>
        <w:spacing w:after="0"/>
        <w:tabs>
          <w:tab w:leader="none" w:pos="266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10% in aggregate principal amount of the Securities of the applicable Series may petition any court of competent jurisdiction for the appointment of a successor Trustee.</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Upon payment of all amounts owing to retiring Trustee hereunder, the retiring Trustee shall immediately transfer all property held by it as Trustee to the successor Trustee subject to the lien provided for in Section 7.7, and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9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7.9</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660"/>
        <w:spacing w:after="0"/>
        <w:tabs>
          <w:tab w:leader="none" w:pos="1980" w:val="left"/>
        </w:tabs>
        <w:rPr>
          <w:sz w:val="20"/>
          <w:szCs w:val="20"/>
          <w:color w:val="auto"/>
        </w:rPr>
      </w:pPr>
      <w:r>
        <w:rPr>
          <w:rFonts w:ascii="Arial" w:cs="Arial" w:eastAsia="Arial" w:hAnsi="Arial"/>
          <w:sz w:val="18"/>
          <w:szCs w:val="18"/>
          <w:color w:val="010000"/>
        </w:rPr>
        <w:t>Section 7.10</w:t>
      </w:r>
      <w:r>
        <w:rPr>
          <w:sz w:val="20"/>
          <w:szCs w:val="20"/>
          <w:color w:val="auto"/>
        </w:rPr>
        <w:tab/>
      </w:r>
      <w:r>
        <w:rPr>
          <w:rFonts w:ascii="Arial" w:cs="Arial" w:eastAsia="Arial" w:hAnsi="Arial"/>
          <w:sz w:val="17"/>
          <w:szCs w:val="17"/>
          <w:u w:val="single" w:color="auto"/>
          <w:color w:val="auto"/>
        </w:rPr>
        <w:t>Eligibility; Disqualification.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7.11</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VIII.</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LEGAL DEFEASANCE AND COVENANT DEFEASANCE</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8.1</w:t>
      </w:r>
      <w:r>
        <w:rPr>
          <w:sz w:val="20"/>
          <w:szCs w:val="20"/>
          <w:color w:val="auto"/>
        </w:rPr>
        <w:tab/>
      </w:r>
      <w:r>
        <w:rPr>
          <w:rFonts w:ascii="Arial" w:cs="Arial" w:eastAsia="Arial" w:hAnsi="Arial"/>
          <w:sz w:val="16"/>
          <w:szCs w:val="16"/>
          <w:u w:val="single" w:color="auto"/>
          <w:color w:val="auto"/>
        </w:rPr>
        <w:t>Option to Effect Legal Defeasance or Covenant Defeasance.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may at any time, at the option of its Board of Directors evidenced by a resolution set forth in an Officers’ Certificate, elect to have either Section 8.2 or 8.3 hereof be applied to all outstanding Securities of any Series upon compliance with the conditions set forth below in this Article 8.</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8.2</w:t>
      </w:r>
      <w:r>
        <w:rPr>
          <w:sz w:val="20"/>
          <w:szCs w:val="20"/>
          <w:color w:val="auto"/>
        </w:rPr>
        <w:tab/>
      </w:r>
      <w:r>
        <w:rPr>
          <w:rFonts w:ascii="Arial" w:cs="Arial" w:eastAsia="Arial" w:hAnsi="Arial"/>
          <w:sz w:val="15"/>
          <w:szCs w:val="15"/>
          <w:u w:val="single" w:color="auto"/>
          <w:color w:val="auto"/>
        </w:rPr>
        <w:t>Legal Defeasance and Discharge.</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Upon the Company’s exercise under Section 8.1 hereof of the option applicable to this Section 8.2, the Company and each guarantor, if any, of such Securities will, subject to the satisfaction of the conditions set forth in Section 8.4 hereof, be deemed to have been discharged from its or their obligations with respect to all outstanding Securities of such Series (including the related guarantees, if any) on the date the conditions set forth below are satisfied (hereinafter, “Legal Defeasance”). For this purpose, Legal Defeasance means that the Company and such guarantors, if any, will be deemed to have paid and discharged the entire Indebtedness represented by the outstanding Securities of such Series (including the related guarantees, if any), which will thereafter be deemed to be “outstanding” only for the purposes of Section 8.5 hereof and the other Sections of this Indenture referred to in clauses</w:t>
      </w:r>
    </w:p>
    <w:p>
      <w:pPr>
        <w:spacing w:after="0" w:line="4" w:lineRule="exact"/>
        <w:rPr>
          <w:sz w:val="20"/>
          <w:szCs w:val="20"/>
          <w:color w:val="auto"/>
        </w:rPr>
      </w:pPr>
    </w:p>
    <w:p>
      <w:pPr>
        <w:jc w:val="both"/>
        <w:ind w:firstLine="8"/>
        <w:spacing w:after="0" w:line="255" w:lineRule="auto"/>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and (2) below, and to have satisfied all its or their other obligations under such Securities, such guarantees, if any, and this Indenture (and the Trustee for such Securities, on demand of and at the expense of the Company, shall execute proper instruments acknowledging the same), except for the following provisions which will survive until otherwise terminated or discharged hereunder:</w:t>
      </w:r>
    </w:p>
    <w:p>
      <w:pPr>
        <w:spacing w:after="0" w:line="189" w:lineRule="exact"/>
        <w:rPr>
          <w:rFonts w:ascii="Arial" w:cs="Arial" w:eastAsia="Arial" w:hAnsi="Arial"/>
          <w:sz w:val="18"/>
          <w:szCs w:val="18"/>
          <w:color w:val="auto"/>
        </w:rPr>
      </w:pPr>
    </w:p>
    <w:p>
      <w:pPr>
        <w:ind w:left="3260" w:hanging="660"/>
        <w:spacing w:after="0"/>
        <w:tabs>
          <w:tab w:leader="none" w:pos="3260" w:val="left"/>
        </w:tabs>
        <w:numPr>
          <w:ilvl w:val="1"/>
          <w:numId w:val="56"/>
        </w:numPr>
        <w:rPr>
          <w:rFonts w:ascii="Arial" w:cs="Arial" w:eastAsia="Arial" w:hAnsi="Arial"/>
          <w:sz w:val="16"/>
          <w:szCs w:val="16"/>
          <w:color w:val="010000"/>
        </w:rPr>
      </w:pPr>
      <w:r>
        <w:rPr>
          <w:rFonts w:ascii="Arial" w:cs="Arial" w:eastAsia="Arial" w:hAnsi="Arial"/>
          <w:sz w:val="16"/>
          <w:szCs w:val="16"/>
          <w:color w:val="auto"/>
        </w:rPr>
        <w:t>the rights of Holders of outstanding Securities of such Series to receive payments in respect of the principal of,</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or interest or premium, if any, on, such Securities when such payments are due from the trust referred to in Section 8.4 hereof;</w:t>
      </w:r>
    </w:p>
    <w:p>
      <w:pPr>
        <w:spacing w:after="0" w:line="210" w:lineRule="exact"/>
        <w:rPr>
          <w:rFonts w:ascii="Arial" w:cs="Arial" w:eastAsia="Arial" w:hAnsi="Arial"/>
          <w:sz w:val="16"/>
          <w:szCs w:val="16"/>
          <w:color w:val="010000"/>
        </w:rPr>
      </w:pPr>
    </w:p>
    <w:p>
      <w:pPr>
        <w:ind w:left="3260" w:hanging="660"/>
        <w:spacing w:after="0"/>
        <w:tabs>
          <w:tab w:leader="none" w:pos="3260"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the Company’s obligations with respect to such Securities under Article 2 and Section 4.2 hereof;</w:t>
      </w:r>
    </w:p>
    <w:p>
      <w:pPr>
        <w:spacing w:after="0" w:line="225" w:lineRule="exact"/>
        <w:rPr>
          <w:rFonts w:ascii="Arial" w:cs="Arial" w:eastAsia="Arial" w:hAnsi="Arial"/>
          <w:sz w:val="18"/>
          <w:szCs w:val="18"/>
          <w:color w:val="010000"/>
        </w:rPr>
      </w:pPr>
    </w:p>
    <w:p>
      <w:pPr>
        <w:ind w:firstLine="2600"/>
        <w:spacing w:after="0" w:line="277" w:lineRule="auto"/>
        <w:tabs>
          <w:tab w:leader="none" w:pos="3292"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the rights, powers, trusts, duties, indemnities and immunities of the Trustee for such Securities hereunder and the Company’s and the guarantors’, if any, obligations in connection therewith;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3260" w:hanging="660"/>
        <w:spacing w:after="0"/>
        <w:tabs>
          <w:tab w:leader="none" w:pos="326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this Article 8.</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8.2 notwithstanding the prior exercise of its option under Section 8.3 hereof.</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8.3</w:t>
      </w:r>
      <w:r>
        <w:rPr>
          <w:sz w:val="20"/>
          <w:szCs w:val="20"/>
          <w:color w:val="auto"/>
        </w:rPr>
        <w:tab/>
      </w:r>
      <w:r>
        <w:rPr>
          <w:rFonts w:ascii="Arial" w:cs="Arial" w:eastAsia="Arial" w:hAnsi="Arial"/>
          <w:sz w:val="15"/>
          <w:szCs w:val="15"/>
          <w:u w:val="single" w:color="auto"/>
          <w:color w:val="auto"/>
        </w:rPr>
        <w:t>Covenant Defeasance.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Upon the Company’s exercise under Section 8.1 hereof of the option applicable to this Section 8.3, the Company and each of the guarantors, if any, will, subject to the satisfaction of the conditions set forth in Section 8.4 hereof, be released from each of their or its obligations under the covenants specified in a Board Resolution, a supplemental indenture hereto or an Officers’ Certificate, in accordance with Section 2.2.18, with respect to the outstanding Securities of the applicable Series on and after the date the conditions set forth in Section 8.4 hereof are satisfied (hereinafter, “Covenant Defeasance”), and such Securities will thereafter be deemed not “outstanding” for the purposes of any direction, waiver, consent or declaration or act of Holders of such Securities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In addition, upon the Company’s exercise under Section 8.1 hereof of the option applicable to this Section 8.3, subject to the satisfaction of the conditions set forth in Section 8.4 hereof, Sections 6.1(d) through (f) hereof will not constitute Events of Default.</w:t>
      </w:r>
    </w:p>
    <w:p>
      <w:pPr>
        <w:spacing w:after="0" w:line="17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8.4</w:t>
      </w:r>
      <w:r>
        <w:rPr>
          <w:sz w:val="20"/>
          <w:szCs w:val="20"/>
          <w:color w:val="auto"/>
        </w:rPr>
        <w:tab/>
      </w:r>
      <w:r>
        <w:rPr>
          <w:rFonts w:ascii="Arial" w:cs="Arial" w:eastAsia="Arial" w:hAnsi="Arial"/>
          <w:sz w:val="16"/>
          <w:szCs w:val="16"/>
          <w:u w:val="single" w:color="auto"/>
          <w:color w:val="auto"/>
        </w:rPr>
        <w:t>Conditions to Legal or Covenant Defeasance.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order to exercise either Legal Defeasance or Covenant Defeasance under either Section 8.2 or 8.3 hereof with respect to Securities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Series:</w:t>
      </w:r>
    </w:p>
    <w:p>
      <w:pPr>
        <w:spacing w:after="0" w:line="211" w:lineRule="exact"/>
        <w:rPr>
          <w:sz w:val="20"/>
          <w:szCs w:val="20"/>
          <w:color w:val="auto"/>
        </w:rPr>
      </w:pPr>
    </w:p>
    <w:p>
      <w:pPr>
        <w:jc w:val="both"/>
        <w:ind w:firstLine="2600"/>
        <w:spacing w:after="0" w:line="296" w:lineRule="auto"/>
        <w:tabs>
          <w:tab w:leader="none" w:pos="3400"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the Company must irrevocably deposit with the Trustee for such Securities, in trust, for the benefit of the Holders of such Securities,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Securities of such Series on the stated date for payment thereof or on the applicable redemption date, as the case may be, and the Company must specify whether such Securities are being defeased to such stated date for payment or to a particular redemption date;</w:t>
      </w:r>
    </w:p>
    <w:p>
      <w:pPr>
        <w:spacing w:after="0" w:line="161" w:lineRule="exact"/>
        <w:rPr>
          <w:rFonts w:ascii="Arial" w:cs="Arial" w:eastAsia="Arial" w:hAnsi="Arial"/>
          <w:sz w:val="16"/>
          <w:szCs w:val="16"/>
          <w:color w:val="010000"/>
        </w:rPr>
      </w:pPr>
    </w:p>
    <w:p>
      <w:pPr>
        <w:ind w:firstLine="2600"/>
        <w:spacing w:after="0" w:line="277" w:lineRule="auto"/>
        <w:tabs>
          <w:tab w:leader="none" w:pos="3508"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in the case of an election under Section 8.2 hereof, the Company must deliver to the Trustee for such Securities an Opinion of Counsel confirming that:</w:t>
      </w:r>
    </w:p>
    <w:p>
      <w:pPr>
        <w:spacing w:after="0" w:line="170" w:lineRule="exact"/>
        <w:rPr>
          <w:rFonts w:ascii="Arial" w:cs="Arial" w:eastAsia="Arial" w:hAnsi="Arial"/>
          <w:sz w:val="18"/>
          <w:szCs w:val="18"/>
          <w:color w:val="010000"/>
        </w:rPr>
      </w:pPr>
    </w:p>
    <w:p>
      <w:pPr>
        <w:ind w:left="4100" w:hanging="852"/>
        <w:spacing w:after="0"/>
        <w:tabs>
          <w:tab w:leader="none" w:pos="4100" w:val="left"/>
        </w:tabs>
        <w:numPr>
          <w:ilvl w:val="1"/>
          <w:numId w:val="58"/>
        </w:numPr>
        <w:rPr>
          <w:rFonts w:ascii="Arial" w:cs="Arial" w:eastAsia="Arial" w:hAnsi="Arial"/>
          <w:sz w:val="16"/>
          <w:szCs w:val="16"/>
          <w:color w:val="010000"/>
        </w:rPr>
      </w:pPr>
      <w:r>
        <w:rPr>
          <w:rFonts w:ascii="Arial" w:cs="Arial" w:eastAsia="Arial" w:hAnsi="Arial"/>
          <w:sz w:val="16"/>
          <w:szCs w:val="16"/>
          <w:color w:val="auto"/>
        </w:rPr>
        <w:t>the Company has received from, or there has been published by, the Internal Revenue Service a</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ruling;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3248"/>
        <w:spacing w:after="0" w:line="301" w:lineRule="auto"/>
        <w:tabs>
          <w:tab w:leader="none" w:pos="4033"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57" w:lineRule="exact"/>
        <w:rPr>
          <w:rFonts w:ascii="Arial" w:cs="Arial" w:eastAsia="Arial" w:hAnsi="Arial"/>
          <w:sz w:val="16"/>
          <w:szCs w:val="16"/>
          <w:color w:val="010000"/>
        </w:rPr>
      </w:pPr>
    </w:p>
    <w:p>
      <w:pPr>
        <w:jc w:val="both"/>
        <w:ind w:firstLine="2600"/>
        <w:spacing w:after="0" w:line="259" w:lineRule="auto"/>
        <w:tabs>
          <w:tab w:leader="none" w:pos="3598"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in the case of an election under Section 8.3 hereof, the Company must deliver to the Trustee for such Securities an Opinion of Counsel confirming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010000"/>
        </w:rPr>
      </w:pPr>
    </w:p>
    <w:p>
      <w:pPr>
        <w:ind w:left="3420" w:hanging="820"/>
        <w:spacing w:after="0"/>
        <w:tabs>
          <w:tab w:leader="none" w:pos="3420"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no Default or Event of Default with respect to such Securities shall have occurred and be continuing on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date of such deposit (other than a Default or Event of Default resulting from the borrowing of funds to be applied to such deposit);</w:t>
      </w:r>
    </w:p>
    <w:p>
      <w:pPr>
        <w:spacing w:after="0" w:line="210" w:lineRule="exact"/>
        <w:rPr>
          <w:rFonts w:ascii="Arial" w:cs="Arial" w:eastAsia="Arial" w:hAnsi="Arial"/>
          <w:sz w:val="16"/>
          <w:szCs w:val="16"/>
          <w:color w:val="010000"/>
        </w:rPr>
      </w:pPr>
    </w:p>
    <w:p>
      <w:pPr>
        <w:jc w:val="both"/>
        <w:ind w:firstLine="2600"/>
        <w:spacing w:after="0" w:line="263" w:lineRule="auto"/>
        <w:tabs>
          <w:tab w:leader="none" w:pos="349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3" w:lineRule="exact"/>
        <w:rPr>
          <w:rFonts w:ascii="Arial" w:cs="Arial" w:eastAsia="Arial" w:hAnsi="Arial"/>
          <w:sz w:val="18"/>
          <w:szCs w:val="18"/>
          <w:color w:val="010000"/>
        </w:rPr>
      </w:pPr>
    </w:p>
    <w:p>
      <w:pPr>
        <w:jc w:val="both"/>
        <w:ind w:firstLine="2600"/>
        <w:spacing w:after="0" w:line="263" w:lineRule="auto"/>
        <w:tabs>
          <w:tab w:leader="none" w:pos="3422"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Company must deliver to the Trustee for such Securities an Officers’ Certificate stating that the deposit was not made by the Company with the intent of preferring the Holders of such Securities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010000"/>
        </w:rPr>
      </w:pPr>
    </w:p>
    <w:p>
      <w:pPr>
        <w:ind w:left="3560" w:hanging="960"/>
        <w:spacing w:after="0"/>
        <w:tabs>
          <w:tab w:leader="none" w:pos="3560"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the Company must deliver to the Trustee for such Securities an Officers’ Certificate and an Opinion of</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Counsel, each stating that all conditions precedent relating to the Legal Defeasance or the Covenant Defeasance have been complied with.</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8.5</w:t>
      </w:r>
      <w:r>
        <w:rPr>
          <w:sz w:val="20"/>
          <w:szCs w:val="20"/>
          <w:color w:val="auto"/>
        </w:rPr>
        <w:tab/>
      </w:r>
      <w:r>
        <w:rPr>
          <w:rFonts w:ascii="Arial" w:cs="Arial" w:eastAsia="Arial" w:hAnsi="Arial"/>
          <w:sz w:val="16"/>
          <w:szCs w:val="16"/>
          <w:u w:val="single" w:color="auto"/>
          <w:color w:val="auto"/>
        </w:rPr>
        <w:t>Deposited Money and Government Securities to be Held in Trust; Other Miscellaneous Provisions.</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Subject to Section 8.6 hereof, all money and non-callable Government Securities (including the proceeds thereof) deposited with the Trustee (or other qualifying trustee, collectively for purposes of this Section 8.5, the “Trustee”) pursuant to Section 8.4 hereof in respect of the outstanding Securities of any Series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Company will pay and indemnify the Trustee against any tax, fee or other charge imposed on or assessed against the cash or non-callable Government Securities deposited pursuant to Section 8.4 hereof or the principal and interest received in respect thereof other than any such tax, fee or other charge which by law is for the account of the Holders of the outstanding Securities of the applicable Series.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both"/>
        <w:ind w:firstLine="1296"/>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non-callable Government Securities held by it as provided in Section 8.4 hereof which, in the opinion of a nationally recognized firm of independent public accountants expressed in a written certification thereof delivered to the Trustee (which may be the opinion delivered under Section 8.4(1)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8.6</w:t>
      </w:r>
      <w:r>
        <w:rPr>
          <w:sz w:val="20"/>
          <w:szCs w:val="20"/>
          <w:color w:val="auto"/>
        </w:rPr>
        <w:tab/>
      </w:r>
      <w:r>
        <w:rPr>
          <w:rFonts w:ascii="Arial" w:cs="Arial" w:eastAsia="Arial" w:hAnsi="Arial"/>
          <w:sz w:val="16"/>
          <w:szCs w:val="16"/>
          <w:u w:val="single" w:color="auto"/>
          <w:color w:val="auto"/>
        </w:rPr>
        <w:t>Repayment to Company.</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Series of Securities and remaining unclaimed for two years after such principal, premium, if any, or interest has become due and payable shall be paid to the Company on its request or (if then held by the Company) will be discharged from such trust; and the Holders of such Securities will thereafter be permitted to look only to the Company for payment thereof, and all liability of the Trustee or such Paying Agent with respect to such trust money, and all liability of the Company as trustee thereof, will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8.7</w:t>
      </w:r>
      <w:r>
        <w:rPr>
          <w:sz w:val="20"/>
          <w:szCs w:val="20"/>
          <w:color w:val="auto"/>
        </w:rPr>
        <w:tab/>
      </w:r>
      <w:r>
        <w:rPr>
          <w:rFonts w:ascii="Arial" w:cs="Arial" w:eastAsia="Arial" w:hAnsi="Arial"/>
          <w:sz w:val="15"/>
          <w:szCs w:val="15"/>
          <w:u w:val="single" w:color="auto"/>
          <w:color w:val="auto"/>
        </w:rPr>
        <w:t>Reinstatement.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If the Trustee or Paying Agent is unable to apply any U.S. dollars or non-callable Government Securities in accordance with Section 8.2 or 8.3 hereof, as the case may be, by reason of any order or judgment of any court or governmental authority enjoining, restraining or otherwise prohibiting such application, then the Company’s and any applicable guarantors’ obligations under this Indenture and the applicable Securities and the guarantees will be revived and reinstated as though no deposit had occurred pursuant to Section 8.2 or 8.3 hereof until such time as the Trustee or Paying Agent is permitted to apply all such money in accordance with Section 8.2 or 8.3 hereof, as the case may be; provided, however, that, if the Company makes any payment of principal of, premium, if any, or interest on, any such Securities following the reinstatement of its obligations, the Company will be subrogated to the rights of the Holders of such Securities to receive such payment from the money held by the Trustee or Paying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010000"/>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AND WAIVERS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Notwithstanding Section 9.2 of this Indenture, the Company and the Trustee may amend or supplement this Indenture or the Securities of one or more Series without the consent of any Securityholder:</w:t>
      </w:r>
    </w:p>
    <w:p>
      <w:pPr>
        <w:spacing w:after="0" w:line="170" w:lineRule="exact"/>
        <w:rPr>
          <w:sz w:val="20"/>
          <w:szCs w:val="20"/>
          <w:color w:val="auto"/>
        </w:rPr>
      </w:pPr>
    </w:p>
    <w:p>
      <w:pPr>
        <w:jc w:val="both"/>
        <w:ind w:firstLine="1952"/>
        <w:spacing w:after="0" w:line="263" w:lineRule="auto"/>
        <w:tabs>
          <w:tab w:leader="none" w:pos="271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cure any ambiguity, defect or inconsistency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83" w:lineRule="exact"/>
        <w:rPr>
          <w:rFonts w:ascii="Arial" w:cs="Arial" w:eastAsia="Arial" w:hAnsi="Arial"/>
          <w:sz w:val="18"/>
          <w:szCs w:val="18"/>
          <w:color w:val="010000"/>
        </w:rPr>
      </w:pPr>
    </w:p>
    <w:p>
      <w:pPr>
        <w:ind w:left="2700" w:hanging="748"/>
        <w:spacing w:after="0"/>
        <w:tabs>
          <w:tab w:leader="none" w:pos="270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010000"/>
        </w:rPr>
      </w:pPr>
    </w:p>
    <w:p>
      <w:pPr>
        <w:ind w:left="2860" w:hanging="908"/>
        <w:spacing w:after="0"/>
        <w:tabs>
          <w:tab w:leader="none" w:pos="2860" w:val="left"/>
        </w:tabs>
        <w:numPr>
          <w:ilvl w:val="0"/>
          <w:numId w:val="61"/>
        </w:numPr>
        <w:rPr>
          <w:rFonts w:ascii="Arial" w:cs="Arial" w:eastAsia="Arial" w:hAnsi="Arial"/>
          <w:sz w:val="16"/>
          <w:szCs w:val="16"/>
          <w:color w:val="010000"/>
        </w:rPr>
      </w:pPr>
      <w:r>
        <w:rPr>
          <w:rFonts w:ascii="Arial" w:cs="Arial" w:eastAsia="Arial" w:hAnsi="Arial"/>
          <w:sz w:val="16"/>
          <w:szCs w:val="16"/>
          <w:color w:val="auto"/>
        </w:rPr>
        <w:t>to provide for the assumption of the Company’s obligations to the Holders of the Securities by a successor to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Company pursuant to Article 5 hereof;</w:t>
      </w:r>
    </w:p>
    <w:p>
      <w:pPr>
        <w:spacing w:after="0" w:line="210" w:lineRule="exact"/>
        <w:rPr>
          <w:rFonts w:ascii="Arial" w:cs="Arial" w:eastAsia="Arial" w:hAnsi="Arial"/>
          <w:sz w:val="16"/>
          <w:szCs w:val="16"/>
          <w:color w:val="010000"/>
        </w:rPr>
      </w:pPr>
    </w:p>
    <w:p>
      <w:pPr>
        <w:ind w:firstLine="1952"/>
        <w:spacing w:after="0" w:line="277" w:lineRule="auto"/>
        <w:tabs>
          <w:tab w:leader="none" w:pos="2761"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make any change that would provide any additional rights or benefits to the Holders of Securities or that does not adversely affect the legal rights hereunder of any Securityholder;</w:t>
      </w:r>
    </w:p>
    <w:p>
      <w:pPr>
        <w:spacing w:after="0" w:line="170" w:lineRule="exact"/>
        <w:rPr>
          <w:rFonts w:ascii="Arial" w:cs="Arial" w:eastAsia="Arial" w:hAnsi="Arial"/>
          <w:sz w:val="18"/>
          <w:szCs w:val="18"/>
          <w:color w:val="010000"/>
        </w:rPr>
      </w:pPr>
    </w:p>
    <w:p>
      <w:pPr>
        <w:ind w:left="2820" w:hanging="868"/>
        <w:spacing w:after="0"/>
        <w:tabs>
          <w:tab w:leader="none" w:pos="2820"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to comply with requirements of the SEC in order to effect or maintain the qualification of this Indenture under the</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TIA;</w:t>
      </w:r>
    </w:p>
    <w:p>
      <w:pPr>
        <w:spacing w:after="0" w:line="210" w:lineRule="exact"/>
        <w:rPr>
          <w:rFonts w:ascii="Arial" w:cs="Arial" w:eastAsia="Arial" w:hAnsi="Arial"/>
          <w:sz w:val="17"/>
          <w:szCs w:val="17"/>
          <w:color w:val="010000"/>
        </w:rPr>
      </w:pPr>
    </w:p>
    <w:p>
      <w:pPr>
        <w:ind w:firstLine="1952"/>
        <w:spacing w:after="0" w:line="277" w:lineRule="auto"/>
        <w:tabs>
          <w:tab w:leader="none" w:pos="2731"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010000"/>
        </w:rPr>
      </w:pPr>
    </w:p>
    <w:p>
      <w:pPr>
        <w:ind w:left="2720" w:hanging="768"/>
        <w:spacing w:after="0"/>
        <w:tabs>
          <w:tab w:leader="none" w:pos="2720" w:val="left"/>
        </w:tabs>
        <w:numPr>
          <w:ilvl w:val="0"/>
          <w:numId w:val="61"/>
        </w:numPr>
        <w:rPr>
          <w:rFonts w:ascii="Arial" w:cs="Arial" w:eastAsia="Arial" w:hAnsi="Arial"/>
          <w:sz w:val="16"/>
          <w:szCs w:val="16"/>
          <w:color w:val="010000"/>
        </w:rPr>
      </w:pPr>
      <w:r>
        <w:rPr>
          <w:rFonts w:ascii="Arial" w:cs="Arial" w:eastAsia="Arial" w:hAnsi="Arial"/>
          <w:sz w:val="16"/>
          <w:szCs w:val="16"/>
          <w:color w:val="auto"/>
        </w:rPr>
        <w:t>to provide for the issuance of and establish the form and terms and conditions of Securities of any Series as permitted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by this Indenture;</w:t>
      </w:r>
    </w:p>
    <w:p>
      <w:pPr>
        <w:spacing w:after="0" w:line="210" w:lineRule="exact"/>
        <w:rPr>
          <w:rFonts w:ascii="Arial" w:cs="Arial" w:eastAsia="Arial" w:hAnsi="Arial"/>
          <w:sz w:val="16"/>
          <w:szCs w:val="16"/>
          <w:color w:val="010000"/>
        </w:rPr>
      </w:pPr>
    </w:p>
    <w:p>
      <w:pPr>
        <w:jc w:val="both"/>
        <w:ind w:firstLine="1952"/>
        <w:spacing w:after="0" w:line="263" w:lineRule="auto"/>
        <w:tabs>
          <w:tab w:leader="none" w:pos="2909"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010000"/>
        </w:rPr>
      </w:pPr>
    </w:p>
    <w:p>
      <w:pPr>
        <w:ind w:right="20" w:firstLine="1952"/>
        <w:spacing w:after="0" w:line="277" w:lineRule="auto"/>
        <w:tabs>
          <w:tab w:leader="none" w:pos="287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to add guarantors or co-obligors with respect to any Series of Securities or to release guarantors of Securities in accordance with the terms of the applicable Series of Securities.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7.2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spacing w:after="0"/>
        <w:tabs>
          <w:tab w:leader="none" w:pos="1860" w:val="left"/>
        </w:tabs>
        <w:rPr>
          <w:sz w:val="20"/>
          <w:szCs w:val="20"/>
          <w:color w:val="auto"/>
        </w:rPr>
      </w:pPr>
      <w:r>
        <w:rPr>
          <w:rFonts w:ascii="Arial" w:cs="Arial" w:eastAsia="Arial" w:hAnsi="Arial"/>
          <w:sz w:val="18"/>
          <w:szCs w:val="18"/>
          <w:color w:val="010000"/>
        </w:rPr>
        <w:t>Section 9.2</w:t>
      </w:r>
      <w:r>
        <w:rPr>
          <w:sz w:val="20"/>
          <w:szCs w:val="20"/>
          <w:color w:val="auto"/>
        </w:rPr>
        <w:tab/>
      </w:r>
      <w:r>
        <w:rPr>
          <w:rFonts w:ascii="Arial" w:cs="Arial" w:eastAsia="Arial" w:hAnsi="Arial"/>
          <w:sz w:val="16"/>
          <w:szCs w:val="16"/>
          <w:u w:val="single" w:color="auto"/>
          <w:color w:val="auto"/>
        </w:rPr>
        <w:t>With Consent of Holders.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Subject to Section 9.3, 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9.3, the Holders of at least a majority in aggregate principal amount of the outstanding Securities of each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It shall not be necessary for the consent of the Holders of Securities under this Section 9.2 to approve the particular form of any proposed supplemental indenture or waiver, but it shall be sufficient if such consent approves the substance thereof. Upon the request of the Company accompanied by a resolution of its Board of Directors authorizing the execution of any such amended or supplemental indenture, and upon the filing with the Trustee of evidence satisfactory to the Trustee of the consent of the Holders of Securities as aforesaid, and upon receipt by the Trustee of the documents described in Section 9.7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After a supplemental indenture or waiver under this section becomes effective, the Company shall mail to the Holders of Securities affected thereby a notice briefly describing the supplemental indenture or waiver. Any failure by the Company to mail such notice, or any defect therein, shall not, however, in any way impair or affect the validity of any such supplemental indenture or waiver.</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9.3</w:t>
      </w:r>
      <w:r>
        <w:rPr>
          <w:sz w:val="20"/>
          <w:szCs w:val="20"/>
          <w:color w:val="auto"/>
        </w:rPr>
        <w:tab/>
      </w:r>
      <w:r>
        <w:rPr>
          <w:rFonts w:ascii="Arial" w:cs="Arial" w:eastAsia="Arial" w:hAnsi="Arial"/>
          <w:sz w:val="17"/>
          <w:szCs w:val="17"/>
          <w:u w:val="single" w:color="auto"/>
          <w:color w:val="auto"/>
        </w:rPr>
        <w:t>Limitations.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Without the consent of each Securityholder affected, an amendment or waiver may not (with respect to any Securities held by a non-consenting Holder):</w:t>
      </w:r>
    </w:p>
    <w:p>
      <w:pPr>
        <w:spacing w:after="0" w:line="170" w:lineRule="exact"/>
        <w:rPr>
          <w:sz w:val="20"/>
          <w:szCs w:val="20"/>
          <w:color w:val="auto"/>
        </w:rPr>
      </w:pPr>
    </w:p>
    <w:p>
      <w:pPr>
        <w:ind w:left="2700" w:hanging="748"/>
        <w:spacing w:after="0"/>
        <w:tabs>
          <w:tab w:leader="none" w:pos="27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change the amount of Securities whose Holders must consent to an amendment, supplement or waiver;</w:t>
      </w:r>
    </w:p>
    <w:p>
      <w:pPr>
        <w:spacing w:after="0" w:line="225" w:lineRule="exact"/>
        <w:rPr>
          <w:rFonts w:ascii="Arial" w:cs="Arial" w:eastAsia="Arial" w:hAnsi="Arial"/>
          <w:sz w:val="18"/>
          <w:szCs w:val="18"/>
          <w:color w:val="010000"/>
        </w:rPr>
      </w:pPr>
    </w:p>
    <w:p>
      <w:pPr>
        <w:ind w:left="2700" w:hanging="748"/>
        <w:spacing w:after="0"/>
        <w:tabs>
          <w:tab w:leader="none" w:pos="27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010000"/>
        </w:rPr>
      </w:pPr>
    </w:p>
    <w:p>
      <w:pPr>
        <w:ind w:firstLine="1952"/>
        <w:spacing w:after="0" w:line="277" w:lineRule="auto"/>
        <w:tabs>
          <w:tab w:leader="none" w:pos="269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010000"/>
        </w:rPr>
      </w:pPr>
    </w:p>
    <w:p>
      <w:pPr>
        <w:ind w:left="2700" w:hanging="748"/>
        <w:spacing w:after="0"/>
        <w:tabs>
          <w:tab w:leader="none" w:pos="27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reduce the principal amount of Discount Securities payable upon acceleration of the maturity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952"/>
        <w:spacing w:after="0" w:line="263" w:lineRule="auto"/>
        <w:tabs>
          <w:tab w:leader="none" w:pos="2791"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010000"/>
        </w:rPr>
      </w:pPr>
    </w:p>
    <w:p>
      <w:pPr>
        <w:ind w:left="2720" w:hanging="768"/>
        <w:spacing w:after="0"/>
        <w:tabs>
          <w:tab w:leader="none" w:pos="2720"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make the principal of or interest, if any, on any Security payable in any currency other than that stated in the Security;</w:t>
      </w:r>
    </w:p>
    <w:p>
      <w:pPr>
        <w:spacing w:after="0" w:line="248" w:lineRule="exact"/>
        <w:rPr>
          <w:rFonts w:ascii="Arial" w:cs="Arial" w:eastAsia="Arial" w:hAnsi="Arial"/>
          <w:sz w:val="16"/>
          <w:szCs w:val="16"/>
          <w:color w:val="010000"/>
        </w:rPr>
      </w:pPr>
    </w:p>
    <w:p>
      <w:pPr>
        <w:ind w:left="2700" w:hanging="748"/>
        <w:spacing w:after="0"/>
        <w:tabs>
          <w:tab w:leader="none" w:pos="270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make any change in Sections 6.4 or 9.3 (this sentence); or</w:t>
      </w:r>
    </w:p>
    <w:p>
      <w:pPr>
        <w:spacing w:after="0" w:line="225" w:lineRule="exact"/>
        <w:rPr>
          <w:rFonts w:ascii="Arial" w:cs="Arial" w:eastAsia="Arial" w:hAnsi="Arial"/>
          <w:sz w:val="18"/>
          <w:szCs w:val="18"/>
          <w:color w:val="010000"/>
        </w:rPr>
      </w:pPr>
    </w:p>
    <w:p>
      <w:pPr>
        <w:jc w:val="both"/>
        <w:ind w:firstLine="1952"/>
        <w:spacing w:after="0" w:line="263" w:lineRule="auto"/>
        <w:tabs>
          <w:tab w:leader="none" w:pos="2977"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waive a redemption payment with respect to any Security or change any of the provisions with respect to the redemption of any Securities, except as specifically set forth in the Board Resolution, supplemental indenture hereto or Officers’ Certificate delivered pursuant to Section 2.2.</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9.4</w:t>
      </w:r>
      <w:r>
        <w:rPr>
          <w:sz w:val="20"/>
          <w:szCs w:val="20"/>
          <w:color w:val="auto"/>
        </w:rPr>
        <w:tab/>
      </w:r>
      <w:r>
        <w:rPr>
          <w:rFonts w:ascii="Arial" w:cs="Arial" w:eastAsia="Arial" w:hAnsi="Arial"/>
          <w:sz w:val="16"/>
          <w:szCs w:val="16"/>
          <w:u w:val="single" w:color="auto"/>
          <w:color w:val="auto"/>
        </w:rPr>
        <w:t>Compliance with Trust Indenture Act.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spacing w:after="0" w:line="171"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9.6</w:t>
      </w:r>
      <w:r>
        <w:rPr>
          <w:sz w:val="20"/>
          <w:szCs w:val="20"/>
          <w:color w:val="auto"/>
        </w:rPr>
        <w:tab/>
      </w:r>
      <w:r>
        <w:rPr>
          <w:rFonts w:ascii="Arial" w:cs="Arial" w:eastAsia="Arial" w:hAnsi="Arial"/>
          <w:sz w:val="16"/>
          <w:szCs w:val="16"/>
          <w:u w:val="single" w:color="auto"/>
          <w:color w:val="auto"/>
        </w:rPr>
        <w:t>Notation on or Exchange of Securities.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9.7</w:t>
      </w:r>
      <w:r>
        <w:rPr>
          <w:sz w:val="20"/>
          <w:szCs w:val="20"/>
          <w:color w:val="auto"/>
        </w:rPr>
        <w:tab/>
      </w:r>
      <w:r>
        <w:rPr>
          <w:rFonts w:ascii="Arial" w:cs="Arial" w:eastAsia="Arial" w:hAnsi="Arial"/>
          <w:sz w:val="15"/>
          <w:szCs w:val="15"/>
          <w:u w:val="single" w:color="auto"/>
          <w:color w:val="auto"/>
        </w:rPr>
        <w:t>Trustee Protected.</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each stating that the execution of such supplemental indenture is authorized or permitted by this Indenture. The Trustee shall sign all supplemental indentures, except that the Trustee need not sign any supplemental indenture that adversely affects its rights, duties, liabilities, indemnities or immunities.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010000"/>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SATISFACTION AND DISCHARGE</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10.1</w:t>
      </w:r>
      <w:r>
        <w:rPr>
          <w:sz w:val="20"/>
          <w:szCs w:val="20"/>
          <w:color w:val="auto"/>
        </w:rPr>
        <w:tab/>
      </w:r>
      <w:r>
        <w:rPr>
          <w:rFonts w:ascii="Arial" w:cs="Arial" w:eastAsia="Arial" w:hAnsi="Arial"/>
          <w:sz w:val="16"/>
          <w:szCs w:val="16"/>
          <w:u w:val="single" w:color="auto"/>
          <w:color w:val="auto"/>
        </w:rPr>
        <w:t>Satisfaction and Discharge.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Indenture will be discharged and will cease to be of further effect as to a Series of Securities issued hereunder, when:</w:t>
      </w:r>
    </w:p>
    <w:p>
      <w:pPr>
        <w:spacing w:after="0" w:line="225" w:lineRule="exact"/>
        <w:rPr>
          <w:sz w:val="20"/>
          <w:szCs w:val="20"/>
          <w:color w:val="auto"/>
        </w:rPr>
      </w:pPr>
    </w:p>
    <w:p>
      <w:pPr>
        <w:ind w:left="2700" w:hanging="748"/>
        <w:spacing w:after="0"/>
        <w:tabs>
          <w:tab w:leader="none" w:pos="27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010000"/>
        </w:rPr>
      </w:pPr>
    </w:p>
    <w:p>
      <w:pPr>
        <w:jc w:val="both"/>
        <w:ind w:firstLine="2600"/>
        <w:spacing w:after="0" w:line="263" w:lineRule="auto"/>
        <w:tabs>
          <w:tab w:leader="none" w:pos="3464"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all such Securities that have been authenticated, except lost, stolen or destroyed Securities that have been replaced or paid and Securities for whose payment money has theretofore been deposited in trust and thereafter repaid to the Company, have been delivered to the Trustee for cancellation; or</w:t>
      </w:r>
    </w:p>
    <w:p>
      <w:pPr>
        <w:spacing w:after="0" w:line="183" w:lineRule="exact"/>
        <w:rPr>
          <w:rFonts w:ascii="Arial" w:cs="Arial" w:eastAsia="Arial" w:hAnsi="Arial"/>
          <w:sz w:val="18"/>
          <w:szCs w:val="18"/>
          <w:color w:val="010000"/>
        </w:rPr>
      </w:pPr>
    </w:p>
    <w:p>
      <w:pPr>
        <w:jc w:val="both"/>
        <w:ind w:firstLine="2600"/>
        <w:spacing w:after="0" w:line="255" w:lineRule="auto"/>
        <w:tabs>
          <w:tab w:leader="none" w:pos="3392"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all such Securities that have not been delivered to the Trustee for cancellation have become due and payable by reason of the distribution of a notice of redemption or otherwise or will become due and payable within one year and the Company has irrevocably deposited or caused to be deposited with the Trustee as trust funds in trust solely for the benefit of the Holders of such Securities, cash in U.S. dollars, non-callable Government Securities, or a combination thereof, in such amounts as will be sufficient, without consideration of any reinvestment of interest, to pay and discharge the entire Indebtedness on such Securities not delivered to the Trustee for cancellation for principal, premium, if any, and accrued interest to the date of maturity or redemption;</w:t>
      </w:r>
    </w:p>
    <w:p>
      <w:pPr>
        <w:spacing w:after="0" w:line="192" w:lineRule="exact"/>
        <w:rPr>
          <w:rFonts w:ascii="Arial" w:cs="Arial" w:eastAsia="Arial" w:hAnsi="Arial"/>
          <w:sz w:val="18"/>
          <w:szCs w:val="18"/>
          <w:color w:val="010000"/>
        </w:rPr>
      </w:pPr>
    </w:p>
    <w:p>
      <w:pPr>
        <w:jc w:val="both"/>
        <w:ind w:firstLine="1952"/>
        <w:spacing w:after="0" w:line="259" w:lineRule="auto"/>
        <w:tabs>
          <w:tab w:leader="none" w:pos="2828"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as applicable, of such Securities is a party or by which the Company or any such guarantor, as applicable, is bound;</w:t>
      </w:r>
    </w:p>
    <w:p>
      <w:pPr>
        <w:spacing w:after="0" w:line="186" w:lineRule="exact"/>
        <w:rPr>
          <w:rFonts w:ascii="Arial" w:cs="Arial" w:eastAsia="Arial" w:hAnsi="Arial"/>
          <w:sz w:val="18"/>
          <w:szCs w:val="18"/>
          <w:color w:val="010000"/>
        </w:rPr>
      </w:pPr>
    </w:p>
    <w:p>
      <w:pPr>
        <w:ind w:left="2880" w:hanging="928"/>
        <w:spacing w:after="0"/>
        <w:tabs>
          <w:tab w:leader="none" w:pos="2880"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the Company or any guarantor of such Securities has paid or caused to be paid all sums payable by it under this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Indenture; and</w:t>
      </w:r>
    </w:p>
    <w:p>
      <w:pPr>
        <w:spacing w:after="0" w:line="210" w:lineRule="exact"/>
        <w:rPr>
          <w:rFonts w:ascii="Arial" w:cs="Arial" w:eastAsia="Arial" w:hAnsi="Arial"/>
          <w:sz w:val="16"/>
          <w:szCs w:val="16"/>
          <w:color w:val="010000"/>
        </w:rPr>
      </w:pPr>
    </w:p>
    <w:p>
      <w:pPr>
        <w:ind w:firstLine="1952"/>
        <w:spacing w:after="0" w:line="277" w:lineRule="auto"/>
        <w:tabs>
          <w:tab w:leader="none" w:pos="2707"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the Company has delivered irrevocable instructions to the Trustee for such Securities under this Indenture to apply the deposited money toward the payment of such Securities at maturity or on the redemption date, as the case may be.</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for such Securities stating that all conditions precedent to satisfaction and discharge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w:t>
      </w:r>
    </w:p>
    <w:p>
      <w:pPr>
        <w:spacing w:after="0" w:line="46" w:lineRule="exact"/>
        <w:rPr>
          <w:sz w:val="20"/>
          <w:szCs w:val="20"/>
          <w:color w:val="auto"/>
        </w:rPr>
      </w:pPr>
    </w:p>
    <w:p>
      <w:pPr>
        <w:ind w:firstLine="8"/>
        <w:spacing w:after="0" w:line="260"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 this Section 10.1, the provisions of Sections 10.2 and 8.6 hereof will survive. In addition, nothing in this Section 10.1 will be deemed to discharge those provisions of Section 7.7 hereof, that, by their terms, survive the satisfaction and discharge of this Indenture.</w:t>
      </w:r>
    </w:p>
    <w:p>
      <w:pPr>
        <w:spacing w:after="0" w:line="18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10.2</w:t>
      </w:r>
      <w:r>
        <w:rPr>
          <w:sz w:val="20"/>
          <w:szCs w:val="20"/>
          <w:color w:val="auto"/>
        </w:rPr>
        <w:tab/>
      </w:r>
      <w:r>
        <w:rPr>
          <w:rFonts w:ascii="Arial" w:cs="Arial" w:eastAsia="Arial" w:hAnsi="Arial"/>
          <w:sz w:val="16"/>
          <w:szCs w:val="16"/>
          <w:u w:val="single" w:color="auto"/>
          <w:color w:val="auto"/>
        </w:rPr>
        <w:t>Application of Trust Money.</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Subject to the provisions of Section 8.6 hereof, all money deposited with a Trustee pursuant to Section 10.1 hereof shall be held in trust and applied by it, in accordance with the provisions of the Securities with respect to which such deposit was made and this Indenture, to the payment, either directly or through any Paying Agent (including the Company acting as its own Paying Agent) as such Trustee may determine, to the persons entitled thereto, of the principal (and premium, if any) and interest for whose payment such money has been deposited with such Trustee; but such money need not be segregated from other funds except to the extent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11.1</w:t>
      </w:r>
      <w:r>
        <w:rPr>
          <w:sz w:val="20"/>
          <w:szCs w:val="20"/>
          <w:color w:val="auto"/>
        </w:rPr>
        <w:tab/>
      </w:r>
      <w:r>
        <w:rPr>
          <w:rFonts w:ascii="Arial" w:cs="Arial" w:eastAsia="Arial" w:hAnsi="Arial"/>
          <w:sz w:val="16"/>
          <w:szCs w:val="16"/>
          <w:u w:val="single" w:color="auto"/>
          <w:color w:val="auto"/>
        </w:rPr>
        <w:t>Trust Indenture Act Controls.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is hereby made subject to, and shall be governed by, the provisions of the TIA required or deemed to be part of and to govern indentures qualified under the TIA. If any provision of this Indenture limits, qualifies, or conflicts with another provision which is required or deemed to be included in this Indenture by the TIA, such required or deemed provision shall control.</w:t>
      </w:r>
    </w:p>
    <w:p>
      <w:pPr>
        <w:spacing w:after="0" w:line="18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(609) 608-1525</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Wilmington, DE 19808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1-877-374-6010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Securityholder receives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Company mails a notice or communication to Securityholders, it shall mail a copy to the Trustee and each Agent at the same time.</w:t>
      </w:r>
    </w:p>
    <w:p>
      <w:pPr>
        <w:spacing w:after="0" w:line="2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Upon any request or application by the Company to the Trustee to take any action under this Indenture, the Company shall furnish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firstLine="1952"/>
        <w:spacing w:after="0" w:line="277" w:lineRule="auto"/>
        <w:tabs>
          <w:tab w:leader="none" w:pos="2737"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010000"/>
        </w:rPr>
      </w:pPr>
    </w:p>
    <w:p>
      <w:pPr>
        <w:ind w:left="2760" w:hanging="808"/>
        <w:spacing w:after="0"/>
        <w:tabs>
          <w:tab w:leader="none" w:pos="2760"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an Opinion of Counsel stating that, in the opinion of such counsel, all such conditions precedent have been complied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with.</w:t>
      </w:r>
    </w:p>
    <w:p>
      <w:pPr>
        <w:spacing w:after="0" w:line="21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11.5</w:t>
      </w:r>
      <w:r>
        <w:rPr>
          <w:sz w:val="20"/>
          <w:szCs w:val="20"/>
          <w:color w:val="auto"/>
        </w:rPr>
        <w:tab/>
      </w:r>
      <w:r>
        <w:rPr>
          <w:rFonts w:ascii="Arial" w:cs="Arial" w:eastAsia="Arial" w:hAnsi="Arial"/>
          <w:sz w:val="16"/>
          <w:szCs w:val="16"/>
          <w:u w:val="single" w:color="auto"/>
          <w:color w:val="auto"/>
        </w:rPr>
        <w:t>Statements Required in Certificate or Opinion.</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2700" w:hanging="748"/>
        <w:spacing w:after="0"/>
        <w:tabs>
          <w:tab w:leader="none" w:pos="270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010000"/>
        </w:rPr>
      </w:pPr>
    </w:p>
    <w:p>
      <w:pPr>
        <w:ind w:firstLine="1952"/>
        <w:spacing w:after="0" w:line="277" w:lineRule="auto"/>
        <w:tabs>
          <w:tab w:leader="none" w:pos="2707"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firstLine="1952"/>
        <w:spacing w:after="0" w:line="277" w:lineRule="auto"/>
        <w:tabs>
          <w:tab w:leader="none" w:pos="2872"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010000"/>
        </w:rPr>
      </w:pPr>
    </w:p>
    <w:p>
      <w:pPr>
        <w:ind w:left="660" w:right="240" w:firstLine="1292"/>
        <w:spacing w:after="0" w:line="500" w:lineRule="auto"/>
        <w:tabs>
          <w:tab w:leader="none" w:pos="2705"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a statement as to whether or not, in the opinion of such person, such condition or covenant has been complied with. </w:t>
      </w:r>
      <w:r>
        <w:rPr>
          <w:rFonts w:ascii="Arial" w:cs="Arial" w:eastAsia="Arial" w:hAnsi="Arial"/>
          <w:sz w:val="18"/>
          <w:szCs w:val="18"/>
          <w:color w:val="010000"/>
        </w:rPr>
        <w:t xml:space="preserve">Section 11.6 </w:t>
      </w:r>
      <w:r>
        <w:rPr>
          <w:rFonts w:ascii="Arial" w:cs="Arial" w:eastAsia="Arial" w:hAnsi="Arial"/>
          <w:sz w:val="18"/>
          <w:szCs w:val="18"/>
          <w:u w:val="single" w:color="auto"/>
          <w:color w:val="000000"/>
        </w:rPr>
        <w:t>Rules by Trustee and Agents.</w:t>
      </w:r>
    </w:p>
    <w:p>
      <w:pPr>
        <w:spacing w:after="0" w:line="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11.7</w:t>
      </w:r>
      <w:r>
        <w:rPr>
          <w:sz w:val="20"/>
          <w:szCs w:val="20"/>
          <w:color w:val="auto"/>
        </w:rPr>
        <w:tab/>
      </w:r>
      <w:r>
        <w:rPr>
          <w:rFonts w:ascii="Arial" w:cs="Arial" w:eastAsia="Arial" w:hAnsi="Arial"/>
          <w:sz w:val="16"/>
          <w:szCs w:val="16"/>
          <w:u w:val="single" w:color="auto"/>
          <w:color w:val="auto"/>
        </w:rPr>
        <w:t>Legal Holidays.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11.8</w:t>
      </w:r>
      <w:r>
        <w:rPr>
          <w:sz w:val="20"/>
          <w:szCs w:val="20"/>
          <w:color w:val="auto"/>
        </w:rPr>
        <w:tab/>
      </w:r>
      <w:r>
        <w:rPr>
          <w:rFonts w:ascii="Arial" w:cs="Arial" w:eastAsia="Arial" w:hAnsi="Arial"/>
          <w:sz w:val="16"/>
          <w:szCs w:val="16"/>
          <w:u w:val="single" w:color="auto"/>
          <w:color w:val="auto"/>
        </w:rPr>
        <w:t>No Recourse Against Others.</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6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11.9</w:t>
      </w:r>
      <w:r>
        <w:rPr>
          <w:sz w:val="20"/>
          <w:szCs w:val="20"/>
          <w:color w:val="auto"/>
        </w:rPr>
        <w:tab/>
      </w:r>
      <w:r>
        <w:rPr>
          <w:rFonts w:ascii="Arial" w:cs="Arial" w:eastAsia="Arial" w:hAnsi="Arial"/>
          <w:sz w:val="16"/>
          <w:szCs w:val="16"/>
          <w:u w:val="single" w:color="auto"/>
          <w:color w:val="auto"/>
        </w:rPr>
        <w:t>Counterparts; Electronic Signatures.</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Each of the transaction parties agrees on behalf of itself, and any Person acting or claiming by, under or through such transaction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to the Trustee shall be considered signed or executed by such person on behalf of the Company. The Company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60"/>
        <w:spacing w:after="0"/>
        <w:tabs>
          <w:tab w:leader="none" w:pos="1840" w:val="left"/>
        </w:tabs>
        <w:rPr>
          <w:sz w:val="20"/>
          <w:szCs w:val="20"/>
          <w:color w:val="auto"/>
        </w:rPr>
      </w:pPr>
      <w:r>
        <w:rPr>
          <w:rFonts w:ascii="Arial" w:cs="Arial" w:eastAsia="Arial" w:hAnsi="Arial"/>
          <w:sz w:val="18"/>
          <w:szCs w:val="18"/>
          <w:color w:val="010000"/>
        </w:rPr>
        <w:t>Section 11.10</w:t>
      </w:r>
      <w:r>
        <w:rPr>
          <w:sz w:val="20"/>
          <w:szCs w:val="20"/>
          <w:color w:val="auto"/>
        </w:rPr>
        <w:tab/>
      </w:r>
      <w:r>
        <w:rPr>
          <w:rFonts w:ascii="Arial" w:cs="Arial" w:eastAsia="Arial" w:hAnsi="Arial"/>
          <w:sz w:val="16"/>
          <w:szCs w:val="16"/>
          <w:u w:val="single" w:color="auto"/>
          <w:color w:val="auto"/>
        </w:rPr>
        <w:t>Governing Laws.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INTERNAL LAW OF THE STATE OF NEW YORK WILL GOVERN AND BE USED TO CONSTRUE THIS INDENTURE, THE SECURITIES AND ANY GUARANTEES OF THE SECURITIES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11.12</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11.13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010000"/>
        </w:rPr>
        <w:t>Section 11.14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SINKING FUNDS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12.1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29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12.2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12.3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optional amount, if any, to be added in cash to the next ensuing mandatory sinking fund payment, and the Company shall thereupon be obligated to pay the amount therein specified.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296"/>
        <w:spacing w:after="0" w:line="257" w:lineRule="auto"/>
        <w:rPr>
          <w:sz w:val="20"/>
          <w:szCs w:val="20"/>
          <w:color w:val="auto"/>
        </w:rPr>
      </w:pPr>
      <w:r>
        <w:rPr>
          <w:rFonts w:ascii="Arial" w:cs="Arial" w:eastAsia="Arial" w:hAnsi="Arial"/>
          <w:sz w:val="18"/>
          <w:szCs w:val="18"/>
          <w:color w:val="auto"/>
        </w:rPr>
        <w:t>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010000"/>
        </w:rPr>
        <w:t>Section 12.4</w:t>
      </w:r>
      <w:r>
        <w:rPr>
          <w:sz w:val="20"/>
          <w:szCs w:val="20"/>
          <w:color w:val="auto"/>
        </w:rPr>
        <w:tab/>
      </w:r>
      <w:r>
        <w:rPr>
          <w:rFonts w:ascii="Arial" w:cs="Arial" w:eastAsia="Arial" w:hAnsi="Arial"/>
          <w:sz w:val="16"/>
          <w:szCs w:val="16"/>
          <w:u w:val="single" w:color="auto"/>
          <w:color w:val="auto"/>
        </w:rPr>
        <w:t>Compliance with Applicable Anti-Terrorism and Anti-Money Laundering Regulations.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(“Relevant Law”),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IN WITNESS WHEREOF, the parties hereto have caused this Indenture to be duly executed and attested, all as of the day and year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INC.</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5.1</w:t>
      </w:r>
    </w:p>
    <w:p>
      <w:pPr>
        <w:spacing w:after="0" w:line="247"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2001 ROSS AVENUE</w:t>
            </w:r>
          </w:p>
        </w:tc>
        <w:tc>
          <w:tcPr>
            <w:tcW w:w="1980" w:type="dxa"/>
            <w:vAlign w:val="bottom"/>
          </w:tcPr>
          <w:p>
            <w:pPr>
              <w:ind w:left="320"/>
              <w:spacing w:after="0"/>
              <w:rPr>
                <w:sz w:val="20"/>
                <w:szCs w:val="20"/>
                <w:color w:val="auto"/>
              </w:rPr>
            </w:pPr>
            <w:r>
              <w:rPr>
                <w:rFonts w:ascii="Arial" w:cs="Arial" w:eastAsia="Arial" w:hAnsi="Arial"/>
                <w:sz w:val="18"/>
                <w:szCs w:val="18"/>
                <w:color w:val="auto"/>
              </w:rPr>
              <w:t>AUSTIN</w:t>
            </w:r>
          </w:p>
        </w:tc>
        <w:tc>
          <w:tcPr>
            <w:tcW w:w="2000" w:type="dxa"/>
            <w:vAlign w:val="bottom"/>
          </w:tcPr>
          <w:p>
            <w:pPr>
              <w:ind w:left="580"/>
              <w:spacing w:after="0"/>
              <w:rPr>
                <w:sz w:val="20"/>
                <w:szCs w:val="20"/>
                <w:color w:val="auto"/>
              </w:rPr>
            </w:pPr>
            <w:r>
              <w:rPr>
                <w:rFonts w:ascii="Arial" w:cs="Arial" w:eastAsia="Arial" w:hAnsi="Arial"/>
                <w:sz w:val="18"/>
                <w:szCs w:val="18"/>
                <w:color w:val="auto"/>
              </w:rPr>
              <w:t>LONDON</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DALLAS, TEXAS</w:t>
            </w:r>
          </w:p>
        </w:tc>
        <w:tc>
          <w:tcPr>
            <w:tcW w:w="1980" w:type="dxa"/>
            <w:vAlign w:val="bottom"/>
          </w:tcPr>
          <w:p>
            <w:pPr>
              <w:ind w:left="320"/>
              <w:spacing w:after="0"/>
              <w:rPr>
                <w:sz w:val="20"/>
                <w:szCs w:val="20"/>
                <w:color w:val="auto"/>
              </w:rPr>
            </w:pPr>
            <w:r>
              <w:rPr>
                <w:rFonts w:ascii="Arial" w:cs="Arial" w:eastAsia="Arial" w:hAnsi="Arial"/>
                <w:sz w:val="18"/>
                <w:szCs w:val="18"/>
                <w:color w:val="auto"/>
              </w:rPr>
              <w:t>BEIJING</w:t>
            </w:r>
          </w:p>
        </w:tc>
        <w:tc>
          <w:tcPr>
            <w:tcW w:w="2000" w:type="dxa"/>
            <w:vAlign w:val="bottom"/>
          </w:tcPr>
          <w:p>
            <w:pPr>
              <w:ind w:left="580"/>
              <w:spacing w:after="0"/>
              <w:rPr>
                <w:sz w:val="20"/>
                <w:szCs w:val="20"/>
                <w:color w:val="auto"/>
              </w:rPr>
            </w:pPr>
            <w:r>
              <w:rPr>
                <w:rFonts w:ascii="Arial" w:cs="Arial" w:eastAsia="Arial" w:hAnsi="Arial"/>
                <w:sz w:val="18"/>
                <w:szCs w:val="18"/>
                <w:color w:val="auto"/>
              </w:rPr>
              <w:t>MOSCOW</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75201-2980</w:t>
            </w:r>
          </w:p>
        </w:tc>
        <w:tc>
          <w:tcPr>
            <w:tcW w:w="1980" w:type="dxa"/>
            <w:vAlign w:val="bottom"/>
          </w:tcPr>
          <w:p>
            <w:pPr>
              <w:ind w:left="320"/>
              <w:spacing w:after="0"/>
              <w:rPr>
                <w:sz w:val="20"/>
                <w:szCs w:val="20"/>
                <w:color w:val="auto"/>
              </w:rPr>
            </w:pPr>
            <w:r>
              <w:rPr>
                <w:rFonts w:ascii="Arial" w:cs="Arial" w:eastAsia="Arial" w:hAnsi="Arial"/>
                <w:sz w:val="18"/>
                <w:szCs w:val="18"/>
                <w:color w:val="auto"/>
              </w:rPr>
              <w:t>BRUSSELS</w:t>
            </w:r>
          </w:p>
        </w:tc>
        <w:tc>
          <w:tcPr>
            <w:tcW w:w="2000" w:type="dxa"/>
            <w:vAlign w:val="bottom"/>
          </w:tcPr>
          <w:p>
            <w:pPr>
              <w:ind w:left="580"/>
              <w:spacing w:after="0"/>
              <w:rPr>
                <w:sz w:val="20"/>
                <w:szCs w:val="20"/>
                <w:color w:val="auto"/>
              </w:rPr>
            </w:pPr>
            <w:r>
              <w:rPr>
                <w:rFonts w:ascii="Arial" w:cs="Arial" w:eastAsia="Arial" w:hAnsi="Arial"/>
                <w:sz w:val="18"/>
                <w:szCs w:val="18"/>
                <w:color w:val="auto"/>
              </w:rPr>
              <w:t>NEW YORK</w:t>
            </w:r>
          </w:p>
        </w:tc>
      </w:tr>
      <w:tr>
        <w:trPr>
          <w:trHeight w:val="216"/>
        </w:trPr>
        <w:tc>
          <w:tcPr>
            <w:tcW w:w="194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8"/>
                <w:szCs w:val="18"/>
                <w:color w:val="auto"/>
              </w:rPr>
              <w:t>DALLAS</w:t>
            </w:r>
          </w:p>
        </w:tc>
        <w:tc>
          <w:tcPr>
            <w:tcW w:w="2000" w:type="dxa"/>
            <w:vAlign w:val="bottom"/>
          </w:tcPr>
          <w:p>
            <w:pPr>
              <w:ind w:left="580"/>
              <w:spacing w:after="0"/>
              <w:rPr>
                <w:sz w:val="20"/>
                <w:szCs w:val="20"/>
                <w:color w:val="auto"/>
              </w:rPr>
            </w:pPr>
            <w:r>
              <w:rPr>
                <w:rFonts w:ascii="Arial" w:cs="Arial" w:eastAsia="Arial" w:hAnsi="Arial"/>
                <w:sz w:val="18"/>
                <w:szCs w:val="18"/>
                <w:color w:val="auto"/>
              </w:rPr>
              <w:t>PALO ALTO</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TEL +1 214.953.6500</w:t>
            </w:r>
          </w:p>
        </w:tc>
        <w:tc>
          <w:tcPr>
            <w:tcW w:w="1980" w:type="dxa"/>
            <w:vAlign w:val="bottom"/>
          </w:tcPr>
          <w:p>
            <w:pPr>
              <w:ind w:left="320"/>
              <w:spacing w:after="0"/>
              <w:rPr>
                <w:sz w:val="20"/>
                <w:szCs w:val="20"/>
                <w:color w:val="auto"/>
              </w:rPr>
            </w:pPr>
            <w:r>
              <w:rPr>
                <w:rFonts w:ascii="Arial" w:cs="Arial" w:eastAsia="Arial" w:hAnsi="Arial"/>
                <w:sz w:val="18"/>
                <w:szCs w:val="18"/>
                <w:color w:val="auto"/>
              </w:rPr>
              <w:t>DUBAI</w:t>
            </w:r>
          </w:p>
        </w:tc>
        <w:tc>
          <w:tcPr>
            <w:tcW w:w="2000" w:type="dxa"/>
            <w:vAlign w:val="bottom"/>
          </w:tcPr>
          <w:p>
            <w:pPr>
              <w:ind w:left="580"/>
              <w:spacing w:after="0"/>
              <w:rPr>
                <w:sz w:val="20"/>
                <w:szCs w:val="20"/>
                <w:color w:val="auto"/>
              </w:rPr>
            </w:pPr>
            <w:r>
              <w:rPr>
                <w:rFonts w:ascii="Arial" w:cs="Arial" w:eastAsia="Arial" w:hAnsi="Arial"/>
                <w:sz w:val="18"/>
                <w:szCs w:val="18"/>
                <w:color w:val="auto"/>
              </w:rPr>
              <w:t>RIYADH</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FAX +1 214.953.6503</w:t>
            </w:r>
          </w:p>
        </w:tc>
        <w:tc>
          <w:tcPr>
            <w:tcW w:w="1980" w:type="dxa"/>
            <w:vAlign w:val="bottom"/>
          </w:tcPr>
          <w:p>
            <w:pPr>
              <w:ind w:left="320"/>
              <w:spacing w:after="0"/>
              <w:rPr>
                <w:sz w:val="20"/>
                <w:szCs w:val="20"/>
                <w:color w:val="auto"/>
              </w:rPr>
            </w:pPr>
            <w:r>
              <w:rPr>
                <w:rFonts w:ascii="Arial" w:cs="Arial" w:eastAsia="Arial" w:hAnsi="Arial"/>
                <w:sz w:val="18"/>
                <w:szCs w:val="18"/>
                <w:color w:val="auto"/>
              </w:rPr>
              <w:t>HONG KONG</w:t>
            </w:r>
          </w:p>
        </w:tc>
        <w:tc>
          <w:tcPr>
            <w:tcW w:w="2000" w:type="dxa"/>
            <w:vAlign w:val="bottom"/>
          </w:tcPr>
          <w:p>
            <w:pPr>
              <w:ind w:left="580"/>
              <w:spacing w:after="0"/>
              <w:rPr>
                <w:sz w:val="20"/>
                <w:szCs w:val="20"/>
                <w:color w:val="auto"/>
              </w:rPr>
            </w:pPr>
            <w:r>
              <w:rPr>
                <w:rFonts w:ascii="Arial" w:cs="Arial" w:eastAsia="Arial" w:hAnsi="Arial"/>
                <w:sz w:val="18"/>
                <w:szCs w:val="18"/>
                <w:color w:val="auto"/>
                <w:w w:val="94"/>
              </w:rPr>
              <w:t>SAN FRANCISCO</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BakerBotts.com</w:t>
            </w:r>
          </w:p>
        </w:tc>
        <w:tc>
          <w:tcPr>
            <w:tcW w:w="1980" w:type="dxa"/>
            <w:vAlign w:val="bottom"/>
          </w:tcPr>
          <w:p>
            <w:pPr>
              <w:ind w:left="320"/>
              <w:spacing w:after="0"/>
              <w:rPr>
                <w:sz w:val="20"/>
                <w:szCs w:val="20"/>
                <w:color w:val="auto"/>
              </w:rPr>
            </w:pPr>
            <w:r>
              <w:rPr>
                <w:rFonts w:ascii="Arial" w:cs="Arial" w:eastAsia="Arial" w:hAnsi="Arial"/>
                <w:sz w:val="18"/>
                <w:szCs w:val="18"/>
                <w:color w:val="auto"/>
              </w:rPr>
              <w:t>HOUSTON</w:t>
            </w:r>
          </w:p>
        </w:tc>
        <w:tc>
          <w:tcPr>
            <w:tcW w:w="2000" w:type="dxa"/>
            <w:vAlign w:val="bottom"/>
          </w:tcPr>
          <w:p>
            <w:pPr>
              <w:ind w:left="580"/>
              <w:spacing w:after="0"/>
              <w:rPr>
                <w:sz w:val="20"/>
                <w:szCs w:val="20"/>
                <w:color w:val="auto"/>
              </w:rPr>
            </w:pPr>
            <w:r>
              <w:rPr>
                <w:rFonts w:ascii="Arial" w:cs="Arial" w:eastAsia="Arial" w:hAnsi="Arial"/>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-822325</wp:posOffset>
            </wp:positionV>
            <wp:extent cx="2023110"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2023110" cy="2914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acted as counsel for Clearway Energy, Inc., a Delaware corporation (the “Company”), with respect to certain legal matters in connection with the filing by the Company with the Securities and Exchange Commission (the “Commission”) of a registration statement on Form S-3 (the “Registration Statement”) under the Securities Act of 1933, as amended (the “Securities Act”), registering securities to be issued and sold by the Company from time to time pursuant to Rule 415 under the Securities Act. Such securities include (i) the Company’s Class A common stock, par value $0.01 per share (the “Class A Common Stock”), (ii) the Company’s Class C common stock, par value $0.01 per share (the “Class C Common Stock” and, together with the Class A Common Stock, the “Common Stock”), (iii) one or more series of the Company’s senior or subordinated debt securities (collectively, the “Debt Securities”), and (iv) one or more series of the Company’s preferred stock, par value $0.01 per share (the “Preferred Stock”). The Common Stock, the Debt Securities and the Preferred Stock are collectively referred to herein as the “Securities.”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our capacity as your counsel in connection with the filing referred to above and as a basis for the opinions herein after expressed, we have examined (i) the Registration Statement and the prospectus contained therein (the “Prospectus”), (ii) the Amended and Restated Certificate of Incorporation of the Company, (iii) the Fourth Amended and Restated Bylaws of the Company, (iv) the form of an indenture filed as an exhibit to the Registration Statement (an “Indenture”), (v) originals, or copies certified or otherwise identified, of the corporate records of the Company, (vi) originals, or copies certified or otherwise identified, of certificates of public officials and of representatives of the Company and (vii) statutes and other instruments and documents as we deemed necessary or advisable for the opinions hereafter expressed.</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stated in the Registration Statement and the appropriate prospectus supplement; (iv) a definitive purchase, underwriting or similar agreement with respect to any Securities offered will have been duly authorized and validly executed and delivered by the Company and the other parties thereto; (v) any securities issuable upon conversion, redemption, exchange or exercise of any Securities being offered will be duly authorized, created and, if appropriate, reserved for issuance upon such conversion, redemption, exchange or exercise; (vi) the certificates, if any, for the Common Stock will conform to the specimens thereof examined by us and will have been duly countersigned by a transfer agent and duly registered by a registrar of the Common Stock, or, if uncertificated, valid book-entry notations will have been made in the stock register of the Company in accordance with the provisions of the governing documents of the Company; and (vii) each document submitted to us for review is accurate and complete, each such document that is an original is authentic, each such document that is a copy conforms to an authentic original and all signatures on each such document are genuine.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1465"/>
                    </a:xfrm>
                    <a:prstGeom prst="rect">
                      <a:avLst/>
                    </a:prstGeom>
                    <a:noFill/>
                  </pic:spPr>
                </pic:pic>
              </a:graphicData>
            </a:graphic>
          </wp:anchor>
        </w:drawing>
      </w:r>
    </w:p>
    <w:p>
      <w:pPr>
        <w:spacing w:after="0"/>
        <w:tabs>
          <w:tab w:leader="none" w:pos="5480" w:val="left"/>
          <w:tab w:leader="none" w:pos="10120" w:val="left"/>
        </w:tabs>
        <w:rPr>
          <w:sz w:val="20"/>
          <w:szCs w:val="20"/>
          <w:color w:val="auto"/>
        </w:rPr>
      </w:pPr>
      <w:r>
        <w:rPr>
          <w:rFonts w:ascii="Arial" w:cs="Arial" w:eastAsia="Arial" w:hAnsi="Arial"/>
          <w:sz w:val="18"/>
          <w:szCs w:val="18"/>
          <w:color w:val="auto"/>
        </w:rPr>
        <w:t>Clearway Energy, Inc.</w:t>
      </w:r>
      <w:r>
        <w:rPr>
          <w:sz w:val="20"/>
          <w:szCs w:val="20"/>
          <w:color w:val="auto"/>
        </w:rPr>
        <w:tab/>
      </w:r>
      <w:r>
        <w:rPr>
          <w:rFonts w:ascii="Arial" w:cs="Arial" w:eastAsia="Arial" w:hAnsi="Arial"/>
          <w:sz w:val="18"/>
          <w:szCs w:val="18"/>
          <w:color w:val="auto"/>
        </w:rPr>
        <w:t>- 2-</w:t>
      </w:r>
      <w:r>
        <w:rPr>
          <w:sz w:val="20"/>
          <w:szCs w:val="20"/>
          <w:color w:val="auto"/>
        </w:rPr>
        <w:tab/>
      </w:r>
      <w:r>
        <w:rPr>
          <w:rFonts w:ascii="Arial" w:cs="Arial" w:eastAsia="Arial" w:hAnsi="Arial"/>
          <w:sz w:val="16"/>
          <w:szCs w:val="16"/>
          <w:color w:val="auto"/>
        </w:rPr>
        <w:t>August 6, 2020</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660" w:right="80" w:hanging="328"/>
        <w:spacing w:after="0" w:line="279"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 respect to the Common Stock, when (a) the Company has taken all necessary action to approve the issuance of such Common Stock, the terms of the offering thereof and related matters, and (b) such Common Stock has been issued and delivered in accordance with the terms of the applicable definitive purchase, underwriting or similar agreement approved by the Company upon payment of the consideration therefor provided for therein, such Common Stock will be duly authorized and validly issued and non-assessable.</w:t>
      </w:r>
    </w:p>
    <w:p>
      <w:pPr>
        <w:spacing w:after="0" w:line="171" w:lineRule="exact"/>
        <w:rPr>
          <w:rFonts w:ascii="Arial" w:cs="Arial" w:eastAsia="Arial" w:hAnsi="Arial"/>
          <w:sz w:val="17"/>
          <w:szCs w:val="17"/>
          <w:color w:val="auto"/>
        </w:rPr>
      </w:pPr>
    </w:p>
    <w:p>
      <w:pPr>
        <w:ind w:left="660" w:right="20" w:hanging="328"/>
        <w:spacing w:after="0" w:line="283"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 respect to the Debt Securities to be issued under the applicable Indenture, when (a) the Company has taken all necessary action to approve the issuance and terms of such Debt Securities, the terms of the offering thereof and related matters, (b) the applicable Indenture and any supplemental indenture thereto relating to such Debt Securities have been duly authorized and validly executed and delivered by the Company, the trustee thereunder and any other parties thereto, (c) the applicable Indenture and any supplemental indenture thereto relating to such Debt Securities have been duly qualified under the Trust Indenture Act of 1939, as amended, and (d) such Debt Securities have been duly executed, authenticated, issued and delivered in accordance with the terms of the applicable Indenture and any supplemental indenture thereto relating to such Debt Securities and the applicable definitive purchase, underwriting or similar agreement approved by the Company, upon payment of the consideration therefor provided for therein, such Debt Securities will, when issued, constitute valid and legally binding obligations of the Company, enforceable against the Company in accordance with their terms, except as the enforceability thereof is subject to the effect of</w:t>
      </w:r>
    </w:p>
    <w:p>
      <w:pPr>
        <w:spacing w:after="0" w:line="5" w:lineRule="exact"/>
        <w:rPr>
          <w:rFonts w:ascii="Arial" w:cs="Arial" w:eastAsia="Arial" w:hAnsi="Arial"/>
          <w:sz w:val="16"/>
          <w:szCs w:val="16"/>
          <w:color w:val="auto"/>
        </w:rPr>
      </w:pPr>
    </w:p>
    <w:p>
      <w:pPr>
        <w:ind w:left="660" w:right="220" w:hanging="4"/>
        <w:spacing w:after="0" w:line="281" w:lineRule="auto"/>
        <w:tabs>
          <w:tab w:leader="none" w:pos="8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bankruptcy, insolvency, reorganization, moratorium, fraudulent transfer or conveyance or other similar laws relating to or affecting creditors’ rights generally, (ii) general principles of equity (regardless of whether such enforceability is considered in a proceeding in equity or at law) or</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implied covenants of good faith and fair dealing.</w:t>
      </w:r>
    </w:p>
    <w:p>
      <w:pPr>
        <w:spacing w:after="0" w:line="210"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 respect to the Preferred Stock, when (a) the Company has taken all necessary action to approve the issuance of such Preferred Stock, the terms of the offering thereof and related matters, and (b) such Preferred Stock has been issued and delivered in accordance with the terms of the applicable definitive purchase, underwriting or similar agreement approved by the Company upon payment of the consideration therefor provided for therein, such Preferred Stock will be duly authorized and validly issued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2311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1465"/>
                    </a:xfrm>
                    <a:prstGeom prst="rect">
                      <a:avLst/>
                    </a:prstGeom>
                    <a:noFill/>
                  </pic:spPr>
                </pic:pic>
              </a:graphicData>
            </a:graphic>
          </wp:anchor>
        </w:drawing>
      </w:r>
    </w:p>
    <w:p>
      <w:pPr>
        <w:spacing w:after="0"/>
        <w:tabs>
          <w:tab w:leader="none" w:pos="5480" w:val="left"/>
          <w:tab w:leader="none" w:pos="10120" w:val="left"/>
        </w:tabs>
        <w:rPr>
          <w:sz w:val="20"/>
          <w:szCs w:val="20"/>
          <w:color w:val="auto"/>
        </w:rPr>
      </w:pPr>
      <w:r>
        <w:rPr>
          <w:rFonts w:ascii="Arial" w:cs="Arial" w:eastAsia="Arial" w:hAnsi="Arial"/>
          <w:sz w:val="18"/>
          <w:szCs w:val="18"/>
          <w:color w:val="auto"/>
        </w:rPr>
        <w:t>Clearway Energy, Inc.</w:t>
      </w:r>
      <w:r>
        <w:rPr>
          <w:sz w:val="20"/>
          <w:szCs w:val="20"/>
          <w:color w:val="auto"/>
        </w:rPr>
        <w:tab/>
      </w: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August 6, 2020</w:t>
      </w:r>
    </w:p>
    <w:p>
      <w:pPr>
        <w:spacing w:after="0" w:line="22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opinions set forth above are limited in all respects to matters of the laws of the State of New York, the Delaware General Corporation Law and applicable reported judicial decisions, rules and regulations interpreting and implementing those laws, and the federal laws of the United States of America, in each case as in effect on the date hereof. We express no opinion as to the effect of the laws of any other jurisdiction.</w:t>
      </w:r>
    </w:p>
    <w:p>
      <w:pPr>
        <w:spacing w:after="0" w:line="1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use of our reports with respect to the consolidated financial statements and the effectiveness of internal control over financial reporting incorporated by reference herein and to the reference to our firm under the heading “Experts” in the prospectus.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report dated March 2, 2020 refers to changes in accounting principle, the Company’s adoption of Topic 606, Revenue from Contracts with Customers and Topic 842,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KMPG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ELIGIBILITY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-10160</wp:posOffset>
            </wp:positionV>
            <wp:extent cx="1428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Delaware Trust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6640" w:type="dxa"/>
            <w:vAlign w:val="bottom"/>
          </w:tcPr>
          <w:p>
            <w:pPr>
              <w:jc w:val="center"/>
              <w:ind w:right="3150"/>
              <w:spacing w:after="0"/>
              <w:rPr>
                <w:sz w:val="20"/>
                <w:szCs w:val="20"/>
                <w:color w:val="auto"/>
              </w:rPr>
            </w:pPr>
            <w:r>
              <w:rPr>
                <w:rFonts w:ascii="Arial" w:cs="Arial" w:eastAsia="Arial" w:hAnsi="Arial"/>
                <w:sz w:val="18"/>
                <w:szCs w:val="18"/>
                <w:b w:val="1"/>
                <w:bCs w:val="1"/>
                <w:color w:val="auto"/>
                <w:w w:val="91"/>
              </w:rPr>
              <w:t>Delaware</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51-0011500</w:t>
            </w:r>
          </w:p>
        </w:tc>
      </w:tr>
      <w:tr>
        <w:trPr>
          <w:trHeight w:val="216"/>
        </w:trPr>
        <w:tc>
          <w:tcPr>
            <w:tcW w:w="6640" w:type="dxa"/>
            <w:vAlign w:val="bottom"/>
          </w:tcPr>
          <w:p>
            <w:pPr>
              <w:jc w:val="center"/>
              <w:ind w:right="3150"/>
              <w:spacing w:after="0"/>
              <w:rPr>
                <w:sz w:val="20"/>
                <w:szCs w:val="20"/>
                <w:color w:val="auto"/>
              </w:rPr>
            </w:pPr>
            <w:r>
              <w:rPr>
                <w:rFonts w:ascii="Arial" w:cs="Arial" w:eastAsia="Arial" w:hAnsi="Arial"/>
                <w:sz w:val="18"/>
                <w:szCs w:val="18"/>
                <w:color w:val="auto"/>
                <w:w w:val="93"/>
              </w:rPr>
              <w:t>(Jurisdiction of incorporation or organization if</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640" w:type="dxa"/>
            <w:vAlign w:val="bottom"/>
          </w:tcPr>
          <w:p>
            <w:pPr>
              <w:jc w:val="center"/>
              <w:ind w:right="3150"/>
              <w:spacing w:after="0"/>
              <w:rPr>
                <w:sz w:val="20"/>
                <w:szCs w:val="20"/>
                <w:color w:val="auto"/>
              </w:rPr>
            </w:pPr>
            <w:r>
              <w:rPr>
                <w:rFonts w:ascii="Arial" w:cs="Arial" w:eastAsia="Arial" w:hAnsi="Arial"/>
                <w:sz w:val="18"/>
                <w:szCs w:val="18"/>
                <w:color w:val="auto"/>
                <w:w w:val="90"/>
              </w:rPr>
              <w:t>not a U.S. national bank)</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66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3"/>
              </w:rPr>
              <w:t>251 Little Falls Drive</w:t>
            </w:r>
          </w:p>
        </w:tc>
        <w:tc>
          <w:tcPr>
            <w:tcW w:w="1340" w:type="dxa"/>
            <w:vAlign w:val="bottom"/>
          </w:tcPr>
          <w:p>
            <w:pPr>
              <w:spacing w:after="0"/>
              <w:rPr>
                <w:sz w:val="24"/>
                <w:szCs w:val="24"/>
                <w:color w:val="auto"/>
              </w:rPr>
            </w:pPr>
          </w:p>
        </w:tc>
      </w:tr>
      <w:tr>
        <w:trPr>
          <w:trHeight w:val="220"/>
        </w:trPr>
        <w:tc>
          <w:tcPr>
            <w:tcW w:w="66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3"/>
              </w:rPr>
              <w:t>Wilmington, Delaware</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19808</w:t>
            </w:r>
          </w:p>
        </w:tc>
      </w:tr>
      <w:tr>
        <w:trPr>
          <w:trHeight w:val="230"/>
        </w:trPr>
        <w:tc>
          <w:tcPr>
            <w:tcW w:w="6640" w:type="dxa"/>
            <w:vAlign w:val="bottom"/>
          </w:tcPr>
          <w:p>
            <w:pPr>
              <w:jc w:val="center"/>
              <w:ind w:right="317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630"/>
        </w:trPr>
        <w:tc>
          <w:tcPr>
            <w:tcW w:w="664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Corporation Service Company</w:t>
            </w:r>
          </w:p>
        </w:tc>
        <w:tc>
          <w:tcPr>
            <w:tcW w:w="1340" w:type="dxa"/>
            <w:vAlign w:val="bottom"/>
          </w:tcPr>
          <w:p>
            <w:pPr>
              <w:spacing w:after="0"/>
              <w:rPr>
                <w:sz w:val="24"/>
                <w:szCs w:val="24"/>
                <w:color w:val="auto"/>
              </w:rPr>
            </w:pPr>
          </w:p>
        </w:tc>
      </w:tr>
      <w:tr>
        <w:trPr>
          <w:trHeight w:val="216"/>
        </w:trPr>
        <w:tc>
          <w:tcPr>
            <w:tcW w:w="6640" w:type="dxa"/>
            <w:vAlign w:val="bottom"/>
          </w:tcPr>
          <w:p>
            <w:pPr>
              <w:jc w:val="center"/>
              <w:ind w:left="2290"/>
              <w:spacing w:after="0"/>
              <w:rPr>
                <w:sz w:val="20"/>
                <w:szCs w:val="20"/>
                <w:color w:val="auto"/>
              </w:rPr>
            </w:pPr>
            <w:r>
              <w:rPr>
                <w:rFonts w:ascii="Arial" w:cs="Arial" w:eastAsia="Arial" w:hAnsi="Arial"/>
                <w:sz w:val="18"/>
                <w:szCs w:val="18"/>
                <w:b w:val="1"/>
                <w:bCs w:val="1"/>
                <w:color w:val="auto"/>
                <w:w w:val="93"/>
              </w:rPr>
              <w:t>251 Little Falls Drive</w:t>
            </w:r>
          </w:p>
        </w:tc>
        <w:tc>
          <w:tcPr>
            <w:tcW w:w="1340" w:type="dxa"/>
            <w:vAlign w:val="bottom"/>
          </w:tcPr>
          <w:p>
            <w:pPr>
              <w:spacing w:after="0"/>
              <w:rPr>
                <w:sz w:val="18"/>
                <w:szCs w:val="18"/>
                <w:color w:val="auto"/>
              </w:rPr>
            </w:pPr>
          </w:p>
        </w:tc>
      </w:tr>
      <w:tr>
        <w:trPr>
          <w:trHeight w:val="216"/>
        </w:trPr>
        <w:tc>
          <w:tcPr>
            <w:tcW w:w="6640" w:type="dxa"/>
            <w:vAlign w:val="bottom"/>
          </w:tcPr>
          <w:p>
            <w:pPr>
              <w:jc w:val="center"/>
              <w:ind w:left="2290"/>
              <w:spacing w:after="0"/>
              <w:rPr>
                <w:sz w:val="20"/>
                <w:szCs w:val="20"/>
                <w:color w:val="auto"/>
              </w:rPr>
            </w:pPr>
            <w:r>
              <w:rPr>
                <w:rFonts w:ascii="Arial" w:cs="Arial" w:eastAsia="Arial" w:hAnsi="Arial"/>
                <w:sz w:val="18"/>
                <w:szCs w:val="18"/>
                <w:b w:val="1"/>
                <w:bCs w:val="1"/>
                <w:color w:val="auto"/>
                <w:w w:val="93"/>
              </w:rPr>
              <w:t>Wilmington, Delaware</w:t>
            </w:r>
          </w:p>
        </w:tc>
        <w:tc>
          <w:tcPr>
            <w:tcW w:w="1340" w:type="dxa"/>
            <w:vAlign w:val="bottom"/>
          </w:tcPr>
          <w:p>
            <w:pPr>
              <w:spacing w:after="0"/>
              <w:rPr>
                <w:sz w:val="18"/>
                <w:szCs w:val="18"/>
                <w:color w:val="auto"/>
              </w:rPr>
            </w:pPr>
          </w:p>
        </w:tc>
      </w:tr>
      <w:tr>
        <w:trPr>
          <w:trHeight w:val="220"/>
        </w:trPr>
        <w:tc>
          <w:tcPr>
            <w:tcW w:w="664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(800) 927-9801</w:t>
            </w:r>
          </w:p>
        </w:tc>
        <w:tc>
          <w:tcPr>
            <w:tcW w:w="1340" w:type="dxa"/>
            <w:vAlign w:val="bottom"/>
          </w:tcPr>
          <w:p>
            <w:pPr>
              <w:spacing w:after="0"/>
              <w:rPr>
                <w:sz w:val="19"/>
                <w:szCs w:val="19"/>
                <w:color w:val="auto"/>
              </w:rPr>
            </w:pPr>
          </w:p>
        </w:tc>
      </w:tr>
      <w:tr>
        <w:trPr>
          <w:trHeight w:val="230"/>
        </w:trPr>
        <w:tc>
          <w:tcPr>
            <w:tcW w:w="6640" w:type="dxa"/>
            <w:vAlign w:val="bottom"/>
          </w:tcPr>
          <w:p>
            <w:pPr>
              <w:jc w:val="center"/>
              <w:ind w:left="2290"/>
              <w:spacing w:after="0"/>
              <w:rPr>
                <w:sz w:val="20"/>
                <w:szCs w:val="20"/>
                <w:color w:val="auto"/>
              </w:rPr>
            </w:pPr>
            <w:r>
              <w:rPr>
                <w:rFonts w:ascii="Arial" w:cs="Arial" w:eastAsia="Arial" w:hAnsi="Arial"/>
                <w:sz w:val="18"/>
                <w:szCs w:val="18"/>
                <w:color w:val="auto"/>
                <w:w w:val="89"/>
              </w:rPr>
              <w:t>(Name, address and telephone number of agent for service)</w:t>
            </w: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20" w:type="dxa"/>
            <w:vAlign w:val="bottom"/>
            <w:gridSpan w:val="2"/>
          </w:tcPr>
          <w:p>
            <w:pPr>
              <w:jc w:val="center"/>
              <w:ind w:right="129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2290"/>
              <w:spacing w:after="0"/>
              <w:rPr>
                <w:sz w:val="20"/>
                <w:szCs w:val="20"/>
                <w:color w:val="auto"/>
              </w:rPr>
            </w:pPr>
            <w:r>
              <w:rPr>
                <w:rFonts w:ascii="Arial" w:cs="Arial" w:eastAsia="Arial" w:hAnsi="Arial"/>
                <w:sz w:val="18"/>
                <w:szCs w:val="18"/>
                <w:b w:val="1"/>
                <w:bCs w:val="1"/>
                <w:color w:val="auto"/>
              </w:rPr>
              <w:t>46-1777204</w:t>
            </w:r>
          </w:p>
        </w:tc>
      </w:tr>
      <w:tr>
        <w:trPr>
          <w:trHeight w:val="230"/>
        </w:trPr>
        <w:tc>
          <w:tcPr>
            <w:tcW w:w="7020" w:type="dxa"/>
            <w:vAlign w:val="bottom"/>
            <w:gridSpan w:val="2"/>
          </w:tcPr>
          <w:p>
            <w:pPr>
              <w:jc w:val="center"/>
              <w:ind w:right="131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220" w:type="dxa"/>
            <w:vAlign w:val="bottom"/>
          </w:tcPr>
          <w:p>
            <w:pPr>
              <w:jc w:val="center"/>
              <w:ind w:right="13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7020" w:type="dxa"/>
            <w:vAlign w:val="bottom"/>
            <w:gridSpan w:val="2"/>
          </w:tcPr>
          <w:p>
            <w:pPr>
              <w:jc w:val="center"/>
              <w:ind w:right="1290"/>
              <w:spacing w:after="0"/>
              <w:rPr>
                <w:sz w:val="20"/>
                <w:szCs w:val="20"/>
                <w:color w:val="auto"/>
              </w:rPr>
            </w:pPr>
            <w:r>
              <w:rPr>
                <w:rFonts w:ascii="Arial" w:cs="Arial" w:eastAsia="Arial" w:hAnsi="Arial"/>
                <w:sz w:val="18"/>
                <w:szCs w:val="18"/>
                <w:b w:val="1"/>
                <w:bCs w:val="1"/>
                <w:color w:val="auto"/>
                <w:w w:val="89"/>
              </w:rPr>
              <w:t>300 Carnegie Center, Suite 300</w:t>
            </w:r>
          </w:p>
        </w:tc>
        <w:tc>
          <w:tcPr>
            <w:tcW w:w="4220" w:type="dxa"/>
            <w:vAlign w:val="bottom"/>
          </w:tcPr>
          <w:p>
            <w:pPr>
              <w:spacing w:after="0"/>
              <w:rPr>
                <w:sz w:val="24"/>
                <w:szCs w:val="24"/>
                <w:color w:val="auto"/>
              </w:rPr>
            </w:pPr>
          </w:p>
        </w:tc>
      </w:tr>
      <w:tr>
        <w:trPr>
          <w:trHeight w:val="220"/>
        </w:trPr>
        <w:tc>
          <w:tcPr>
            <w:tcW w:w="7020" w:type="dxa"/>
            <w:vAlign w:val="bottom"/>
            <w:gridSpan w:val="2"/>
          </w:tcPr>
          <w:p>
            <w:pPr>
              <w:jc w:val="center"/>
              <w:ind w:right="1290"/>
              <w:spacing w:after="0"/>
              <w:rPr>
                <w:sz w:val="20"/>
                <w:szCs w:val="20"/>
                <w:color w:val="auto"/>
              </w:rPr>
            </w:pPr>
            <w:r>
              <w:rPr>
                <w:rFonts w:ascii="Arial" w:cs="Arial" w:eastAsia="Arial" w:hAnsi="Arial"/>
                <w:sz w:val="18"/>
                <w:szCs w:val="18"/>
                <w:b w:val="1"/>
                <w:bCs w:val="1"/>
                <w:color w:val="auto"/>
                <w:w w:val="91"/>
              </w:rPr>
              <w:t>Princeton, NJ 08540</w:t>
            </w:r>
          </w:p>
        </w:tc>
        <w:tc>
          <w:tcPr>
            <w:tcW w:w="4220" w:type="dxa"/>
            <w:vAlign w:val="bottom"/>
          </w:tcPr>
          <w:p>
            <w:pPr>
              <w:jc w:val="right"/>
              <w:ind w:right="2490"/>
              <w:spacing w:after="0"/>
              <w:rPr>
                <w:sz w:val="20"/>
                <w:szCs w:val="20"/>
                <w:color w:val="auto"/>
              </w:rPr>
            </w:pPr>
            <w:r>
              <w:rPr>
                <w:rFonts w:ascii="Arial" w:cs="Arial" w:eastAsia="Arial" w:hAnsi="Arial"/>
                <w:sz w:val="18"/>
                <w:szCs w:val="18"/>
                <w:b w:val="1"/>
                <w:bCs w:val="1"/>
                <w:color w:val="auto"/>
              </w:rPr>
              <w:t>08540</w:t>
            </w:r>
          </w:p>
        </w:tc>
      </w:tr>
      <w:tr>
        <w:trPr>
          <w:trHeight w:val="230"/>
        </w:trPr>
        <w:tc>
          <w:tcPr>
            <w:tcW w:w="7020" w:type="dxa"/>
            <w:vAlign w:val="bottom"/>
            <w:gridSpan w:val="2"/>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right="1310"/>
              <w:spacing w:after="0"/>
              <w:rPr>
                <w:sz w:val="20"/>
                <w:szCs w:val="20"/>
                <w:color w:val="auto"/>
              </w:rPr>
            </w:pPr>
            <w:r>
              <w:rPr>
                <w:rFonts w:ascii="Arial" w:cs="Arial" w:eastAsia="Arial" w:hAnsi="Arial"/>
                <w:sz w:val="18"/>
                <w:szCs w:val="18"/>
                <w:color w:val="auto"/>
                <w:w w:val="91"/>
              </w:rPr>
              <w:t>(Zip code)</w:t>
            </w:r>
          </w:p>
        </w:tc>
      </w:tr>
      <w:tr>
        <w:trPr>
          <w:trHeight w:val="270"/>
        </w:trPr>
        <w:tc>
          <w:tcPr>
            <w:tcW w:w="42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4220" w:type="dxa"/>
            <w:vAlign w:val="bottom"/>
          </w:tcPr>
          <w:p>
            <w:pPr>
              <w:spacing w:after="0"/>
              <w:rPr>
                <w:sz w:val="23"/>
                <w:szCs w:val="23"/>
                <w:color w:val="auto"/>
              </w:rPr>
            </w:pPr>
          </w:p>
        </w:tc>
      </w:tr>
      <w:tr>
        <w:trPr>
          <w:trHeight w:val="479"/>
        </w:trPr>
        <w:tc>
          <w:tcPr>
            <w:tcW w:w="42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422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(Title of the indenture securities)</w:t>
            </w:r>
          </w:p>
        </w:tc>
        <w:tc>
          <w:tcPr>
            <w:tcW w:w="4220" w:type="dxa"/>
            <w:vAlign w:val="bottom"/>
          </w:tcPr>
          <w:p>
            <w:pPr>
              <w:spacing w:after="0"/>
              <w:rPr>
                <w:sz w:val="20"/>
                <w:szCs w:val="20"/>
                <w:color w:val="auto"/>
              </w:rPr>
            </w:pPr>
          </w:p>
        </w:tc>
      </w:tr>
      <w:tr>
        <w:trPr>
          <w:trHeight w:val="216"/>
        </w:trPr>
        <w:tc>
          <w:tcPr>
            <w:tcW w:w="4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28"/>
        </w:trPr>
        <w:tc>
          <w:tcPr>
            <w:tcW w:w="4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689"/>
        </w:trPr>
        <w:tc>
          <w:tcPr>
            <w:tcW w:w="4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89" w:name="page90"/>
    <w:bookmarkEnd w:id="89"/>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General Information.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Furnish the following information as to the trustee:</w:t>
      </w:r>
    </w:p>
    <w:p>
      <w:pPr>
        <w:spacing w:after="0" w:line="207"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8"/>
          <w:szCs w:val="18"/>
          <w:b w:val="1"/>
          <w:bCs w:val="1"/>
          <w:color w:val="auto"/>
        </w:rPr>
        <w:t>(a)</w:t>
        <w:tab/>
        <w:t>Name and address of each examining or supervising authority to which it is subject.</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Office of the State Banking Commissioner</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State of Delaware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555 East Loockerman Street</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Dover, DE 19901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b w:val="1"/>
                <w:bCs w:val="1"/>
                <w:color w:val="auto"/>
              </w:rPr>
              <w:t>(b)   Whether it is authorized to exercise corporate trust powers.</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34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b w:val="1"/>
                <w:bCs w:val="1"/>
                <w:color w:val="auto"/>
              </w:rPr>
              <w:t>Affiliations with Obligor.</w:t>
            </w: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Items 3-14</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color w:val="auto"/>
              </w:rPr>
              <w:t>No responses are included for Items 3–14 because the obligor is not in default as provided under Item 13.</w:t>
            </w:r>
          </w:p>
        </w:tc>
      </w:tr>
      <w:tr>
        <w:trPr>
          <w:trHeight w:val="39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240" w:type="dxa"/>
            <w:vAlign w:val="bottom"/>
          </w:tcPr>
          <w:p>
            <w:pPr>
              <w:spacing w:after="0"/>
              <w:rPr>
                <w:sz w:val="24"/>
                <w:szCs w:val="24"/>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Foreign Trustee.</w:t>
            </w:r>
          </w:p>
        </w:tc>
        <w:tc>
          <w:tcPr>
            <w:tcW w:w="8200" w:type="dxa"/>
            <w:vAlign w:val="bottom"/>
            <w:gridSpan w:val="2"/>
          </w:tcPr>
          <w:p>
            <w:pPr>
              <w:spacing w:after="0"/>
              <w:rPr>
                <w:sz w:val="24"/>
                <w:szCs w:val="24"/>
                <w:color w:val="auto"/>
              </w:rPr>
            </w:pPr>
          </w:p>
        </w:tc>
      </w:tr>
      <w:tr>
        <w:trPr>
          <w:trHeight w:val="453"/>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3"/>
          </w:tcPr>
          <w:p>
            <w:pPr>
              <w:ind w:left="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1.</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A copy of the Articles of Association of the trustee now in effect as contained in the Certificate of Incorporation. *</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2.</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A copy of the Certificate of Incorporation. *</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3.</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See Exhibit 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4.</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A copy of by-laws of the trustee as now in effect. *</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5.</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6.</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Exhibit 7.</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authority.</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8.</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Exhibit 9.</w:t>
            </w:r>
          </w:p>
        </w:tc>
        <w:tc>
          <w:tcPr>
            <w:tcW w:w="240" w:type="dxa"/>
            <w:vAlign w:val="bottom"/>
          </w:tcPr>
          <w:p>
            <w:pPr>
              <w:spacing w:after="0"/>
              <w:rPr>
                <w:sz w:val="24"/>
                <w:szCs w:val="24"/>
                <w:color w:val="auto"/>
              </w:rPr>
            </w:pPr>
          </w:p>
        </w:tc>
        <w:tc>
          <w:tcPr>
            <w:tcW w:w="948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Exhibit 25.01 to the registration statement on S-4, Registration Number 333-227503 filed on 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90" w:name="page91"/>
    <w:bookmarkEnd w:id="90"/>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6th day of August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Benjamin Hancock</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91" w:name="page92"/>
    <w:bookmarkEnd w:id="91"/>
    <w:p>
      <w:pPr>
        <w:jc w:val="center"/>
        <w:ind w:right="-339"/>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Benjamin Hancock</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9440" w:type="dxa"/>
            <w:vAlign w:val="bottom"/>
          </w:tcPr>
          <w:p>
            <w:pPr>
              <w:jc w:val="center"/>
              <w:ind w:left="1730"/>
              <w:spacing w:after="0"/>
              <w:rPr>
                <w:sz w:val="20"/>
                <w:szCs w:val="20"/>
                <w:color w:val="auto"/>
              </w:rPr>
            </w:pPr>
            <w:r>
              <w:rPr>
                <w:rFonts w:ascii="Arial" w:cs="Arial" w:eastAsia="Arial" w:hAnsi="Arial"/>
                <w:sz w:val="18"/>
                <w:szCs w:val="18"/>
                <w:color w:val="auto"/>
              </w:rPr>
              <w:t>EXHIBIT 7</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3"/>
              </w:rPr>
              <w:t>Report of Condition of</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440" w:type="dxa"/>
            <w:vAlign w:val="bottom"/>
          </w:tcPr>
          <w:p>
            <w:pPr>
              <w:jc w:val="center"/>
              <w:ind w:left="1730"/>
              <w:spacing w:after="0"/>
              <w:rPr>
                <w:sz w:val="20"/>
                <w:szCs w:val="20"/>
                <w:color w:val="auto"/>
              </w:rPr>
            </w:pPr>
            <w:r>
              <w:rPr>
                <w:rFonts w:ascii="Arial" w:cs="Arial" w:eastAsia="Arial" w:hAnsi="Arial"/>
                <w:sz w:val="18"/>
                <w:szCs w:val="18"/>
                <w:color w:val="auto"/>
                <w:w w:val="91"/>
              </w:rPr>
              <w:t>Delaware Trust Company</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40" w:type="dxa"/>
            <w:vAlign w:val="bottom"/>
          </w:tcPr>
          <w:p>
            <w:pPr>
              <w:jc w:val="center"/>
              <w:ind w:left="1730"/>
              <w:spacing w:after="0"/>
              <w:rPr>
                <w:sz w:val="20"/>
                <w:szCs w:val="20"/>
                <w:color w:val="auto"/>
              </w:rPr>
            </w:pPr>
            <w:r>
              <w:rPr>
                <w:rFonts w:ascii="Arial" w:cs="Arial" w:eastAsia="Arial" w:hAnsi="Arial"/>
                <w:sz w:val="18"/>
                <w:szCs w:val="18"/>
                <w:color w:val="auto"/>
                <w:w w:val="94"/>
              </w:rPr>
              <w:t>of 251 Little Falls Drive, Wilmington, Delaware 19808</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0"/>
              </w:rPr>
              <w:t>at the close of business June 30, 2020, filed in accordance with 5 Del. Laws, c.9, §904</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40" w:type="dxa"/>
            <w:vAlign w:val="bottom"/>
          </w:tcPr>
          <w:p>
            <w:pPr>
              <w:spacing w:after="0"/>
              <w:rPr>
                <w:sz w:val="24"/>
                <w:szCs w:val="2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Dollar Amounts</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0"/>
        </w:trPr>
        <w:tc>
          <w:tcPr>
            <w:tcW w:w="944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Noninterest-bearing balances and currency and coin</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Interest-bearing balances</w:t>
            </w:r>
          </w:p>
        </w:tc>
        <w:tc>
          <w:tcPr>
            <w:tcW w:w="1800" w:type="dxa"/>
            <w:vAlign w:val="bottom"/>
          </w:tcPr>
          <w:p>
            <w:pPr>
              <w:jc w:val="right"/>
              <w:spacing w:after="0"/>
              <w:rPr>
                <w:sz w:val="20"/>
                <w:szCs w:val="20"/>
                <w:color w:val="auto"/>
              </w:rPr>
            </w:pPr>
            <w:r>
              <w:rPr>
                <w:rFonts w:ascii="Arial" w:cs="Arial" w:eastAsia="Arial" w:hAnsi="Arial"/>
                <w:sz w:val="18"/>
                <w:szCs w:val="18"/>
                <w:color w:val="auto"/>
              </w:rPr>
              <w:t>1,456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Held-to-maturity securities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Available-for-sale securities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Federal funds sold in domestic offices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Securities purchased under agreements to resell</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Loans and leases held for sale</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Loans and leases, net of unearned income</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LESS: Allowance for loan and lease losses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Loans and leases, net of unearned income and allowance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Trading Assets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340"/>
              <w:spacing w:after="0"/>
              <w:rPr>
                <w:sz w:val="20"/>
                <w:szCs w:val="20"/>
                <w:color w:val="auto"/>
              </w:rPr>
            </w:pPr>
            <w:r>
              <w:rPr>
                <w:rFonts w:ascii="Arial" w:cs="Arial" w:eastAsia="Arial" w:hAnsi="Arial"/>
                <w:sz w:val="18"/>
                <w:szCs w:val="18"/>
                <w:color w:val="auto"/>
              </w:rPr>
              <w:t>Goodwill</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Other intangible assets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Other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109,173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9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Dollar Amounts</w:t>
            </w: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9"/>
        </w:trPr>
        <w:tc>
          <w:tcPr>
            <w:tcW w:w="946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Deposits: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In domestic offices</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3160"/>
              <w:spacing w:after="0"/>
              <w:rPr>
                <w:sz w:val="20"/>
                <w:szCs w:val="20"/>
                <w:color w:val="auto"/>
              </w:rPr>
            </w:pPr>
            <w:r>
              <w:rPr>
                <w:rFonts w:ascii="Arial" w:cs="Arial" w:eastAsia="Arial" w:hAnsi="Arial"/>
                <w:sz w:val="18"/>
                <w:szCs w:val="18"/>
                <w:color w:val="auto"/>
              </w:rPr>
              <w:t>Noninterest-bearing</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Interest-bearing</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1580"/>
              <w:spacing w:after="0"/>
              <w:rPr>
                <w:sz w:val="20"/>
                <w:szCs w:val="20"/>
                <w:color w:val="auto"/>
              </w:rPr>
            </w:pPr>
            <w:r>
              <w:rPr>
                <w:rFonts w:ascii="Arial" w:cs="Arial" w:eastAsia="Arial" w:hAnsi="Arial"/>
                <w:sz w:val="18"/>
                <w:szCs w:val="18"/>
                <w:color w:val="auto"/>
              </w:rPr>
              <w:t>In foreign offices, Edge and Agreement subsidiaries, and IBFs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Noninterest-bearing</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3160"/>
              <w:spacing w:after="0"/>
              <w:rPr>
                <w:sz w:val="20"/>
                <w:szCs w:val="20"/>
                <w:color w:val="auto"/>
              </w:rPr>
            </w:pPr>
            <w:r>
              <w:rPr>
                <w:rFonts w:ascii="Arial" w:cs="Arial" w:eastAsia="Arial" w:hAnsi="Arial"/>
                <w:sz w:val="18"/>
                <w:szCs w:val="18"/>
                <w:color w:val="auto"/>
              </w:rPr>
              <w:t>Interest-bearing</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1580"/>
              <w:spacing w:after="0"/>
              <w:rPr>
                <w:sz w:val="20"/>
                <w:szCs w:val="20"/>
                <w:color w:val="auto"/>
              </w:rPr>
            </w:pPr>
            <w:r>
              <w:rPr>
                <w:rFonts w:ascii="Arial" w:cs="Arial" w:eastAsia="Arial" w:hAnsi="Arial"/>
                <w:sz w:val="18"/>
                <w:szCs w:val="18"/>
                <w:color w:val="auto"/>
              </w:rPr>
              <w:t>Federal funds purchased in domestic offices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Securities sold under agreements to repurchase</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Arial" w:cs="Arial" w:eastAsia="Arial" w:hAnsi="Arial"/>
                <w:sz w:val="18"/>
                <w:szCs w:val="18"/>
                <w:color w:val="auto"/>
              </w:rPr>
              <w:t>Trading liabilities</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15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jc w:val="right"/>
              <w:spacing w:after="0"/>
              <w:rPr>
                <w:sz w:val="20"/>
                <w:szCs w:val="20"/>
                <w:color w:val="auto"/>
              </w:rPr>
            </w:pPr>
            <w:r>
              <w:rPr>
                <w:rFonts w:ascii="Arial" w:cs="Arial" w:eastAsia="Arial" w:hAnsi="Arial"/>
                <w:sz w:val="18"/>
                <w:szCs w:val="18"/>
                <w:color w:val="auto"/>
              </w:rPr>
              <w:t>2,672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Total liabilities</w:t>
            </w:r>
          </w:p>
        </w:tc>
        <w:tc>
          <w:tcPr>
            <w:tcW w:w="1780" w:type="dxa"/>
            <w:vAlign w:val="bottom"/>
          </w:tcPr>
          <w:p>
            <w:pPr>
              <w:jc w:val="right"/>
              <w:spacing w:after="0"/>
              <w:rPr>
                <w:sz w:val="20"/>
                <w:szCs w:val="20"/>
                <w:color w:val="auto"/>
              </w:rPr>
            </w:pPr>
            <w:r>
              <w:rPr>
                <w:rFonts w:ascii="Arial" w:cs="Arial" w:eastAsia="Arial" w:hAnsi="Arial"/>
                <w:sz w:val="18"/>
                <w:szCs w:val="18"/>
                <w:color w:val="auto"/>
              </w:rPr>
              <w:t>2,672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780" w:type="dxa"/>
            <w:vAlign w:val="bottom"/>
          </w:tcPr>
          <w:p>
            <w:pPr>
              <w:jc w:val="right"/>
              <w:spacing w:after="0"/>
              <w:rPr>
                <w:sz w:val="20"/>
                <w:szCs w:val="20"/>
                <w:color w:val="auto"/>
              </w:rPr>
            </w:pPr>
            <w:r>
              <w:rPr>
                <w:rFonts w:ascii="Arial" w:cs="Arial" w:eastAsia="Arial" w:hAnsi="Arial"/>
                <w:sz w:val="18"/>
                <w:szCs w:val="18"/>
                <w:color w:val="auto"/>
              </w:rPr>
              <w:t>105,501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institution equity capital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6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Total equity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0660"/>
        <w:spacing w:after="0"/>
        <w:rPr>
          <w:sz w:val="20"/>
          <w:szCs w:val="20"/>
          <w:color w:val="auto"/>
        </w:rPr>
      </w:pPr>
      <w:r>
        <w:rPr>
          <w:rFonts w:ascii="Arial" w:cs="Arial" w:eastAsia="Arial" w:hAnsi="Arial"/>
          <w:sz w:val="16"/>
          <w:szCs w:val="16"/>
          <w:color w:val="auto"/>
        </w:rPr>
        <w:t>109,328</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vMerge w:val="restart"/>
          </w:tcPr>
          <w:p>
            <w:pPr>
              <w:spacing w:after="0"/>
              <w:rPr>
                <w:sz w:val="20"/>
                <w:szCs w:val="20"/>
                <w:color w:val="auto"/>
              </w:rPr>
            </w:pPr>
            <w:r>
              <w:rPr>
                <w:rFonts w:ascii="Arial" w:cs="Arial" w:eastAsia="Arial" w:hAnsi="Arial"/>
                <w:sz w:val="18"/>
                <w:szCs w:val="18"/>
                <w:color w:val="auto"/>
              </w:rPr>
              <w:t>Total liabilities, and equity capital</w:t>
            </w:r>
          </w:p>
        </w:tc>
        <w:tc>
          <w:tcPr>
            <w:tcW w:w="1680" w:type="dxa"/>
            <w:vAlign w:val="bottom"/>
          </w:tcPr>
          <w:p>
            <w:pPr>
              <w:jc w:val="right"/>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61"/>
        </w:trPr>
        <w:tc>
          <w:tcPr>
            <w:tcW w:w="9560" w:type="dxa"/>
            <w:vAlign w:val="bottom"/>
            <w:vMerge w:val="continue"/>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 Thomas C. Porth, CFO of the above-named State Non-Depository Trust Company, do hereby declare that this Report of Condition has been prepared in conformance with the instructions issued by the appropriate State regulatory authority and is true to the best of my knowledge and belief.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Edwin J Dealy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Edwin J Dealy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jc w:val="center"/>
              <w:ind w:right="4320"/>
              <w:spacing w:after="0"/>
              <w:rPr>
                <w:sz w:val="20"/>
                <w:szCs w:val="20"/>
                <w:color w:val="auto"/>
              </w:rPr>
            </w:pPr>
            <w:r>
              <w:rPr>
                <w:rFonts w:ascii="Arial" w:cs="Arial" w:eastAsia="Arial" w:hAnsi="Arial"/>
                <w:sz w:val="18"/>
                <w:szCs w:val="18"/>
                <w:color w:val="auto"/>
                <w:w w:val="89"/>
              </w:rPr>
              <w:t>/s/ Rodman Ward</w:t>
            </w:r>
          </w:p>
        </w:tc>
        <w:tc>
          <w:tcPr>
            <w:tcW w:w="5380" w:type="dxa"/>
            <w:vAlign w:val="bottom"/>
          </w:tcPr>
          <w:p>
            <w:pPr>
              <w:jc w:val="center"/>
              <w:ind w:right="3950"/>
              <w:spacing w:after="0"/>
              <w:rPr>
                <w:sz w:val="20"/>
                <w:szCs w:val="20"/>
                <w:color w:val="auto"/>
              </w:rPr>
            </w:pPr>
            <w:r>
              <w:rPr>
                <w:rFonts w:ascii="Arial" w:cs="Arial" w:eastAsia="Arial" w:hAnsi="Arial"/>
                <w:sz w:val="18"/>
                <w:szCs w:val="18"/>
                <w:color w:val="auto"/>
                <w:w w:val="90"/>
              </w:rPr>
              <w:t>/s/ John Hebert</w:t>
            </w:r>
          </w:p>
        </w:tc>
      </w:tr>
      <w:tr>
        <w:trPr>
          <w:trHeight w:val="224"/>
        </w:trPr>
        <w:tc>
          <w:tcPr>
            <w:tcW w:w="5400" w:type="dxa"/>
            <w:vAlign w:val="bottom"/>
            <w:tcBorders>
              <w:top w:val="single" w:sz="8" w:color="auto"/>
            </w:tcBorders>
          </w:tcPr>
          <w:p>
            <w:pPr>
              <w:jc w:val="center"/>
              <w:ind w:right="3790"/>
              <w:spacing w:after="0"/>
              <w:rPr>
                <w:sz w:val="20"/>
                <w:szCs w:val="20"/>
                <w:color w:val="auto"/>
              </w:rPr>
            </w:pPr>
            <w:r>
              <w:rPr>
                <w:rFonts w:ascii="Arial" w:cs="Arial" w:eastAsia="Arial" w:hAnsi="Arial"/>
                <w:sz w:val="18"/>
                <w:szCs w:val="18"/>
                <w:color w:val="auto"/>
                <w:w w:val="89"/>
              </w:rPr>
              <w:t>Rodman Ward</w:t>
            </w:r>
          </w:p>
        </w:tc>
        <w:tc>
          <w:tcPr>
            <w:tcW w:w="460" w:type="dxa"/>
            <w:vAlign w:val="bottom"/>
          </w:tcPr>
          <w:p>
            <w:pPr>
              <w:spacing w:after="0"/>
              <w:rPr>
                <w:sz w:val="19"/>
                <w:szCs w:val="19"/>
                <w:color w:val="auto"/>
              </w:rPr>
            </w:pPr>
          </w:p>
        </w:tc>
        <w:tc>
          <w:tcPr>
            <w:tcW w:w="5380" w:type="dxa"/>
            <w:vAlign w:val="bottom"/>
            <w:tcBorders>
              <w:top w:val="single" w:sz="8" w:color="auto"/>
            </w:tcBorders>
          </w:tcPr>
          <w:p>
            <w:pPr>
              <w:jc w:val="center"/>
              <w:ind w:right="3970"/>
              <w:spacing w:after="0"/>
              <w:rPr>
                <w:sz w:val="20"/>
                <w:szCs w:val="20"/>
                <w:color w:val="auto"/>
              </w:rPr>
            </w:pPr>
            <w:r>
              <w:rPr>
                <w:rFonts w:ascii="Arial" w:cs="Arial" w:eastAsia="Arial" w:hAnsi="Arial"/>
                <w:sz w:val="18"/>
                <w:szCs w:val="18"/>
                <w:color w:val="auto"/>
                <w:w w:val="89"/>
              </w:rPr>
              <w:t>John Hebert</w:t>
            </w:r>
          </w:p>
        </w:tc>
      </w:tr>
      <w:tr>
        <w:trPr>
          <w:trHeight w:val="661"/>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lowerRoman"/>
      <w:start w:val="1"/>
    </w:lvl>
  </w:abstractNum>
  <w:abstractNum w:abstractNumId="5">
    <w:nsid w:val="2463B9EA"/>
    <w:multiLevelType w:val="hybridMultilevel"/>
    <w:lvl w:ilvl="0">
      <w:lvlJc w:val="left"/>
      <w:lvlText w:val="(%1)"/>
      <w:numFmt w:val="lowerRoman"/>
      <w:start w:val="2"/>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7A6D8D3C"/>
    <w:multiLevelType w:val="hybridMultilevel"/>
    <w:lvl w:ilvl="0">
      <w:lvlJc w:val="left"/>
      <w:lvlText w:val="(%1)"/>
      <w:numFmt w:val="lowerRoman"/>
      <w:start w:val="3"/>
    </w:lvl>
  </w:abstractNum>
  <w:abstractNum w:abstractNumId="20">
    <w:nsid w:val="4B588F54"/>
    <w:multiLevelType w:val="hybridMultilevel"/>
    <w:lvl w:ilvl="0">
      <w:lvlJc w:val="left"/>
      <w:lvlText w:val="(%1)"/>
      <w:numFmt w:val="decimal"/>
      <w:start w:val="2"/>
    </w:lvl>
    <w:lvl w:ilvl="1">
      <w:lvlJc w:val="left"/>
      <w:lvlText w:val="(%2)"/>
      <w:numFmt w:val="lowerRoman"/>
      <w:start w:val="1"/>
    </w:lvl>
  </w:abstractNum>
  <w:abstractNum w:abstractNumId="21">
    <w:nsid w:val="542289EC"/>
    <w:multiLevelType w:val="hybridMultilevel"/>
    <w:lvl w:ilvl="0">
      <w:lvlJc w:val="left"/>
      <w:lvlText w:val="%1"/>
      <w:numFmt w:val="lowerLetter"/>
      <w:start w:val="1"/>
    </w:lvl>
    <w:lvl w:ilvl="1">
      <w:lvlJc w:val="left"/>
      <w:lvlText w:val="(%2)"/>
      <w:numFmt w:val="lowerRoman"/>
      <w:start w:val="3"/>
    </w:lvl>
  </w:abstractNum>
  <w:abstractNum w:abstractNumId="22">
    <w:nsid w:val="6DE91B18"/>
    <w:multiLevelType w:val="hybridMultilevel"/>
    <w:lvl w:ilvl="0">
      <w:lvlJc w:val="left"/>
      <w:lvlText w:val="(%1)"/>
      <w:numFmt w:val="lowerLetter"/>
      <w:start w:val="2"/>
    </w:lvl>
    <w:lvl w:ilvl="1">
      <w:lvlJc w:val="left"/>
      <w:lvlText w:val="%2"/>
      <w:numFmt w:val="lowerRoman"/>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2"/>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3"/>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5"/>
    </w:lvl>
  </w:abstractNum>
  <w:abstractNum w:abstractNumId="35">
    <w:nsid w:val="520EEDD1"/>
    <w:multiLevelType w:val="hybridMultilevel"/>
    <w:lvl w:ilvl="0">
      <w:lvlJc w:val="left"/>
      <w:lvlText w:val="(%1)"/>
      <w:numFmt w:val="lowerLetter"/>
      <w:start w:val="8"/>
    </w:lvl>
  </w:abstractNum>
  <w:abstractNum w:abstractNumId="36">
    <w:nsid w:val="374A3FE6"/>
    <w:multiLevelType w:val="hybridMultilevel"/>
    <w:lvl w:ilvl="0">
      <w:lvlJc w:val="left"/>
      <w:lvlText w:val="(%1)"/>
      <w:numFmt w:val="lowerLetter"/>
      <w:start w:val="1"/>
    </w:lvl>
  </w:abstractNum>
  <w:abstractNum w:abstractNumId="37">
    <w:nsid w:val="4F4EF005"/>
    <w:multiLevelType w:val="hybridMultilevel"/>
    <w:lvl w:ilvl="0">
      <w:lvlJc w:val="left"/>
      <w:lvlText w:val="(%1)"/>
      <w:numFmt w:val="lowerLetter"/>
      <w:start w:val="2"/>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40">
    <w:nsid w:val="275AC794"/>
    <w:multiLevelType w:val="hybridMultilevel"/>
    <w:lvl w:ilvl="0">
      <w:lvlJc w:val="left"/>
      <w:lvlText w:val="(%1)"/>
      <w:numFmt w:val="decimal"/>
      <w:start w:val="4"/>
    </w:lvl>
  </w:abstractNum>
  <w:abstractNum w:abstractNumId="41">
    <w:nsid w:val="39386575"/>
    <w:multiLevelType w:val="hybridMultilevel"/>
    <w:lvl w:ilvl="0">
      <w:lvlJc w:val="left"/>
      <w:lvlText w:val="(%1)"/>
      <w:numFmt w:val="lowerLetter"/>
      <w:start w:val="1"/>
    </w:lvl>
    <w:lvl w:ilvl="1">
      <w:lvlJc w:val="left"/>
      <w:lvlText w:val="(%2)"/>
      <w:numFmt w:val="lowerRoman"/>
      <w:start w:val="1"/>
    </w:lvl>
  </w:abstractNum>
  <w:abstractNum w:abstractNumId="42">
    <w:nsid w:val="1CF10FD8"/>
    <w:multiLevelType w:val="hybridMultilevel"/>
    <w:lvl w:ilvl="0">
      <w:lvlJc w:val="left"/>
      <w:lvlText w:val="%1"/>
      <w:numFmt w:val="lowerLetter"/>
      <w:start w:val="1"/>
    </w:lvl>
    <w:lvl w:ilvl="1">
      <w:lvlJc w:val="left"/>
      <w:lvlText w:val="(%2)"/>
      <w:numFmt w:val="lowerRoman"/>
      <w:start w:val="3"/>
    </w:lvl>
  </w:abstractNum>
  <w:abstractNum w:abstractNumId="43">
    <w:nsid w:val="180115BE"/>
    <w:multiLevelType w:val="hybridMultilevel"/>
    <w:lvl w:ilvl="0">
      <w:lvlJc w:val="left"/>
      <w:lvlText w:val="(%1)"/>
      <w:numFmt w:val="lowerLetter"/>
      <w:start w:val="6"/>
    </w:lvl>
    <w:lvl w:ilvl="1">
      <w:lvlJc w:val="left"/>
      <w:lvlText w:val="(%2)"/>
      <w:numFmt w:val="lowerRoman"/>
      <w:start w:val="1"/>
    </w:lvl>
  </w:abstractNum>
  <w:abstractNum w:abstractNumId="44">
    <w:nsid w:val="235BA861"/>
    <w:multiLevelType w:val="hybridMultilevel"/>
    <w:lvl w:ilvl="0">
      <w:lvlJc w:val="left"/>
      <w:lvlText w:val="(%1)"/>
      <w:numFmt w:val="lowerLetter"/>
      <w:start w:val="6"/>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2"/>
    </w:lvl>
  </w:abstractNum>
  <w:abstractNum w:abstractNumId="47">
    <w:nsid w:val="15B5AF5C"/>
    <w:multiLevelType w:val="hybridMultilevel"/>
    <w:lvl w:ilvl="0">
      <w:lvlJc w:val="left"/>
      <w:lvlText w:val="(%1)"/>
      <w:numFmt w:val="lowerLetter"/>
      <w:start w:val="1"/>
    </w:lvl>
    <w:lvl w:ilvl="1">
      <w:lvlJc w:val="left"/>
      <w:lvlText w:val="(%2)"/>
      <w:numFmt w:val="lowerRoman"/>
      <w:start w:val="1"/>
    </w:lvl>
  </w:abstractNum>
  <w:abstractNum w:abstractNumId="48">
    <w:nsid w:val="741226BB"/>
    <w:multiLevelType w:val="hybridMultilevel"/>
    <w:lvl w:ilvl="0">
      <w:lvlJc w:val="left"/>
      <w:lvlText w:val="(%1)"/>
      <w:numFmt w:val="lowerLetter"/>
      <w:start w:val="5"/>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7"/>
    </w:lvl>
  </w:abstractNum>
  <w:abstractNum w:abstractNumId="51">
    <w:nsid w:val="3F6AB60F"/>
    <w:multiLevelType w:val="hybridMultilevel"/>
    <w:lvl w:ilvl="0">
      <w:lvlJc w:val="left"/>
      <w:lvlText w:val="(%1)"/>
      <w:numFmt w:val="lowerLetter"/>
      <w:start w:val="14"/>
    </w:lvl>
  </w:abstractNum>
  <w:abstractNum w:abstractNumId="52">
    <w:nsid w:val="61574095"/>
    <w:multiLevelType w:val="hybridMultilevel"/>
    <w:lvl w:ilvl="0">
      <w:lvlJc w:val="left"/>
      <w:lvlText w:val="(%1)"/>
      <w:numFmt w:val="lowerLetter"/>
      <w:start w:val="15"/>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3"/>
    </w:lvl>
  </w:abstractNum>
  <w:abstractNum w:abstractNumId="55">
    <w:nsid w:val="579BE4F1"/>
    <w:multiLevelType w:val="hybridMultilevel"/>
    <w:lvl w:ilvl="0">
      <w:lvlJc w:val="left"/>
      <w:lvlText w:val="(%1)"/>
      <w:numFmt w:val="decimal"/>
      <w:start w:val="1"/>
    </w:lvl>
    <w:lvl w:ilvl="1">
      <w:lvlJc w:val="left"/>
      <w:lvlText w:val="(%2)"/>
      <w:numFmt w:val="decimal"/>
      <w:start w:val="1"/>
    </w:lvl>
  </w:abstractNum>
  <w:abstractNum w:abstractNumId="56">
    <w:nsid w:val="310C50B3"/>
    <w:multiLevelType w:val="hybridMultilevel"/>
    <w:lvl w:ilvl="0">
      <w:lvlJc w:val="left"/>
      <w:lvlText w:val="(%1)"/>
      <w:numFmt w:val="decimal"/>
      <w:start w:val="4"/>
    </w:lvl>
  </w:abstractNum>
  <w:abstractNum w:abstractNumId="57">
    <w:nsid w:val="5FF87E05"/>
    <w:multiLevelType w:val="hybridMultilevel"/>
    <w:lvl w:ilvl="0">
      <w:lvlJc w:val="left"/>
      <w:lvlText w:val="(%1)"/>
      <w:numFmt w:val="decimal"/>
      <w:start w:val="1"/>
    </w:lvl>
    <w:lvl w:ilvl="1">
      <w:lvlJc w:val="left"/>
      <w:lvlText w:val="(%2)"/>
      <w:numFmt w:val="upperLetter"/>
      <w:start w:val="1"/>
    </w:lvl>
  </w:abstractNum>
  <w:abstractNum w:abstractNumId="58">
    <w:nsid w:val="2F305DEF"/>
    <w:multiLevelType w:val="hybridMultilevel"/>
    <w:lvl w:ilvl="0">
      <w:lvlJc w:val="left"/>
      <w:lvlText w:val="%1"/>
      <w:numFmt w:val="decimal"/>
      <w:start w:val="1"/>
    </w:lvl>
    <w:lvl w:ilvl="1">
      <w:lvlJc w:val="left"/>
      <w:lvlText w:val="(%2)"/>
      <w:numFmt w:val="upperLetter"/>
      <w:start w:val="2"/>
    </w:lvl>
  </w:abstractNum>
  <w:abstractNum w:abstractNumId="59">
    <w:nsid w:val="25A70BF7"/>
    <w:multiLevelType w:val="hybridMultilevel"/>
    <w:lvl w:ilvl="0">
      <w:lvlJc w:val="left"/>
      <w:lvlText w:val="(%1)"/>
      <w:numFmt w:val="decimal"/>
      <w:start w:val="3"/>
    </w:lvl>
    <w:lvl w:ilvl="1">
      <w:lvlJc w:val="left"/>
      <w:lvlText w:val="%2"/>
      <w:numFmt w:val="upperLetter"/>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5"/>
    </w:lvl>
  </w:abstractNum>
  <w:abstractNum w:abstractNumId="63">
    <w:nsid w:val="1381823A"/>
    <w:multiLevelType w:val="hybridMultilevel"/>
    <w:lvl w:ilvl="0">
      <w:lvlJc w:val="left"/>
      <w:lvlText w:val="(%1)"/>
      <w:numFmt w:val="lowerLetter"/>
      <w:start w:val="1"/>
    </w:lvl>
    <w:lvl w:ilvl="1">
      <w:lvlJc w:val="left"/>
      <w:lvlText w:val="(%2)"/>
      <w:numFmt w:val="lowerRoman"/>
      <w:start w:val="1"/>
    </w:lvl>
  </w:abstractNum>
  <w:abstractNum w:abstractNumId="64">
    <w:nsid w:val="5DB70AE5"/>
    <w:multiLevelType w:val="hybridMultilevel"/>
    <w:lvl w:ilvl="0">
      <w:lvlJc w:val="left"/>
      <w:lvlText w:val="(%1)"/>
      <w:numFmt w:val="lowerLetter"/>
      <w:start w:val="2"/>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decimal"/>
      <w:start w:val="1"/>
    </w:lvl>
    <w:lvl w:ilvl="1">
      <w:lvlJc w:val="left"/>
      <w:lvlText w:val="(%2)"/>
      <w:numFmt w:val="lowerRoman"/>
      <w:start w:val="1"/>
    </w:lvl>
  </w:abstractNum>
  <w:abstractNum w:abstractNumId="69">
    <w:nsid w:val="98A3148"/>
    <w:multiLevelType w:val="hybridMultilevel"/>
    <w:lvl w:ilvl="0">
      <w:lvlJc w:val="left"/>
      <w:lvlText w:val="%1"/>
      <w:numFmt w:val="decimal"/>
      <w:start w:val="1"/>
    </w:lvl>
    <w:lvl w:ilvl="1">
      <w:lvlJc w:val="left"/>
      <w:lvlText w:val="(%2)"/>
      <w:numFmt w:val="lowerRoman"/>
      <w:start w:val="3"/>
    </w:lvl>
  </w:abstractNum>
  <w:abstractNum w:abstractNumId="70">
    <w:nsid w:val="799D0247"/>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jpeg"/><Relationship Id="rId135" Type="http://schemas.openxmlformats.org/officeDocument/2006/relationships/image" Target="media/image114.png"/><Relationship Id="rId136" Type="http://schemas.openxmlformats.org/officeDocument/2006/relationships/image" Target="media/image115.jpeg"/><Relationship Id="rId137" Type="http://schemas.openxmlformats.org/officeDocument/2006/relationships/image" Target="media/image116.png"/><Relationship Id="rId138" Type="http://schemas.openxmlformats.org/officeDocument/2006/relationships/image" Target="media/image117.jpe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40" Type="http://schemas.openxmlformats.org/officeDocument/2006/relationships/hyperlink" Target="http://www.sec.gov/ix?doc=/Archives/edgar/data/1567683/000156768320000008/clearwayinc201910-k.htm" TargetMode="External"/><Relationship Id="rId41" Type="http://schemas.openxmlformats.org/officeDocument/2006/relationships/hyperlink" Target="http://www.sec.gov/ix?doc=/Archives/edgar/data/1567683/000156768320000013/clearwayenergyinc20191.htm" TargetMode="External"/><Relationship Id="rId42" Type="http://schemas.openxmlformats.org/officeDocument/2006/relationships/hyperlink" Target="http://www.sec.gov/Archives/edgar/data/1567683/000104746920001542/a2240970zdef14a.htm" TargetMode="External"/><Relationship Id="rId43" Type="http://schemas.openxmlformats.org/officeDocument/2006/relationships/hyperlink" Target="http://www.sec.gov/ix?doc=/Archives/edgar/data/1567683/000156768320000022/cwen-20200331.htm" TargetMode="External"/><Relationship Id="rId44" Type="http://schemas.openxmlformats.org/officeDocument/2006/relationships/hyperlink" Target="http://www.sec.gov/ix?doc=/Archives/edgar/data/1567683/000156768320000028/cwen-20200630.htm" TargetMode="External"/><Relationship Id="rId45" Type="http://schemas.openxmlformats.org/officeDocument/2006/relationships/hyperlink" Target="http://www.sec.gov/ix?doc=/Archives/edgar/data/1567683/000110465920056290/tm203404-2_8k.htm" TargetMode="External"/><Relationship Id="rId46" Type="http://schemas.openxmlformats.org/officeDocument/2006/relationships/hyperlink" Target="http://www.sec.gov/ix?doc=/Archives/edgar/data/1567683/000110465920064747/tm2020404-1_8k.htm" TargetMode="External"/><Relationship Id="rId47" Type="http://schemas.openxmlformats.org/officeDocument/2006/relationships/hyperlink" Target="http://www.sec.gov/ix?doc=/Archives/edgar/data/1567683/000110465920085304/tm2025125-1_8k.htm" TargetMode="External"/><Relationship Id="rId48" Type="http://schemas.openxmlformats.org/officeDocument/2006/relationships/hyperlink" Target="http://www.sec.gov/ix?doc=/Archives/edgar/data/1567683/000110465920085978/tm2025125d2_8k.htm" TargetMode="External"/><Relationship Id="rId49" Type="http://schemas.openxmlformats.org/officeDocument/2006/relationships/hyperlink" Target="http://www.sec.gov/Archives/edgar/data/1567683/000110465915036311/a15-11016_18a12ba.htm" TargetMode="External"/><Relationship Id="rId56" Type="http://schemas.openxmlformats.org/officeDocument/2006/relationships/hyperlink" Target="http://www.sec.gov/Archives/edgar/data/1567683/000110465920056290/tm203404d2_ex3-1.htm" TargetMode="External"/><Relationship Id="rId60" Type="http://schemas.openxmlformats.org/officeDocument/2006/relationships/hyperlink" Target="http://www.sec.gov/Archives/edgar/data/1567683/000110465918055334/a18-24111_1ex3d2.htm" TargetMode="External"/><Relationship Id="rId61" Type="http://schemas.openxmlformats.org/officeDocument/2006/relationships/hyperlink" Target="http://www.sec.gov/Archives/edgar/data/1567683/000110465915036311/a15-11016_1ex4d1.htm" TargetMode="External"/><Relationship Id="rId62" Type="http://schemas.openxmlformats.org/officeDocument/2006/relationships/hyperlink" Target="http://www.sec.gov/Archives/edgar/data/1567683/000110465915036311/a15-11016_1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2020-08-06T15:51:47Z</dcterms:created>
  <dcterms:modified xsi:type="dcterms:W3CDTF">2020-08-06T15:51:47Z</dcterms:modified>
</cp:coreProperties>
</file>