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20, 2019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Clearway Energy LLC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760" w:right="239" w:bottom="1440" w:gutter="0" w:footer="0" w:header="0"/>
        </w:sectPr>
      </w:pPr>
    </w:p>
    <w:p>
      <w:pPr>
        <w:spacing w:after="0" w:line="205"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333-203369</w:t>
      </w:r>
    </w:p>
    <w:p>
      <w:pPr>
        <w:spacing w:after="0" w:line="27" w:lineRule="exact"/>
        <w:rPr>
          <w:sz w:val="24"/>
          <w:szCs w:val="24"/>
          <w:color w:val="auto"/>
        </w:rPr>
      </w:pPr>
    </w:p>
    <w:p>
      <w:pPr>
        <w:jc w:val="center"/>
        <w:ind w:right="80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32-0407370</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120" w:space="720"/>
            <w:col w:w="2800" w:space="720"/>
            <w:col w:w="3060"/>
          </w:cols>
          <w:pgMar w:left="240" w:top="760" w:right="239" w:bottom="1440" w:gutter="0" w:footer="0" w:header="0"/>
          <w:type w:val="continuous"/>
        </w:sectPr>
      </w:pPr>
    </w:p>
    <w:p>
      <w:pPr>
        <w:ind w:left="144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300 Carnegie Center, Suite 300, Princeton, New Jersey 08540</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(Former name or former address, if changed since last report)</w:t>
      </w:r>
    </w:p>
    <w:p>
      <w:pPr>
        <w:sectPr>
          <w:pgSz w:w="11900" w:h="16838" w:orient="portrait"/>
          <w:cols w:equalWidth="0" w:num="1">
            <w:col w:w="11420"/>
          </w:cols>
          <w:pgMar w:left="240" w:top="760" w:right="239" w:bottom="1440" w:gutter="0" w:footer="0" w:header="0"/>
          <w:type w:val="continuous"/>
        </w:sectPr>
      </w:pPr>
    </w:p>
    <w:p>
      <w:pPr>
        <w:spacing w:after="0" w:line="22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3120" w:firstLine="8"/>
        <w:spacing w:after="0" w:line="498" w:lineRule="auto"/>
        <w:tabs>
          <w:tab w:leader="none" w:pos="2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Title of each class:</w:t>
            </w:r>
          </w:p>
        </w:tc>
        <w:tc>
          <w:tcPr>
            <w:tcW w:w="3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Symbol(s)</w:t>
            </w:r>
          </w:p>
        </w:tc>
        <w:tc>
          <w:tcPr>
            <w:tcW w:w="376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24"/>
        </w:trPr>
        <w:tc>
          <w:tcPr>
            <w:tcW w:w="4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None</w:t>
            </w:r>
          </w:p>
        </w:tc>
        <w:tc>
          <w:tcPr>
            <w:tcW w:w="120" w:type="dxa"/>
            <w:vAlign w:val="bottom"/>
          </w:tcPr>
          <w:p>
            <w:pPr>
              <w:spacing w:after="0"/>
              <w:rPr>
                <w:sz w:val="19"/>
                <w:szCs w:val="19"/>
                <w:color w:val="auto"/>
              </w:rPr>
            </w:pPr>
          </w:p>
        </w:tc>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None</w:t>
            </w:r>
          </w:p>
        </w:tc>
        <w:tc>
          <w:tcPr>
            <w:tcW w:w="100" w:type="dxa"/>
            <w:vAlign w:val="bottom"/>
          </w:tcPr>
          <w:p>
            <w:pPr>
              <w:spacing w:after="0"/>
              <w:rPr>
                <w:sz w:val="19"/>
                <w:szCs w:val="19"/>
                <w:color w:val="auto"/>
              </w:rPr>
            </w:pPr>
          </w:p>
        </w:tc>
        <w:tc>
          <w:tcPr>
            <w:tcW w:w="3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None</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7780"/>
        <w:spacing w:after="0" w:line="207" w:lineRule="exact"/>
        <w:tabs>
          <w:tab w:leader="none" w:pos="99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Fifth Amendment to Clearway Energy LLC and Clearway Energy Operating LLC Revolving Credit Facility</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December 20, 2019, each of Clearway Energy Operating LLC (“Clearway Operating LLC”), as borrower, and Clearway Energy LLC (“Clearway LLC”), as guarantor, entered into the Fifth Amendment to Amended and Restated Credit Agreement (the “Fifth Amendment”), with certain subsidiaries of Clearway Operating LLC party thereto, as guarantors, JPMorgan Chase Bank, N.A., as administrative agent (the “Administrative Agent”), and the lenders party thereto, which amended that certain Amended and Restated Credit Agreement, dated as of April 25, 2014 (as amended, the “Existing Credit Agreement”), among Clearway Operating LLC, Clearway LLC, certain subsidiaries of Clearway Operating LLC party thereto, the lenders party thereto and the Administrative Agent, providing for revolving commitments in an aggregate principal amount of $495 million. Clearway Operating LLC is a subsidiary of Clearway LLC.</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Fifth Amendment amends the Existing Credit Agreement to provide for an increase of 0.50x to the Borrower Leverage Ratio for the last two fiscal quarters of 2020 and to implement certain other technical modifications.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foregoing description of the Fifth Amendment does not purport to be complete and is qualified in its entirety by reference to the full text of the Fifth Amendment, a copy of which is filed as Exhibit 10.1 to this Current Report on Form 8-K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disclosures under Item 1.01 of this Current Report on Form 8-K relating to the Fifth Amendment are also responsive to Item 2.03 of this report and are incorporated by reference into this Item 2.03.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720" w:hanging="712"/>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1"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Document</w:t>
      </w:r>
    </w:p>
    <w:p>
      <w:pPr>
        <w:spacing w:after="0" w:line="27" w:lineRule="exact"/>
        <w:rPr>
          <w:sz w:val="20"/>
          <w:szCs w:val="20"/>
          <w:color w:val="auto"/>
        </w:rPr>
      </w:pPr>
    </w:p>
    <w:p>
      <w:pPr>
        <w:jc w:val="both"/>
        <w:ind w:left="1500" w:hanging="1014"/>
        <w:spacing w:after="0" w:line="263" w:lineRule="auto"/>
        <w:tabs>
          <w:tab w:leader="none" w:pos="1480" w:val="left"/>
        </w:tabs>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10.1</w:t>
        </w:r>
      </w:hyperlink>
      <w:r>
        <w:rPr>
          <w:rFonts w:ascii="Arial" w:cs="Arial" w:eastAsia="Arial" w:hAnsi="Arial"/>
          <w:sz w:val="18"/>
          <w:szCs w:val="18"/>
          <w:u w:val="single" w:color="auto"/>
          <w:color w:val="0000EE"/>
        </w:rPr>
        <w:tab/>
      </w:r>
      <w:hyperlink w:anchor="page4">
        <w:r>
          <w:rPr>
            <w:rFonts w:ascii="Arial" w:cs="Arial" w:eastAsia="Arial" w:hAnsi="Arial"/>
            <w:sz w:val="18"/>
            <w:szCs w:val="18"/>
            <w:u w:val="single" w:color="auto"/>
            <w:color w:val="0000EE"/>
          </w:rPr>
          <w:t>Fifth Amendment to Amended and Restated Credit Agreement, dated as of December 20, 2019, by and among Clearway Energy</w:t>
        </w:r>
      </w:hyperlink>
      <w:r>
        <w:rPr>
          <w:rFonts w:ascii="Arial" w:cs="Arial" w:eastAsia="Arial" w:hAnsi="Arial"/>
          <w:sz w:val="18"/>
          <w:szCs w:val="18"/>
          <w:u w:val="single" w:color="auto"/>
          <w:color w:val="0000EE"/>
        </w:rPr>
        <w:t xml:space="preserve"> </w:t>
      </w:r>
      <w:hyperlink w:anchor="page4">
        <w:r>
          <w:rPr>
            <w:rFonts w:ascii="Arial" w:cs="Arial" w:eastAsia="Arial" w:hAnsi="Arial"/>
            <w:sz w:val="18"/>
            <w:szCs w:val="18"/>
            <w:u w:val="single" w:color="auto"/>
            <w:color w:val="0000EE"/>
          </w:rPr>
          <w:t>Operating LLC, Clearway Energy LLC, the guarantors party thereto, JPMorgan Chase Bank, N.A., as administrative agent, and the</w:t>
        </w:r>
      </w:hyperlink>
      <w:r>
        <w:rPr>
          <w:rFonts w:ascii="Arial" w:cs="Arial" w:eastAsia="Arial" w:hAnsi="Arial"/>
          <w:sz w:val="18"/>
          <w:szCs w:val="18"/>
          <w:u w:val="single" w:color="auto"/>
          <w:color w:val="0000EE"/>
        </w:rPr>
        <w:t xml:space="preserve"> </w:t>
      </w:r>
      <w:hyperlink w:anchor="page4">
        <w:r>
          <w:rPr>
            <w:rFonts w:ascii="Arial" w:cs="Arial" w:eastAsia="Arial" w:hAnsi="Arial"/>
            <w:sz w:val="18"/>
            <w:szCs w:val="18"/>
            <w:u w:val="single" w:color="auto"/>
            <w:color w:val="0000EE"/>
          </w:rPr>
          <w:t>lenders party thereto.</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3" w:lineRule="exact"/>
        <w:rPr>
          <w:rFonts w:ascii="Arial" w:cs="Arial" w:eastAsia="Arial" w:hAnsi="Arial"/>
          <w:sz w:val="18"/>
          <w:szCs w:val="18"/>
          <w:u w:val="single" w:color="auto"/>
          <w:color w:val="0000EE"/>
        </w:rPr>
      </w:pPr>
    </w:p>
    <w:p>
      <w:pPr>
        <w:ind w:left="5660" w:right="4140" w:hanging="5159"/>
        <w:spacing w:after="0" w:line="778" w:lineRule="auto"/>
        <w:tabs>
          <w:tab w:leader="none" w:pos="148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2</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Clearway Energy LLC</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Kevin P. Malcarney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General Counsel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December 23, 2019</w:t>
      </w:r>
    </w:p>
    <w:p>
      <w:pPr>
        <w:spacing w:after="0" w:line="200" w:lineRule="exact"/>
        <w:rPr>
          <w:sz w:val="20"/>
          <w:szCs w:val="20"/>
          <w:color w:val="auto"/>
        </w:rPr>
      </w:pPr>
    </w:p>
    <w:p>
      <w:pPr>
        <w:spacing w:after="0" w:line="241"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40"/>
          </w:cols>
          <w:pgMar w:left="240" w:top="904" w:right="71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10.1</w:t>
      </w: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FIFTH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AMENDED AND RESTATED CREDIT AGREEMENT</w:t>
      </w:r>
    </w:p>
    <w:p>
      <w:pPr>
        <w:spacing w:after="0" w:line="20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This FIFTH AMENDMENT TO AMENDED AND RESTATED CREDIT AGREEMENT (this “</w:t>
      </w:r>
      <w:r>
        <w:rPr>
          <w:rFonts w:ascii="Arial" w:cs="Arial" w:eastAsia="Arial" w:hAnsi="Arial"/>
          <w:sz w:val="17"/>
          <w:szCs w:val="17"/>
          <w:b w:val="1"/>
          <w:bCs w:val="1"/>
          <w:color w:val="auto"/>
        </w:rPr>
        <w:t>Amendment</w:t>
      </w:r>
      <w:r>
        <w:rPr>
          <w:rFonts w:ascii="Arial" w:cs="Arial" w:eastAsia="Arial" w:hAnsi="Arial"/>
          <w:sz w:val="17"/>
          <w:szCs w:val="17"/>
          <w:color w:val="auto"/>
        </w:rPr>
        <w:t>”) is dated as of December 20, 2019 and is entered into by and among CLEARWAY ENERGY OPERATING LLC (formerly known as NRG Yield Operating LLC), a Delaware limited liability company (the “</w:t>
      </w:r>
      <w:r>
        <w:rPr>
          <w:rFonts w:ascii="Arial" w:cs="Arial" w:eastAsia="Arial" w:hAnsi="Arial"/>
          <w:sz w:val="17"/>
          <w:szCs w:val="17"/>
          <w:b w:val="1"/>
          <w:bCs w:val="1"/>
          <w:color w:val="auto"/>
        </w:rPr>
        <w:t>Borrower</w:t>
      </w:r>
      <w:r>
        <w:rPr>
          <w:rFonts w:ascii="Arial" w:cs="Arial" w:eastAsia="Arial" w:hAnsi="Arial"/>
          <w:sz w:val="17"/>
          <w:szCs w:val="17"/>
          <w:color w:val="auto"/>
        </w:rPr>
        <w:t>”), CLEARWAY ENERGY LLC (formerly known as NRG Yield LLC), a Delaware limited liability company (“</w:t>
      </w:r>
      <w:r>
        <w:rPr>
          <w:rFonts w:ascii="Arial" w:cs="Arial" w:eastAsia="Arial" w:hAnsi="Arial"/>
          <w:sz w:val="17"/>
          <w:szCs w:val="17"/>
          <w:b w:val="1"/>
          <w:bCs w:val="1"/>
          <w:color w:val="auto"/>
        </w:rPr>
        <w:t>Holdings</w:t>
      </w:r>
      <w:r>
        <w:rPr>
          <w:rFonts w:ascii="Arial" w:cs="Arial" w:eastAsia="Arial" w:hAnsi="Arial"/>
          <w:sz w:val="17"/>
          <w:szCs w:val="17"/>
          <w:color w:val="auto"/>
        </w:rPr>
        <w:t>”), each other Guarantor party hereto, JPMORGAN CHASE BANK, N.A. (“</w:t>
      </w:r>
      <w:r>
        <w:rPr>
          <w:rFonts w:ascii="Arial" w:cs="Arial" w:eastAsia="Arial" w:hAnsi="Arial"/>
          <w:sz w:val="17"/>
          <w:szCs w:val="17"/>
          <w:b w:val="1"/>
          <w:bCs w:val="1"/>
          <w:color w:val="auto"/>
        </w:rPr>
        <w:t>JPM</w:t>
      </w:r>
      <w:r>
        <w:rPr>
          <w:rFonts w:ascii="Arial" w:cs="Arial" w:eastAsia="Arial" w:hAnsi="Arial"/>
          <w:sz w:val="17"/>
          <w:szCs w:val="17"/>
          <w:color w:val="auto"/>
        </w:rPr>
        <w:t>”), in its capacity as the administrative agent under the Credit Agreement (the “</w:t>
      </w:r>
      <w:r>
        <w:rPr>
          <w:rFonts w:ascii="Arial" w:cs="Arial" w:eastAsia="Arial" w:hAnsi="Arial"/>
          <w:sz w:val="17"/>
          <w:szCs w:val="17"/>
          <w:b w:val="1"/>
          <w:bCs w:val="1"/>
          <w:color w:val="auto"/>
        </w:rPr>
        <w:t>Administrative Agent</w:t>
      </w:r>
      <w:r>
        <w:rPr>
          <w:rFonts w:ascii="Arial" w:cs="Arial" w:eastAsia="Arial" w:hAnsi="Arial"/>
          <w:sz w:val="17"/>
          <w:szCs w:val="17"/>
          <w:color w:val="auto"/>
        </w:rPr>
        <w:t>”), and THE LENDERS AND L/C ISSUERS party hereto, and is made with reference to that certain Amended and Restated Credit Agreement dated as of April 25, 2014 (as amended by that certain First Amendment to Amended &amp; Restated Credit Agreement, dated as of June 26, 2015, that certain Second Amendment to Amended &amp; Restated Credit Agreement, dated as of February 6, 2018, that certain Third Amendment to Amended and Restated Credit Agreement and Administrative Agent Resignation and Appointment Agreement, dated as of April 30, 2018, and that certain Fourth Amendment to Amended and Restated Credit Agreement, dated as of November 30, 2018, the “</w:t>
      </w:r>
      <w:r>
        <w:rPr>
          <w:rFonts w:ascii="Arial" w:cs="Arial" w:eastAsia="Arial" w:hAnsi="Arial"/>
          <w:sz w:val="17"/>
          <w:szCs w:val="17"/>
          <w:b w:val="1"/>
          <w:bCs w:val="1"/>
          <w:color w:val="auto"/>
        </w:rPr>
        <w:t>Credit Agreement</w:t>
      </w:r>
      <w:r>
        <w:rPr>
          <w:rFonts w:ascii="Arial" w:cs="Arial" w:eastAsia="Arial" w:hAnsi="Arial"/>
          <w:sz w:val="17"/>
          <w:szCs w:val="17"/>
          <w:color w:val="auto"/>
        </w:rPr>
        <w:t>,” and as amended by this Amendment and as may be further amended, amended and restated, supplemented or otherwise modified from time to time, the “</w:t>
      </w:r>
      <w:r>
        <w:rPr>
          <w:rFonts w:ascii="Arial" w:cs="Arial" w:eastAsia="Arial" w:hAnsi="Arial"/>
          <w:sz w:val="17"/>
          <w:szCs w:val="17"/>
          <w:b w:val="1"/>
          <w:bCs w:val="1"/>
          <w:color w:val="auto"/>
        </w:rPr>
        <w:t>Amended Credit Agreement</w:t>
      </w:r>
      <w:r>
        <w:rPr>
          <w:rFonts w:ascii="Arial" w:cs="Arial" w:eastAsia="Arial" w:hAnsi="Arial"/>
          <w:sz w:val="17"/>
          <w:szCs w:val="17"/>
          <w:color w:val="auto"/>
        </w:rPr>
        <w:t xml:space="preserve">”), by and among the Borrower, Holdings, the other Guarantors party thereto, the Lenders and L/C Issuers party thereto and the Administrative Agent. Capitalized terms used herein without definition shall have the same meanings herein as set forth in the Amended Credit Agreement, and the rules of interpretation set forth in Section 1.02 of the Amended Credit Agreement shall apply hereto, </w:t>
      </w:r>
      <w:r>
        <w:rPr>
          <w:rFonts w:ascii="Arial" w:cs="Arial" w:eastAsia="Arial" w:hAnsi="Arial"/>
          <w:sz w:val="17"/>
          <w:szCs w:val="17"/>
          <w:i w:val="1"/>
          <w:iCs w:val="1"/>
          <w:color w:val="auto"/>
        </w:rPr>
        <w:t>mutatis mutandis</w:t>
      </w:r>
      <w:r>
        <w:rPr>
          <w:rFonts w:ascii="Arial" w:cs="Arial" w:eastAsia="Arial" w:hAnsi="Arial"/>
          <w:sz w:val="17"/>
          <w:szCs w:val="17"/>
          <w:color w:val="auto"/>
        </w:rPr>
        <w: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Loan Parties have requested that the Lenders and L/C Issuers agree to amend certain provisions of the Credit Agreement as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for herein; and</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subject to the satisfaction of the conditions specified herein, the undersigned Lenders and L/C Issuers are willing to agree to such</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amendments to the Credit Agreement in accordance with Section 11.01 of the Credit Agreement.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premises and the agreements, provisions and covenants herein contained, the parties hereto agree as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I.</w:t>
        <w:tab/>
        <w:t>AMENDMENTS TO CREDIT AGREEMENT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Effective on and as of the date on which each of the conditions set forth in </w:t>
      </w:r>
      <w:r>
        <w:rPr>
          <w:rFonts w:ascii="Arial" w:cs="Arial" w:eastAsia="Arial" w:hAnsi="Arial"/>
          <w:sz w:val="18"/>
          <w:szCs w:val="18"/>
          <w:u w:val="single" w:color="auto"/>
          <w:color w:val="auto"/>
        </w:rPr>
        <w:t>Section II</w:t>
      </w:r>
      <w:r>
        <w:rPr>
          <w:rFonts w:ascii="Arial" w:cs="Arial" w:eastAsia="Arial" w:hAnsi="Arial"/>
          <w:sz w:val="18"/>
          <w:szCs w:val="18"/>
          <w:color w:val="auto"/>
        </w:rPr>
        <w:t xml:space="preserve"> has been satisfied (or waived by the party or parties entitled to the benefit thereof):</w:t>
      </w:r>
    </w:p>
    <w:p>
      <w:pPr>
        <w:spacing w:after="0" w:line="170" w:lineRule="exact"/>
        <w:rPr>
          <w:sz w:val="20"/>
          <w:szCs w:val="20"/>
          <w:color w:val="auto"/>
        </w:rPr>
      </w:pPr>
    </w:p>
    <w:p>
      <w:pPr>
        <w:jc w:val="both"/>
        <w:ind w:firstLine="656"/>
        <w:spacing w:after="0" w:line="255" w:lineRule="auto"/>
        <w:tabs>
          <w:tab w:leader="none" w:pos="1485"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references to (i) NRG Yield Operating LLC, a Delaware limited liability company, in its capacity as the Borrower under the Credit Agreement and the other Loan Documents, (ii) NRG Yield LLC, a Delaware limited liability company, in its capacity as Holdings under the Credit Agreement and the other Loan Documents and (iii) NRG Yield, Inc., a Delaware corporation, in its capacity as the Parent under the Credit Agreement and the other Loan Documents, in each case and as applicable, are hereby replaced with Clearway Energy Operating LLC, a Delaware limited liability company, Clearway Energy LLC, a Delaware limited liability company, and Clearway Energy, Inc., a Delaware corporation, in their capacities as the Borrower, Holdings and the Parent,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ind w:left="704" w:hanging="704"/>
        <w:spacing w:after="0"/>
        <w:tabs>
          <w:tab w:leader="none" w:pos="704"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definition of “Acquisition Period” in Section 1.01 of the Credit Agreement is hereby amended and restated in its entirety as follows:</w:t>
      </w:r>
    </w:p>
    <w:p>
      <w:pPr>
        <w:spacing w:after="0" w:line="248" w:lineRule="exact"/>
        <w:rPr>
          <w:sz w:val="20"/>
          <w:szCs w:val="20"/>
          <w:color w:val="auto"/>
        </w:rPr>
      </w:pPr>
    </w:p>
    <w:p>
      <w:pPr>
        <w:jc w:val="both"/>
        <w:ind w:left="4"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Period</w:t>
      </w:r>
      <w:r>
        <w:rPr>
          <w:rFonts w:ascii="Arial" w:cs="Arial" w:eastAsia="Arial" w:hAnsi="Arial"/>
          <w:sz w:val="18"/>
          <w:szCs w:val="18"/>
          <w:color w:val="auto"/>
        </w:rPr>
        <w:t xml:space="preserve">” means, upon the Borrower’s election pursuant to </w:t>
      </w:r>
      <w:r>
        <w:rPr>
          <w:rFonts w:ascii="Arial" w:cs="Arial" w:eastAsia="Arial" w:hAnsi="Arial"/>
          <w:sz w:val="18"/>
          <w:szCs w:val="18"/>
          <w:u w:val="single" w:color="auto"/>
          <w:color w:val="auto"/>
        </w:rPr>
        <w:t>Section 6.02(f)</w:t>
      </w:r>
      <w:r>
        <w:rPr>
          <w:rFonts w:ascii="Arial" w:cs="Arial" w:eastAsia="Arial" w:hAnsi="Arial"/>
          <w:sz w:val="18"/>
          <w:szCs w:val="18"/>
          <w:color w:val="auto"/>
        </w:rPr>
        <w:t>, the period beginning with the closing date for a Qualified Acquisition (a “</w:t>
      </w:r>
      <w:r>
        <w:rPr>
          <w:rFonts w:ascii="Arial" w:cs="Arial" w:eastAsia="Arial" w:hAnsi="Arial"/>
          <w:sz w:val="18"/>
          <w:szCs w:val="18"/>
          <w:u w:val="single" w:color="auto"/>
          <w:color w:val="auto"/>
        </w:rPr>
        <w:t>Qualified Acquisition Closing Date</w:t>
      </w:r>
      <w:r>
        <w:rPr>
          <w:rFonts w:ascii="Arial" w:cs="Arial" w:eastAsia="Arial" w:hAnsi="Arial"/>
          <w:sz w:val="18"/>
          <w:szCs w:val="18"/>
          <w:color w:val="auto"/>
        </w:rPr>
        <w:t xml:space="preserve">”) and ending on the earlier of (x) the last day of the first full fiscal quarter following such Qualified Acquisition Closing Date in which the Borrower Leverage Ratio is equal to or less than 5.50:1.00 or, during the period from July 1, 2020 through and including December 31, 2020, 6.00:1.00, (y) the last day of the third full fiscal quarter following such Qualified Acquisition Closing Date and (z) the date on which the Borrower notifies the Administrative Agent that it desires to end the Acquisition Period for such Qualified Acquisition; </w:t>
      </w:r>
      <w:r>
        <w:rPr>
          <w:rFonts w:ascii="Arial" w:cs="Arial" w:eastAsia="Arial" w:hAnsi="Arial"/>
          <w:sz w:val="18"/>
          <w:szCs w:val="18"/>
          <w:u w:val="single" w:color="auto"/>
          <w:color w:val="auto"/>
        </w:rPr>
        <w:t>provided</w:t>
      </w:r>
      <w:r>
        <w:rPr>
          <w:rFonts w:ascii="Arial" w:cs="Arial" w:eastAsia="Arial" w:hAnsi="Arial"/>
          <w:sz w:val="18"/>
          <w:szCs w:val="18"/>
          <w:b w:val="1"/>
          <w:bCs w:val="1"/>
          <w:color w:val="auto"/>
        </w:rPr>
        <w:t>,</w:t>
      </w:r>
      <w:r>
        <w:rPr>
          <w:rFonts w:ascii="Arial" w:cs="Arial" w:eastAsia="Arial" w:hAnsi="Arial"/>
          <w:sz w:val="18"/>
          <w:szCs w:val="18"/>
          <w:color w:val="auto"/>
        </w:rPr>
        <w:t xml:space="preserve"> that (i) no Acquisition Period may become effective if the Borrower fails to timely elect such Acquisition Period pursuant to the terms of </w:t>
      </w:r>
      <w:r>
        <w:rPr>
          <w:rFonts w:ascii="Arial" w:cs="Arial" w:eastAsia="Arial" w:hAnsi="Arial"/>
          <w:sz w:val="18"/>
          <w:szCs w:val="18"/>
          <w:u w:val="single" w:color="auto"/>
          <w:color w:val="auto"/>
        </w:rPr>
        <w:t>Section 6.02(f)</w:t>
      </w:r>
      <w:r>
        <w:rPr>
          <w:rFonts w:ascii="Arial" w:cs="Arial" w:eastAsia="Arial" w:hAnsi="Arial"/>
          <w:sz w:val="18"/>
          <w:szCs w:val="18"/>
          <w:color w:val="auto"/>
        </w:rPr>
        <w:t>, (ii) no more than one Acquisition Period may be elected with respect to any particular Qualified Acquisition, (iii) once any Acquisition Period is in effect, the next Acquisition Period may not commence until the termination of such Acquisition Period then in effect and (iv) in no event shall Acquisition Periods for one or more Qualified Acquisitions extend beyond six (6) consecutive fiscal quarters.”</w:t>
      </w:r>
    </w:p>
    <w:p>
      <w:pPr>
        <w:spacing w:after="0" w:line="195" w:lineRule="exact"/>
        <w:rPr>
          <w:sz w:val="20"/>
          <w:szCs w:val="20"/>
          <w:color w:val="auto"/>
        </w:rPr>
      </w:pPr>
    </w:p>
    <w:p>
      <w:pPr>
        <w:ind w:left="704" w:hanging="704"/>
        <w:spacing w:after="0"/>
        <w:tabs>
          <w:tab w:leader="none" w:pos="704"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Section 1.01 of the Credit Agreement is hereby amended by adding the following definitions in alphabetical order:</w:t>
      </w:r>
    </w:p>
    <w:p>
      <w:pPr>
        <w:spacing w:after="0" w:line="225" w:lineRule="exact"/>
        <w:rPr>
          <w:sz w:val="20"/>
          <w:szCs w:val="20"/>
          <w:color w:val="auto"/>
        </w:rPr>
      </w:pPr>
    </w:p>
    <w:p>
      <w:pPr>
        <w:ind w:left="644"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Certification</w:t>
      </w:r>
      <w:r>
        <w:rPr>
          <w:rFonts w:ascii="Arial" w:cs="Arial" w:eastAsia="Arial" w:hAnsi="Arial"/>
          <w:sz w:val="18"/>
          <w:szCs w:val="18"/>
          <w:color w:val="auto"/>
        </w:rPr>
        <w:t>” shall mean a certification regarding beneficial ownership as required by the Beneficial Ownership Regulation.</w:t>
      </w:r>
    </w:p>
    <w:p>
      <w:pPr>
        <w:spacing w:after="0" w:line="170"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shall mean 31 C.F.R. § 1010.230.</w:t>
      </w:r>
    </w:p>
    <w:p>
      <w:pPr>
        <w:spacing w:after="0" w:line="225" w:lineRule="exact"/>
        <w:rPr>
          <w:sz w:val="20"/>
          <w:szCs w:val="20"/>
          <w:color w:val="auto"/>
        </w:rPr>
      </w:pPr>
    </w:p>
    <w:p>
      <w:pPr>
        <w:ind w:left="724" w:hanging="724"/>
        <w:spacing w:after="0"/>
        <w:tabs>
          <w:tab w:leader="none" w:pos="724"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Section 1.02 of the Credit Agreement is hereby amended by adding the following subsection (d):</w:t>
      </w:r>
    </w:p>
    <w:p>
      <w:pPr>
        <w:spacing w:after="0" w:line="225" w:lineRule="exact"/>
        <w:rPr>
          <w:sz w:val="20"/>
          <w:szCs w:val="20"/>
          <w:color w:val="auto"/>
        </w:rPr>
      </w:pPr>
    </w:p>
    <w:p>
      <w:pPr>
        <w:jc w:val="both"/>
        <w:ind w:left="4"/>
        <w:spacing w:after="0" w:line="257" w:lineRule="auto"/>
        <w:rPr>
          <w:sz w:val="20"/>
          <w:szCs w:val="20"/>
          <w:color w:val="auto"/>
        </w:rPr>
      </w:pPr>
      <w:r>
        <w:rPr>
          <w:rFonts w:ascii="Arial" w:cs="Arial" w:eastAsia="Arial" w:hAnsi="Arial"/>
          <w:sz w:val="18"/>
          <w:szCs w:val="18"/>
          <w:color w:val="auto"/>
        </w:rPr>
        <w:t>“(d) Any reference herein to a merger, transfer, consolidation, amalgamation, assignment, sale, disposition or transfer, or similar term, shall be deemed to apply to a division of or by a Person, or an allocation of assets to a series of a Person (or the unwinding of such a division or allocation), as if it were a merger, transfer, consolidation, amalgamation, assignment, sale, disposition or transfer, or similar term, as applicable, to, of or with a separate Person. Any division of a Person shall constitute a separate Person hereunder (and each division of any Person that is a Subsidiary, joint venture or any other like term shall also constitute such a Person or entity).”</w:t>
      </w:r>
    </w:p>
    <w:p>
      <w:pPr>
        <w:spacing w:after="0" w:line="200" w:lineRule="exact"/>
        <w:rPr>
          <w:sz w:val="20"/>
          <w:szCs w:val="20"/>
          <w:color w:val="auto"/>
        </w:rPr>
      </w:pPr>
    </w:p>
    <w:p>
      <w:pPr>
        <w:spacing w:after="0" w:line="204"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5" w:name="page6"/>
    <w:bookmarkEnd w:id="5"/>
    <w:p>
      <w:pPr>
        <w:ind w:left="744" w:hanging="744"/>
        <w:spacing w:after="0"/>
        <w:tabs>
          <w:tab w:leader="none" w:pos="744"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Section 7.11(a) of the Credit Agreement is hereby amended and restated in its entirety as follows:</w:t>
      </w:r>
    </w:p>
    <w:p>
      <w:pPr>
        <w:spacing w:after="0" w:line="225" w:lineRule="exact"/>
        <w:rPr>
          <w:sz w:val="20"/>
          <w:szCs w:val="20"/>
          <w:color w:val="auto"/>
        </w:rPr>
      </w:pPr>
    </w:p>
    <w:p>
      <w:pPr>
        <w:jc w:val="both"/>
        <w:ind w:left="4"/>
        <w:spacing w:after="0" w:line="276"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u w:val="single" w:color="auto"/>
          <w:color w:val="auto"/>
        </w:rPr>
        <w:t>Borrower Leverage Ratio</w:t>
      </w:r>
      <w:r>
        <w:rPr>
          <w:rFonts w:ascii="Arial" w:cs="Arial" w:eastAsia="Arial" w:hAnsi="Arial"/>
          <w:sz w:val="17"/>
          <w:szCs w:val="17"/>
          <w:color w:val="auto"/>
        </w:rPr>
        <w:t>. Commencing with the fiscal quarter ending June 30, 2014 and as of the last day of each fiscal quarter thereafter, permit the Borrower Leverage Ratio for the most recently completed Measurement Period to be greater than (i) on any date of determination other than during an Acquisition Period, 5.50:1.00 or, with respect to any such date of determination during the period from July 1, 2020 through and including December 31, 2020, 6.00:1.00 and (ii) on any date of determination during an Acquisition Period, 6.00:1.00 or, with respect to any such date of determination during the period from July 1, 2020 through and including December 31, 2020, 6.50:1.00; and”</w:t>
      </w:r>
    </w:p>
    <w:p>
      <w:pPr>
        <w:spacing w:after="0" w:line="173" w:lineRule="exact"/>
        <w:rPr>
          <w:sz w:val="20"/>
          <w:szCs w:val="20"/>
          <w:color w:val="auto"/>
        </w:rPr>
      </w:pPr>
    </w:p>
    <w:p>
      <w:pPr>
        <w:ind w:left="704" w:hanging="704"/>
        <w:spacing w:after="0"/>
        <w:tabs>
          <w:tab w:leader="none" w:pos="704"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Credit Agreement is hereby amended by adding the following new Section 11.22 after Section 11.21 of the Credit Agreement.</w:t>
      </w:r>
    </w:p>
    <w:p>
      <w:pPr>
        <w:spacing w:after="0" w:line="237" w:lineRule="exact"/>
        <w:rPr>
          <w:sz w:val="20"/>
          <w:szCs w:val="20"/>
          <w:color w:val="auto"/>
        </w:rPr>
      </w:pPr>
    </w:p>
    <w:p>
      <w:pPr>
        <w:jc w:val="both"/>
        <w:ind w:left="4" w:right="660" w:firstLine="648"/>
        <w:spacing w:after="0" w:line="254" w:lineRule="auto"/>
        <w:rPr>
          <w:sz w:val="20"/>
          <w:szCs w:val="20"/>
          <w:color w:val="auto"/>
        </w:rPr>
      </w:pPr>
      <w:r>
        <w:rPr>
          <w:rFonts w:ascii="Arial" w:cs="Arial" w:eastAsia="Arial" w:hAnsi="Arial"/>
          <w:sz w:val="18"/>
          <w:szCs w:val="18"/>
          <w:color w:val="auto"/>
        </w:rPr>
        <w:t xml:space="preserve">“Section 11.22. </w:t>
      </w:r>
      <w:r>
        <w:rPr>
          <w:rFonts w:ascii="Arial" w:cs="Arial" w:eastAsia="Arial" w:hAnsi="Arial"/>
          <w:sz w:val="18"/>
          <w:szCs w:val="18"/>
          <w:u w:val="single" w:color="auto"/>
          <w:color w:val="auto"/>
        </w:rPr>
        <w:t>Acknowledgement Regarding Any Supported QFCs</w:t>
      </w:r>
      <w:r>
        <w:rPr>
          <w:rFonts w:ascii="Arial" w:cs="Arial" w:eastAsia="Arial" w:hAnsi="Arial"/>
          <w:sz w:val="18"/>
          <w:szCs w:val="18"/>
          <w:color w:val="auto"/>
        </w:rPr>
        <w:t>. To the extent that the Loan Documents provide support, through a guarantee or otherwise, for a Swap Contract or any other agreement or instrument that is a QFC (such support, “</w:t>
      </w:r>
      <w:r>
        <w:rPr>
          <w:rFonts w:ascii="Arial" w:cs="Arial" w:eastAsia="Arial" w:hAnsi="Arial"/>
          <w:sz w:val="18"/>
          <w:szCs w:val="18"/>
          <w:u w:val="single" w:color="auto"/>
          <w:color w:val="auto"/>
        </w:rPr>
        <w:t>QFC 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Support</w:t>
      </w:r>
      <w:r>
        <w:rPr>
          <w:rFonts w:ascii="Arial" w:cs="Arial" w:eastAsia="Arial" w:hAnsi="Arial"/>
          <w:sz w:val="18"/>
          <w:szCs w:val="18"/>
          <w:color w:val="auto"/>
        </w:rPr>
        <w:t>” and each such QFC a “</w:t>
      </w:r>
      <w:r>
        <w:rPr>
          <w:rFonts w:ascii="Arial" w:cs="Arial" w:eastAsia="Arial" w:hAnsi="Arial"/>
          <w:sz w:val="18"/>
          <w:szCs w:val="18"/>
          <w:u w:val="single" w:color="auto"/>
          <w:color w:val="auto"/>
        </w:rPr>
        <w:t>Supported QFC</w:t>
      </w:r>
      <w:r>
        <w:rPr>
          <w:rFonts w:ascii="Arial" w:cs="Arial" w:eastAsia="Arial" w:hAnsi="Arial"/>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8"/>
          <w:szCs w:val="18"/>
          <w:u w:val="single" w:color="auto"/>
          <w:color w:val="auto"/>
        </w:rPr>
        <w:t>U.S. Special Resolution Regimes</w:t>
      </w:r>
      <w:r>
        <w:rPr>
          <w:rFonts w:ascii="Arial" w:cs="Arial" w:eastAsia="Arial" w:hAnsi="Arial"/>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92" w:lineRule="exact"/>
        <w:rPr>
          <w:sz w:val="20"/>
          <w:szCs w:val="20"/>
          <w:color w:val="auto"/>
        </w:rPr>
      </w:pPr>
    </w:p>
    <w:p>
      <w:pPr>
        <w:jc w:val="both"/>
        <w:ind w:left="644" w:right="640" w:firstLine="653"/>
        <w:spacing w:after="0" w:line="286" w:lineRule="auto"/>
        <w:tabs>
          <w:tab w:leader="none" w:pos="205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the event a Covered Entity that is party to a Supported QFC (each, a “</w:t>
      </w:r>
      <w:r>
        <w:rPr>
          <w:rFonts w:ascii="Arial" w:cs="Arial" w:eastAsia="Arial" w:hAnsi="Arial"/>
          <w:sz w:val="16"/>
          <w:szCs w:val="16"/>
          <w:u w:val="single" w:color="auto"/>
          <w:color w:val="auto"/>
        </w:rPr>
        <w:t>Covered Party</w:t>
      </w:r>
      <w:r>
        <w:rPr>
          <w:rFonts w:ascii="Arial" w:cs="Arial" w:eastAsia="Arial" w:hAnsi="Arial"/>
          <w:sz w:val="16"/>
          <w:szCs w:val="16"/>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391"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6" w:name="page7"/>
    <w:bookmarkEnd w:id="6"/>
    <w:p>
      <w:pPr>
        <w:ind w:left="2640" w:hanging="687"/>
        <w:spacing w:after="0"/>
        <w:tabs>
          <w:tab w:leader="none" w:pos="2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As used in this </w:t>
      </w:r>
      <w:r>
        <w:rPr>
          <w:rFonts w:ascii="Arial" w:cs="Arial" w:eastAsia="Arial" w:hAnsi="Arial"/>
          <w:sz w:val="18"/>
          <w:szCs w:val="18"/>
          <w:u w:val="single" w:color="auto"/>
          <w:color w:val="auto"/>
        </w:rPr>
        <w:t>Section 11.22</w:t>
      </w:r>
      <w:r>
        <w:rPr>
          <w:rFonts w:ascii="Arial" w:cs="Arial" w:eastAsia="Arial" w:hAnsi="Arial"/>
          <w:sz w:val="18"/>
          <w:szCs w:val="18"/>
          <w:color w:val="auto"/>
        </w:rPr>
        <w:t>, the following terms have the following meanings:</w:t>
      </w:r>
    </w:p>
    <w:p>
      <w:pPr>
        <w:spacing w:after="0" w:line="225" w:lineRule="exact"/>
        <w:rPr>
          <w:sz w:val="20"/>
          <w:szCs w:val="20"/>
          <w:color w:val="auto"/>
        </w:rPr>
      </w:pPr>
    </w:p>
    <w:p>
      <w:pPr>
        <w:ind w:left="1960" w:righ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BHC Act Affiliate</w:t>
      </w:r>
      <w:r>
        <w:rPr>
          <w:rFonts w:ascii="Arial" w:cs="Arial" w:eastAsia="Arial" w:hAnsi="Arial"/>
          <w:sz w:val="18"/>
          <w:szCs w:val="18"/>
          <w:color w:val="auto"/>
        </w:rPr>
        <w:t>” of a party means an "affiliate" (as such term is defined under, and interpreted in accordance with, 12 U.S.C. 1841(k)) of such party.</w:t>
      </w:r>
    </w:p>
    <w:p>
      <w:pPr>
        <w:spacing w:after="0" w:line="170"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any of the following:</w:t>
      </w:r>
    </w:p>
    <w:p>
      <w:pPr>
        <w:spacing w:after="0" w:line="225" w:lineRule="exact"/>
        <w:rPr>
          <w:sz w:val="20"/>
          <w:szCs w:val="20"/>
          <w:color w:val="auto"/>
        </w:rPr>
      </w:pPr>
    </w:p>
    <w:p>
      <w:pPr>
        <w:ind w:left="3080" w:hanging="479"/>
        <w:spacing w:after="0"/>
        <w:tabs>
          <w:tab w:leader="none" w:pos="3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225" w:lineRule="exact"/>
        <w:rPr>
          <w:rFonts w:ascii="Arial" w:cs="Arial" w:eastAsia="Arial" w:hAnsi="Arial"/>
          <w:sz w:val="18"/>
          <w:szCs w:val="18"/>
          <w:color w:val="auto"/>
        </w:rPr>
      </w:pPr>
    </w:p>
    <w:p>
      <w:pPr>
        <w:ind w:left="3100" w:hanging="499"/>
        <w:spacing w:after="0"/>
        <w:tabs>
          <w:tab w:leader="none" w:pos="3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225" w:lineRule="exact"/>
        <w:rPr>
          <w:rFonts w:ascii="Arial" w:cs="Arial" w:eastAsia="Arial" w:hAnsi="Arial"/>
          <w:sz w:val="18"/>
          <w:szCs w:val="18"/>
          <w:color w:val="auto"/>
        </w:rPr>
      </w:pPr>
    </w:p>
    <w:p>
      <w:pPr>
        <w:ind w:left="3100" w:hanging="499"/>
        <w:spacing w:after="0"/>
        <w:tabs>
          <w:tab w:leader="none" w:pos="3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 Right</w:t>
      </w:r>
      <w:r>
        <w:rPr>
          <w:rFonts w:ascii="Arial" w:cs="Arial" w:eastAsia="Arial" w:hAnsi="Arial"/>
          <w:sz w:val="17"/>
          <w:szCs w:val="17"/>
          <w:color w:val="auto"/>
        </w:rPr>
        <w:t>” has the meaning assigned to that term in, and shall be interpreted in accordance with, 12 C.F.R.</w:t>
      </w:r>
    </w:p>
    <w:p>
      <w:pPr>
        <w:spacing w:after="0" w:line="3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 252.81, 47.2 or 382.1, as applicable.</w:t>
      </w:r>
    </w:p>
    <w:p>
      <w:pPr>
        <w:spacing w:after="0" w:line="211" w:lineRule="exact"/>
        <w:rPr>
          <w:sz w:val="20"/>
          <w:szCs w:val="20"/>
          <w:color w:val="auto"/>
        </w:rPr>
      </w:pPr>
    </w:p>
    <w:p>
      <w:pPr>
        <w:ind w:left="1960" w:righ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QFC</w:t>
      </w:r>
      <w:r>
        <w:rPr>
          <w:rFonts w:ascii="Arial" w:cs="Arial" w:eastAsia="Arial" w:hAnsi="Arial"/>
          <w:sz w:val="18"/>
          <w:szCs w:val="18"/>
          <w:color w:val="auto"/>
        </w:rPr>
        <w:t>” has the meaning assigned to the term "qualified financial contract" in, and shall be interpreted in accordance with, 12 U.S.C. 5390(c)(8)(D).”</w:t>
      </w:r>
    </w:p>
    <w:p>
      <w:pPr>
        <w:spacing w:after="0" w:line="166"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SECTION II.</w:t>
        <w:tab/>
        <w:t>CONDITIONS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This Amendment shall become effective as of the first date on which each of the following conditions in this </w:t>
      </w:r>
      <w:r>
        <w:rPr>
          <w:rFonts w:ascii="Arial" w:cs="Arial" w:eastAsia="Arial" w:hAnsi="Arial"/>
          <w:sz w:val="18"/>
          <w:szCs w:val="18"/>
          <w:u w:val="single" w:color="auto"/>
          <w:color w:val="auto"/>
        </w:rPr>
        <w:t>Section II</w:t>
      </w:r>
      <w:r>
        <w:rPr>
          <w:rFonts w:ascii="Arial" w:cs="Arial" w:eastAsia="Arial" w:hAnsi="Arial"/>
          <w:sz w:val="18"/>
          <w:szCs w:val="18"/>
          <w:color w:val="auto"/>
        </w:rPr>
        <w:t xml:space="preserve"> have been satisfied (the date of satisfaction of such conditions being referred to herein as the </w:t>
      </w:r>
      <w:r>
        <w:rPr>
          <w:rFonts w:ascii="Arial" w:cs="Arial" w:eastAsia="Arial" w:hAnsi="Arial"/>
          <w:sz w:val="18"/>
          <w:szCs w:val="18"/>
          <w:b w:val="1"/>
          <w:bCs w:val="1"/>
          <w:color w:val="auto"/>
        </w:rPr>
        <w:t>“Fifth Amendment Effective Date”</w:t>
      </w:r>
      <w:r>
        <w:rPr>
          <w:rFonts w:ascii="Arial" w:cs="Arial" w:eastAsia="Arial" w:hAnsi="Arial"/>
          <w:sz w:val="18"/>
          <w:szCs w:val="18"/>
          <w:color w:val="auto"/>
        </w:rPr>
        <w:t>):</w:t>
      </w:r>
    </w:p>
    <w:p>
      <w:pPr>
        <w:spacing w:after="0" w:line="166" w:lineRule="exact"/>
        <w:rPr>
          <w:sz w:val="20"/>
          <w:szCs w:val="20"/>
          <w:color w:val="auto"/>
        </w:rPr>
      </w:pPr>
    </w:p>
    <w:p>
      <w:pPr>
        <w:jc w:val="both"/>
        <w:ind w:firstLine="656"/>
        <w:spacing w:after="0" w:line="261" w:lineRule="auto"/>
        <w:tabs>
          <w:tab w:leader="none" w:pos="1687"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Deliverables to Administrative Agent</w:t>
      </w:r>
      <w:r>
        <w:rPr>
          <w:rFonts w:ascii="Arial" w:cs="Arial" w:eastAsia="Arial" w:hAnsi="Arial"/>
          <w:sz w:val="18"/>
          <w:szCs w:val="18"/>
          <w:color w:val="auto"/>
        </w:rPr>
        <w:t>. The Administrative Agent’s receipt of the following, each of which shall be originals or</w:t>
      </w:r>
      <w:r>
        <w:rPr>
          <w:rFonts w:ascii="Arial" w:cs="Arial" w:eastAsia="Arial" w:hAnsi="Arial"/>
          <w:sz w:val="18"/>
          <w:szCs w:val="18"/>
          <w:b w:val="1"/>
          <w:bCs w:val="1"/>
          <w:color w:val="auto"/>
        </w:rPr>
        <w:t xml:space="preserve"> </w:t>
      </w:r>
      <w:r>
        <w:rPr>
          <w:rFonts w:ascii="Arial" w:cs="Arial" w:eastAsia="Arial" w:hAnsi="Arial"/>
          <w:sz w:val="18"/>
          <w:szCs w:val="18"/>
          <w:color w:val="auto"/>
        </w:rPr>
        <w:t>electronically transmitted copies of originals (followed as soon as reasonably practicable by originals) unless otherwise specified, each properly executed by a Responsible Officer of the signing Loan Party, each dated the Fifth Amendment Effective Date and each in form and substance reasonably satisfactory to the Administrative Agent and each of the Lenders:</w:t>
      </w:r>
    </w:p>
    <w:p>
      <w:pPr>
        <w:spacing w:after="0" w:line="184" w:lineRule="exact"/>
        <w:rPr>
          <w:rFonts w:ascii="Arial" w:cs="Arial" w:eastAsia="Arial" w:hAnsi="Arial"/>
          <w:sz w:val="18"/>
          <w:szCs w:val="18"/>
          <w:color w:val="auto"/>
        </w:rPr>
      </w:pPr>
    </w:p>
    <w:p>
      <w:pPr>
        <w:jc w:val="both"/>
        <w:ind w:left="660" w:firstLine="645"/>
        <w:spacing w:after="0" w:line="264" w:lineRule="auto"/>
        <w:tabs>
          <w:tab w:leader="none" w:pos="2047" w:val="left"/>
        </w:tabs>
        <w:numPr>
          <w:ilvl w:val="1"/>
          <w:numId w:val="13"/>
        </w:numPr>
        <w:rPr>
          <w:rFonts w:ascii="Arial" w:cs="Arial" w:eastAsia="Arial" w:hAnsi="Arial"/>
          <w:sz w:val="18"/>
          <w:szCs w:val="18"/>
          <w:color w:val="auto"/>
        </w:rPr>
      </w:pPr>
      <w:r>
        <w:rPr>
          <w:rFonts w:ascii="Arial" w:cs="Arial" w:eastAsia="Arial" w:hAnsi="Arial"/>
          <w:sz w:val="18"/>
          <w:szCs w:val="18"/>
          <w:color w:val="auto"/>
        </w:rPr>
        <w:t>(a) a counterpart signature page of this Amendment duly executed by each of the Loan Parties, (b) a counterpart signature page of this Amendment duly executed by the Administrative Agent and (c) a counterpart signature page of this Amendment duly executed by the Required Lenders;</w:t>
      </w:r>
    </w:p>
    <w:p>
      <w:pPr>
        <w:spacing w:after="0" w:line="181" w:lineRule="exact"/>
        <w:rPr>
          <w:rFonts w:ascii="Arial" w:cs="Arial" w:eastAsia="Arial" w:hAnsi="Arial"/>
          <w:sz w:val="18"/>
          <w:szCs w:val="18"/>
          <w:color w:val="auto"/>
        </w:rPr>
      </w:pPr>
    </w:p>
    <w:p>
      <w:pPr>
        <w:ind w:left="2040" w:hanging="735"/>
        <w:spacing w:after="0"/>
        <w:tabs>
          <w:tab w:leader="none" w:pos="20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 Beneficial Ownership Certification in relation to the Borrower; and</w:t>
      </w:r>
    </w:p>
    <w:p>
      <w:pPr>
        <w:spacing w:after="0" w:line="225" w:lineRule="exact"/>
        <w:rPr>
          <w:rFonts w:ascii="Arial" w:cs="Arial" w:eastAsia="Arial" w:hAnsi="Arial"/>
          <w:sz w:val="18"/>
          <w:szCs w:val="18"/>
          <w:color w:val="auto"/>
        </w:rPr>
      </w:pPr>
    </w:p>
    <w:p>
      <w:pPr>
        <w:jc w:val="both"/>
        <w:ind w:left="660" w:firstLine="645"/>
        <w:spacing w:after="0" w:line="264" w:lineRule="auto"/>
        <w:tabs>
          <w:tab w:leader="none" w:pos="2104" w:val="left"/>
        </w:tabs>
        <w:numPr>
          <w:ilvl w:val="1"/>
          <w:numId w:val="13"/>
        </w:numPr>
        <w:rPr>
          <w:rFonts w:ascii="Arial" w:cs="Arial" w:eastAsia="Arial" w:hAnsi="Arial"/>
          <w:sz w:val="18"/>
          <w:szCs w:val="18"/>
          <w:color w:val="auto"/>
        </w:rPr>
      </w:pPr>
      <w:r>
        <w:rPr>
          <w:rFonts w:ascii="Arial" w:cs="Arial" w:eastAsia="Arial" w:hAnsi="Arial"/>
          <w:sz w:val="18"/>
          <w:szCs w:val="18"/>
          <w:color w:val="auto"/>
        </w:rPr>
        <w:t>a certificate signed by a Responsible Officer of the Borrower certifying that as of the Fifth Amendment Effective Date, (a) there has been no event or circumstance that has had or could be reasonably expected to have, either individually or in the aggregate, a Material Adverse Effect since December 31, 2017 and (b) no Default or Event of Default has occurred and is continuing.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jc w:val="both"/>
        <w:ind w:left="660" w:hanging="4"/>
        <w:spacing w:after="0" w:line="261" w:lineRule="auto"/>
        <w:tabs>
          <w:tab w:leader="none" w:pos="1514"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Payment of Fees and Expenses. </w:t>
      </w:r>
      <w:r>
        <w:rPr>
          <w:rFonts w:ascii="Arial" w:cs="Arial" w:eastAsia="Arial" w:hAnsi="Arial"/>
          <w:sz w:val="18"/>
          <w:szCs w:val="18"/>
          <w:color w:val="auto"/>
        </w:rPr>
        <w:t>The Administrative Agent shall have received all reasonable and documented out-of-pocket fees and</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incurred in connection with this Amendment on or prior to the Fifth Amendment Effective Date, including, to the extent invoiced at least three (3) Business Days prior to the Fifth Amendment Effective Date, reimbursement or other payment of all out-of-pocket fees and expenses in each case required to be reimbursed or paid by the Borrower under the Credit Agreement.</w:t>
      </w:r>
    </w:p>
    <w:p>
      <w:pPr>
        <w:spacing w:after="0" w:line="180" w:lineRule="exact"/>
        <w:rPr>
          <w:rFonts w:ascii="Arial" w:cs="Arial" w:eastAsia="Arial" w:hAnsi="Arial"/>
          <w:sz w:val="18"/>
          <w:szCs w:val="18"/>
          <w:color w:val="auto"/>
        </w:rPr>
      </w:pPr>
    </w:p>
    <w:p>
      <w:pPr>
        <w:jc w:val="both"/>
        <w:ind w:firstLine="656"/>
        <w:spacing w:after="0" w:line="261" w:lineRule="auto"/>
        <w:tabs>
          <w:tab w:leader="none" w:pos="1515"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No Material Adverse Effect</w:t>
      </w:r>
      <w:r>
        <w:rPr>
          <w:rFonts w:ascii="Arial" w:cs="Arial" w:eastAsia="Arial" w:hAnsi="Arial"/>
          <w:sz w:val="18"/>
          <w:szCs w:val="18"/>
          <w:color w:val="auto"/>
        </w:rPr>
        <w:t>. A</w:t>
      </w:r>
      <w:r>
        <w:rPr>
          <w:rFonts w:ascii="Arial" w:cs="Arial" w:eastAsia="Arial" w:hAnsi="Arial"/>
          <w:sz w:val="18"/>
          <w:szCs w:val="18"/>
          <w:b w:val="1"/>
          <w:bCs w:val="1"/>
          <w:color w:val="auto"/>
        </w:rPr>
        <w:t xml:space="preserve">s </w:t>
      </w:r>
      <w:r>
        <w:rPr>
          <w:rFonts w:ascii="Arial" w:cs="Arial" w:eastAsia="Arial" w:hAnsi="Arial"/>
          <w:sz w:val="18"/>
          <w:szCs w:val="18"/>
          <w:color w:val="auto"/>
        </w:rPr>
        <w:t>of the Fifth Amendment Effective Date, no event, circumstance or change shall have occurred since</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2017 that has resulted in, or could reasonably be expected to result in, either in any case or in the aggregate, a Material Adverse Effect or a material adverse change in, or material adverse effect upon, the operations, business, properties, liabilities or financial condition of the Project Companies taken as a whole.</w:t>
      </w:r>
    </w:p>
    <w:p>
      <w:pPr>
        <w:spacing w:after="0" w:line="180" w:lineRule="exact"/>
        <w:rPr>
          <w:rFonts w:ascii="Arial" w:cs="Arial" w:eastAsia="Arial" w:hAnsi="Arial"/>
          <w:sz w:val="18"/>
          <w:szCs w:val="18"/>
          <w:color w:val="auto"/>
        </w:rPr>
      </w:pPr>
    </w:p>
    <w:p>
      <w:pPr>
        <w:jc w:val="both"/>
        <w:ind w:right="20" w:firstLine="656"/>
        <w:spacing w:after="0" w:line="266" w:lineRule="auto"/>
        <w:tabs>
          <w:tab w:leader="none" w:pos="1593"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Representations and Warranties</w:t>
      </w:r>
      <w:r>
        <w:rPr>
          <w:rFonts w:ascii="Arial" w:cs="Arial" w:eastAsia="Arial" w:hAnsi="Arial"/>
          <w:sz w:val="18"/>
          <w:szCs w:val="18"/>
          <w:color w:val="auto"/>
        </w:rPr>
        <w:t>. Each of the representations and warranties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III</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true and correct in all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respects on the Fifth Amendment Effective Date (unless made solely as of a prior date, in which case such representation and warranty was true and correct in all material respects as of such date).</w:t>
      </w:r>
    </w:p>
    <w:p>
      <w:pPr>
        <w:spacing w:after="0" w:line="176"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III.</w:t>
      </w:r>
      <w:r>
        <w:rPr>
          <w:sz w:val="20"/>
          <w:szCs w:val="20"/>
          <w:color w:val="auto"/>
        </w:rPr>
        <w:tab/>
      </w:r>
      <w:r>
        <w:rPr>
          <w:rFonts w:ascii="Arial" w:cs="Arial" w:eastAsia="Arial" w:hAnsi="Arial"/>
          <w:sz w:val="17"/>
          <w:szCs w:val="17"/>
          <w:b w:val="1"/>
          <w:bCs w:val="1"/>
          <w:color w:val="auto"/>
        </w:rPr>
        <w:t>REPRESENTATIONS AND WARRANTIES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Each Loan Party which is a party hereto represents and warrants to each Lender that the following statements are true and correct in all material respects as of the Fifth Amendment Effective Date:</w:t>
      </w:r>
    </w:p>
    <w:p>
      <w:pPr>
        <w:spacing w:after="0" w:line="166" w:lineRule="exact"/>
        <w:rPr>
          <w:sz w:val="20"/>
          <w:szCs w:val="20"/>
          <w:color w:val="auto"/>
        </w:rPr>
      </w:pPr>
    </w:p>
    <w:p>
      <w:pPr>
        <w:jc w:val="both"/>
        <w:ind w:firstLine="656"/>
        <w:spacing w:after="0" w:line="289" w:lineRule="auto"/>
        <w:tabs>
          <w:tab w:leader="none" w:pos="1660" w:val="left"/>
        </w:tabs>
        <w:numPr>
          <w:ilvl w:val="0"/>
          <w:numId w:val="15"/>
        </w:numPr>
        <w:rPr>
          <w:rFonts w:ascii="Arial" w:cs="Arial" w:eastAsia="Arial" w:hAnsi="Arial"/>
          <w:sz w:val="17"/>
          <w:szCs w:val="17"/>
          <w:color w:val="auto"/>
        </w:rPr>
      </w:pPr>
      <w:r>
        <w:rPr>
          <w:rFonts w:ascii="Arial" w:cs="Arial" w:eastAsia="Arial" w:hAnsi="Arial"/>
          <w:sz w:val="17"/>
          <w:szCs w:val="17"/>
          <w:b w:val="1"/>
          <w:bCs w:val="1"/>
          <w:color w:val="auto"/>
        </w:rPr>
        <w:t xml:space="preserve">Corporate Power and Authority. </w:t>
      </w:r>
      <w:r>
        <w:rPr>
          <w:rFonts w:ascii="Arial" w:cs="Arial" w:eastAsia="Arial" w:hAnsi="Arial"/>
          <w:sz w:val="17"/>
          <w:szCs w:val="17"/>
          <w:color w:val="auto"/>
        </w:rPr>
        <w:t>Each Loan Party has all requisite power and authority and all requisite governmental licenses,</w:t>
      </w:r>
      <w:r>
        <w:rPr>
          <w:rFonts w:ascii="Arial" w:cs="Arial" w:eastAsia="Arial" w:hAnsi="Arial"/>
          <w:sz w:val="17"/>
          <w:szCs w:val="17"/>
          <w:b w:val="1"/>
          <w:bCs w:val="1"/>
          <w:color w:val="auto"/>
        </w:rPr>
        <w:t xml:space="preserve"> </w:t>
      </w:r>
      <w:r>
        <w:rPr>
          <w:rFonts w:ascii="Arial" w:cs="Arial" w:eastAsia="Arial" w:hAnsi="Arial"/>
          <w:sz w:val="17"/>
          <w:szCs w:val="17"/>
          <w:color w:val="auto"/>
        </w:rPr>
        <w:t>authorizations, consents and approvals to execute, deliver and perform its obligations under this Amendment and to perform its obligations under the Amended Credit Agreement and consummate the transactions contemplated by this Amendment and the Amended Credit Agreement.</w:t>
      </w:r>
    </w:p>
    <w:p>
      <w:pPr>
        <w:spacing w:after="0" w:line="158" w:lineRule="exact"/>
        <w:rPr>
          <w:rFonts w:ascii="Arial" w:cs="Arial" w:eastAsia="Arial" w:hAnsi="Arial"/>
          <w:sz w:val="17"/>
          <w:szCs w:val="17"/>
          <w:color w:val="auto"/>
        </w:rPr>
      </w:pPr>
    </w:p>
    <w:p>
      <w:pPr>
        <w:ind w:right="20" w:firstLine="656"/>
        <w:spacing w:after="0" w:line="282" w:lineRule="auto"/>
        <w:tabs>
          <w:tab w:leader="none" w:pos="165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Authorization of Amendment. </w:t>
      </w:r>
      <w:r>
        <w:rPr>
          <w:rFonts w:ascii="Arial" w:cs="Arial" w:eastAsia="Arial" w:hAnsi="Arial"/>
          <w:sz w:val="18"/>
          <w:szCs w:val="18"/>
          <w:color w:val="auto"/>
        </w:rPr>
        <w:t>The execution, delivery and performance by each Loan Party of this Amendment have been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by all necessary corporate or other organizational action.</w:t>
      </w:r>
    </w:p>
    <w:p>
      <w:pPr>
        <w:spacing w:after="0" w:line="161" w:lineRule="exact"/>
        <w:rPr>
          <w:rFonts w:ascii="Arial" w:cs="Arial" w:eastAsia="Arial" w:hAnsi="Arial"/>
          <w:sz w:val="18"/>
          <w:szCs w:val="18"/>
          <w:color w:val="auto"/>
        </w:rPr>
      </w:pPr>
    </w:p>
    <w:p>
      <w:pPr>
        <w:jc w:val="both"/>
        <w:ind w:firstLine="656"/>
        <w:spacing w:after="0" w:line="274" w:lineRule="auto"/>
        <w:tabs>
          <w:tab w:leader="none" w:pos="1380" w:val="left"/>
        </w:tabs>
        <w:numPr>
          <w:ilvl w:val="0"/>
          <w:numId w:val="15"/>
        </w:numPr>
        <w:rPr>
          <w:rFonts w:ascii="Arial" w:cs="Arial" w:eastAsia="Arial" w:hAnsi="Arial"/>
          <w:sz w:val="17"/>
          <w:szCs w:val="17"/>
          <w:color w:val="auto"/>
        </w:rPr>
      </w:pPr>
      <w:r>
        <w:rPr>
          <w:rFonts w:ascii="Arial" w:cs="Arial" w:eastAsia="Arial" w:hAnsi="Arial"/>
          <w:sz w:val="17"/>
          <w:szCs w:val="17"/>
          <w:b w:val="1"/>
          <w:bCs w:val="1"/>
          <w:color w:val="auto"/>
        </w:rPr>
        <w:t xml:space="preserve">No Conflict. </w:t>
      </w:r>
      <w:r>
        <w:rPr>
          <w:rFonts w:ascii="Arial" w:cs="Arial" w:eastAsia="Arial" w:hAnsi="Arial"/>
          <w:sz w:val="17"/>
          <w:szCs w:val="17"/>
          <w:color w:val="auto"/>
        </w:rPr>
        <w:t>The execution, delivery and performance by each Loan Party of this Amendment do not and will not (i) contravene the terms</w:t>
      </w:r>
      <w:r>
        <w:rPr>
          <w:rFonts w:ascii="Arial" w:cs="Arial" w:eastAsia="Arial" w:hAnsi="Arial"/>
          <w:sz w:val="17"/>
          <w:szCs w:val="17"/>
          <w:b w:val="1"/>
          <w:bCs w:val="1"/>
          <w:color w:val="auto"/>
        </w:rPr>
        <w:t xml:space="preserve"> </w:t>
      </w:r>
      <w:r>
        <w:rPr>
          <w:rFonts w:ascii="Arial" w:cs="Arial" w:eastAsia="Arial" w:hAnsi="Arial"/>
          <w:sz w:val="17"/>
          <w:szCs w:val="17"/>
          <w:color w:val="auto"/>
        </w:rPr>
        <w:t>of any of such Person’s Organization Documents; (ii) conflict with or result in any breach or contravention of, or require any payment to be made under, (a) any material Contractual Obligation to which such Person is a party or affecting such Person or the properties of such Person or any of its Subsidiaries, or (b) any order, injunction, writ or decree of any Governmental Authority or any arbitral award to which such Person or its property is subject; (iii) result in the creation or imposition of any Lien upon or with respect to any property or assets now owned or hereafter acquired by such Person or any of its Subsidiaries (other than Liens created under the Collateral Documents); or (iv) violate any material Law.</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jc w:val="both"/>
        <w:ind w:firstLine="656"/>
        <w:spacing w:after="0" w:line="298" w:lineRule="auto"/>
        <w:tabs>
          <w:tab w:leader="none" w:pos="1404"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 xml:space="preserve">Binding Effect. </w:t>
      </w:r>
      <w:r>
        <w:rPr>
          <w:rFonts w:ascii="Arial" w:cs="Arial" w:eastAsia="Arial" w:hAnsi="Arial"/>
          <w:sz w:val="16"/>
          <w:szCs w:val="16"/>
          <w:color w:val="auto"/>
        </w:rPr>
        <w:t>This Amendment has been duly executed and delivered by each Loan Party that is party hereto. Each of this Amendment</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Amended Credit Agreement constitute a legal, valid and binding obligation of such Loan Party, enforceable against each Loan Party that is party hereto or thereto in accordance with its terms, except as enforceability hereof or thereof may be limited by (i) bankruptcy, insolvency, reorganization, moratorium, fraudulent transfer or other laws now or hereafter in effect relating to creditors’ rights generally (including specific performance) and (ii) general equitable principles (whether considered in a proceeding in equity or at law), and to the discretion of the court before which any proceeding may be brought.</w:t>
      </w:r>
    </w:p>
    <w:p>
      <w:pPr>
        <w:spacing w:after="0" w:line="154" w:lineRule="exact"/>
        <w:rPr>
          <w:rFonts w:ascii="Arial" w:cs="Arial" w:eastAsia="Arial" w:hAnsi="Arial"/>
          <w:sz w:val="16"/>
          <w:szCs w:val="16"/>
          <w:color w:val="auto"/>
        </w:rPr>
      </w:pPr>
    </w:p>
    <w:p>
      <w:pPr>
        <w:jc w:val="both"/>
        <w:ind w:firstLine="656"/>
        <w:spacing w:after="0" w:line="272" w:lineRule="auto"/>
        <w:tabs>
          <w:tab w:leader="none" w:pos="1370" w:val="left"/>
        </w:tabs>
        <w:numPr>
          <w:ilvl w:val="0"/>
          <w:numId w:val="16"/>
        </w:numPr>
        <w:rPr>
          <w:rFonts w:ascii="Arial" w:cs="Arial" w:eastAsia="Arial" w:hAnsi="Arial"/>
          <w:sz w:val="17"/>
          <w:szCs w:val="17"/>
          <w:color w:val="auto"/>
        </w:rPr>
      </w:pPr>
      <w:r>
        <w:rPr>
          <w:rFonts w:ascii="Arial" w:cs="Arial" w:eastAsia="Arial" w:hAnsi="Arial"/>
          <w:sz w:val="17"/>
          <w:szCs w:val="17"/>
          <w:b w:val="1"/>
          <w:bCs w:val="1"/>
          <w:color w:val="auto"/>
        </w:rPr>
        <w:t>Representations and Warranties, Etc</w:t>
      </w:r>
      <w:r>
        <w:rPr>
          <w:rFonts w:ascii="Arial" w:cs="Arial" w:eastAsia="Arial" w:hAnsi="Arial"/>
          <w:sz w:val="17"/>
          <w:szCs w:val="17"/>
          <w:color w:val="auto"/>
        </w:rPr>
        <w:t>. (x) All representations and warranties contained in Article V of the Credit Agreement are true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correct in all material respects (but in all respects if such representation or warranty is qualified by “materiality” or “Material Adverse Effect”), except to the extent that such representations and warranties specifically refer to an earlier date, in which case they were true and correct in all material respects (but in all respects if such representation or warranty is qualified by “materiality” or “Material Adverse Effect”) as of such earlier date, and except that the representations and warranties contained in </w:t>
      </w:r>
      <w:r>
        <w:rPr>
          <w:rFonts w:ascii="Arial" w:cs="Arial" w:eastAsia="Arial" w:hAnsi="Arial"/>
          <w:sz w:val="17"/>
          <w:szCs w:val="17"/>
          <w:u w:val="single" w:color="auto"/>
          <w:color w:val="auto"/>
        </w:rPr>
        <w:t>Sections 5.05(a)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the Credit Agreement shall be deemed to refer to the most recent statements furnished pursuant to </w:t>
      </w:r>
      <w:r>
        <w:rPr>
          <w:rFonts w:ascii="Arial" w:cs="Arial" w:eastAsia="Arial" w:hAnsi="Arial"/>
          <w:sz w:val="17"/>
          <w:szCs w:val="17"/>
          <w:u w:val="single" w:color="auto"/>
          <w:color w:val="auto"/>
        </w:rPr>
        <w:t>Sections 6.01(a)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the Credit Agreement, respectively, and the representations and warranties contained in </w:t>
      </w:r>
      <w:r>
        <w:rPr>
          <w:rFonts w:ascii="Arial" w:cs="Arial" w:eastAsia="Arial" w:hAnsi="Arial"/>
          <w:sz w:val="17"/>
          <w:szCs w:val="17"/>
          <w:u w:val="single" w:color="auto"/>
          <w:color w:val="auto"/>
        </w:rPr>
        <w:t>Section 5.05(c)</w:t>
      </w:r>
      <w:r>
        <w:rPr>
          <w:rFonts w:ascii="Arial" w:cs="Arial" w:eastAsia="Arial" w:hAnsi="Arial"/>
          <w:sz w:val="17"/>
          <w:szCs w:val="17"/>
          <w:color w:val="auto"/>
        </w:rPr>
        <w:t xml:space="preserve"> of the Credit Agreement shall be deemed to refer to the statements furnished pursuant to </w:t>
      </w:r>
      <w:r>
        <w:rPr>
          <w:rFonts w:ascii="Arial" w:cs="Arial" w:eastAsia="Arial" w:hAnsi="Arial"/>
          <w:sz w:val="17"/>
          <w:szCs w:val="17"/>
          <w:u w:val="single" w:color="auto"/>
          <w:color w:val="auto"/>
        </w:rPr>
        <w:t>Section 6.01(a)</w:t>
      </w:r>
      <w:r>
        <w:rPr>
          <w:rFonts w:ascii="Arial" w:cs="Arial" w:eastAsia="Arial" w:hAnsi="Arial"/>
          <w:sz w:val="17"/>
          <w:szCs w:val="17"/>
          <w:color w:val="auto"/>
        </w:rPr>
        <w:t xml:space="preserve"> of the Credit Agreement with respect to the fiscal year ended December 31, 2017, and (y) no Default has occurred and is continuing.</w:t>
      </w:r>
    </w:p>
    <w:p>
      <w:pPr>
        <w:spacing w:after="0" w:line="17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IV.</w:t>
        <w:tab/>
        <w:t>ACKNOWLEDGMENT AND CONSENT OF LOAN PARTIES; REAFFIRMATION OF GUARANTIES AND LIENS</w:t>
      </w:r>
    </w:p>
    <w:p>
      <w:pPr>
        <w:spacing w:after="0" w:line="225" w:lineRule="exact"/>
        <w:rPr>
          <w:sz w:val="20"/>
          <w:szCs w:val="20"/>
          <w:color w:val="auto"/>
        </w:rPr>
      </w:pPr>
    </w:p>
    <w:p>
      <w:pPr>
        <w:ind w:firstLine="656"/>
        <w:spacing w:after="0" w:line="282" w:lineRule="auto"/>
        <w:tabs>
          <w:tab w:leader="none" w:pos="1561"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Acknowledgment and Consent</w:t>
      </w:r>
      <w:r>
        <w:rPr>
          <w:rFonts w:ascii="Arial" w:cs="Arial" w:eastAsia="Arial" w:hAnsi="Arial"/>
          <w:sz w:val="18"/>
          <w:szCs w:val="18"/>
          <w:color w:val="auto"/>
        </w:rPr>
        <w:t>. Each Loan Party hereby acknowledges that it has reviewed the terms and provisions of the Credit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this Amendment and consents to the amendments of the Credit Agreement effected pursuant to this Amendment.</w:t>
      </w:r>
    </w:p>
    <w:p>
      <w:pPr>
        <w:spacing w:after="0" w:line="161" w:lineRule="exact"/>
        <w:rPr>
          <w:rFonts w:ascii="Arial" w:cs="Arial" w:eastAsia="Arial" w:hAnsi="Arial"/>
          <w:sz w:val="18"/>
          <w:szCs w:val="18"/>
          <w:color w:val="auto"/>
        </w:rPr>
      </w:pPr>
    </w:p>
    <w:p>
      <w:pPr>
        <w:jc w:val="both"/>
        <w:ind w:firstLine="656"/>
        <w:spacing w:after="0" w:line="258" w:lineRule="auto"/>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Guaranty and Lien Reaffirmation. </w:t>
      </w:r>
      <w:r>
        <w:rPr>
          <w:rFonts w:ascii="Arial" w:cs="Arial" w:eastAsia="Arial" w:hAnsi="Arial"/>
          <w:sz w:val="18"/>
          <w:szCs w:val="18"/>
          <w:color w:val="auto"/>
        </w:rPr>
        <w:t>Each Loan Party hereby (i) confirms that each Loan Document (including the Guaranty), both before</w:t>
      </w:r>
      <w:r>
        <w:rPr>
          <w:rFonts w:ascii="Arial" w:cs="Arial" w:eastAsia="Arial" w:hAnsi="Arial"/>
          <w:sz w:val="18"/>
          <w:szCs w:val="18"/>
          <w:b w:val="1"/>
          <w:bCs w:val="1"/>
          <w:color w:val="auto"/>
        </w:rPr>
        <w:t xml:space="preserve"> </w:t>
      </w:r>
      <w:r>
        <w:rPr>
          <w:rFonts w:ascii="Arial" w:cs="Arial" w:eastAsia="Arial" w:hAnsi="Arial"/>
          <w:sz w:val="18"/>
          <w:szCs w:val="18"/>
          <w:color w:val="auto"/>
        </w:rPr>
        <w:t>and immediately after giving effect to and, if applicable, as amended by this Amendment, to which it is a party or otherwise bound, and all Collateral encumbered thereby will continue to guarantee or secure, as the case may be, to the fullest extent possible in accordance with the Loan Documents, as amended by this Amendment, if applicable, the payment and performance of the Secured Obligations and (ii) ratifies all guaranties and Liens granted by it pursuant to the Loan Documents.</w:t>
      </w:r>
    </w:p>
    <w:p>
      <w:pPr>
        <w:spacing w:after="0" w:line="183" w:lineRule="exact"/>
        <w:rPr>
          <w:rFonts w:ascii="Arial" w:cs="Arial" w:eastAsia="Arial" w:hAnsi="Arial"/>
          <w:sz w:val="18"/>
          <w:szCs w:val="18"/>
          <w:color w:val="auto"/>
        </w:rPr>
      </w:pPr>
    </w:p>
    <w:p>
      <w:pPr>
        <w:jc w:val="both"/>
        <w:ind w:firstLine="656"/>
        <w:spacing w:after="0" w:line="314" w:lineRule="auto"/>
        <w:tabs>
          <w:tab w:leader="none" w:pos="1475"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auto"/>
        </w:rPr>
        <w:t>Continuing Effect</w:t>
      </w:r>
      <w:r>
        <w:rPr>
          <w:rFonts w:ascii="Arial" w:cs="Arial" w:eastAsia="Arial" w:hAnsi="Arial"/>
          <w:sz w:val="16"/>
          <w:szCs w:val="16"/>
          <w:color w:val="auto"/>
        </w:rPr>
        <w:t>. Each Loan Party hereby acknowledges and agrees that (i) each Loan Document, both before and immediately after</w:t>
      </w:r>
      <w:r>
        <w:rPr>
          <w:rFonts w:ascii="Arial" w:cs="Arial" w:eastAsia="Arial" w:hAnsi="Arial"/>
          <w:sz w:val="16"/>
          <w:szCs w:val="16"/>
          <w:b w:val="1"/>
          <w:bCs w:val="1"/>
          <w:color w:val="auto"/>
        </w:rPr>
        <w:t xml:space="preserve"> </w:t>
      </w:r>
      <w:r>
        <w:rPr>
          <w:rFonts w:ascii="Arial" w:cs="Arial" w:eastAsia="Arial" w:hAnsi="Arial"/>
          <w:sz w:val="16"/>
          <w:szCs w:val="16"/>
          <w:color w:val="auto"/>
        </w:rPr>
        <w:t>giving effect to and, if applicable, as amended by this Amendment, to which it is a party or otherwise bound shall continue in full force and effect and (ii) all of its obligations thereunder shall be valid and enforceable and shall not be impaired or limited by the execution or effectiveness of this Amendment.</w:t>
      </w:r>
    </w:p>
    <w:p>
      <w:pPr>
        <w:spacing w:after="0" w:line="142" w:lineRule="exact"/>
        <w:rPr>
          <w:rFonts w:ascii="Arial" w:cs="Arial" w:eastAsia="Arial" w:hAnsi="Arial"/>
          <w:sz w:val="16"/>
          <w:szCs w:val="16"/>
          <w:color w:val="auto"/>
        </w:rPr>
      </w:pPr>
    </w:p>
    <w:p>
      <w:pPr>
        <w:jc w:val="both"/>
        <w:ind w:firstLine="656"/>
        <w:spacing w:after="0" w:line="266" w:lineRule="auto"/>
        <w:tabs>
          <w:tab w:leader="none" w:pos="1404"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No Filings Necessary</w:t>
      </w:r>
      <w:r>
        <w:rPr>
          <w:rFonts w:ascii="Arial" w:cs="Arial" w:eastAsia="Arial" w:hAnsi="Arial"/>
          <w:sz w:val="18"/>
          <w:szCs w:val="18"/>
          <w:color w:val="auto"/>
        </w:rPr>
        <w:t>. Except as otherwise required herein, each Loan Party hereby confirms that no additional filings or recordings need</w:t>
      </w:r>
      <w:r>
        <w:rPr>
          <w:rFonts w:ascii="Arial" w:cs="Arial" w:eastAsia="Arial" w:hAnsi="Arial"/>
          <w:sz w:val="18"/>
          <w:szCs w:val="18"/>
          <w:b w:val="1"/>
          <w:bCs w:val="1"/>
          <w:color w:val="auto"/>
        </w:rPr>
        <w:t xml:space="preserve"> </w:t>
      </w:r>
      <w:r>
        <w:rPr>
          <w:rFonts w:ascii="Arial" w:cs="Arial" w:eastAsia="Arial" w:hAnsi="Arial"/>
          <w:sz w:val="18"/>
          <w:szCs w:val="18"/>
          <w:color w:val="auto"/>
        </w:rPr>
        <w:t>to be made, and no other actions need to be taken, by such Loan Party in order to maintain the perfection, enforceability or validity of the security interests created pursuant to the Collateral Documents.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spacing w:after="0"/>
        <w:tabs>
          <w:tab w:leader="none" w:pos="1220" w:val="left"/>
        </w:tabs>
        <w:rPr>
          <w:sz w:val="20"/>
          <w:szCs w:val="20"/>
          <w:color w:val="auto"/>
        </w:rPr>
      </w:pPr>
      <w:r>
        <w:rPr>
          <w:rFonts w:ascii="Arial" w:cs="Arial" w:eastAsia="Arial" w:hAnsi="Arial"/>
          <w:sz w:val="18"/>
          <w:szCs w:val="18"/>
          <w:b w:val="1"/>
          <w:bCs w:val="1"/>
          <w:color w:val="auto"/>
        </w:rPr>
        <w:t>SECTION V.</w:t>
        <w:tab/>
        <w:t>MISCELLANEOUS</w:t>
      </w:r>
    </w:p>
    <w:p>
      <w:pPr>
        <w:spacing w:after="0" w:line="225" w:lineRule="exact"/>
        <w:rPr>
          <w:sz w:val="20"/>
          <w:szCs w:val="20"/>
          <w:color w:val="auto"/>
        </w:rPr>
      </w:pPr>
    </w:p>
    <w:p>
      <w:pPr>
        <w:ind w:left="1380" w:hanging="724"/>
        <w:spacing w:after="0"/>
        <w:tabs>
          <w:tab w:leader="none" w:pos="13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Reference to and Effect on Credit Agreement and Other Loan Documents</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312" w:lineRule="auto"/>
        <w:tabs>
          <w:tab w:leader="none" w:pos="1455" w:val="left"/>
        </w:tabs>
        <w:numPr>
          <w:ilvl w:val="0"/>
          <w:numId w:val="19"/>
        </w:numPr>
        <w:rPr>
          <w:rFonts w:ascii="Arial" w:cs="Arial" w:eastAsia="Arial" w:hAnsi="Arial"/>
          <w:sz w:val="16"/>
          <w:szCs w:val="16"/>
          <w:color w:val="auto"/>
        </w:rPr>
      </w:pPr>
      <w:r>
        <w:rPr>
          <w:rFonts w:ascii="Arial" w:cs="Arial" w:eastAsia="Arial" w:hAnsi="Arial"/>
          <w:sz w:val="16"/>
          <w:szCs w:val="16"/>
          <w:color w:val="auto"/>
        </w:rPr>
        <w:t>On and after the Fifth Amendment Effective Date, each reference in the Credit Agreement to “this Amendment,” “hereunder,” “hereof,” “herein” or words of like import referring to the Credit Agreement, and each reference in the other Loan Documents to the “Credit Agreement,” “thereunder,” “thereof” or words of like import referring to the Credit Agreement shall mean and be a reference to the Credit Agreement as amended by this Amendment.</w:t>
      </w:r>
    </w:p>
    <w:p>
      <w:pPr>
        <w:spacing w:after="0" w:line="146" w:lineRule="exact"/>
        <w:rPr>
          <w:rFonts w:ascii="Arial" w:cs="Arial" w:eastAsia="Arial" w:hAnsi="Arial"/>
          <w:sz w:val="16"/>
          <w:szCs w:val="16"/>
          <w:color w:val="auto"/>
        </w:rPr>
      </w:pPr>
    </w:p>
    <w:p>
      <w:pPr>
        <w:ind w:firstLine="656"/>
        <w:spacing w:after="0" w:line="277" w:lineRule="auto"/>
        <w:tabs>
          <w:tab w:leader="none" w:pos="1459"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Except as specifically amended by this Amendment, the Credit Agreement and the other Loan Documents shall remain in full force and effect and are hereby ratified and confirmed.</w:t>
      </w:r>
    </w:p>
    <w:p>
      <w:pPr>
        <w:spacing w:after="0" w:line="170" w:lineRule="exact"/>
        <w:rPr>
          <w:rFonts w:ascii="Arial" w:cs="Arial" w:eastAsia="Arial" w:hAnsi="Arial"/>
          <w:sz w:val="18"/>
          <w:szCs w:val="18"/>
          <w:color w:val="auto"/>
        </w:rPr>
      </w:pPr>
    </w:p>
    <w:p>
      <w:pPr>
        <w:jc w:val="both"/>
        <w:ind w:firstLine="656"/>
        <w:spacing w:after="0" w:line="276" w:lineRule="auto"/>
        <w:tabs>
          <w:tab w:leader="none" w:pos="1439"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execution, delivery and performance of this Amendment shall not constitute either (x) a novation of the Credit Agreement or any of the other Loan Documents or any obligations thereunder or (y) a waiver of any provision of, or operate as a waiver of any right, power or remedy of any Agent, Lender or L/C Issuer under, the Credit Agreement or any of the other Loan Documents. The amendments contained herein are limited to the specified provisions and circumstances described and shall not be deemed to prejudice any rights not specifically addressed herein which any Agent, Lender or L/C Issuer may now have or may have in the future under the Amended Credit Agreement or any other Loan Document.</w:t>
      </w:r>
    </w:p>
    <w:p>
      <w:pPr>
        <w:spacing w:after="0" w:line="169" w:lineRule="exact"/>
        <w:rPr>
          <w:sz w:val="20"/>
          <w:szCs w:val="20"/>
          <w:color w:val="auto"/>
        </w:rPr>
      </w:pPr>
    </w:p>
    <w:p>
      <w:pPr>
        <w:ind w:left="1400" w:hanging="744"/>
        <w:spacing w:after="0"/>
        <w:tabs>
          <w:tab w:leader="none" w:pos="1400" w:val="left"/>
        </w:tabs>
        <w:numPr>
          <w:ilvl w:val="1"/>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 Document</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avoidance of doubt, this Amendment constitutes a Loan Document.</w:t>
      </w:r>
    </w:p>
    <w:p>
      <w:pPr>
        <w:spacing w:after="0" w:line="225" w:lineRule="exact"/>
        <w:rPr>
          <w:rFonts w:ascii="Arial" w:cs="Arial" w:eastAsia="Arial" w:hAnsi="Arial"/>
          <w:sz w:val="18"/>
          <w:szCs w:val="18"/>
          <w:b w:val="1"/>
          <w:bCs w:val="1"/>
          <w:color w:val="auto"/>
        </w:rPr>
      </w:pPr>
    </w:p>
    <w:p>
      <w:pPr>
        <w:ind w:firstLine="656"/>
        <w:spacing w:after="0" w:line="282" w:lineRule="auto"/>
        <w:tabs>
          <w:tab w:leader="none" w:pos="1624" w:val="left"/>
        </w:tabs>
        <w:numPr>
          <w:ilvl w:val="1"/>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Headings</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and Subsection headings in this Amendment are included herein for convenience of reference only and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a part of this Amendment for any other purpose or be given any substantive effect.</w:t>
      </w:r>
    </w:p>
    <w:p>
      <w:pPr>
        <w:spacing w:after="0" w:line="161" w:lineRule="exact"/>
        <w:rPr>
          <w:rFonts w:ascii="Arial" w:cs="Arial" w:eastAsia="Arial" w:hAnsi="Arial"/>
          <w:sz w:val="18"/>
          <w:szCs w:val="18"/>
          <w:b w:val="1"/>
          <w:bCs w:val="1"/>
          <w:color w:val="auto"/>
        </w:rPr>
      </w:pPr>
    </w:p>
    <w:p>
      <w:pPr>
        <w:ind w:firstLine="656"/>
        <w:spacing w:after="0" w:line="282" w:lineRule="auto"/>
        <w:tabs>
          <w:tab w:leader="none" w:pos="1624" w:val="left"/>
        </w:tabs>
        <w:numPr>
          <w:ilvl w:val="1"/>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THIS AMENDMENT SHALL BE GOVERNED BY, AND CONSTRUED IN ACCORDANCE WITH, THE LAW OF THE STATE OF NEW YORK.</w:t>
      </w:r>
    </w:p>
    <w:p>
      <w:pPr>
        <w:spacing w:after="0" w:line="161" w:lineRule="exact"/>
        <w:rPr>
          <w:rFonts w:ascii="Arial" w:cs="Arial" w:eastAsia="Arial" w:hAnsi="Arial"/>
          <w:sz w:val="18"/>
          <w:szCs w:val="18"/>
          <w:b w:val="1"/>
          <w:bCs w:val="1"/>
          <w:color w:val="auto"/>
        </w:rPr>
      </w:pPr>
    </w:p>
    <w:p>
      <w:pPr>
        <w:ind w:left="1460" w:hanging="804"/>
        <w:spacing w:after="0"/>
        <w:tabs>
          <w:tab w:leader="none" w:pos="1460" w:val="left"/>
        </w:tabs>
        <w:numPr>
          <w:ilvl w:val="1"/>
          <w:numId w:val="2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Submission to Jurisdiction; Waiver of Venue; Service of Process; Waiver of Jury Trial</w:t>
      </w:r>
      <w:r>
        <w:rPr>
          <w:rFonts w:ascii="Arial" w:cs="Arial" w:eastAsia="Arial" w:hAnsi="Arial"/>
          <w:sz w:val="16"/>
          <w:szCs w:val="16"/>
          <w:b w:val="1"/>
          <w:bCs w:val="1"/>
          <w:color w:val="auto"/>
        </w:rPr>
        <w:t xml:space="preserve">. </w:t>
      </w:r>
      <w:r>
        <w:rPr>
          <w:rFonts w:ascii="Arial" w:cs="Arial" w:eastAsia="Arial" w:hAnsi="Arial"/>
          <w:sz w:val="16"/>
          <w:szCs w:val="16"/>
          <w:color w:val="auto"/>
        </w:rPr>
        <w:t>The provisions of Sections 11.14(b), (c) and</w:t>
      </w:r>
    </w:p>
    <w:p>
      <w:pPr>
        <w:spacing w:after="0" w:line="50" w:lineRule="exact"/>
        <w:rPr>
          <w:rFonts w:ascii="Arial" w:cs="Arial" w:eastAsia="Arial" w:hAnsi="Arial"/>
          <w:sz w:val="16"/>
          <w:szCs w:val="16"/>
          <w:b w:val="1"/>
          <w:bCs w:val="1"/>
          <w:color w:val="auto"/>
        </w:rPr>
      </w:pPr>
    </w:p>
    <w:p>
      <w:pPr>
        <w:ind w:left="260" w:hanging="252"/>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and Section 11.15 of the Amended Credit Agreement are hereby incorporated by reference, </w:t>
      </w:r>
      <w:r>
        <w:rPr>
          <w:rFonts w:ascii="Arial" w:cs="Arial" w:eastAsia="Arial" w:hAnsi="Arial"/>
          <w:sz w:val="18"/>
          <w:szCs w:val="18"/>
          <w:i w:val="1"/>
          <w:iCs w:val="1"/>
          <w:color w:val="auto"/>
        </w:rPr>
        <w:t>mutatis mutandis</w:t>
      </w:r>
      <w:r>
        <w:rPr>
          <w:rFonts w:ascii="Arial" w:cs="Arial" w:eastAsia="Arial" w:hAnsi="Arial"/>
          <w:sz w:val="18"/>
          <w:szCs w:val="18"/>
          <w:color w:val="auto"/>
        </w:rPr>
        <w:t>, as if set forth in full herein.</w:t>
      </w:r>
    </w:p>
    <w:p>
      <w:pPr>
        <w:spacing w:after="0" w:line="206" w:lineRule="exact"/>
        <w:rPr>
          <w:rFonts w:ascii="Arial" w:cs="Arial" w:eastAsia="Arial" w:hAnsi="Arial"/>
          <w:sz w:val="18"/>
          <w:szCs w:val="18"/>
          <w:color w:val="auto"/>
        </w:rPr>
      </w:pPr>
    </w:p>
    <w:p>
      <w:pPr>
        <w:jc w:val="both"/>
        <w:ind w:firstLine="656"/>
        <w:spacing w:after="0" w:line="314" w:lineRule="auto"/>
        <w:tabs>
          <w:tab w:leader="none" w:pos="1399" w:val="left"/>
        </w:tabs>
        <w:numPr>
          <w:ilvl w:val="1"/>
          <w:numId w:val="2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This Amendment may be executed in counterparts (and by different parties hereto in different counterparts), each of which</w:t>
      </w:r>
      <w:r>
        <w:rPr>
          <w:rFonts w:ascii="Arial" w:cs="Arial" w:eastAsia="Arial" w:hAnsi="Arial"/>
          <w:sz w:val="16"/>
          <w:szCs w:val="16"/>
          <w:b w:val="1"/>
          <w:bCs w:val="1"/>
          <w:color w:val="auto"/>
        </w:rPr>
        <w:t xml:space="preserve"> </w:t>
      </w:r>
      <w:r>
        <w:rPr>
          <w:rFonts w:ascii="Arial" w:cs="Arial" w:eastAsia="Arial" w:hAnsi="Arial"/>
          <w:sz w:val="16"/>
          <w:szCs w:val="16"/>
          <w:color w:val="auto"/>
        </w:rPr>
        <w:t>shall constitute an original, but all of which when taken together shall constitute a single contract. Delivery of an executed counterpart of a signature page of this Amendment by telecopy or other electronic imaging means shall be effective as delivery of a manually executed counterpart of this Amendment.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this page intentionally left blank.</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ind w:right="20"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Amendment to be duly executed and delivered by their respective officers thereunto</w:t>
      </w:r>
      <w:r>
        <w:rPr>
          <w:rFonts w:ascii="Arial" w:cs="Arial" w:eastAsia="Arial" w:hAnsi="Arial"/>
          <w:sz w:val="18"/>
          <w:szCs w:val="18"/>
          <w:b w:val="1"/>
          <w:bCs w:val="1"/>
          <w:color w:val="auto"/>
        </w:rPr>
        <w:t xml:space="preserve"> </w:t>
      </w:r>
      <w:r>
        <w:rPr>
          <w:rFonts w:ascii="Arial" w:cs="Arial" w:eastAsia="Arial" w:hAnsi="Arial"/>
          <w:sz w:val="18"/>
          <w:szCs w:val="18"/>
          <w:color w:val="auto"/>
        </w:rPr>
        <w:t>duly authorized as of the date first written above.</w:t>
      </w:r>
    </w:p>
    <w:p>
      <w:pPr>
        <w:spacing w:after="0" w:line="162"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b w:val="1"/>
          <w:bCs w:val="1"/>
          <w:color w:val="auto"/>
        </w:rPr>
        <w:t>BORROWER:</w:t>
      </w:r>
      <w:r>
        <w:rPr>
          <w:sz w:val="20"/>
          <w:szCs w:val="20"/>
          <w:color w:val="auto"/>
        </w:rPr>
        <w:tab/>
      </w:r>
      <w:r>
        <w:rPr>
          <w:rFonts w:ascii="Arial" w:cs="Arial" w:eastAsia="Arial" w:hAnsi="Arial"/>
          <w:sz w:val="18"/>
          <w:szCs w:val="18"/>
          <w:b w:val="1"/>
          <w:bCs w:val="1"/>
          <w:color w:val="auto"/>
        </w:rPr>
        <w:t>CLEARWAY ENERGY OPERATING LLC</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2660" w:type="dxa"/>
            <w:vAlign w:val="bottom"/>
          </w:tcPr>
          <w:p>
            <w:pPr>
              <w:ind w:left="218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3520" w:type="dxa"/>
            <w:vAlign w:val="bottom"/>
          </w:tcPr>
          <w:p>
            <w:pPr>
              <w:spacing w:after="0"/>
              <w:rPr>
                <w:sz w:val="16"/>
                <w:szCs w:val="16"/>
                <w:color w:val="auto"/>
              </w:rPr>
            </w:pPr>
          </w:p>
        </w:tc>
        <w:tc>
          <w:tcPr>
            <w:tcW w:w="2660" w:type="dxa"/>
            <w:vAlign w:val="bottom"/>
          </w:tcPr>
          <w:p>
            <w:pPr>
              <w:ind w:left="2180"/>
              <w:spacing w:after="0" w:line="195" w:lineRule="exact"/>
              <w:rPr>
                <w:sz w:val="20"/>
                <w:szCs w:val="20"/>
                <w:color w:val="auto"/>
              </w:rPr>
            </w:pPr>
            <w:r>
              <w:rPr>
                <w:rFonts w:ascii="Arial" w:cs="Arial" w:eastAsia="Arial" w:hAnsi="Arial"/>
                <w:sz w:val="18"/>
                <w:szCs w:val="18"/>
                <w:color w:val="auto"/>
                <w:w w:val="86"/>
              </w:rPr>
              <w:t>Name:</w:t>
            </w:r>
          </w:p>
        </w:tc>
        <w:tc>
          <w:tcPr>
            <w:tcW w:w="524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3520" w:type="dxa"/>
            <w:vAlign w:val="bottom"/>
          </w:tcPr>
          <w:p>
            <w:pPr>
              <w:spacing w:after="0"/>
              <w:rPr>
                <w:sz w:val="20"/>
                <w:szCs w:val="20"/>
                <w:color w:val="auto"/>
              </w:rPr>
            </w:pPr>
          </w:p>
        </w:tc>
        <w:tc>
          <w:tcPr>
            <w:tcW w:w="7900" w:type="dxa"/>
            <w:vAlign w:val="bottom"/>
            <w:gridSpan w:val="2"/>
          </w:tcPr>
          <w:p>
            <w:pPr>
              <w:ind w:left="2180"/>
              <w:spacing w:after="0"/>
              <w:rPr>
                <w:sz w:val="20"/>
                <w:szCs w:val="20"/>
                <w:color w:val="auto"/>
              </w:rPr>
            </w:pPr>
            <w:r>
              <w:rPr>
                <w:rFonts w:ascii="Arial" w:cs="Arial" w:eastAsia="Arial" w:hAnsi="Arial"/>
                <w:sz w:val="18"/>
                <w:szCs w:val="18"/>
                <w:color w:val="auto"/>
              </w:rPr>
              <w:t>Title: Senior Vice President, Chief Financial Officer &amp; Treasurer</w:t>
            </w:r>
          </w:p>
        </w:tc>
      </w:tr>
      <w:tr>
        <w:trPr>
          <w:trHeight w:val="414"/>
        </w:trPr>
        <w:tc>
          <w:tcPr>
            <w:tcW w:w="3520" w:type="dxa"/>
            <w:vAlign w:val="bottom"/>
          </w:tcPr>
          <w:p>
            <w:pPr>
              <w:spacing w:after="0"/>
              <w:rPr>
                <w:sz w:val="20"/>
                <w:szCs w:val="20"/>
                <w:color w:val="auto"/>
              </w:rPr>
            </w:pPr>
            <w:r>
              <w:rPr>
                <w:rFonts w:ascii="Arial" w:cs="Arial" w:eastAsia="Arial" w:hAnsi="Arial"/>
                <w:sz w:val="18"/>
                <w:szCs w:val="18"/>
                <w:b w:val="1"/>
                <w:bCs w:val="1"/>
                <w:color w:val="auto"/>
              </w:rPr>
              <w:t>GUARANTORS:</w:t>
            </w:r>
          </w:p>
        </w:tc>
        <w:tc>
          <w:tcPr>
            <w:tcW w:w="7900" w:type="dxa"/>
            <w:vAlign w:val="bottom"/>
            <w:gridSpan w:val="2"/>
          </w:tcPr>
          <w:p>
            <w:pPr>
              <w:ind w:left="2180"/>
              <w:spacing w:after="0"/>
              <w:rPr>
                <w:sz w:val="20"/>
                <w:szCs w:val="20"/>
                <w:color w:val="auto"/>
              </w:rPr>
            </w:pPr>
            <w:r>
              <w:rPr>
                <w:rFonts w:ascii="Arial" w:cs="Arial" w:eastAsia="Arial" w:hAnsi="Arial"/>
                <w:sz w:val="18"/>
                <w:szCs w:val="18"/>
                <w:b w:val="1"/>
                <w:bCs w:val="1"/>
                <w:color w:val="auto"/>
              </w:rPr>
              <w:t>CLEARWAY ENERGY LLC</w:t>
            </w:r>
          </w:p>
        </w:tc>
      </w:tr>
      <w:tr>
        <w:trPr>
          <w:trHeight w:val="234"/>
        </w:trPr>
        <w:tc>
          <w:tcPr>
            <w:tcW w:w="3520" w:type="dxa"/>
            <w:vAlign w:val="bottom"/>
          </w:tcPr>
          <w:p>
            <w:pPr>
              <w:spacing w:after="0"/>
              <w:rPr>
                <w:sz w:val="20"/>
                <w:szCs w:val="20"/>
                <w:color w:val="auto"/>
              </w:rPr>
            </w:pPr>
          </w:p>
        </w:tc>
        <w:tc>
          <w:tcPr>
            <w:tcW w:w="7900" w:type="dxa"/>
            <w:vAlign w:val="bottom"/>
            <w:gridSpan w:val="2"/>
          </w:tcPr>
          <w:p>
            <w:pPr>
              <w:ind w:left="2180"/>
              <w:spacing w:after="0"/>
              <w:rPr>
                <w:sz w:val="20"/>
                <w:szCs w:val="20"/>
                <w:color w:val="auto"/>
              </w:rPr>
            </w:pPr>
            <w:r>
              <w:rPr>
                <w:rFonts w:ascii="Arial" w:cs="Arial" w:eastAsia="Arial" w:hAnsi="Arial"/>
                <w:sz w:val="18"/>
                <w:szCs w:val="18"/>
                <w:b w:val="1"/>
                <w:bCs w:val="1"/>
                <w:color w:val="auto"/>
              </w:rPr>
              <w:t>DGPV HOLDING LLC</w:t>
            </w:r>
          </w:p>
        </w:tc>
      </w:tr>
      <w:tr>
        <w:trPr>
          <w:trHeight w:val="648"/>
        </w:trPr>
        <w:tc>
          <w:tcPr>
            <w:tcW w:w="3520" w:type="dxa"/>
            <w:vAlign w:val="bottom"/>
          </w:tcPr>
          <w:p>
            <w:pPr>
              <w:spacing w:after="0"/>
              <w:rPr>
                <w:sz w:val="24"/>
                <w:szCs w:val="24"/>
                <w:color w:val="auto"/>
              </w:rPr>
            </w:pPr>
          </w:p>
        </w:tc>
        <w:tc>
          <w:tcPr>
            <w:tcW w:w="2660" w:type="dxa"/>
            <w:vAlign w:val="bottom"/>
          </w:tcPr>
          <w:p>
            <w:pPr>
              <w:ind w:left="2180"/>
              <w:spacing w:after="0"/>
              <w:rPr>
                <w:sz w:val="20"/>
                <w:szCs w:val="20"/>
                <w:color w:val="auto"/>
              </w:rPr>
            </w:pPr>
            <w:r>
              <w:rPr>
                <w:rFonts w:ascii="Arial" w:cs="Arial" w:eastAsia="Arial" w:hAnsi="Arial"/>
                <w:sz w:val="18"/>
                <w:szCs w:val="18"/>
                <w:color w:val="auto"/>
              </w:rPr>
              <w:t>By:</w:t>
            </w:r>
          </w:p>
        </w:tc>
        <w:tc>
          <w:tcPr>
            <w:tcW w:w="5240" w:type="dxa"/>
            <w:vAlign w:val="bottom"/>
          </w:tcPr>
          <w:p>
            <w:pPr>
              <w:spacing w:after="0"/>
              <w:rPr>
                <w:sz w:val="20"/>
                <w:szCs w:val="20"/>
                <w:color w:val="auto"/>
              </w:rPr>
            </w:pPr>
            <w:r>
              <w:rPr>
                <w:rFonts w:ascii="Arial" w:cs="Arial" w:eastAsia="Arial" w:hAnsi="Arial"/>
                <w:sz w:val="18"/>
                <w:szCs w:val="18"/>
                <w:color w:val="auto"/>
              </w:rPr>
              <w:t>/s/ Chad Plotkin</w:t>
            </w:r>
          </w:p>
        </w:tc>
      </w:tr>
    </w:tbl>
    <w:p>
      <w:pPr>
        <w:ind w:left="5700"/>
        <w:spacing w:after="0"/>
        <w:rPr>
          <w:sz w:val="20"/>
          <w:szCs w:val="20"/>
          <w:color w:val="auto"/>
        </w:rPr>
      </w:pPr>
      <w:r>
        <w:rPr>
          <w:rFonts w:ascii="Arial" w:cs="Arial" w:eastAsia="Arial" w:hAnsi="Arial"/>
          <w:sz w:val="18"/>
          <w:szCs w:val="18"/>
          <w:color w:val="auto"/>
        </w:rPr>
        <w:t>Name:Chad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3380" w:right="1000" w:firstLine="2319"/>
        <w:spacing w:after="0" w:line="511" w:lineRule="auto"/>
        <w:rPr>
          <w:sz w:val="20"/>
          <w:szCs w:val="20"/>
          <w:color w:val="auto"/>
        </w:rPr>
      </w:pPr>
      <w:r>
        <w:rPr>
          <w:rFonts w:ascii="Arial" w:cs="Arial" w:eastAsia="Arial" w:hAnsi="Arial"/>
          <w:sz w:val="18"/>
          <w:szCs w:val="18"/>
          <w:color w:val="auto"/>
        </w:rPr>
        <w:t>Title: Senior Vice President, Chief Financial Officer &amp; Treasurer [Signature Page to Fifth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ind w:left="4520"/>
        <w:spacing w:after="0"/>
        <w:rPr>
          <w:sz w:val="20"/>
          <w:szCs w:val="20"/>
          <w:color w:val="auto"/>
        </w:rPr>
      </w:pPr>
      <w:r>
        <w:rPr>
          <w:rFonts w:ascii="Arial" w:cs="Arial" w:eastAsia="Arial" w:hAnsi="Arial"/>
          <w:sz w:val="18"/>
          <w:szCs w:val="18"/>
          <w:b w:val="1"/>
          <w:bCs w:val="1"/>
          <w:color w:val="auto"/>
        </w:rPr>
        <w:t>ALTA WIND 1-5 HOLDING COMPANY, LLC</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ALTA WIND COMPANY, LLC</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CENTRAL CA FUEL CELL 1, LLC</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CLEARWAY SOLAR STAR LLC</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ECP UPTOWN CAMPUS HOLDINGS LLC</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ENERGY CENTER CAGUAS HOLDINGS LLC</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ENERGY CENTER FAJARDO HOLDINGS LLC</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FUEL CELL HOLDINGS LLC</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PORTFOLIO SOLAR I, LLC</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RPV HOLDING LLC</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SOLAR FLAGSTAFF ONE LLC</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SOLAR IGUANA LLC</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SOLAR LAS VEGAS MB 1 LLC</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SOLAR TABERNACLE LLC</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SOUTH TRENT HOLDINGS LLC</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SPP ASSET HOLDINGS, LLC</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SPP FUND II HOLDINGS, LLC</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SPP FUND II, LLC</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SPP FUND II-B, LLC</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SPP FUND III, LLC</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THERMAL CANADA INFRASTRUCTURE HOLDINGS LLC</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THERMAL INFRASTRUCTURE DEVELOPMENT HOLDINGS LLC</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THERMAL HAWAII DEVELOPMENT HOLDINGS LLC</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UB FUEL CELL, LLC</w:t>
      </w:r>
    </w:p>
    <w:p>
      <w:pPr>
        <w:spacing w:after="0" w:line="200" w:lineRule="exact"/>
        <w:rPr>
          <w:sz w:val="20"/>
          <w:szCs w:val="20"/>
          <w:color w:val="auto"/>
        </w:rPr>
      </w:pPr>
    </w:p>
    <w:p>
      <w:pPr>
        <w:spacing w:after="0" w:line="259"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23495</wp:posOffset>
            </wp:positionV>
            <wp:extent cx="33274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Name:Chad Plotkin</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Vice President &amp; Treasurer</w:t>
      </w:r>
    </w:p>
    <w:p>
      <w:pPr>
        <w:spacing w:after="0" w:line="225"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[Signature Page to Fifth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289560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060"/>
          </w:cols>
          <w:pgMar w:left="1440" w:top="931" w:right="399" w:bottom="1440" w:gutter="0" w:footer="0" w:header="0"/>
        </w:sectPr>
      </w:pPr>
    </w:p>
    <w:bookmarkStart w:id="12" w:name="page13"/>
    <w:bookmarkEnd w:id="12"/>
    <w:p>
      <w:pPr>
        <w:ind w:left="4500"/>
        <w:spacing w:after="0"/>
        <w:rPr>
          <w:sz w:val="20"/>
          <w:szCs w:val="20"/>
          <w:color w:val="auto"/>
        </w:rPr>
      </w:pPr>
      <w:r>
        <w:rPr>
          <w:rFonts w:ascii="Arial" w:cs="Arial" w:eastAsia="Arial" w:hAnsi="Arial"/>
          <w:sz w:val="17"/>
          <w:szCs w:val="17"/>
          <w:b w:val="1"/>
          <w:bCs w:val="1"/>
          <w:color w:val="auto"/>
        </w:rPr>
        <w:t>JPMORGAN CHASE BANK, N.A.,</w:t>
      </w:r>
    </w:p>
    <w:p>
      <w:pPr>
        <w:spacing w:after="0" w:line="5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as Administrative Agent</w:t>
      </w:r>
    </w:p>
    <w:p>
      <w:pPr>
        <w:spacing w:after="0" w:line="200" w:lineRule="exact"/>
        <w:rPr>
          <w:sz w:val="20"/>
          <w:szCs w:val="20"/>
          <w:color w:val="auto"/>
        </w:rPr>
      </w:pPr>
    </w:p>
    <w:p>
      <w:pPr>
        <w:spacing w:after="0" w:line="309"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/s/ Amit Gaur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23495</wp:posOffset>
            </wp:positionV>
            <wp:extent cx="33274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Name:Amit Gaur</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Vice President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Fifth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304165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13" w:name="page14"/>
    <w:bookmarkEnd w:id="13"/>
    <w:p>
      <w:pPr>
        <w:ind w:left="4500"/>
        <w:spacing w:after="0"/>
        <w:rPr>
          <w:sz w:val="20"/>
          <w:szCs w:val="20"/>
          <w:color w:val="auto"/>
        </w:rPr>
      </w:pPr>
      <w:r>
        <w:rPr>
          <w:rFonts w:ascii="Arial" w:cs="Arial" w:eastAsia="Arial" w:hAnsi="Arial"/>
          <w:sz w:val="17"/>
          <w:szCs w:val="17"/>
          <w:b w:val="1"/>
          <w:bCs w:val="1"/>
          <w:color w:val="auto"/>
        </w:rPr>
        <w:t>JPMORGAN CHASE BANK, N.A.,</w:t>
      </w:r>
    </w:p>
    <w:p>
      <w:pPr>
        <w:spacing w:after="0" w:line="5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as a Lender and L/C Issuer</w:t>
      </w:r>
    </w:p>
    <w:p>
      <w:pPr>
        <w:spacing w:after="0" w:line="200" w:lineRule="exact"/>
        <w:rPr>
          <w:sz w:val="20"/>
          <w:szCs w:val="20"/>
          <w:color w:val="auto"/>
        </w:rPr>
      </w:pPr>
    </w:p>
    <w:p>
      <w:pPr>
        <w:spacing w:after="0" w:line="309"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/s/ Amit Gaur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23495</wp:posOffset>
            </wp:positionV>
            <wp:extent cx="33274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Name:Amit Gaur</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Vice President</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Fifth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304165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14" w:name="page15"/>
    <w:bookmarkEnd w:id="14"/>
    <w:p>
      <w:pPr>
        <w:ind w:left="4500"/>
        <w:spacing w:after="0"/>
        <w:rPr>
          <w:sz w:val="20"/>
          <w:szCs w:val="20"/>
          <w:color w:val="auto"/>
        </w:rPr>
      </w:pPr>
      <w:r>
        <w:rPr>
          <w:rFonts w:ascii="Arial" w:cs="Arial" w:eastAsia="Arial" w:hAnsi="Arial"/>
          <w:sz w:val="17"/>
          <w:szCs w:val="17"/>
          <w:b w:val="1"/>
          <w:bCs w:val="1"/>
          <w:color w:val="auto"/>
        </w:rPr>
        <w:t>ABN AMRO CAPITAL USA LLC,</w:t>
      </w:r>
    </w:p>
    <w:p>
      <w:pPr>
        <w:spacing w:after="0" w:line="5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309"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/s/ Amit Wynalda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23495</wp:posOffset>
            </wp:positionV>
            <wp:extent cx="33274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Name:Amit Wynalda</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Executive Director</w:t>
      </w:r>
    </w:p>
    <w:p>
      <w:pPr>
        <w:spacing w:after="0" w:line="266"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/s/ Justin K.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23495</wp:posOffset>
            </wp:positionV>
            <wp:extent cx="33274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Name:Justin K. Martin</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Director</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Fifth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304165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15" w:name="page16"/>
    <w:bookmarkEnd w:id="15"/>
    <w:p>
      <w:pPr>
        <w:ind w:left="4500"/>
        <w:spacing w:after="0"/>
        <w:rPr>
          <w:sz w:val="20"/>
          <w:szCs w:val="20"/>
          <w:color w:val="auto"/>
        </w:rPr>
      </w:pPr>
      <w:r>
        <w:rPr>
          <w:rFonts w:ascii="Arial" w:cs="Arial" w:eastAsia="Arial" w:hAnsi="Arial"/>
          <w:sz w:val="18"/>
          <w:szCs w:val="18"/>
          <w:b w:val="1"/>
          <w:bCs w:val="1"/>
          <w:color w:val="auto"/>
        </w:rPr>
        <w:t>BANK OF AMERICA, N.A.,</w:t>
      </w:r>
    </w:p>
    <w:p>
      <w:pPr>
        <w:spacing w:after="0" w:line="4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as a Lender and L/C Issuer</w:t>
      </w:r>
    </w:p>
    <w:p>
      <w:pPr>
        <w:spacing w:after="0" w:line="200" w:lineRule="exact"/>
        <w:rPr>
          <w:sz w:val="20"/>
          <w:szCs w:val="20"/>
          <w:color w:val="auto"/>
        </w:rPr>
      </w:pPr>
    </w:p>
    <w:p>
      <w:pPr>
        <w:spacing w:after="0" w:line="309"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/s/ Jennifer Cochrane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23495</wp:posOffset>
            </wp:positionV>
            <wp:extent cx="33274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Name:Jennifer Cochrane</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Vice President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Fifth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304165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16" w:name="page17"/>
    <w:bookmarkEnd w:id="16"/>
    <w:p>
      <w:pPr>
        <w:ind w:left="4500"/>
        <w:spacing w:after="0"/>
        <w:rPr>
          <w:sz w:val="20"/>
          <w:szCs w:val="20"/>
          <w:color w:val="auto"/>
        </w:rPr>
      </w:pPr>
      <w:r>
        <w:rPr>
          <w:rFonts w:ascii="Arial" w:cs="Arial" w:eastAsia="Arial" w:hAnsi="Arial"/>
          <w:sz w:val="18"/>
          <w:szCs w:val="18"/>
          <w:b w:val="1"/>
          <w:bCs w:val="1"/>
          <w:color w:val="auto"/>
        </w:rPr>
        <w:t>BARCLAYS BANK PLC,</w:t>
      </w:r>
    </w:p>
    <w:p>
      <w:pPr>
        <w:spacing w:after="0" w:line="4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as a Lender and L/C Issuer</w:t>
      </w:r>
    </w:p>
    <w:p>
      <w:pPr>
        <w:spacing w:after="0" w:line="200" w:lineRule="exact"/>
        <w:rPr>
          <w:sz w:val="20"/>
          <w:szCs w:val="20"/>
          <w:color w:val="auto"/>
        </w:rPr>
      </w:pPr>
    </w:p>
    <w:p>
      <w:pPr>
        <w:spacing w:after="0" w:line="309"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/s/ Syndey G. Dennis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23495</wp:posOffset>
            </wp:positionV>
            <wp:extent cx="33274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Name:Sydney G. Dennis</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Director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Fifth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304165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17" w:name="page18"/>
    <w:bookmarkEnd w:id="17"/>
    <w:p>
      <w:pPr>
        <w:ind w:left="4500"/>
        <w:spacing w:after="0"/>
        <w:rPr>
          <w:sz w:val="20"/>
          <w:szCs w:val="20"/>
          <w:color w:val="auto"/>
        </w:rPr>
      </w:pPr>
      <w:r>
        <w:rPr>
          <w:rFonts w:ascii="Arial" w:cs="Arial" w:eastAsia="Arial" w:hAnsi="Arial"/>
          <w:sz w:val="18"/>
          <w:szCs w:val="18"/>
          <w:b w:val="1"/>
          <w:bCs w:val="1"/>
          <w:color w:val="auto"/>
        </w:rPr>
        <w:t>CITIBANK, N.A.,</w:t>
      </w:r>
    </w:p>
    <w:p>
      <w:pPr>
        <w:spacing w:after="0" w:line="4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309"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/s/ Ashwani Khubani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23495</wp:posOffset>
            </wp:positionV>
            <wp:extent cx="33274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Name:Ashwani Khubani</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Title: Vice President / Managing Director</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Fifth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304165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18" w:name="page19"/>
    <w:bookmarkEnd w:id="18"/>
    <w:p>
      <w:pPr>
        <w:ind w:left="4500"/>
        <w:spacing w:after="0"/>
        <w:rPr>
          <w:sz w:val="20"/>
          <w:szCs w:val="20"/>
          <w:color w:val="auto"/>
        </w:rPr>
      </w:pPr>
      <w:r>
        <w:rPr>
          <w:rFonts w:ascii="Arial" w:cs="Arial" w:eastAsia="Arial" w:hAnsi="Arial"/>
          <w:sz w:val="17"/>
          <w:szCs w:val="17"/>
          <w:b w:val="1"/>
          <w:bCs w:val="1"/>
          <w:color w:val="auto"/>
        </w:rPr>
        <w:t>GOLDMAN SACHS BANK USA,</w:t>
      </w:r>
    </w:p>
    <w:p>
      <w:pPr>
        <w:spacing w:after="0" w:line="5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309"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/s/ Jamie Minieri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23495</wp:posOffset>
            </wp:positionV>
            <wp:extent cx="33274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Name:Jamie Minieri</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Authorized Signatory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Fifth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304165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19" w:name="page20"/>
    <w:bookmarkEnd w:id="19"/>
    <w:p>
      <w:pPr>
        <w:ind w:left="4500"/>
        <w:spacing w:after="0"/>
        <w:rPr>
          <w:sz w:val="20"/>
          <w:szCs w:val="20"/>
          <w:color w:val="auto"/>
        </w:rPr>
      </w:pPr>
      <w:r>
        <w:rPr>
          <w:rFonts w:ascii="Arial" w:cs="Arial" w:eastAsia="Arial" w:hAnsi="Arial"/>
          <w:sz w:val="17"/>
          <w:szCs w:val="17"/>
          <w:b w:val="1"/>
          <w:bCs w:val="1"/>
          <w:color w:val="auto"/>
        </w:rPr>
        <w:t>CREDIT SUISSE AG, CAYMAN ISLANDS BRANCH,</w:t>
      </w:r>
    </w:p>
    <w:p>
      <w:pPr>
        <w:spacing w:after="0" w:line="5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as a Lender and L/C Issuer</w:t>
      </w:r>
    </w:p>
    <w:p>
      <w:pPr>
        <w:spacing w:after="0" w:line="200" w:lineRule="exact"/>
        <w:rPr>
          <w:sz w:val="20"/>
          <w:szCs w:val="20"/>
          <w:color w:val="auto"/>
        </w:rPr>
      </w:pPr>
    </w:p>
    <w:p>
      <w:pPr>
        <w:spacing w:after="0" w:line="309"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/s/ Mikhail Faybusovich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23495</wp:posOffset>
            </wp:positionV>
            <wp:extent cx="33274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Name:Mikahil Faybusovich</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Authorized Signatory</w:t>
      </w:r>
    </w:p>
    <w:p>
      <w:pPr>
        <w:spacing w:after="0" w:line="266"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/s/ Andrew Griffin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23495</wp:posOffset>
            </wp:positionV>
            <wp:extent cx="33274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Name:Andrew Griffin</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Authorized Signatory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Fifth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304165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20" w:name="page21"/>
    <w:bookmarkEnd w:id="20"/>
    <w:p>
      <w:pPr>
        <w:ind w:left="4500"/>
        <w:spacing w:after="0"/>
        <w:rPr>
          <w:sz w:val="20"/>
          <w:szCs w:val="20"/>
          <w:color w:val="auto"/>
        </w:rPr>
      </w:pPr>
      <w:r>
        <w:rPr>
          <w:rFonts w:ascii="Arial" w:cs="Arial" w:eastAsia="Arial" w:hAnsi="Arial"/>
          <w:sz w:val="18"/>
          <w:szCs w:val="18"/>
          <w:b w:val="1"/>
          <w:bCs w:val="1"/>
          <w:color w:val="auto"/>
        </w:rPr>
        <w:t>KEYBANK NATIONAL ASSOCIATION,</w:t>
      </w:r>
    </w:p>
    <w:p>
      <w:pPr>
        <w:spacing w:after="0" w:line="4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309"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/s/ Renee M. Bonnell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23495</wp:posOffset>
            </wp:positionV>
            <wp:extent cx="33274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Name:Renee M. Bonnell</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Senior Vice President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Fifth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304165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21" w:name="page22"/>
    <w:bookmarkEnd w:id="21"/>
    <w:p>
      <w:pPr>
        <w:ind w:left="4500"/>
        <w:spacing w:after="0"/>
        <w:rPr>
          <w:sz w:val="20"/>
          <w:szCs w:val="20"/>
          <w:color w:val="auto"/>
        </w:rPr>
      </w:pPr>
      <w:r>
        <w:rPr>
          <w:rFonts w:ascii="Arial" w:cs="Arial" w:eastAsia="Arial" w:hAnsi="Arial"/>
          <w:sz w:val="18"/>
          <w:szCs w:val="18"/>
          <w:b w:val="1"/>
          <w:bCs w:val="1"/>
          <w:color w:val="auto"/>
        </w:rPr>
        <w:t>MORGAN STANLEY SENIOR FUNDING, INC.</w:t>
      </w:r>
    </w:p>
    <w:p>
      <w:pPr>
        <w:spacing w:after="0" w:line="4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309"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/s/ Jack Kuhns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23495</wp:posOffset>
            </wp:positionV>
            <wp:extent cx="33274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Name:Jack Kuhns</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Vice President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Fifth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304165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22" w:name="page23"/>
    <w:bookmarkEnd w:id="22"/>
    <w:p>
      <w:pPr>
        <w:ind w:left="4500"/>
        <w:spacing w:after="0"/>
        <w:rPr>
          <w:sz w:val="20"/>
          <w:szCs w:val="20"/>
          <w:color w:val="auto"/>
        </w:rPr>
      </w:pPr>
      <w:r>
        <w:rPr>
          <w:rFonts w:ascii="Arial" w:cs="Arial" w:eastAsia="Arial" w:hAnsi="Arial"/>
          <w:sz w:val="17"/>
          <w:szCs w:val="17"/>
          <w:b w:val="1"/>
          <w:bCs w:val="1"/>
          <w:color w:val="auto"/>
        </w:rPr>
        <w:t>MUFG UNION BANK, N.A. f/k/a UNION BANK, N.A.,</w:t>
      </w:r>
    </w:p>
    <w:p>
      <w:pPr>
        <w:spacing w:after="0" w:line="5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309"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/s/ Kevin Sillona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23495</wp:posOffset>
            </wp:positionV>
            <wp:extent cx="33274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Name:Kevin Sillona</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Vice President</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Fifth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304165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23" w:name="page24"/>
    <w:bookmarkEnd w:id="23"/>
    <w:p>
      <w:pPr>
        <w:ind w:left="4500"/>
        <w:spacing w:after="0"/>
        <w:rPr>
          <w:sz w:val="20"/>
          <w:szCs w:val="20"/>
          <w:color w:val="auto"/>
        </w:rPr>
      </w:pPr>
      <w:r>
        <w:rPr>
          <w:rFonts w:ascii="Arial" w:cs="Arial" w:eastAsia="Arial" w:hAnsi="Arial"/>
          <w:sz w:val="18"/>
          <w:szCs w:val="18"/>
          <w:b w:val="1"/>
          <w:bCs w:val="1"/>
          <w:color w:val="auto"/>
        </w:rPr>
        <w:t>ROYAL BANK OF CANADA,</w:t>
      </w:r>
    </w:p>
    <w:p>
      <w:pPr>
        <w:spacing w:after="0" w:line="4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as a Lender and L/C Issuer</w:t>
      </w:r>
    </w:p>
    <w:p>
      <w:pPr>
        <w:spacing w:after="0" w:line="200" w:lineRule="exact"/>
        <w:rPr>
          <w:sz w:val="20"/>
          <w:szCs w:val="20"/>
          <w:color w:val="auto"/>
        </w:rPr>
      </w:pPr>
    </w:p>
    <w:p>
      <w:pPr>
        <w:spacing w:after="0" w:line="309"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/s/ Frank Lambrinos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23495</wp:posOffset>
            </wp:positionV>
            <wp:extent cx="33274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Name:Frank Lambrinos</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Authorized Signatory</w:t>
      </w: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[Signature Page to Fifth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320675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9019"/>
      </w:cols>
      <w:pgMar w:left="1440"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1)"/>
      <w:numFmt w:val="lowerLetter"/>
      <w:start w:val="4"/>
    </w:lvl>
  </w:abstractNum>
  <w:abstractNum w:abstractNumId="2">
    <w:nsid w:val="66EF438D"/>
    <w:multiLevelType w:val="hybridMultilevel"/>
    <w:lvl w:ilvl="0">
      <w:lvlJc w:val="left"/>
      <w:lvlText w:val="%1"/>
      <w:numFmt w:val="decimal"/>
      <w:start w:val="104"/>
    </w:lvl>
  </w:abstractNum>
  <w:abstractNum w:abstractNumId="3">
    <w:nsid w:val="140E0F76"/>
    <w:multiLevelType w:val="hybridMultilevel"/>
    <w:lvl w:ilvl="0">
      <w:lvlJc w:val="left"/>
      <w:lvlText w:val="%1."/>
      <w:numFmt w:val="upperLetter"/>
      <w:start w:val="1"/>
    </w:lvl>
  </w:abstractNum>
  <w:abstractNum w:abstractNumId="4">
    <w:nsid w:val="3352255A"/>
    <w:multiLevelType w:val="hybridMultilevel"/>
    <w:lvl w:ilvl="0">
      <w:lvlJc w:val="left"/>
      <w:lvlText w:val="%1."/>
      <w:numFmt w:val="upperLetter"/>
      <w:start w:val="2"/>
    </w:lvl>
  </w:abstractNum>
  <w:abstractNum w:abstractNumId="5">
    <w:nsid w:val="109CF92E"/>
    <w:multiLevelType w:val="hybridMultilevel"/>
    <w:lvl w:ilvl="0">
      <w:lvlJc w:val="left"/>
      <w:lvlText w:val="%1."/>
      <w:numFmt w:val="upperLetter"/>
      <w:start w:val="3"/>
    </w:lvl>
  </w:abstractNum>
  <w:abstractNum w:abstractNumId="6">
    <w:nsid w:val="DED7263"/>
    <w:multiLevelType w:val="hybridMultilevel"/>
    <w:lvl w:ilvl="0">
      <w:lvlJc w:val="left"/>
      <w:lvlText w:val="%1."/>
      <w:numFmt w:val="upperLetter"/>
      <w:start w:val="4"/>
    </w:lvl>
  </w:abstractNum>
  <w:abstractNum w:abstractNumId="7">
    <w:nsid w:val="7FDCC233"/>
    <w:multiLevelType w:val="hybridMultilevel"/>
    <w:lvl w:ilvl="0">
      <w:lvlJc w:val="left"/>
      <w:lvlText w:val="%1."/>
      <w:numFmt w:val="upperLetter"/>
      <w:start w:val="5"/>
    </w:lvl>
  </w:abstractNum>
  <w:abstractNum w:abstractNumId="8">
    <w:nsid w:val="1BEFD79F"/>
    <w:multiLevelType w:val="hybridMultilevel"/>
    <w:lvl w:ilvl="0">
      <w:lvlJc w:val="left"/>
      <w:lvlText w:val="%1."/>
      <w:numFmt w:val="upperLetter"/>
      <w:start w:val="6"/>
    </w:lvl>
  </w:abstractNum>
  <w:abstractNum w:abstractNumId="9">
    <w:nsid w:val="41A7C4C9"/>
    <w:multiLevelType w:val="hybridMultilevel"/>
    <w:lvl w:ilvl="0">
      <w:lvlJc w:val="left"/>
      <w:lvlText w:val="(%1)"/>
      <w:numFmt w:val="lowerLetter"/>
      <w:start w:val="1"/>
    </w:lvl>
  </w:abstractNum>
  <w:abstractNum w:abstractNumId="10">
    <w:nsid w:val="6B68079A"/>
    <w:multiLevelType w:val="hybridMultilevel"/>
    <w:lvl w:ilvl="0">
      <w:lvlJc w:val="left"/>
      <w:lvlText w:val="(%1)"/>
      <w:numFmt w:val="lowerLetter"/>
      <w:start w:val="2"/>
    </w:lvl>
  </w:abstractNum>
  <w:abstractNum w:abstractNumId="11">
    <w:nsid w:val="4E6AFB66"/>
    <w:multiLevelType w:val="hybridMultilevel"/>
    <w:lvl w:ilvl="0">
      <w:lvlJc w:val="left"/>
      <w:lvlText w:val="(%1)"/>
      <w:numFmt w:val="lowerRoman"/>
      <w:start w:val="1"/>
    </w:lvl>
  </w:abstractNum>
  <w:abstractNum w:abstractNumId="12">
    <w:nsid w:val="25E45D32"/>
    <w:multiLevelType w:val="hybridMultilevel"/>
    <w:lvl w:ilvl="0">
      <w:lvlJc w:val="left"/>
      <w:lvlText w:val="%1."/>
      <w:numFmt w:val="upperLetter"/>
      <w:start w:val="1"/>
    </w:lvl>
    <w:lvl w:ilvl="1">
      <w:lvlJc w:val="left"/>
      <w:lvlText w:val="%2."/>
      <w:numFmt w:val="lowerRoman"/>
      <w:start w:val="1"/>
    </w:lvl>
  </w:abstractNum>
  <w:abstractNum w:abstractNumId="13">
    <w:nsid w:val="519B500D"/>
    <w:multiLevelType w:val="hybridMultilevel"/>
    <w:lvl w:ilvl="0">
      <w:lvlJc w:val="left"/>
      <w:lvlText w:val="%1."/>
      <w:numFmt w:val="upperLetter"/>
      <w:start w:val="2"/>
    </w:lvl>
  </w:abstractNum>
  <w:abstractNum w:abstractNumId="14">
    <w:nsid w:val="431BD7B7"/>
    <w:multiLevelType w:val="hybridMultilevel"/>
    <w:lvl w:ilvl="0">
      <w:lvlJc w:val="left"/>
      <w:lvlText w:val="%1."/>
      <w:numFmt w:val="upperLetter"/>
      <w:start w:val="1"/>
    </w:lvl>
  </w:abstractNum>
  <w:abstractNum w:abstractNumId="15">
    <w:nsid w:val="3F2DBA31"/>
    <w:multiLevelType w:val="hybridMultilevel"/>
    <w:lvl w:ilvl="0">
      <w:lvlJc w:val="left"/>
      <w:lvlText w:val="%1."/>
      <w:numFmt w:val="upperLetter"/>
      <w:start w:val="4"/>
    </w:lvl>
  </w:abstractNum>
  <w:abstractNum w:abstractNumId="16">
    <w:nsid w:val="7C83E458"/>
    <w:multiLevelType w:val="hybridMultilevel"/>
    <w:lvl w:ilvl="0">
      <w:lvlJc w:val="left"/>
      <w:lvlText w:val="%1."/>
      <w:numFmt w:val="upperLetter"/>
      <w:start w:val="1"/>
    </w:lvl>
  </w:abstractNum>
  <w:abstractNum w:abstractNumId="17">
    <w:nsid w:val="257130A3"/>
    <w:multiLevelType w:val="hybridMultilevel"/>
    <w:lvl w:ilvl="0">
      <w:lvlJc w:val="left"/>
      <w:lvlText w:val="%1."/>
      <w:numFmt w:val="upperLetter"/>
      <w:start w:val="1"/>
    </w:lvl>
  </w:abstractNum>
  <w:abstractNum w:abstractNumId="18">
    <w:nsid w:val="62BBD95A"/>
    <w:multiLevelType w:val="hybridMultilevel"/>
    <w:lvl w:ilvl="0">
      <w:lvlJc w:val="left"/>
      <w:lvlText w:val="(%1)"/>
      <w:numFmt w:val="lowerRoman"/>
      <w:start w:val="1"/>
    </w:lvl>
  </w:abstractNum>
  <w:abstractNum w:abstractNumId="19">
    <w:nsid w:val="436C6125"/>
    <w:multiLevelType w:val="hybridMultilevel"/>
    <w:lvl w:ilvl="0">
      <w:lvlJc w:val="left"/>
      <w:lvlText w:val="%1"/>
      <w:numFmt w:val="lowerLetter"/>
      <w:start w:val="1"/>
    </w:lvl>
    <w:lvl w:ilvl="1">
      <w:lvlJc w:val="left"/>
      <w:lvlText w:val="%2."/>
      <w:numFmt w:val="upperLetter"/>
      <w:start w:val="2"/>
    </w:lvl>
  </w:abstractNum>
  <w:abstractNum w:abstractNumId="20">
    <w:nsid w:val="628C895D"/>
    <w:multiLevelType w:val="hybridMultilevel"/>
    <w:lvl w:ilvl="0">
      <w:lvlJc w:val="left"/>
      <w:lvlText w:val="(%1)"/>
      <w:numFmt w:val="lowerLetter"/>
      <w:start w:val="4"/>
    </w:lvl>
    <w:lvl w:ilvl="1">
      <w:lvlJc w:val="left"/>
      <w:lvlText w:val="%2."/>
      <w:numFmt w:val="upp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2019-12-27T16:37:29Z</dcterms:created>
  <dcterms:modified xsi:type="dcterms:W3CDTF">2019-12-27T16:37:29Z</dcterms:modified>
</cp:coreProperties>
</file>