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4060" w:right="3560" w:hanging="3836"/>
        <w:spacing w:after="0" w:line="505" w:lineRule="auto"/>
        <w:tabs>
          <w:tab w:leader="none" w:pos="612"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62" w:lineRule="exact"/>
        <w:rPr>
          <w:rFonts w:ascii="MS PGothic" w:cs="MS PGothic" w:eastAsia="MS PGothic" w:hAnsi="MS PGothic"/>
          <w:sz w:val="16"/>
          <w:szCs w:val="16"/>
          <w:color w:val="auto"/>
        </w:rPr>
      </w:pPr>
    </w:p>
    <w:p>
      <w:pPr>
        <w:ind w:left="560" w:hanging="3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001-36002</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Inc.</w:t>
      </w:r>
    </w:p>
    <w:p>
      <w:pPr>
        <w:spacing w:after="0" w:line="50" w:lineRule="exact"/>
        <w:rPr>
          <w:sz w:val="24"/>
          <w:szCs w:val="24"/>
          <w:color w:val="auto"/>
        </w:rPr>
      </w:pPr>
    </w:p>
    <w:tbl>
      <w:tblPr>
        <w:tblLayout w:type="fixed"/>
        <w:tblInd w:w="70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(Exact name of registrant as specified in its charter)</w:t>
            </w:r>
          </w:p>
        </w:tc>
        <w:tc>
          <w:tcPr>
            <w:tcW w:w="1840" w:type="dxa"/>
            <w:vAlign w:val="bottom"/>
          </w:tcPr>
          <w:p>
            <w:pPr>
              <w:spacing w:after="0"/>
              <w:rPr>
                <w:sz w:val="20"/>
                <w:szCs w:val="20"/>
                <w:color w:val="auto"/>
              </w:rPr>
            </w:pPr>
          </w:p>
        </w:tc>
      </w:tr>
      <w:tr>
        <w:trPr>
          <w:trHeight w:val="254"/>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46-1777204</w:t>
            </w:r>
          </w:p>
        </w:tc>
      </w:tr>
      <w:tr>
        <w:trPr>
          <w:trHeight w:val="256"/>
        </w:trPr>
        <w:tc>
          <w:tcPr>
            <w:tcW w:w="2720" w:type="dxa"/>
            <w:vAlign w:val="bottom"/>
          </w:tcPr>
          <w:p>
            <w:pPr>
              <w:jc w:val="center"/>
              <w:ind w:right="250"/>
              <w:spacing w:after="0"/>
              <w:rPr>
                <w:sz w:val="20"/>
                <w:szCs w:val="20"/>
                <w:color w:val="auto"/>
              </w:rPr>
            </w:pPr>
            <w:r>
              <w:rPr>
                <w:rFonts w:ascii="Arial" w:cs="Arial" w:eastAsia="Arial" w:hAnsi="Arial"/>
                <w:sz w:val="18"/>
                <w:szCs w:val="18"/>
                <w:color w:val="auto"/>
                <w:w w:val="92"/>
              </w:rPr>
              <w:t>(State or other jurisdiction</w:t>
            </w: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2"/>
              </w:rPr>
              <w:t>(I.R.S. Employer</w:t>
            </w:r>
          </w:p>
        </w:tc>
      </w:tr>
      <w:tr>
        <w:trPr>
          <w:trHeight w:val="230"/>
        </w:trPr>
        <w:tc>
          <w:tcPr>
            <w:tcW w:w="2720" w:type="dxa"/>
            <w:vAlign w:val="bottom"/>
          </w:tcPr>
          <w:p>
            <w:pPr>
              <w:jc w:val="center"/>
              <w:ind w:right="270"/>
              <w:spacing w:after="0"/>
              <w:rPr>
                <w:sz w:val="20"/>
                <w:szCs w:val="20"/>
                <w:color w:val="auto"/>
              </w:rPr>
            </w:pPr>
            <w:r>
              <w:rPr>
                <w:rFonts w:ascii="Arial" w:cs="Arial" w:eastAsia="Arial" w:hAnsi="Arial"/>
                <w:sz w:val="18"/>
                <w:szCs w:val="18"/>
                <w:color w:val="auto"/>
                <w:w w:val="92"/>
              </w:rPr>
              <w:t>of incorporation or organization)</w:t>
            </w:r>
          </w:p>
        </w:tc>
        <w:tc>
          <w:tcPr>
            <w:tcW w:w="2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2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300 Carnegie Center, Suite 300</w:t>
            </w: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Princeton</w:t>
            </w:r>
          </w:p>
        </w:tc>
        <w:tc>
          <w:tcPr>
            <w:tcW w:w="2540" w:type="dxa"/>
            <w:vAlign w:val="bottom"/>
          </w:tcPr>
          <w:p>
            <w:pPr>
              <w:ind w:left="420"/>
              <w:spacing w:after="0"/>
              <w:rPr>
                <w:sz w:val="20"/>
                <w:szCs w:val="20"/>
                <w:color w:val="auto"/>
              </w:rPr>
            </w:pPr>
            <w:r>
              <w:rPr>
                <w:rFonts w:ascii="Arial" w:cs="Arial" w:eastAsia="Arial" w:hAnsi="Arial"/>
                <w:sz w:val="18"/>
                <w:szCs w:val="18"/>
                <w:b w:val="1"/>
                <w:bCs w:val="1"/>
                <w:color w:val="auto"/>
              </w:rPr>
              <w:t>New Jersey</w:t>
            </w: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08540</w:t>
            </w:r>
          </w:p>
        </w:tc>
      </w:tr>
      <w:tr>
        <w:trPr>
          <w:trHeight w:val="270"/>
        </w:trPr>
        <w:tc>
          <w:tcPr>
            <w:tcW w:w="4740" w:type="dxa"/>
            <w:vAlign w:val="bottom"/>
            <w:gridSpan w:val="2"/>
          </w:tcPr>
          <w:p>
            <w:pPr>
              <w:ind w:left="1460"/>
              <w:spacing w:after="0"/>
              <w:rPr>
                <w:sz w:val="20"/>
                <w:szCs w:val="20"/>
                <w:color w:val="auto"/>
              </w:rPr>
            </w:pPr>
            <w:r>
              <w:rPr>
                <w:rFonts w:ascii="Arial" w:cs="Arial" w:eastAsia="Arial" w:hAnsi="Arial"/>
                <w:sz w:val="18"/>
                <w:szCs w:val="18"/>
                <w:color w:val="auto"/>
              </w:rPr>
              <w:t>(Address of principal executive offices)</w:t>
            </w:r>
          </w:p>
        </w:tc>
        <w:tc>
          <w:tcPr>
            <w:tcW w:w="2540" w:type="dxa"/>
            <w:vAlign w:val="bottom"/>
          </w:tcPr>
          <w:p>
            <w:pPr>
              <w:spacing w:after="0"/>
              <w:rPr>
                <w:sz w:val="23"/>
                <w:szCs w:val="23"/>
                <w:color w:val="auto"/>
              </w:rPr>
            </w:pP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left="4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0"/>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0"/>
              </w:rPr>
              <w:t>Class A Common Stock, par value $0.01</w:t>
            </w:r>
          </w:p>
        </w:tc>
        <w:tc>
          <w:tcPr>
            <w:tcW w:w="2640" w:type="dxa"/>
            <w:vAlign w:val="bottom"/>
          </w:tcPr>
          <w:p>
            <w:pPr>
              <w:jc w:val="center"/>
              <w:ind w:left="50"/>
              <w:spacing w:after="0"/>
              <w:rPr>
                <w:sz w:val="20"/>
                <w:szCs w:val="20"/>
                <w:color w:val="auto"/>
              </w:rPr>
            </w:pPr>
            <w:r>
              <w:rPr>
                <w:rFonts w:ascii="Arial" w:cs="Arial" w:eastAsia="Arial" w:hAnsi="Arial"/>
                <w:sz w:val="18"/>
                <w:szCs w:val="18"/>
                <w:color w:val="auto"/>
                <w:w w:val="97"/>
              </w:rPr>
              <w:t>CWEN.A</w:t>
            </w:r>
          </w:p>
        </w:tc>
        <w:tc>
          <w:tcPr>
            <w:tcW w:w="3900" w:type="dxa"/>
            <w:vAlign w:val="bottom"/>
          </w:tcPr>
          <w:p>
            <w:pPr>
              <w:jc w:val="center"/>
              <w:ind w:left="47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89"/>
              </w:rPr>
              <w:t>Class C Common Stock, par value $0.01</w:t>
            </w:r>
          </w:p>
        </w:tc>
        <w:tc>
          <w:tcPr>
            <w:tcW w:w="2640" w:type="dxa"/>
            <w:vAlign w:val="bottom"/>
          </w:tcPr>
          <w:p>
            <w:pPr>
              <w:jc w:val="center"/>
              <w:ind w:left="30"/>
              <w:spacing w:after="0"/>
              <w:rPr>
                <w:sz w:val="20"/>
                <w:szCs w:val="20"/>
                <w:color w:val="auto"/>
              </w:rPr>
            </w:pPr>
            <w:r>
              <w:rPr>
                <w:rFonts w:ascii="Arial" w:cs="Arial" w:eastAsia="Arial" w:hAnsi="Arial"/>
                <w:sz w:val="18"/>
                <w:szCs w:val="18"/>
                <w:color w:val="auto"/>
                <w:w w:val="94"/>
              </w:rPr>
              <w:t>CWEN</w:t>
            </w:r>
          </w:p>
        </w:tc>
        <w:tc>
          <w:tcPr>
            <w:tcW w:w="3900" w:type="dxa"/>
            <w:vAlign w:val="bottom"/>
          </w:tcPr>
          <w:p>
            <w:pPr>
              <w:jc w:val="center"/>
              <w:ind w:left="470"/>
              <w:spacing w:after="0"/>
              <w:rPr>
                <w:sz w:val="20"/>
                <w:szCs w:val="20"/>
                <w:color w:val="auto"/>
              </w:rPr>
            </w:pPr>
            <w:r>
              <w:rPr>
                <w:rFonts w:ascii="Arial" w:cs="Arial" w:eastAsia="Arial" w:hAnsi="Arial"/>
                <w:sz w:val="18"/>
                <w:szCs w:val="18"/>
                <w:color w:val="auto"/>
                <w:w w:val="91"/>
              </w:rPr>
              <w:t>New York Stock Exchange</w:t>
            </w:r>
          </w:p>
        </w:tc>
      </w:tr>
    </w:tbl>
    <w:p>
      <w:pPr>
        <w:spacing w:after="0" w:line="112" w:lineRule="exact"/>
        <w:rPr>
          <w:sz w:val="24"/>
          <w:szCs w:val="24"/>
          <w:color w:val="auto"/>
        </w:rPr>
      </w:pPr>
    </w:p>
    <w:p>
      <w:pPr>
        <w:jc w:val="both"/>
        <w:ind w:firstLine="283"/>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116" w:lineRule="exact"/>
        <w:rPr>
          <w:sz w:val="24"/>
          <w:szCs w:val="24"/>
          <w:color w:val="auto"/>
        </w:rPr>
      </w:pPr>
    </w:p>
    <w:p>
      <w:pPr>
        <w:jc w:val="both"/>
        <w:ind w:firstLine="283"/>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4"/>
          <w:szCs w:val="24"/>
          <w:color w:val="auto"/>
        </w:rPr>
      </w:pPr>
    </w:p>
    <w:p>
      <w:pPr>
        <w:jc w:val="center"/>
        <w:spacing w:after="0" w:line="184" w:lineRule="exact"/>
        <w:tabs>
          <w:tab w:leader="none" w:pos="22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20"/>
                <w:szCs w:val="20"/>
                <w:color w:val="auto"/>
              </w:rPr>
            </w:pPr>
            <w:r>
              <w:rPr>
                <w:rFonts w:ascii="Arial" w:cs="Arial" w:eastAsia="Arial" w:hAnsi="Arial"/>
                <w:sz w:val="16"/>
                <w:szCs w:val="16"/>
                <w:color w:val="auto"/>
              </w:rPr>
              <w:t>Exchange Act.</w:t>
            </w:r>
          </w:p>
        </w:tc>
        <w:tc>
          <w:tcPr>
            <w:tcW w:w="1460" w:type="dxa"/>
            <w:vAlign w:val="bottom"/>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17"/>
                <w:szCs w:val="17"/>
                <w:color w:val="auto"/>
              </w:rPr>
            </w:pPr>
          </w:p>
        </w:tc>
        <w:tc>
          <w:tcPr>
            <w:tcW w:w="90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3500" w:type="dxa"/>
            <w:vAlign w:val="bottom"/>
          </w:tcPr>
          <w:p>
            <w:pPr>
              <w:jc w:val="center"/>
              <w:ind w:left="413"/>
              <w:spacing w:after="0"/>
              <w:rPr>
                <w:sz w:val="20"/>
                <w:szCs w:val="20"/>
                <w:color w:val="auto"/>
              </w:rPr>
            </w:pPr>
            <w:r>
              <w:rPr>
                <w:rFonts w:ascii="Arial" w:cs="Arial" w:eastAsia="Arial" w:hAnsi="Arial"/>
                <w:sz w:val="18"/>
                <w:szCs w:val="18"/>
                <w:color w:val="auto"/>
                <w:w w:val="89"/>
              </w:rPr>
              <w:t>Large accelerated filer</w:t>
            </w:r>
          </w:p>
        </w:tc>
        <w:tc>
          <w:tcPr>
            <w:tcW w:w="1460" w:type="dxa"/>
            <w:vAlign w:val="bottom"/>
            <w:vMerge w:val="continue"/>
          </w:tcPr>
          <w:p>
            <w:pPr>
              <w:spacing w:after="0"/>
              <w:rPr>
                <w:sz w:val="19"/>
                <w:szCs w:val="19"/>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jc w:val="center"/>
              <w:ind w:left="413"/>
              <w:spacing w:after="0"/>
              <w:rPr>
                <w:sz w:val="20"/>
                <w:szCs w:val="20"/>
                <w:color w:val="auto"/>
              </w:rPr>
            </w:pPr>
            <w:r>
              <w:rPr>
                <w:rFonts w:ascii="Arial" w:cs="Arial" w:eastAsia="Arial" w:hAnsi="Arial"/>
                <w:sz w:val="18"/>
                <w:szCs w:val="18"/>
                <w:color w:val="auto"/>
                <w:w w:val="91"/>
              </w:rPr>
              <w:t>Non-accelerated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firstLine="324"/>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6" w:lineRule="exact"/>
        <w:rPr>
          <w:sz w:val="24"/>
          <w:szCs w:val="24"/>
          <w:color w:val="auto"/>
        </w:rPr>
      </w:pPr>
    </w:p>
    <w:p>
      <w:pPr>
        <w:ind w:left="5080"/>
        <w:spacing w:after="0" w:line="184" w:lineRule="exact"/>
        <w:tabs>
          <w:tab w:leader="none" w:pos="576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283"/>
        <w:spacing w:after="0" w:line="224" w:lineRule="auto"/>
        <w:rPr>
          <w:sz w:val="20"/>
          <w:szCs w:val="20"/>
          <w:color w:val="auto"/>
        </w:rPr>
      </w:pPr>
      <w:r>
        <w:rPr>
          <w:rFonts w:ascii="Arial" w:cs="Arial" w:eastAsia="Arial" w:hAnsi="Arial"/>
          <w:sz w:val="16"/>
          <w:szCs w:val="16"/>
          <w:color w:val="auto"/>
        </w:rPr>
        <w:t>As of April 30, 2020, there were 34,599,645 shares of Class A common stock outstanding, par value $0.01 per share, 42,738,750 shares of Class B common stock outstanding, par value $0.01 per share, 79,330,275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30480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4445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660" w:type="dxa"/>
            <w:vAlign w:val="bottom"/>
            <w:gridSpan w:val="4"/>
          </w:tcPr>
          <w:p>
            <w:pPr>
              <w:spacing w:after="0"/>
              <w:rPr>
                <w:sz w:val="17"/>
                <w:szCs w:val="17"/>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09"/>
        </w:trPr>
        <w:tc>
          <w:tcPr>
            <w:tcW w:w="10480" w:type="dxa"/>
            <w:vAlign w:val="bottom"/>
            <w:gridSpan w:val="18"/>
          </w:tcPr>
          <w:p>
            <w:pPr>
              <w:spacing w:after="0"/>
              <w:rPr>
                <w:sz w:val="20"/>
                <w:szCs w:val="20"/>
                <w:color w:val="auto"/>
              </w:rPr>
            </w:pPr>
            <w:r>
              <w:rPr>
                <w:rFonts w:ascii="Arial" w:cs="Arial" w:eastAsia="Arial" w:hAnsi="Arial"/>
                <w:sz w:val="18"/>
                <w:szCs w:val="18"/>
                <w:b w:val="1"/>
                <w:bCs w:val="1"/>
                <w:color w:val="0000FF"/>
              </w:rPr>
              <w:t>GLOSSARY OF TERMS</w:t>
            </w:r>
          </w:p>
        </w:tc>
        <w:tc>
          <w:tcPr>
            <w:tcW w:w="6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3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20" w:type="dxa"/>
            <w:vAlign w:val="bottom"/>
            <w:gridSpan w:val="8"/>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FINANCIAL STATEMENTS AND NOTES</w:t>
            </w:r>
          </w:p>
        </w:tc>
        <w:tc>
          <w:tcPr>
            <w:tcW w:w="6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0"/>
        </w:trPr>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 OPERATIONS</w:t>
            </w:r>
          </w:p>
        </w:tc>
        <w:tc>
          <w:tcPr>
            <w:tcW w:w="6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r>
      <w:tr>
        <w:trPr>
          <w:trHeight w:val="209"/>
        </w:trPr>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ITEM 4 — CONTROLS AND PROCEDURES</w:t>
            </w:r>
          </w:p>
        </w:tc>
        <w:tc>
          <w:tcPr>
            <w:tcW w:w="6820" w:type="dxa"/>
            <w:vAlign w:val="bottom"/>
            <w:gridSpan w:val="6"/>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54</w:t>
              </w:r>
            </w:hyperlink>
          </w:p>
        </w:tc>
      </w:tr>
      <w:tr>
        <w:trPr>
          <w:trHeight w:val="210"/>
        </w:trPr>
        <w:tc>
          <w:tcPr>
            <w:tcW w:w="29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20" w:type="dxa"/>
            <w:vAlign w:val="bottom"/>
            <w:gridSpan w:val="9"/>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55</w:t>
              </w:r>
            </w:hyperlink>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1 — LEGAL PROCEEDINGS</w:t>
            </w:r>
          </w:p>
        </w:tc>
        <w:tc>
          <w:tcPr>
            <w:tcW w:w="6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6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09"/>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 MINE SAFETY DISCLOSURES</w:t>
            </w:r>
          </w:p>
        </w:tc>
        <w:tc>
          <w:tcPr>
            <w:tcW w:w="6980" w:type="dxa"/>
            <w:vAlign w:val="bottom"/>
            <w:gridSpan w:val="7"/>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6"/>
              </w:rPr>
              <w:t>— OTHER INFORMATION</w:t>
            </w:r>
          </w:p>
        </w:tc>
        <w:tc>
          <w:tcPr>
            <w:tcW w:w="7540" w:type="dxa"/>
            <w:vAlign w:val="bottom"/>
            <w:gridSpan w:val="10"/>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 EXHIBITS</w:t>
            </w:r>
          </w:p>
        </w:tc>
        <w:tc>
          <w:tcPr>
            <w:tcW w:w="8600" w:type="dxa"/>
            <w:vAlign w:val="bottom"/>
            <w:gridSpan w:val="14"/>
          </w:tcPr>
          <w:p>
            <w:pPr>
              <w:spacing w:after="0"/>
              <w:rPr>
                <w:sz w:val="18"/>
                <w:szCs w:val="18"/>
                <w:color w:val="auto"/>
              </w:rPr>
            </w:pPr>
          </w:p>
        </w:tc>
        <w:tc>
          <w:tcPr>
            <w:tcW w:w="68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58</w:t>
              </w:r>
            </w:hyperlink>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68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21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of this Quarterly Report on Form 10-Q and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 of the Company's Annual Report on Form 10-K for the year ended December 31, 2019, as well as the following:</w:t>
      </w:r>
    </w:p>
    <w:p>
      <w:pPr>
        <w:spacing w:after="0" w:line="12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ind w:left="464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240"/>
          </w:cols>
          <w:pgMar w:left="320" w:top="891"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2019 Convertible Notes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2019 Form 10-K</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2020 Convertible Notes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 Senior Notes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$220 million aggregate principal amount of 3.50% convertible notes due 2019, issued by Clearway Energy,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Inc.'s Annual Report on Form 10-K for the year ended December 31, 2019</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$45 million aggregate principal amount of 3.25% convertible notes due 2020, issued by Clearway Energy, Inc.</w:t>
      </w:r>
    </w:p>
    <w:p>
      <w:pPr>
        <w:spacing w:after="0" w:line="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$500 million aggregate principal amount of 5.375% unsecured senior notes due 2024, issued by Clearway Energy Operating LLC</w:t>
      </w:r>
    </w:p>
    <w:p>
      <w:pPr>
        <w:spacing w:after="0" w:line="8" w:lineRule="exact"/>
        <w:rPr>
          <w:sz w:val="20"/>
          <w:szCs w:val="20"/>
          <w:color w:val="auto"/>
        </w:rPr>
      </w:pPr>
    </w:p>
    <w:p>
      <w:pPr>
        <w:sectPr>
          <w:pgSz w:w="11900" w:h="16838" w:orient="portrait"/>
          <w:cols w:equalWidth="0" w:num="2">
            <w:col w:w="2280" w:space="720"/>
            <w:col w:w="824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2026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2028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$600 million aggregate principal amount of 4.75% unsecured senior notes due 2028, issued by Clearway Energy</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indicative of future operating performance</w:t>
            </w: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AOCI</w:t>
            </w:r>
          </w:p>
        </w:tc>
        <w:tc>
          <w:tcPr>
            <w:tcW w:w="85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r>
      <w:tr>
        <w:trPr>
          <w:trHeight w:val="391"/>
        </w:trPr>
        <w:tc>
          <w:tcPr>
            <w:tcW w:w="2740" w:type="dxa"/>
            <w:vAlign w:val="bottom"/>
          </w:tcPr>
          <w:p>
            <w:pPr>
              <w:ind w:left="20"/>
              <w:spacing w:after="0"/>
              <w:rPr>
                <w:sz w:val="20"/>
                <w:szCs w:val="20"/>
                <w:color w:val="auto"/>
              </w:rPr>
            </w:pPr>
            <w:r>
              <w:rPr>
                <w:rFonts w:ascii="Arial" w:cs="Arial" w:eastAsia="Arial" w:hAnsi="Arial"/>
                <w:sz w:val="18"/>
                <w:szCs w:val="18"/>
                <w:color w:val="auto"/>
              </w:rPr>
              <w:t>ASC</w:t>
            </w:r>
          </w:p>
        </w:tc>
        <w:tc>
          <w:tcPr>
            <w:tcW w:w="8500" w:type="dxa"/>
            <w:vAlign w:val="bottom"/>
          </w:tcPr>
          <w:p>
            <w:pPr>
              <w:ind w:left="26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authoritative GAAP</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ASU</w:t>
            </w:r>
          </w:p>
        </w:tc>
        <w:tc>
          <w:tcPr>
            <w:tcW w:w="8500" w:type="dxa"/>
            <w:vAlign w:val="bottom"/>
          </w:tcPr>
          <w:p>
            <w:pPr>
              <w:ind w:left="260"/>
              <w:spacing w:after="0"/>
              <w:rPr>
                <w:sz w:val="20"/>
                <w:szCs w:val="20"/>
                <w:color w:val="auto"/>
              </w:rPr>
            </w:pPr>
            <w:r>
              <w:rPr>
                <w:rFonts w:ascii="Arial" w:cs="Arial" w:eastAsia="Arial" w:hAnsi="Arial"/>
                <w:sz w:val="18"/>
                <w:szCs w:val="18"/>
                <w:color w:val="auto"/>
              </w:rPr>
              <w:t>Accounting Standards Updates - updates to the ASC</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00" w:type="dxa"/>
            <w:vAlign w:val="bottom"/>
          </w:tcPr>
          <w:p>
            <w:pPr>
              <w:ind w:left="260"/>
              <w:spacing w:after="0"/>
              <w:rPr>
                <w:sz w:val="20"/>
                <w:szCs w:val="20"/>
                <w:color w:val="auto"/>
              </w:rPr>
            </w:pPr>
            <w:r>
              <w:rPr>
                <w:rFonts w:ascii="Arial" w:cs="Arial" w:eastAsia="Arial" w:hAnsi="Arial"/>
                <w:sz w:val="18"/>
                <w:szCs w:val="18"/>
                <w:color w:val="auto"/>
              </w:rPr>
              <w:t>At-The-Market Equity Offering Program</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Code</w:t>
            </w:r>
          </w:p>
        </w:tc>
        <w:tc>
          <w:tcPr>
            <w:tcW w:w="8500" w:type="dxa"/>
            <w:vAlign w:val="bottom"/>
          </w:tcPr>
          <w:p>
            <w:pPr>
              <w:ind w:left="260"/>
              <w:spacing w:after="0"/>
              <w:rPr>
                <w:sz w:val="20"/>
                <w:szCs w:val="20"/>
                <w:color w:val="auto"/>
              </w:rPr>
            </w:pPr>
            <w:r>
              <w:rPr>
                <w:rFonts w:ascii="Arial" w:cs="Arial" w:eastAsia="Arial" w:hAnsi="Arial"/>
                <w:sz w:val="18"/>
                <w:szCs w:val="18"/>
                <w:color w:val="auto"/>
              </w:rPr>
              <w:t>Title 11 of the U.S. Code</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Court</w:t>
            </w:r>
          </w:p>
        </w:tc>
        <w:tc>
          <w:tcPr>
            <w:tcW w:w="8500" w:type="dxa"/>
            <w:vAlign w:val="bottom"/>
          </w:tcPr>
          <w:p>
            <w:pPr>
              <w:ind w:left="260"/>
              <w:spacing w:after="0"/>
              <w:rPr>
                <w:sz w:val="20"/>
                <w:szCs w:val="20"/>
                <w:color w:val="auto"/>
              </w:rPr>
            </w:pPr>
            <w:r>
              <w:rPr>
                <w:rFonts w:ascii="Arial" w:cs="Arial" w:eastAsia="Arial" w:hAnsi="Arial"/>
                <w:sz w:val="18"/>
                <w:szCs w:val="18"/>
                <w:color w:val="auto"/>
              </w:rPr>
              <w:t>U.S. Bankruptcy Court for the Northern District of California</w:t>
            </w: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CAFD</w:t>
            </w:r>
          </w:p>
        </w:tc>
        <w:tc>
          <w:tcPr>
            <w:tcW w:w="8500" w:type="dxa"/>
            <w:vAlign w:val="bottom"/>
          </w:tcPr>
          <w:p>
            <w:pPr>
              <w:ind w:left="260"/>
              <w:spacing w:after="0"/>
              <w:rPr>
                <w:sz w:val="20"/>
                <w:szCs w:val="20"/>
                <w:color w:val="auto"/>
              </w:rPr>
            </w:pPr>
            <w:r>
              <w:rPr>
                <w:rFonts w:ascii="Arial" w:cs="Arial" w:eastAsia="Arial" w:hAnsi="Arial"/>
                <w:sz w:val="18"/>
                <w:szCs w:val="18"/>
                <w:color w:val="auto"/>
                <w:w w:val="97"/>
              </w:rPr>
              <w:t>A non-GAAP measure, Cash Available for Distribution is Adjusted EBITDA plus cash distributions/return of</w:t>
            </w: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investment from unconsolidated affiliates, adjustments to reflect CAFD generated by unconsolidated investments</w:t>
            </w: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that are not able to distribute project dividends due to the PG&amp;E Bankruptcy, cash receipts from notes receivable,</w:t>
            </w: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cash distributions from noncontrolling interests, less cash distributions to noncontrolling interests, maintenance</w:t>
            </w: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capital expenditures, pro-rata Adjusted EBITDA from unconsolidated affiliates, cash interest paid, income taxes</w:t>
            </w:r>
          </w:p>
        </w:tc>
      </w:tr>
      <w:tr>
        <w:trPr>
          <w:trHeight w:val="216"/>
        </w:trPr>
        <w:tc>
          <w:tcPr>
            <w:tcW w:w="274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4"/>
              </w:rPr>
              <w:t>paid, principal amortization of indebtedness, Walnut Creek investment payments, and changes in prepaid and</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accrued capacity payments, and adjusted for development expenses</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CEG</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w w:val="98"/>
              </w:rPr>
              <w:t>CEG Master Services Agreements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Clearway Energy Operating LLC, and CEG</w:t>
            </w: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LLC</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w w:val="95"/>
              </w:rPr>
              <w:t>B and Class D units of the Company, and Clearway Energy, Inc., the holder of the Class A and Class C units</w:t>
            </w: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Group LLC</w:t>
            </w:r>
          </w:p>
        </w:tc>
        <w:tc>
          <w:tcPr>
            <w:tcW w:w="8500" w:type="dxa"/>
            <w:vAlign w:val="bottom"/>
          </w:tcPr>
          <w:p>
            <w:pPr>
              <w:ind w:left="260"/>
              <w:spacing w:after="0"/>
              <w:rPr>
                <w:sz w:val="20"/>
                <w:szCs w:val="20"/>
                <w:color w:val="auto"/>
              </w:rPr>
            </w:pPr>
            <w:r>
              <w:rPr>
                <w:rFonts w:ascii="Arial" w:cs="Arial" w:eastAsia="Arial" w:hAnsi="Arial"/>
                <w:sz w:val="18"/>
                <w:szCs w:val="18"/>
                <w:color w:val="auto"/>
                <w:w w:val="95"/>
              </w:rPr>
              <w:t>The holder of the Company's Class B and Class D common shares and Clearway Energy LLC's Class B and</w:t>
            </w: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Class D units</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00" w:type="dxa"/>
            <w:vAlign w:val="bottom"/>
          </w:tcPr>
          <w:p>
            <w:pPr>
              <w:ind w:left="260"/>
              <w:spacing w:after="0"/>
              <w:rPr>
                <w:sz w:val="20"/>
                <w:szCs w:val="20"/>
                <w:color w:val="auto"/>
              </w:rPr>
            </w:pPr>
            <w:r>
              <w:rPr>
                <w:rFonts w:ascii="Arial" w:cs="Arial" w:eastAsia="Arial" w:hAnsi="Arial"/>
                <w:sz w:val="18"/>
                <w:szCs w:val="18"/>
                <w:color w:val="auto"/>
              </w:rPr>
              <w:t>The holder of the project assets that are owned by Clearway Energy LLC</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COD</w:t>
            </w:r>
          </w:p>
        </w:tc>
        <w:tc>
          <w:tcPr>
            <w:tcW w:w="8500" w:type="dxa"/>
            <w:vAlign w:val="bottom"/>
          </w:tcPr>
          <w:p>
            <w:pPr>
              <w:ind w:left="260"/>
              <w:spacing w:after="0"/>
              <w:rPr>
                <w:sz w:val="20"/>
                <w:szCs w:val="20"/>
                <w:color w:val="auto"/>
              </w:rPr>
            </w:pPr>
            <w:r>
              <w:rPr>
                <w:rFonts w:ascii="Arial" w:cs="Arial" w:eastAsia="Arial" w:hAnsi="Arial"/>
                <w:sz w:val="18"/>
                <w:szCs w:val="18"/>
                <w:color w:val="auto"/>
              </w:rPr>
              <w:t>Commercial Operation Date</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Company</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Inc. together with its consolidated subsidiaries</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w:t>
            </w:r>
          </w:p>
        </w:tc>
        <w:tc>
          <w:tcPr>
            <w:tcW w:w="8500" w:type="dxa"/>
            <w:vAlign w:val="bottom"/>
          </w:tcPr>
          <w:p>
            <w:pPr>
              <w:ind w:left="260"/>
              <w:spacing w:after="0"/>
              <w:rPr>
                <w:sz w:val="20"/>
                <w:szCs w:val="20"/>
                <w:color w:val="auto"/>
              </w:rPr>
            </w:pPr>
            <w:r>
              <w:rPr>
                <w:rFonts w:ascii="Arial" w:cs="Arial" w:eastAsia="Arial" w:hAnsi="Arial"/>
                <w:sz w:val="18"/>
                <w:szCs w:val="18"/>
                <w:color w:val="auto"/>
              </w:rPr>
              <w:t>California Valley Solar Ranch</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00" w:type="dxa"/>
            <w:vAlign w:val="bottom"/>
          </w:tcPr>
          <w:p>
            <w:pPr>
              <w:ind w:left="260"/>
              <w:spacing w:after="0"/>
              <w:rPr>
                <w:sz w:val="20"/>
                <w:szCs w:val="20"/>
                <w:color w:val="auto"/>
              </w:rPr>
            </w:pPr>
            <w:r>
              <w:rPr>
                <w:rFonts w:ascii="Arial" w:cs="Arial" w:eastAsia="Arial" w:hAnsi="Arial"/>
                <w:sz w:val="18"/>
                <w:szCs w:val="18"/>
                <w:color w:val="auto"/>
              </w:rPr>
              <w:t>CVSR Holdco LLC, the indirect owner of CVSR</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1</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1 LLC</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2</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2 LLC</w:t>
            </w:r>
          </w:p>
        </w:tc>
      </w:tr>
      <w:tr>
        <w:trPr>
          <w:trHeight w:val="905"/>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auto"/>
              </w:rPr>
              <w:t>4</w:t>
            </w:r>
          </w:p>
        </w:tc>
      </w:tr>
      <w:tr>
        <w:trPr>
          <w:trHeight w:val="115"/>
        </w:trPr>
        <w:tc>
          <w:tcPr>
            <w:tcW w:w="274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8580" w:type="dxa"/>
            <w:vAlign w:val="bottom"/>
          </w:tcPr>
          <w:p>
            <w:pPr>
              <w:ind w:left="34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Distributed Solar</w:t>
            </w:r>
          </w:p>
        </w:tc>
        <w:tc>
          <w:tcPr>
            <w:tcW w:w="8580" w:type="dxa"/>
            <w:vAlign w:val="bottom"/>
          </w:tcPr>
          <w:p>
            <w:pPr>
              <w:ind w:left="340"/>
              <w:spacing w:after="0"/>
              <w:rPr>
                <w:sz w:val="20"/>
                <w:szCs w:val="20"/>
                <w:color w:val="auto"/>
              </w:rPr>
            </w:pPr>
            <w:r>
              <w:rPr>
                <w:rFonts w:ascii="Arial" w:cs="Arial" w:eastAsia="Arial" w:hAnsi="Arial"/>
                <w:sz w:val="18"/>
                <w:szCs w:val="18"/>
                <w:color w:val="auto"/>
                <w:w w:val="97"/>
              </w:rPr>
              <w:t>Solar power projects, typically less than 20 MW in size, that primarily sell power produced to customers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the period ended August 31, 2018 and from CEG from August 31, 2018 through the period ending March 31,</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EBITDA</w:t>
            </w:r>
          </w:p>
        </w:tc>
        <w:tc>
          <w:tcPr>
            <w:tcW w:w="8580" w:type="dxa"/>
            <w:vAlign w:val="bottom"/>
          </w:tcPr>
          <w:p>
            <w:pPr>
              <w:ind w:left="340"/>
              <w:spacing w:after="0"/>
              <w:rPr>
                <w:sz w:val="20"/>
                <w:szCs w:val="20"/>
                <w:color w:val="auto"/>
              </w:rPr>
            </w:pPr>
            <w:r>
              <w:rPr>
                <w:rFonts w:ascii="Arial" w:cs="Arial" w:eastAsia="Arial" w:hAnsi="Arial"/>
                <w:sz w:val="18"/>
                <w:szCs w:val="18"/>
                <w:color w:val="auto"/>
              </w:rPr>
              <w:t>A non-GAAP measure, represents earnings before interest, tax, depreciation and amortization</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Economic Gross Margin</w:t>
            </w:r>
          </w:p>
        </w:tc>
        <w:tc>
          <w:tcPr>
            <w:tcW w:w="8580" w:type="dxa"/>
            <w:vAlign w:val="bottom"/>
          </w:tcPr>
          <w:p>
            <w:pPr>
              <w:ind w:left="340"/>
              <w:spacing w:after="0"/>
              <w:rPr>
                <w:sz w:val="20"/>
                <w:szCs w:val="20"/>
                <w:color w:val="auto"/>
              </w:rPr>
            </w:pPr>
            <w:r>
              <w:rPr>
                <w:rFonts w:ascii="Arial" w:cs="Arial" w:eastAsia="Arial" w:hAnsi="Arial"/>
                <w:sz w:val="18"/>
                <w:szCs w:val="18"/>
                <w:color w:val="auto"/>
                <w:w w:val="92"/>
              </w:rPr>
              <w:t>A non-GAAP measure, energy and capacity revenue less cost of fuels. See Item 2 — Management's Discussion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6"/>
              </w:rPr>
              <w:t>and Analysis of Financial Condition and Results of Operations — Management's discussion of the results of</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operations for the quarters ended March 31, 2020 and 2019 for a discussion of this measure.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ECP</w:t>
            </w:r>
          </w:p>
        </w:tc>
        <w:tc>
          <w:tcPr>
            <w:tcW w:w="8580" w:type="dxa"/>
            <w:vAlign w:val="bottom"/>
          </w:tcPr>
          <w:p>
            <w:pPr>
              <w:ind w:left="34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EPA</w:t>
            </w:r>
          </w:p>
        </w:tc>
        <w:tc>
          <w:tcPr>
            <w:tcW w:w="8580" w:type="dxa"/>
            <w:vAlign w:val="bottom"/>
          </w:tcPr>
          <w:p>
            <w:pPr>
              <w:ind w:left="34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3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GAAP</w:t>
            </w:r>
          </w:p>
        </w:tc>
        <w:tc>
          <w:tcPr>
            <w:tcW w:w="858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GenConn</w:t>
            </w:r>
          </w:p>
        </w:tc>
        <w:tc>
          <w:tcPr>
            <w:tcW w:w="8580" w:type="dxa"/>
            <w:vAlign w:val="bottom"/>
          </w:tcPr>
          <w:p>
            <w:pPr>
              <w:ind w:left="3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GIP</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GIP Transaction</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2"/>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4"/>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3"/>
              </w:rPr>
              <w:t>a 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HLBV</w:t>
            </w:r>
          </w:p>
        </w:tc>
        <w:tc>
          <w:tcPr>
            <w:tcW w:w="8580" w:type="dxa"/>
            <w:vAlign w:val="bottom"/>
          </w:tcPr>
          <w:p>
            <w:pPr>
              <w:ind w:left="3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(i) Agua Caliente Borrower 2 LLC, which owns a 16% interest (approximately 31% of NRG's 51% interest) in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the Agua Caliente solar farm and (ii) NRG's 100% ownership in the Class A equity interests in the Utah Solar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Portfolio (defined below), both acquired by the Company on March 27, 2017</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MMBtu</w:t>
            </w:r>
          </w:p>
        </w:tc>
        <w:tc>
          <w:tcPr>
            <w:tcW w:w="858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MWh</w:t>
            </w:r>
          </w:p>
        </w:tc>
        <w:tc>
          <w:tcPr>
            <w:tcW w:w="858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MWt</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NOLs</w:t>
            </w:r>
          </w:p>
        </w:tc>
        <w:tc>
          <w:tcPr>
            <w:tcW w:w="858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NPPD</w:t>
            </w:r>
          </w:p>
        </w:tc>
        <w:tc>
          <w:tcPr>
            <w:tcW w:w="8580" w:type="dxa"/>
            <w:vAlign w:val="bottom"/>
          </w:tcPr>
          <w:p>
            <w:pPr>
              <w:ind w:left="34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w:t>
            </w:r>
          </w:p>
        </w:tc>
        <w:tc>
          <w:tcPr>
            <w:tcW w:w="858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 TSA</w:t>
            </w:r>
          </w:p>
        </w:tc>
        <w:tc>
          <w:tcPr>
            <w:tcW w:w="8580" w:type="dxa"/>
            <w:vAlign w:val="bottom"/>
          </w:tcPr>
          <w:p>
            <w:pPr>
              <w:ind w:left="340"/>
              <w:spacing w:after="0"/>
              <w:rPr>
                <w:sz w:val="20"/>
                <w:szCs w:val="20"/>
                <w:color w:val="auto"/>
              </w:rPr>
            </w:pPr>
            <w:r>
              <w:rPr>
                <w:rFonts w:ascii="Arial" w:cs="Arial" w:eastAsia="Arial" w:hAnsi="Arial"/>
                <w:sz w:val="18"/>
                <w:szCs w:val="18"/>
                <w:color w:val="auto"/>
              </w:rPr>
              <w:t>Transition Services Agreement, dated as of August 31, 2018, by and between NRG and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OCL</w:t>
            </w:r>
          </w:p>
        </w:tc>
        <w:tc>
          <w:tcPr>
            <w:tcW w:w="858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O&amp;M</w:t>
            </w:r>
          </w:p>
        </w:tc>
        <w:tc>
          <w:tcPr>
            <w:tcW w:w="8580" w:type="dxa"/>
            <w:vAlign w:val="bottom"/>
          </w:tcPr>
          <w:p>
            <w:pPr>
              <w:ind w:left="34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PG&amp;E</w:t>
            </w:r>
          </w:p>
        </w:tc>
        <w:tc>
          <w:tcPr>
            <w:tcW w:w="858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PG&amp;E Bankruptcy</w:t>
            </w:r>
          </w:p>
        </w:tc>
        <w:tc>
          <w:tcPr>
            <w:tcW w:w="8580" w:type="dxa"/>
            <w:vAlign w:val="bottom"/>
          </w:tcPr>
          <w:p>
            <w:pPr>
              <w:ind w:left="340"/>
              <w:spacing w:after="0"/>
              <w:rPr>
                <w:sz w:val="20"/>
                <w:szCs w:val="20"/>
                <w:color w:val="auto"/>
              </w:rPr>
            </w:pPr>
            <w:r>
              <w:rPr>
                <w:rFonts w:ascii="Arial" w:cs="Arial" w:eastAsia="Arial" w:hAnsi="Arial"/>
                <w:sz w:val="18"/>
                <w:szCs w:val="18"/>
                <w:color w:val="auto"/>
                <w:w w:val="96"/>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relief under the Bankruptcy Code in the Bankruptcy Court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PPA</w:t>
            </w:r>
          </w:p>
        </w:tc>
        <w:tc>
          <w:tcPr>
            <w:tcW w:w="858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RENOM</w:t>
            </w:r>
          </w:p>
        </w:tc>
        <w:tc>
          <w:tcPr>
            <w:tcW w:w="858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8580" w:type="dxa"/>
            <w:vAlign w:val="bottom"/>
          </w:tcPr>
          <w:p>
            <w:pPr>
              <w:ind w:left="34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RTO</w:t>
            </w:r>
          </w:p>
        </w:tc>
        <w:tc>
          <w:tcPr>
            <w:tcW w:w="8580" w:type="dxa"/>
            <w:vAlign w:val="bottom"/>
          </w:tcPr>
          <w:p>
            <w:pPr>
              <w:ind w:left="34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90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the 2025 Senior Notes, the 2026 Senior Notes and the 2028 Senior Notes</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3"/>
          <w:szCs w:val="13"/>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Thermal Business</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22"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7"/>
          <w:szCs w:val="17"/>
          <w:color w:val="auto"/>
        </w:rPr>
        <w:t>The University of Pittsburgh Medical Center Thermal Project, a 73 MWt district energy system that allows ECP to provide steam, chilled water and 7.5 MW of emergency backup power service to UPMC</w:t>
      </w:r>
    </w:p>
    <w:p>
      <w:pPr>
        <w:spacing w:after="0" w:line="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Utility Scale Solar</w:t>
      </w:r>
    </w:p>
    <w:p>
      <w:pPr>
        <w:spacing w:after="0" w:line="20" w:lineRule="exact"/>
        <w:rPr>
          <w:sz w:val="20"/>
          <w:szCs w:val="20"/>
          <w:color w:val="auto"/>
        </w:rPr>
      </w:pPr>
      <w:r>
        <w:rPr>
          <w:sz w:val="20"/>
          <w:szCs w:val="20"/>
          <w:color w:val="auto"/>
        </w:rPr>
        <w:br w:type="column"/>
      </w:r>
    </w:p>
    <w:p>
      <w:pPr>
        <w:ind w:right="460"/>
        <w:spacing w:after="0" w:line="298" w:lineRule="auto"/>
        <w:rPr>
          <w:sz w:val="20"/>
          <w:szCs w:val="20"/>
          <w:color w:val="auto"/>
        </w:rPr>
      </w:pPr>
      <w:r>
        <w:rPr>
          <w:rFonts w:ascii="Arial" w:cs="Arial" w:eastAsia="Arial" w:hAnsi="Arial"/>
          <w:sz w:val="17"/>
          <w:szCs w:val="17"/>
          <w:color w:val="auto"/>
        </w:rPr>
        <w:t>Solar power projects, typically 20 MW or greater in size (on an alternating current, or AC, basis), that are interconnected into the transmission or distribution grid to sell power at a wholesale level</w:t>
      </w:r>
    </w:p>
    <w:p>
      <w:pPr>
        <w:spacing w:after="0" w:line="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Wind TE Holdco LLC, an 814 net MW portfolio of twelve wind projects</w:t>
      </w:r>
    </w:p>
    <w:p>
      <w:pPr>
        <w:spacing w:after="0" w:line="21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49" w:right="51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460" w:type="dxa"/>
            <w:vAlign w:val="bottom"/>
          </w:tcPr>
          <w:p>
            <w:pPr>
              <w:spacing w:after="0"/>
              <w:rPr>
                <w:sz w:val="14"/>
                <w:szCs w:val="14"/>
                <w:color w:val="auto"/>
              </w:rPr>
            </w:pPr>
          </w:p>
        </w:tc>
        <w:tc>
          <w:tcPr>
            <w:tcW w:w="1500" w:type="dxa"/>
            <w:vAlign w:val="bottom"/>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jc w:val="right"/>
              <w:ind w:right="7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9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Operating Revenues</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92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operating revenues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5"/>
        </w:trPr>
        <w:tc>
          <w:tcPr>
            <w:tcW w:w="5920" w:type="dxa"/>
            <w:vAlign w:val="bottom"/>
            <w:gridSpan w:val="3"/>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Cost of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Depreciation, amortization and accretion</w:t>
            </w:r>
          </w:p>
        </w:tc>
        <w:tc>
          <w:tcPr>
            <w:tcW w:w="4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Transaction and integration costs</w:t>
            </w:r>
          </w:p>
        </w:tc>
        <w:tc>
          <w:tcPr>
            <w:tcW w:w="4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Development costs</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2"/>
          </w:tcPr>
          <w:p>
            <w:pPr>
              <w:ind w:left="180"/>
              <w:spacing w:after="0"/>
              <w:rPr>
                <w:sz w:val="20"/>
                <w:szCs w:val="20"/>
                <w:color w:val="auto"/>
              </w:rPr>
            </w:pPr>
            <w:r>
              <w:rPr>
                <w:rFonts w:ascii="Arial" w:cs="Arial" w:eastAsia="Arial" w:hAnsi="Arial"/>
                <w:sz w:val="17"/>
                <w:szCs w:val="17"/>
                <w:color w:val="auto"/>
              </w:rPr>
              <w:t>Total operating costs and expenses</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5"/>
        </w:trPr>
        <w:tc>
          <w:tcPr>
            <w:tcW w:w="592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Equity in (losses) earnings of unconsolidated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Other income, net</w:t>
            </w:r>
          </w:p>
        </w:tc>
        <w:tc>
          <w:tcPr>
            <w:tcW w:w="4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Loss on debt extinguishment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4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other expense, net</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5920" w:type="dxa"/>
            <w:vAlign w:val="bottom"/>
            <w:gridSpan w:val="3"/>
          </w:tcPr>
          <w:p>
            <w:pPr>
              <w:ind w:left="20"/>
              <w:spacing w:after="0"/>
              <w:rPr>
                <w:sz w:val="20"/>
                <w:szCs w:val="20"/>
                <w:color w:val="auto"/>
              </w:rPr>
            </w:pPr>
            <w:r>
              <w:rPr>
                <w:rFonts w:ascii="Arial" w:cs="Arial" w:eastAsia="Arial" w:hAnsi="Arial"/>
                <w:sz w:val="17"/>
                <w:szCs w:val="17"/>
                <w:b w:val="1"/>
                <w:bCs w:val="1"/>
                <w:color w:val="auto"/>
              </w:rPr>
              <w:t>Loss Before Income Taxes</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Income tax benefit</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92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Loss</w:t>
            </w: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Less: Loss attributable to noncontrolling interests</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592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Loss Attributable to Clearway Energy, Inc.</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2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Losses Per Share Attributable to Clearway Energy, Inc. Class A and Class C</w:t>
            </w:r>
          </w:p>
        </w:tc>
        <w:tc>
          <w:tcPr>
            <w:tcW w:w="4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9980"/>
          </w:cols>
          <w:pgMar w:left="960" w:top="891" w:right="959" w:bottom="1440" w:gutter="0" w:footer="0" w:header="0"/>
        </w:sectPr>
      </w:pP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800" w:type="dxa"/>
            <w:vAlign w:val="bottom"/>
          </w:tcPr>
          <w:p>
            <w:pPr>
              <w:ind w:left="120"/>
              <w:spacing w:after="0"/>
              <w:rPr>
                <w:sz w:val="20"/>
                <w:szCs w:val="20"/>
                <w:color w:val="auto"/>
              </w:rPr>
            </w:pPr>
            <w:r>
              <w:rPr>
                <w:rFonts w:ascii="Arial" w:cs="Arial" w:eastAsia="Arial" w:hAnsi="Arial"/>
                <w:sz w:val="15"/>
                <w:szCs w:val="15"/>
                <w:color w:val="auto"/>
                <w:w w:val="99"/>
              </w:rPr>
              <w:t>Weighted average number of Class A common shares outstanding - basic and diluted</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120"/>
              <w:spacing w:after="0"/>
              <w:rPr>
                <w:sz w:val="20"/>
                <w:szCs w:val="20"/>
                <w:color w:val="auto"/>
              </w:rPr>
            </w:pPr>
            <w:r>
              <w:rPr>
                <w:rFonts w:ascii="Arial" w:cs="Arial" w:eastAsia="Arial" w:hAnsi="Arial"/>
                <w:sz w:val="15"/>
                <w:szCs w:val="15"/>
                <w:color w:val="auto"/>
                <w:w w:val="99"/>
              </w:rPr>
              <w:t>Weighted average number of Class C common shares outstanding - basic and diluted</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5800" w:type="dxa"/>
            <w:vAlign w:val="bottom"/>
          </w:tcPr>
          <w:p>
            <w:pPr>
              <w:spacing w:after="0" w:line="171" w:lineRule="exact"/>
              <w:rPr>
                <w:sz w:val="20"/>
                <w:szCs w:val="20"/>
                <w:color w:val="auto"/>
              </w:rPr>
            </w:pPr>
            <w:r>
              <w:rPr>
                <w:rFonts w:ascii="Arial" w:cs="Arial" w:eastAsia="Arial" w:hAnsi="Arial"/>
                <w:sz w:val="17"/>
                <w:szCs w:val="17"/>
                <w:b w:val="1"/>
                <w:bCs w:val="1"/>
                <w:color w:val="auto"/>
                <w:w w:val="90"/>
              </w:rPr>
              <w:t>Losses per Weighted Average Class A and Class C Common Share - Basic and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160"/>
              <w:spacing w:after="0" w:line="189" w:lineRule="exact"/>
              <w:rPr>
                <w:sz w:val="20"/>
                <w:szCs w:val="20"/>
                <w:color w:val="auto"/>
              </w:rPr>
            </w:pPr>
            <w:r>
              <w:rPr>
                <w:rFonts w:ascii="Arial" w:cs="Arial" w:eastAsia="Arial" w:hAnsi="Arial"/>
                <w:sz w:val="17"/>
                <w:szCs w:val="17"/>
                <w:b w:val="1"/>
                <w:bCs w:val="1"/>
                <w:color w:val="auto"/>
              </w:rPr>
              <w:t>Diluted</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63347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47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8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78"/>
        </w:trPr>
        <w:tc>
          <w:tcPr>
            <w:tcW w:w="540" w:type="dxa"/>
            <w:vAlign w:val="bottom"/>
          </w:tcPr>
          <w:p>
            <w:pPr>
              <w:jc w:val="right"/>
              <w:ind w:right="10"/>
              <w:spacing w:after="0"/>
              <w:rPr>
                <w:sz w:val="20"/>
                <w:szCs w:val="20"/>
                <w:color w:val="auto"/>
              </w:rPr>
            </w:pPr>
            <w:r>
              <w:rPr>
                <w:rFonts w:ascii="Arial" w:cs="Arial" w:eastAsia="Arial" w:hAnsi="Arial"/>
                <w:sz w:val="18"/>
                <w:szCs w:val="18"/>
                <w:color w:val="auto"/>
                <w:w w:val="89"/>
              </w:rPr>
              <w:t>(0.26)</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r>
    </w:tbl>
    <w:p>
      <w:pPr>
        <w:spacing w:after="0" w:line="1" w:lineRule="exact"/>
        <w:rPr>
          <w:sz w:val="20"/>
          <w:szCs w:val="20"/>
          <w:color w:val="auto"/>
        </w:rPr>
      </w:pPr>
    </w:p>
    <w:p>
      <w:pPr>
        <w:sectPr>
          <w:pgSz w:w="11900" w:h="16838" w:orient="portrait"/>
          <w:cols w:equalWidth="0" w:num="2">
            <w:col w:w="6620" w:space="720"/>
            <w:col w:w="2640"/>
          </w:cols>
          <w:pgMar w:left="960" w:top="891" w:right="959" w:bottom="1440" w:gutter="0" w:footer="0" w:header="0"/>
          <w:type w:val="continuous"/>
        </w:sectPr>
      </w:pPr>
    </w:p>
    <w:tbl>
      <w:tblPr>
        <w:tblLayout w:type="fixed"/>
        <w:tblInd w:w="0" w:type="dxa"/>
        <w:tblCellMar>
          <w:top w:w="0" w:type="dxa"/>
          <w:left w:w="0" w:type="dxa"/>
          <w:bottom w:w="0" w:type="dxa"/>
          <w:right w:w="0" w:type="dxa"/>
        </w:tblCellMar>
      </w:tblPr>
      <w:tr>
        <w:trPr>
          <w:trHeight w:val="327"/>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Dividends Per Class A Common Share</w:t>
            </w:r>
          </w:p>
        </w:tc>
        <w:tc>
          <w:tcPr>
            <w:tcW w:w="800" w:type="dxa"/>
            <w:vAlign w:val="bottom"/>
            <w:tcBorders>
              <w:top w:val="single" w:sz="8" w:color="auto"/>
              <w:bottom w:val="single" w:sz="8" w:color="auto"/>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spacing w:after="0"/>
              <w:rPr>
                <w:sz w:val="24"/>
                <w:szCs w:val="24"/>
                <w:color w:val="auto"/>
              </w:rPr>
            </w:pP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920" w:type="dxa"/>
            <w:vAlign w:val="bottom"/>
          </w:tcPr>
          <w:p>
            <w:pPr>
              <w:ind w:left="20"/>
              <w:spacing w:after="0"/>
              <w:rPr>
                <w:sz w:val="20"/>
                <w:szCs w:val="20"/>
                <w:color w:val="auto"/>
              </w:rPr>
            </w:pPr>
            <w:r>
              <w:rPr>
                <w:rFonts w:ascii="Arial" w:cs="Arial" w:eastAsia="Arial" w:hAnsi="Arial"/>
                <w:sz w:val="17"/>
                <w:szCs w:val="17"/>
                <w:b w:val="1"/>
                <w:bCs w:val="1"/>
                <w:color w:val="auto"/>
              </w:rPr>
              <w:t>Dividends Per Class C Common Share</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0.20</w:t>
            </w:r>
          </w:p>
        </w:tc>
      </w:tr>
      <w:tr>
        <w:trPr>
          <w:trHeight w:val="23"/>
        </w:trPr>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960" w:top="891" w:right="9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62"/>
        </w:trPr>
        <w:tc>
          <w:tcPr>
            <w:tcW w:w="7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760" w:type="dxa"/>
            <w:vAlign w:val="bottom"/>
            <w:tcBorders>
              <w:top w:val="single" w:sz="8" w:color="auto"/>
              <w:bottom w:val="single" w:sz="8" w:color="BFE4FF"/>
            </w:tcBorders>
          </w:tcPr>
          <w:p>
            <w:pPr>
              <w:spacing w:after="0" w:line="20" w:lineRule="exact"/>
              <w:rPr>
                <w:sz w:val="1"/>
                <w:szCs w:val="1"/>
                <w:color w:val="auto"/>
              </w:rPr>
            </w:pPr>
          </w:p>
        </w:tc>
        <w:tc>
          <w:tcPr>
            <w:tcW w:w="6420" w:type="dxa"/>
            <w:vAlign w:val="bottom"/>
            <w:tcBorders>
              <w:bottom w:val="single" w:sz="8" w:color="BFE4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3"/>
        </w:trPr>
        <w:tc>
          <w:tcPr>
            <w:tcW w:w="72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7"/>
                <w:szCs w:val="17"/>
                <w:b w:val="1"/>
                <w:bCs w:val="1"/>
                <w:color w:val="auto"/>
              </w:rPr>
              <w:t>Net Loss</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shd w:val="clear" w:color="auto" w:fill="BFE4FF"/>
          </w:tcPr>
          <w:p>
            <w:pPr>
              <w:spacing w:after="0"/>
              <w:rPr>
                <w:sz w:val="23"/>
                <w:szCs w:val="23"/>
                <w:color w:val="auto"/>
              </w:rPr>
            </w:pPr>
          </w:p>
        </w:tc>
        <w:tc>
          <w:tcPr>
            <w:tcW w:w="7180" w:type="dxa"/>
            <w:vAlign w:val="bottom"/>
            <w:gridSpan w:val="2"/>
            <w:shd w:val="clear" w:color="auto" w:fill="BFE4FF"/>
          </w:tcPr>
          <w:p>
            <w:pPr>
              <w:ind w:left="160"/>
              <w:spacing w:after="0"/>
              <w:rPr>
                <w:sz w:val="20"/>
                <w:szCs w:val="20"/>
                <w:color w:val="auto"/>
              </w:rPr>
            </w:pPr>
            <w:r>
              <w:rPr>
                <w:rFonts w:ascii="Arial" w:cs="Arial" w:eastAsia="Arial" w:hAnsi="Arial"/>
                <w:sz w:val="18"/>
                <w:szCs w:val="18"/>
                <w:color w:val="auto"/>
              </w:rPr>
              <w:t>Unrealized loss on derivatives, net of income tax benefit of $2 and $0</w:t>
            </w:r>
          </w:p>
        </w:tc>
        <w:tc>
          <w:tcPr>
            <w:tcW w:w="260" w:type="dxa"/>
            <w:vAlign w:val="bottom"/>
            <w:tcBorders>
              <w:bottom w:val="single" w:sz="8" w:color="auto"/>
            </w:tcBorders>
            <w:shd w:val="clear" w:color="auto" w:fill="BFE4FF"/>
          </w:tcPr>
          <w:p>
            <w:pPr>
              <w:spacing w:after="0"/>
              <w:rPr>
                <w:sz w:val="23"/>
                <w:szCs w:val="23"/>
                <w:color w:val="auto"/>
              </w:rPr>
            </w:pPr>
          </w:p>
        </w:tc>
        <w:tc>
          <w:tcPr>
            <w:tcW w:w="108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BFE4FF"/>
            </w:tcBorders>
          </w:tcPr>
          <w:p>
            <w:pPr>
              <w:spacing w:after="0"/>
              <w:rPr>
                <w:sz w:val="2"/>
                <w:szCs w:val="2"/>
                <w:color w:val="auto"/>
              </w:rPr>
            </w:pPr>
          </w:p>
        </w:tc>
        <w:tc>
          <w:tcPr>
            <w:tcW w:w="760" w:type="dxa"/>
            <w:vAlign w:val="bottom"/>
            <w:tcBorders>
              <w:bottom w:val="single" w:sz="8" w:color="BFE4FF"/>
            </w:tcBorders>
          </w:tcPr>
          <w:p>
            <w:pPr>
              <w:spacing w:after="0"/>
              <w:rPr>
                <w:sz w:val="2"/>
                <w:szCs w:val="2"/>
                <w:color w:val="auto"/>
              </w:rPr>
            </w:pPr>
          </w:p>
        </w:tc>
        <w:tc>
          <w:tcPr>
            <w:tcW w:w="64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0" w:type="dxa"/>
            <w:vAlign w:val="bottom"/>
            <w:tcBorders>
              <w:bottom w:val="single" w:sz="8" w:color="BFE4FF"/>
            </w:tcBorders>
          </w:tcPr>
          <w:p>
            <w:pPr>
              <w:spacing w:after="0"/>
              <w:rPr>
                <w:sz w:val="2"/>
                <w:szCs w:val="2"/>
                <w:color w:val="auto"/>
              </w:rPr>
            </w:pPr>
          </w:p>
        </w:tc>
        <w:tc>
          <w:tcPr>
            <w:tcW w:w="760" w:type="dxa"/>
            <w:vAlign w:val="bottom"/>
            <w:tcBorders>
              <w:bottom w:val="single" w:sz="8" w:color="BFE4FF"/>
            </w:tcBorders>
          </w:tcPr>
          <w:p>
            <w:pPr>
              <w:spacing w:after="0"/>
              <w:rPr>
                <w:sz w:val="2"/>
                <w:szCs w:val="2"/>
                <w:color w:val="auto"/>
              </w:rPr>
            </w:pPr>
          </w:p>
        </w:tc>
        <w:tc>
          <w:tcPr>
            <w:tcW w:w="64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72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8"/>
                <w:szCs w:val="18"/>
                <w:b w:val="1"/>
                <w:bCs w:val="1"/>
                <w:color w:val="auto"/>
              </w:rPr>
              <w:t>Comprehensive Loss Attributable to Clearway Energy, Inc.</w:t>
            </w:r>
          </w:p>
        </w:tc>
        <w:tc>
          <w:tcPr>
            <w:tcW w:w="26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BFE4FF"/>
            </w:tcBorders>
            <w:shd w:val="clear" w:color="auto" w:fill="BFE4FF"/>
          </w:tcPr>
          <w:p>
            <w:pPr>
              <w:spacing w:after="0"/>
              <w:rPr>
                <w:sz w:val="24"/>
                <w:szCs w:val="24"/>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Borders>
              <w:top w:val="single" w:sz="8" w:color="BFE4FF"/>
            </w:tcBorders>
          </w:tcPr>
          <w:p>
            <w:pPr>
              <w:spacing w:after="0" w:line="20" w:lineRule="exact"/>
              <w:rPr>
                <w:sz w:val="1"/>
                <w:szCs w:val="1"/>
                <w:color w:val="auto"/>
              </w:rPr>
            </w:pPr>
          </w:p>
        </w:tc>
        <w:tc>
          <w:tcPr>
            <w:tcW w:w="760" w:type="dxa"/>
            <w:vAlign w:val="bottom"/>
            <w:tcBorders>
              <w:top w:val="single" w:sz="8" w:color="BFE4FF"/>
            </w:tcBorders>
          </w:tcPr>
          <w:p>
            <w:pPr>
              <w:spacing w:after="0" w:line="20" w:lineRule="exact"/>
              <w:rPr>
                <w:sz w:val="1"/>
                <w:szCs w:val="1"/>
                <w:color w:val="auto"/>
              </w:rPr>
            </w:pPr>
          </w:p>
        </w:tc>
        <w:tc>
          <w:tcPr>
            <w:tcW w:w="64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60" w:top="891" w:right="9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(In millions, except shares)</w:t>
            </w: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Pr>
          <w:p>
            <w:pPr>
              <w:spacing w:after="0"/>
              <w:rPr>
                <w:sz w:val="17"/>
                <w:szCs w:val="17"/>
                <w:color w:val="auto"/>
              </w:rPr>
            </w:pPr>
          </w:p>
        </w:tc>
        <w:tc>
          <w:tcPr>
            <w:tcW w:w="158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5320" w:type="dxa"/>
            <w:vAlign w:val="bottom"/>
            <w:vMerge w:val="restart"/>
          </w:tcPr>
          <w:p>
            <w:pPr>
              <w:jc w:val="center"/>
              <w:ind w:right="1799"/>
              <w:spacing w:after="0"/>
              <w:rPr>
                <w:sz w:val="20"/>
                <w:szCs w:val="20"/>
                <w:color w:val="auto"/>
              </w:rPr>
            </w:pPr>
            <w:r>
              <w:rPr>
                <w:rFonts w:ascii="Arial" w:cs="Arial" w:eastAsia="Arial" w:hAnsi="Arial"/>
                <w:sz w:val="16"/>
                <w:szCs w:val="16"/>
                <w:b w:val="1"/>
                <w:bCs w:val="1"/>
                <w:color w:val="auto"/>
                <w:w w:val="93"/>
              </w:rPr>
              <w:t>ASSETS</w:t>
            </w: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trade</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6"/>
                <w:szCs w:val="16"/>
                <w:color w:val="auto"/>
              </w:rPr>
              <w:t>Accounts receivable — affiliate</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6,001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6,063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Right of use assets, net</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1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7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gridSpan w:val="2"/>
          </w:tcPr>
          <w:p>
            <w:pPr>
              <w:ind w:left="100"/>
              <w:spacing w:after="0"/>
              <w:rPr>
                <w:sz w:val="20"/>
                <w:szCs w:val="20"/>
                <w:color w:val="auto"/>
              </w:rPr>
            </w:pPr>
            <w:r>
              <w:rPr>
                <w:rFonts w:ascii="Arial" w:cs="Arial" w:eastAsia="Arial" w:hAnsi="Arial"/>
                <w:sz w:val="16"/>
                <w:szCs w:val="16"/>
                <w:color w:val="auto"/>
              </w:rPr>
              <w:t>Accounts payable — trade</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Accounts payable — affiliate</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160" w:type="dxa"/>
            <w:vAlign w:val="bottom"/>
            <w:gridSpan w:val="2"/>
          </w:tcPr>
          <w:p>
            <w:pPr>
              <w:ind w:left="10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Accrued interest expense</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gridSpan w:val="2"/>
          </w:tcPr>
          <w:p>
            <w:pPr>
              <w:ind w:left="10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Long-term lease liabilities</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60" w:type="dxa"/>
            <w:vAlign w:val="bottom"/>
            <w:gridSpan w:val="2"/>
          </w:tcPr>
          <w:p>
            <w:pPr>
              <w:ind w:left="10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5,577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7,291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160" w:type="dxa"/>
            <w:vAlign w:val="bottom"/>
            <w:gridSpan w:val="2"/>
          </w:tcPr>
          <w:p>
            <w:pPr>
              <w:ind w:left="120"/>
              <w:spacing w:after="0" w:line="166" w:lineRule="exact"/>
              <w:rPr>
                <w:sz w:val="20"/>
                <w:szCs w:val="20"/>
                <w:color w:val="auto"/>
              </w:rPr>
            </w:pPr>
            <w:r>
              <w:rPr>
                <w:rFonts w:ascii="Arial" w:cs="Arial" w:eastAsia="Arial" w:hAnsi="Arial"/>
                <w:sz w:val="16"/>
                <w:szCs w:val="16"/>
                <w:color w:val="auto"/>
                <w:w w:val="94"/>
              </w:rPr>
              <w:t>Class A, Class B, Class C and Class D common stock, $0.01 par value; 3,000,000,000 shares authorized</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gridSpan w:val="2"/>
          </w:tcPr>
          <w:p>
            <w:pPr>
              <w:ind w:left="120"/>
              <w:spacing w:after="0" w:line="162" w:lineRule="exact"/>
              <w:rPr>
                <w:sz w:val="20"/>
                <w:szCs w:val="20"/>
                <w:color w:val="auto"/>
              </w:rPr>
            </w:pPr>
            <w:r>
              <w:rPr>
                <w:rFonts w:ascii="Arial" w:cs="Arial" w:eastAsia="Arial" w:hAnsi="Arial"/>
                <w:sz w:val="16"/>
                <w:szCs w:val="16"/>
                <w:color w:val="auto"/>
                <w:w w:val="92"/>
              </w:rPr>
              <w:t>(Class A 500,000,000, Class B 500,000,000, Class C 1,000,000,000, Class D 1,000,000,000); 199,406,906</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gridSpan w:val="2"/>
          </w:tcPr>
          <w:p>
            <w:pPr>
              <w:ind w:left="120"/>
              <w:spacing w:after="0" w:line="162" w:lineRule="exact"/>
              <w:rPr>
                <w:sz w:val="20"/>
                <w:szCs w:val="20"/>
                <w:color w:val="auto"/>
              </w:rPr>
            </w:pPr>
            <w:r>
              <w:rPr>
                <w:rFonts w:ascii="Arial" w:cs="Arial" w:eastAsia="Arial" w:hAnsi="Arial"/>
                <w:sz w:val="16"/>
                <w:szCs w:val="16"/>
                <w:color w:val="auto"/>
                <w:w w:val="96"/>
              </w:rPr>
              <w:t>shares issued and outstanding (Class A 34,599,645, Class B 42,738,750, Class C 79,329,761, Class D</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gridSpan w:val="2"/>
          </w:tcPr>
          <w:p>
            <w:pPr>
              <w:ind w:left="120"/>
              <w:spacing w:after="0" w:line="162" w:lineRule="exact"/>
              <w:rPr>
                <w:sz w:val="20"/>
                <w:szCs w:val="20"/>
                <w:color w:val="auto"/>
              </w:rPr>
            </w:pPr>
            <w:r>
              <w:rPr>
                <w:rFonts w:ascii="Arial" w:cs="Arial" w:eastAsia="Arial" w:hAnsi="Arial"/>
                <w:sz w:val="16"/>
                <w:szCs w:val="16"/>
                <w:color w:val="auto"/>
                <w:w w:val="91"/>
              </w:rPr>
              <w:t>42,738,750) at March 31, 2020 and 198,819,999 shares issued and outstanding (Class A 34,599,645, Class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gridSpan w:val="2"/>
          </w:tcPr>
          <w:p>
            <w:pPr>
              <w:ind w:left="120"/>
              <w:spacing w:after="0"/>
              <w:rPr>
                <w:sz w:val="20"/>
                <w:szCs w:val="20"/>
                <w:color w:val="auto"/>
              </w:rPr>
            </w:pPr>
            <w:r>
              <w:rPr>
                <w:rFonts w:ascii="Arial" w:cs="Arial" w:eastAsia="Arial" w:hAnsi="Arial"/>
                <w:sz w:val="16"/>
                <w:szCs w:val="16"/>
                <w:color w:val="auto"/>
              </w:rPr>
              <w:t>B 42,738,750, Class C 78,742,854, Class D 42,738,750) at December 31, 2019</w:t>
            </w:r>
          </w:p>
        </w:tc>
        <w:tc>
          <w:tcPr>
            <w:tcW w:w="240" w:type="dxa"/>
            <w:vAlign w:val="bottom"/>
          </w:tcPr>
          <w:p>
            <w:pPr>
              <w:spacing w:after="0"/>
              <w:rPr>
                <w:sz w:val="18"/>
                <w:szCs w:val="18"/>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160" w:type="dxa"/>
            <w:vAlign w:val="bottom"/>
            <w:gridSpan w:val="2"/>
          </w:tcPr>
          <w:p>
            <w:pPr>
              <w:ind w:left="10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769" w:right="5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90"/>
        </w:trPr>
        <w:tc>
          <w:tcPr>
            <w:tcW w:w="8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r>
      <w:tr>
        <w:trPr>
          <w:trHeight w:val="255"/>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r>
      <w:tr>
        <w:trPr>
          <w:trHeight w:val="243"/>
        </w:trPr>
        <w:tc>
          <w:tcPr>
            <w:tcW w:w="838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in earnings (losses) of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 and out-of-market contracts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Right-of-use asset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Changes in deferred income taxes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derivative instruments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Loss on disposal of asset components</w:t>
            </w:r>
          </w:p>
        </w:tc>
        <w:tc>
          <w:tcPr>
            <w:tcW w:w="84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provided by (used in) changes in other working capital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other working capital</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Partnership interest acquisition</w:t>
            </w:r>
          </w:p>
        </w:tc>
        <w:tc>
          <w:tcPr>
            <w:tcW w:w="84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Buyout of Wind TE Holdco noncontrolling interest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Insurance proceeds</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Net contributions from noncontrolling interests</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proceeds from the issuance of common stock</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Payments of dividends and distributions</w:t>
            </w: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Proceeds from the issuance of long-term debt</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Payments for long-term debt - external</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r>
      <w:tr>
        <w:trPr>
          <w:trHeight w:val="236"/>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(320)</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Pr>
          <w:p>
            <w:pPr>
              <w:spacing w:after="0"/>
              <w:rPr>
                <w:sz w:val="21"/>
                <w:szCs w:val="21"/>
                <w:color w:val="auto"/>
              </w:rPr>
            </w:pP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583</w:t>
            </w:r>
          </w:p>
        </w:tc>
      </w:tr>
      <w:tr>
        <w:trPr>
          <w:trHeight w:val="27"/>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Three Months Ended March 31, 2020</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6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Preferred</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1"/>
                <w:szCs w:val="11"/>
                <w:color w:val="auto"/>
              </w:rPr>
            </w:pPr>
          </w:p>
        </w:tc>
        <w:tc>
          <w:tcPr>
            <w:tcW w:w="112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92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40"/>
        </w:trPr>
        <w:tc>
          <w:tcPr>
            <w:tcW w:w="352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80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Stock</w:t>
            </w:r>
          </w:p>
        </w:tc>
        <w:tc>
          <w:tcPr>
            <w:tcW w:w="10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1040" w:type="dxa"/>
            <w:vAlign w:val="bottom"/>
            <w:gridSpan w:val="2"/>
          </w:tcPr>
          <w:p>
            <w:pPr>
              <w:ind w:left="220"/>
              <w:spacing w:after="0" w:line="140" w:lineRule="exact"/>
              <w:rPr>
                <w:sz w:val="20"/>
                <w:szCs w:val="20"/>
                <w:color w:val="auto"/>
              </w:rPr>
            </w:pPr>
            <w:r>
              <w:rPr>
                <w:rFonts w:ascii="Arial" w:cs="Arial" w:eastAsia="Arial" w:hAnsi="Arial"/>
                <w:sz w:val="13"/>
                <w:szCs w:val="13"/>
                <w:b w:val="1"/>
                <w:bCs w:val="1"/>
                <w:color w:val="auto"/>
              </w:rPr>
              <w:t>Deficit</w:t>
            </w:r>
          </w:p>
        </w:tc>
        <w:tc>
          <w:tcPr>
            <w:tcW w:w="128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94"/>
              </w:rPr>
              <w:t>Comprehensive Loss</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2"/>
                <w:szCs w:val="12"/>
                <w:color w:val="auto"/>
              </w:rPr>
            </w:pPr>
          </w:p>
        </w:tc>
        <w:tc>
          <w:tcPr>
            <w:tcW w:w="920" w:type="dxa"/>
            <w:vAlign w:val="bottom"/>
          </w:tcPr>
          <w:p>
            <w:pPr>
              <w:jc w:val="center"/>
              <w:ind w:right="44"/>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1,936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2,263</w:t>
            </w:r>
          </w:p>
        </w:tc>
      </w:tr>
      <w:tr>
        <w:trPr>
          <w:trHeight w:val="224"/>
        </w:trPr>
        <w:tc>
          <w:tcPr>
            <w:tcW w:w="35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(107)</w:t>
            </w:r>
          </w:p>
        </w:tc>
      </w:tr>
      <w:tr>
        <w:trPr>
          <w:trHeight w:val="33"/>
        </w:trPr>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w:t>
            </w:r>
          </w:p>
        </w:tc>
      </w:tr>
      <w:tr>
        <w:trPr>
          <w:trHeight w:val="223"/>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Contributions from CEG, cash</w:t>
            </w:r>
          </w:p>
        </w:tc>
        <w:tc>
          <w:tcPr>
            <w:tcW w:w="10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color w:val="auto"/>
              </w:rPr>
              <w:t>4</w:t>
            </w:r>
          </w:p>
        </w:tc>
      </w:tr>
      <w:tr>
        <w:trPr>
          <w:trHeight w:val="33"/>
        </w:trPr>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Contributions from tax equity interests, net of</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cash.</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150</w:t>
            </w:r>
          </w:p>
        </w:tc>
      </w:tr>
      <w:tr>
        <w:trPr>
          <w:trHeight w:val="220"/>
        </w:trPr>
        <w:tc>
          <w:tcPr>
            <w:tcW w:w="3520" w:type="dxa"/>
            <w:vAlign w:val="bottom"/>
            <w:gridSpan w:val="2"/>
          </w:tcPr>
          <w:p>
            <w:pPr>
              <w:ind w:left="180"/>
              <w:spacing w:after="0"/>
              <w:rPr>
                <w:sz w:val="20"/>
                <w:szCs w:val="20"/>
                <w:color w:val="auto"/>
              </w:rPr>
            </w:pPr>
            <w:r>
              <w:rPr>
                <w:rFonts w:ascii="Arial" w:cs="Arial" w:eastAsia="Arial" w:hAnsi="Arial"/>
                <w:sz w:val="16"/>
                <w:szCs w:val="16"/>
                <w:color w:val="auto"/>
                <w:w w:val="94"/>
              </w:rPr>
              <w:t>Net proceeds from the issuance of common stock</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3520" w:type="dxa"/>
            <w:vAlign w:val="bottom"/>
            <w:gridSpan w:val="2"/>
          </w:tcPr>
          <w:p>
            <w:pPr>
              <w:ind w:left="180"/>
              <w:spacing w:after="0"/>
              <w:rPr>
                <w:sz w:val="20"/>
                <w:szCs w:val="20"/>
                <w:color w:val="auto"/>
              </w:rPr>
            </w:pPr>
            <w:r>
              <w:rPr>
                <w:rFonts w:ascii="Arial" w:cs="Arial" w:eastAsia="Arial" w:hAnsi="Arial"/>
                <w:sz w:val="16"/>
                <w:szCs w:val="16"/>
                <w:color w:val="auto"/>
              </w:rPr>
              <w:t>under the ATM</w:t>
            </w:r>
          </w:p>
        </w:tc>
        <w:tc>
          <w:tcPr>
            <w:tcW w:w="100" w:type="dxa"/>
            <w:vAlign w:val="bottom"/>
          </w:tcPr>
          <w:p>
            <w:pPr>
              <w:spacing w:after="0"/>
              <w:rPr>
                <w:sz w:val="17"/>
                <w:szCs w:val="17"/>
                <w:color w:val="auto"/>
              </w:rPr>
            </w:pPr>
          </w:p>
        </w:tc>
        <w:tc>
          <w:tcPr>
            <w:tcW w:w="8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84"/>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color w:val="auto"/>
              </w:rPr>
              <w:t>10</w:t>
            </w:r>
          </w:p>
        </w:tc>
      </w:tr>
      <w:tr>
        <w:trPr>
          <w:trHeight w:val="33"/>
        </w:trPr>
        <w:tc>
          <w:tcPr>
            <w:tcW w:w="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w:t>
            </w:r>
          </w:p>
        </w:tc>
      </w:tr>
      <w:tr>
        <w:trPr>
          <w:trHeight w:val="223"/>
        </w:trPr>
        <w:tc>
          <w:tcPr>
            <w:tcW w:w="3520" w:type="dxa"/>
            <w:vAlign w:val="bottom"/>
            <w:gridSpan w:val="2"/>
          </w:tcPr>
          <w:p>
            <w:pPr>
              <w:ind w:left="180"/>
              <w:spacing w:after="0"/>
              <w:rPr>
                <w:sz w:val="20"/>
                <w:szCs w:val="20"/>
                <w:color w:val="auto"/>
              </w:rPr>
            </w:pPr>
            <w:r>
              <w:rPr>
                <w:rFonts w:ascii="Arial" w:cs="Arial" w:eastAsia="Arial" w:hAnsi="Arial"/>
                <w:sz w:val="16"/>
                <w:szCs w:val="16"/>
                <w:color w:val="auto"/>
                <w:w w:val="93"/>
              </w:rPr>
              <w:t>Common stock dividends and distributions to CEG</w:t>
            </w:r>
          </w:p>
        </w:tc>
        <w:tc>
          <w:tcPr>
            <w:tcW w:w="10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(42)</w:t>
            </w:r>
          </w:p>
        </w:tc>
      </w:tr>
      <w:tr>
        <w:trPr>
          <w:trHeight w:val="33"/>
        </w:trPr>
        <w:tc>
          <w:tcPr>
            <w:tcW w:w="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2,264</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Three Months Ended March 31, 2019</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10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1"/>
                <w:szCs w:val="11"/>
                <w:color w:val="auto"/>
              </w:rPr>
            </w:pPr>
          </w:p>
        </w:tc>
        <w:tc>
          <w:tcPr>
            <w:tcW w:w="90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40"/>
        </w:trPr>
        <w:tc>
          <w:tcPr>
            <w:tcW w:w="20" w:type="dxa"/>
            <w:vAlign w:val="bottom"/>
          </w:tcPr>
          <w:p>
            <w:pPr>
              <w:spacing w:after="0"/>
              <w:rPr>
                <w:sz w:val="12"/>
                <w:szCs w:val="12"/>
                <w:color w:val="auto"/>
              </w:rPr>
            </w:pPr>
          </w:p>
        </w:tc>
        <w:tc>
          <w:tcPr>
            <w:tcW w:w="350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2"/>
                <w:szCs w:val="12"/>
                <w:color w:val="auto"/>
              </w:rPr>
            </w:pPr>
          </w:p>
        </w:tc>
        <w:tc>
          <w:tcPr>
            <w:tcW w:w="84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100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2"/>
                <w:szCs w:val="12"/>
                <w:color w:val="auto"/>
              </w:rPr>
            </w:pPr>
          </w:p>
        </w:tc>
        <w:tc>
          <w:tcPr>
            <w:tcW w:w="900" w:type="dxa"/>
            <w:vAlign w:val="bottom"/>
          </w:tcPr>
          <w:p>
            <w:pPr>
              <w:jc w:val="center"/>
              <w:ind w:right="64"/>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1,897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2,224</w:t>
            </w:r>
          </w:p>
        </w:tc>
      </w:tr>
      <w:tr>
        <w:trPr>
          <w:trHeight w:val="223"/>
        </w:trPr>
        <w:tc>
          <w:tcPr>
            <w:tcW w:w="20" w:type="dxa"/>
            <w:vAlign w:val="bottom"/>
          </w:tcPr>
          <w:p>
            <w:pPr>
              <w:spacing w:after="0"/>
              <w:rPr>
                <w:sz w:val="19"/>
                <w:szCs w:val="19"/>
                <w:color w:val="auto"/>
              </w:rPr>
            </w:pPr>
          </w:p>
        </w:tc>
        <w:tc>
          <w:tcPr>
            <w:tcW w:w="350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(47)</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Unrealized loss on derivatives, net of tax</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w:t>
            </w:r>
          </w:p>
        </w:tc>
      </w:tr>
      <w:tr>
        <w:trPr>
          <w:trHeight w:val="220"/>
        </w:trPr>
        <w:tc>
          <w:tcPr>
            <w:tcW w:w="20" w:type="dxa"/>
            <w:vAlign w:val="bottom"/>
          </w:tcPr>
          <w:p>
            <w:pPr>
              <w:spacing w:after="0"/>
              <w:rPr>
                <w:sz w:val="19"/>
                <w:szCs w:val="19"/>
                <w:color w:val="auto"/>
              </w:rPr>
            </w:pPr>
          </w:p>
        </w:tc>
        <w:tc>
          <w:tcPr>
            <w:tcW w:w="3500" w:type="dxa"/>
            <w:vAlign w:val="bottom"/>
            <w:gridSpan w:val="2"/>
          </w:tcPr>
          <w:p>
            <w:pPr>
              <w:ind w:left="200"/>
              <w:spacing w:after="0"/>
              <w:rPr>
                <w:sz w:val="20"/>
                <w:szCs w:val="20"/>
                <w:color w:val="auto"/>
              </w:rPr>
            </w:pPr>
            <w:r>
              <w:rPr>
                <w:rFonts w:ascii="Arial" w:cs="Arial" w:eastAsia="Arial" w:hAnsi="Arial"/>
                <w:sz w:val="16"/>
                <w:szCs w:val="16"/>
                <w:color w:val="auto"/>
              </w:rPr>
              <w:t>Buyout of Wind TE Holdco noncontrolling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500" w:type="dxa"/>
            <w:vAlign w:val="bottom"/>
            <w:gridSpan w:val="2"/>
          </w:tcPr>
          <w:p>
            <w:pPr>
              <w:ind w:left="200"/>
              <w:spacing w:after="0"/>
              <w:rPr>
                <w:sz w:val="20"/>
                <w:szCs w:val="20"/>
                <w:color w:val="auto"/>
              </w:rPr>
            </w:pPr>
            <w:r>
              <w:rPr>
                <w:rFonts w:ascii="Arial" w:cs="Arial" w:eastAsia="Arial" w:hAnsi="Arial"/>
                <w:sz w:val="16"/>
                <w:szCs w:val="16"/>
                <w:color w:val="auto"/>
              </w:rPr>
              <w:t>interest</w:t>
            </w:r>
          </w:p>
        </w:tc>
        <w:tc>
          <w:tcPr>
            <w:tcW w:w="12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(19)</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Contributions from tax equity interests, net of</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distributions,cash.</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19</w:t>
            </w:r>
          </w:p>
        </w:tc>
      </w:tr>
      <w:tr>
        <w:trPr>
          <w:trHeight w:val="220"/>
        </w:trPr>
        <w:tc>
          <w:tcPr>
            <w:tcW w:w="20" w:type="dxa"/>
            <w:vAlign w:val="bottom"/>
          </w:tcPr>
          <w:p>
            <w:pPr>
              <w:spacing w:after="0"/>
              <w:rPr>
                <w:sz w:val="19"/>
                <w:szCs w:val="19"/>
                <w:color w:val="auto"/>
              </w:rPr>
            </w:pPr>
          </w:p>
        </w:tc>
        <w:tc>
          <w:tcPr>
            <w:tcW w:w="3500" w:type="dxa"/>
            <w:vAlign w:val="bottom"/>
            <w:gridSpan w:val="2"/>
          </w:tcPr>
          <w:p>
            <w:pPr>
              <w:ind w:left="200"/>
              <w:spacing w:after="0"/>
              <w:rPr>
                <w:sz w:val="20"/>
                <w:szCs w:val="20"/>
                <w:color w:val="auto"/>
              </w:rPr>
            </w:pPr>
            <w:r>
              <w:rPr>
                <w:rFonts w:ascii="Arial" w:cs="Arial" w:eastAsia="Arial" w:hAnsi="Arial"/>
                <w:sz w:val="16"/>
                <w:szCs w:val="16"/>
                <w:color w:val="auto"/>
              </w:rPr>
              <w:t>Contributions from CEG for Oahu Partnership,</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500" w:type="dxa"/>
            <w:vAlign w:val="bottom"/>
            <w:gridSpan w:val="2"/>
          </w:tcPr>
          <w:p>
            <w:pPr>
              <w:ind w:left="200"/>
              <w:spacing w:after="0"/>
              <w:rPr>
                <w:sz w:val="20"/>
                <w:szCs w:val="20"/>
                <w:color w:val="auto"/>
              </w:rPr>
            </w:pPr>
            <w:r>
              <w:rPr>
                <w:rFonts w:ascii="Arial" w:cs="Arial" w:eastAsia="Arial" w:hAnsi="Arial"/>
                <w:sz w:val="16"/>
                <w:szCs w:val="16"/>
                <w:color w:val="auto"/>
              </w:rPr>
              <w:t>non-cash</w:t>
            </w:r>
          </w:p>
        </w:tc>
        <w:tc>
          <w:tcPr>
            <w:tcW w:w="12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6"/>
                <w:szCs w:val="16"/>
                <w:color w:val="auto"/>
              </w:rPr>
              <w:t>12</w:t>
            </w: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Cumulative effect of change in the accounting</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principle</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r>
      <w:tr>
        <w:trPr>
          <w:trHeight w:val="220"/>
        </w:trPr>
        <w:tc>
          <w:tcPr>
            <w:tcW w:w="20" w:type="dxa"/>
            <w:vAlign w:val="bottom"/>
          </w:tcPr>
          <w:p>
            <w:pPr>
              <w:spacing w:after="0"/>
              <w:rPr>
                <w:sz w:val="19"/>
                <w:szCs w:val="19"/>
                <w:color w:val="auto"/>
              </w:rPr>
            </w:pPr>
          </w:p>
        </w:tc>
        <w:tc>
          <w:tcPr>
            <w:tcW w:w="3500" w:type="dxa"/>
            <w:vAlign w:val="bottom"/>
            <w:gridSpan w:val="2"/>
          </w:tcPr>
          <w:p>
            <w:pPr>
              <w:ind w:left="180"/>
              <w:spacing w:after="0"/>
              <w:rPr>
                <w:sz w:val="20"/>
                <w:szCs w:val="20"/>
                <w:color w:val="auto"/>
              </w:rPr>
            </w:pPr>
            <w:r>
              <w:rPr>
                <w:rFonts w:ascii="Arial" w:cs="Arial" w:eastAsia="Arial" w:hAnsi="Arial"/>
                <w:sz w:val="16"/>
                <w:szCs w:val="16"/>
                <w:color w:val="auto"/>
              </w:rPr>
              <w:t>Common stock dividends and distributions to</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500" w:type="dxa"/>
            <w:vAlign w:val="bottom"/>
            <w:gridSpan w:val="2"/>
          </w:tcPr>
          <w:p>
            <w:pPr>
              <w:ind w:left="180"/>
              <w:spacing w:after="0"/>
              <w:rPr>
                <w:sz w:val="20"/>
                <w:szCs w:val="20"/>
                <w:color w:val="auto"/>
              </w:rPr>
            </w:pPr>
            <w:r>
              <w:rPr>
                <w:rFonts w:ascii="Arial" w:cs="Arial" w:eastAsia="Arial" w:hAnsi="Arial"/>
                <w:sz w:val="16"/>
                <w:szCs w:val="16"/>
                <w:color w:val="auto"/>
              </w:rPr>
              <w:t>CEG</w:t>
            </w:r>
          </w:p>
        </w:tc>
        <w:tc>
          <w:tcPr>
            <w:tcW w:w="120" w:type="dxa"/>
            <w:vAlign w:val="bottom"/>
          </w:tcPr>
          <w:p>
            <w:pPr>
              <w:spacing w:after="0"/>
              <w:rPr>
                <w:sz w:val="17"/>
                <w:szCs w:val="17"/>
                <w:color w:val="auto"/>
              </w:rPr>
            </w:pPr>
          </w:p>
        </w:tc>
        <w:tc>
          <w:tcPr>
            <w:tcW w:w="8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(39)</w:t>
            </w: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Balances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1,870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2,145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sponsored by GIP III Zephyr Acquisition Partners, L.P. through its portfolio company, CEG. GIP is an independent fund manager that invests in infrastructure assets in energy and transport sectors.</w:t>
      </w:r>
    </w:p>
    <w:p>
      <w:pPr>
        <w:spacing w:after="0" w:line="9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Company’s environmentally-sound asset portfolio includes over </w:t>
      </w:r>
      <w:r>
        <w:rPr>
          <w:rFonts w:ascii="Arial" w:cs="Arial" w:eastAsia="Arial" w:hAnsi="Arial"/>
          <w:sz w:val="16"/>
          <w:szCs w:val="16"/>
          <w:color w:val="231F20"/>
        </w:rPr>
        <w:t>5,875</w:t>
      </w:r>
      <w:r>
        <w:rPr>
          <w:rFonts w:ascii="Arial" w:cs="Arial" w:eastAsia="Arial" w:hAnsi="Arial"/>
          <w:sz w:val="16"/>
          <w:szCs w:val="16"/>
          <w:color w:val="auto"/>
        </w:rPr>
        <w:t xml:space="preserve"> MW of wind, solar and natural gas-fired power generation facilities. Through this diversified and contracted portfolio, the Company endeavors to provide its investors with stable and growing dividend income. </w:t>
      </w:r>
      <w:r>
        <w:rPr>
          <w:rFonts w:ascii="Arial" w:cs="Arial" w:eastAsia="Arial" w:hAnsi="Arial"/>
          <w:sz w:val="16"/>
          <w:szCs w:val="16"/>
          <w:color w:val="231F20"/>
        </w:rPr>
        <w:t>Nearly all</w:t>
      </w:r>
      <w:r>
        <w:rPr>
          <w:rFonts w:ascii="Arial" w:cs="Arial" w:eastAsia="Arial" w:hAnsi="Arial"/>
          <w:sz w:val="16"/>
          <w:szCs w:val="16"/>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6"/>
          <w:szCs w:val="16"/>
          <w:color w:val="231F20"/>
        </w:rPr>
        <w:t>13 years as of</w:t>
      </w:r>
      <w:r>
        <w:rPr>
          <w:rFonts w:ascii="Arial" w:cs="Arial" w:eastAsia="Arial" w:hAnsi="Arial"/>
          <w:sz w:val="16"/>
          <w:szCs w:val="16"/>
          <w:color w:val="auto"/>
        </w:rPr>
        <w:t xml:space="preserve"> March 31, 2020 </w:t>
      </w:r>
      <w:r>
        <w:rPr>
          <w:rFonts w:ascii="Arial" w:cs="Arial" w:eastAsia="Arial" w:hAnsi="Arial"/>
          <w:sz w:val="16"/>
          <w:szCs w:val="16"/>
          <w:color w:val="231F20"/>
        </w:rPr>
        <w:t>based on CAFD. The Company also owns</w:t>
      </w:r>
      <w:r>
        <w:rPr>
          <w:rFonts w:ascii="Arial" w:cs="Arial" w:eastAsia="Arial" w:hAnsi="Arial"/>
          <w:sz w:val="16"/>
          <w:szCs w:val="16"/>
          <w:color w:val="auto"/>
        </w:rPr>
        <w:t xml:space="preserve"> </w:t>
      </w:r>
      <w:r>
        <w:rPr>
          <w:rFonts w:ascii="Arial" w:cs="Arial" w:eastAsia="Arial" w:hAnsi="Arial"/>
          <w:sz w:val="16"/>
          <w:szCs w:val="16"/>
          <w:color w:val="231F20"/>
        </w:rPr>
        <w:t>thermal infrastructure assets with an aggregate steam and chilled water capacity of 1,530 net MWt and electric generation capacity of 36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1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a result of the Class C common stock issuance under the ATM during the first quarter of 2020, the Company owns 57.13% of the economic interests of Clearway Energy LLC, with CEG retaining 42.87% of the economic interests of Clearway Energy LLC as of March 31, 2020. For further discussion, see Note 9, </w:t>
      </w:r>
      <w:r>
        <w:rPr>
          <w:rFonts w:ascii="Arial" w:cs="Arial" w:eastAsia="Arial" w:hAnsi="Arial"/>
          <w:sz w:val="18"/>
          <w:szCs w:val="18"/>
          <w:i w:val="1"/>
          <w:iCs w:val="1"/>
          <w:color w:val="auto"/>
        </w:rPr>
        <w:t>Changes in Capital Structure.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5863590" cy="4397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2019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2020, and the results of operations, comprehensive loss and cash flows for the three months ended March 31, 2020 and 2019.</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 Update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2019, PG&amp;E, one of the Company's largest customers, filed for reorganization under Chapter 11 of the U.S. Bankruptcy Code in the U.S. Bankruptcy Court for the Northern District of California, or the Bankruptcy Court. On January 31, 2020, PG&amp;E filed with the Bankruptcy Court a Chapter 11 plan of reorganization, as amended, or the PG&amp;E Plan. The PG&amp;E Plan provides for PG&amp;E to assume all of its PPAs with the Company.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 As of March 31, 2020, the Company had $1.37 billion of property, plant and equipment, net, $368 million investments in unconsolidated affiliates and $1.19 billion of borrowings with final maturity dates ranging from 2022 to 2037 related to subsidiaries that sell their output to PG&amp;E under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 xml:space="preserve">long-term contracts. These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As a result, the Company recorded approximately $1.19 billion of principal, net of the related unamortized debt issuance costs, with final maturity dates ranging from 2022 to 2037, as short-term debt. As of May 7, 2020, the Company's contracts with PG&amp;E have operated in the normal course and the Company currently expects these contracts to continue as such. Additionally, the Company has entered into forbearance agreements for certain project-level financing arrangements and continues to seek forbearance agreements for other project-level financing arrangements affected by the PG&amp;E Bankruptcy. The Company continues to assess the potential future impacts of the PG&amp;E Bankruptcy as events occur. For further discussion see Note 7, </w:t>
      </w:r>
      <w:r>
        <w:rPr>
          <w:rFonts w:ascii="Arial" w:cs="Arial" w:eastAsia="Arial" w:hAnsi="Arial"/>
          <w:sz w:val="17"/>
          <w:szCs w:val="17"/>
          <w:i w:val="1"/>
          <w:iCs w:val="1"/>
          <w:color w:val="auto"/>
        </w:rPr>
        <w:t>Long-term Debt.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$95 million and $125 million as of March 31, 2020 and December 31, 2019, respectively.</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29"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70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r>
      <w:tr>
        <w:trPr>
          <w:trHeight w:val="223"/>
        </w:trPr>
        <w:tc>
          <w:tcPr>
            <w:tcW w:w="7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jc w:val="right"/>
              <w:ind w:right="877"/>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155</w:t>
            </w:r>
          </w:p>
        </w:tc>
      </w:tr>
      <w:tr>
        <w:trPr>
          <w:trHeight w:val="243"/>
        </w:trPr>
        <w:tc>
          <w:tcPr>
            <w:tcW w:w="70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262</w:t>
            </w:r>
          </w:p>
        </w:tc>
      </w:tr>
      <w:tr>
        <w:trPr>
          <w:trHeight w:val="27"/>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417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Restricted cash consists primarily of funds held to satisfy the requirements of certain debt agreements and funds held within the Company's projects that are restricted in their use. As of March 31, 2020, these restricted funds were comprised of $111 million designated to fund operating expenses, approximately $35 million designated for current debt service payments, and $46 million restricted for reserves including debt service, performance obligations and other reserves, as well as capital expenditures. The remaining $78 million is held in distributions reserve accounts, of which $68 million related to subsidiaries affected by the PG&amp;E Bankruptcy as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xml:space="preserve"> and may not be distributed during the pendency of the bankruptcy.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2020 and December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255"/>
              <w:spacing w:after="0"/>
              <w:rPr>
                <w:sz w:val="20"/>
                <w:szCs w:val="20"/>
                <w:color w:val="auto"/>
              </w:rPr>
            </w:pPr>
            <w:r>
              <w:rPr>
                <w:rFonts w:ascii="Arial" w:cs="Arial" w:eastAsia="Arial" w:hAnsi="Arial"/>
                <w:sz w:val="16"/>
                <w:szCs w:val="16"/>
                <w:b w:val="1"/>
                <w:bCs w:val="1"/>
                <w:color w:val="auto"/>
              </w:rPr>
              <w:t>March 31, 2020</w:t>
            </w:r>
          </w:p>
        </w:tc>
        <w:tc>
          <w:tcPr>
            <w:tcW w:w="2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gridSpan w:val="4"/>
          </w:tcPr>
          <w:p>
            <w:pPr>
              <w:ind w:left="1180"/>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Accumulated Depreciation</w:t>
            </w:r>
          </w:p>
        </w:tc>
        <w:tc>
          <w:tcPr>
            <w:tcW w:w="2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Intangible Assets Accumulated Amortization</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1"/>
                <w:szCs w:val="21"/>
                <w:color w:val="auto"/>
              </w:rPr>
            </w:pPr>
          </w:p>
        </w:tc>
      </w:tr>
      <w:tr>
        <w:trPr>
          <w:trHeight w:val="958"/>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80" w:type="dxa"/>
            <w:vAlign w:val="bottom"/>
          </w:tcPr>
          <w:p>
            <w:pPr>
              <w:jc w:val="right"/>
              <w:ind w:right="17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the Company's Class A common stock and Class C common stock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2"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7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First Quarter 2020</w:t>
            </w:r>
          </w:p>
        </w:tc>
      </w:tr>
      <w:tr>
        <w:trPr>
          <w:trHeight w:val="250"/>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per Class A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0.21</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Dividends per Class C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30, 2020, the Company declared quarterly dividends on its Class A common stock and Class C common stock of $0.21 per share payable on June 15, 2020, to stockholders of record as of June 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Distributions to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to CEG during the period ended March 31, 2020 on Clearway Energy LLC's Class B and D units:</w:t>
      </w:r>
    </w:p>
    <w:p>
      <w:pPr>
        <w:spacing w:after="0" w:line="228"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74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First Quarter 2020</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Class B Unit</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Distributions per Class D Unit</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On April 30, 2020, Clearway Energy LLC declared a distribution on its Class B and Class D units of $0.21 per unit payable on June 15, 2020 to unit holders of record as of June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21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Power Purchase Agreements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21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2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months ended March 31, 2020 and 2019 respectively:</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4"/>
                <w:szCs w:val="14"/>
                <w:color w:val="auto"/>
              </w:rPr>
            </w:pPr>
          </w:p>
        </w:tc>
        <w:tc>
          <w:tcPr>
            <w:tcW w:w="12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4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rPr>
              <w:t>Generation</w:t>
            </w:r>
          </w:p>
        </w:tc>
        <w:tc>
          <w:tcPr>
            <w:tcW w:w="2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20" w:type="dxa"/>
            <w:vAlign w:val="bottom"/>
            <w:shd w:val="clear" w:color="auto" w:fill="CCEEFF"/>
          </w:tcPr>
          <w:p>
            <w:pPr>
              <w:spacing w:after="0"/>
              <w:rPr>
                <w:sz w:val="24"/>
                <w:szCs w:val="24"/>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4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Lease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Less: Contract amortization</w:t>
            </w:r>
          </w:p>
        </w:tc>
        <w:tc>
          <w:tcPr>
            <w:tcW w:w="140" w:type="dxa"/>
            <w:vAlign w:val="bottom"/>
          </w:tcPr>
          <w:p>
            <w:pPr>
              <w:spacing w:after="0"/>
              <w:rPr>
                <w:sz w:val="21"/>
                <w:szCs w:val="21"/>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411480</wp:posOffset>
            </wp:positionV>
            <wp:extent cx="1722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149"/>
        <w:spacing w:after="0"/>
        <w:tabs>
          <w:tab w:leader="none" w:pos="4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83"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4"/>
                <w:szCs w:val="14"/>
                <w:color w:val="auto"/>
              </w:rPr>
            </w:pPr>
          </w:p>
        </w:tc>
        <w:tc>
          <w:tcPr>
            <w:tcW w:w="13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40" w:type="dxa"/>
            <w:vAlign w:val="bottom"/>
          </w:tcPr>
          <w:p>
            <w:pPr>
              <w:spacing w:after="0"/>
              <w:rPr>
                <w:sz w:val="14"/>
                <w:szCs w:val="14"/>
                <w:color w:val="auto"/>
              </w:rPr>
            </w:pPr>
          </w:p>
        </w:tc>
        <w:tc>
          <w:tcPr>
            <w:tcW w:w="13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Thermal</w:t>
            </w:r>
          </w:p>
        </w:tc>
        <w:tc>
          <w:tcPr>
            <w:tcW w:w="520" w:type="dxa"/>
            <w:vAlign w:val="bottom"/>
          </w:tcPr>
          <w:p>
            <w:pPr>
              <w:spacing w:after="0"/>
              <w:rPr>
                <w:sz w:val="14"/>
                <w:szCs w:val="14"/>
                <w:color w:val="auto"/>
              </w:rPr>
            </w:pP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2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44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1"/>
                <w:szCs w:val="21"/>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6" w:name="page17"/>
    <w:bookmarkEnd w:id="16"/>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11"/>
          </w:tcPr>
          <w:p>
            <w:pPr>
              <w:ind w:left="40"/>
              <w:spacing w:after="0"/>
              <w:rPr>
                <w:sz w:val="20"/>
                <w:szCs w:val="20"/>
                <w:color w:val="auto"/>
              </w:rPr>
            </w:pPr>
            <w:r>
              <w:rPr>
                <w:rFonts w:ascii="Arial" w:cs="Arial" w:eastAsia="Arial" w:hAnsi="Arial"/>
                <w:sz w:val="16"/>
                <w:szCs w:val="16"/>
                <w:b w:val="1"/>
                <w:bCs w:val="1"/>
                <w:color w:val="auto"/>
                <w:w w:val="91"/>
              </w:rPr>
              <w:t>Three months ended March 31, 2019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w w:val="91"/>
              </w:rPr>
              <w:t>(In millions)</w:t>
            </w:r>
          </w:p>
        </w:tc>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5"/>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3"/>
                <w:szCs w:val="13"/>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3"/>
                <w:szCs w:val="13"/>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4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top w:val="single" w:sz="8" w:color="auto"/>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Generation</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97"/>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40" w:type="dxa"/>
            <w:vAlign w:val="bottom"/>
          </w:tcPr>
          <w:p>
            <w:pPr>
              <w:spacing w:after="0"/>
              <w:rPr>
                <w:sz w:val="24"/>
                <w:szCs w:val="24"/>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Lease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Less: Contract amortization</w:t>
            </w:r>
          </w:p>
        </w:tc>
        <w:tc>
          <w:tcPr>
            <w:tcW w:w="140" w:type="dxa"/>
            <w:vAlign w:val="bottom"/>
          </w:tcPr>
          <w:p>
            <w:pPr>
              <w:spacing w:after="0"/>
              <w:rPr>
                <w:sz w:val="21"/>
                <w:szCs w:val="21"/>
                <w:color w:val="auto"/>
              </w:rPr>
            </w:pPr>
          </w:p>
        </w:tc>
        <w:tc>
          <w:tcPr>
            <w:tcW w:w="1000" w:type="dxa"/>
            <w:vAlign w:val="bottom"/>
            <w:gridSpan w:val="5"/>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274320</wp:posOffset>
            </wp:positionV>
            <wp:extent cx="13544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00" w:hanging="149"/>
        <w:spacing w:after="0"/>
        <w:tabs>
          <w:tab w:leader="none" w:pos="40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4"/>
                <w:szCs w:val="14"/>
                <w:color w:val="auto"/>
              </w:rPr>
            </w:pPr>
          </w:p>
        </w:tc>
        <w:tc>
          <w:tcPr>
            <w:tcW w:w="13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42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580" w:type="dxa"/>
            <w:vAlign w:val="bottom"/>
          </w:tcPr>
          <w:p>
            <w:pPr>
              <w:spacing w:after="0"/>
              <w:rPr>
                <w:sz w:val="14"/>
                <w:szCs w:val="14"/>
                <w:color w:val="auto"/>
              </w:rPr>
            </w:pPr>
          </w:p>
        </w:tc>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Generation</w:t>
            </w:r>
          </w:p>
        </w:tc>
        <w:tc>
          <w:tcPr>
            <w:tcW w:w="44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2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220" w:type="dxa"/>
            <w:vAlign w:val="bottom"/>
          </w:tcPr>
          <w:p>
            <w:pPr>
              <w:spacing w:after="0"/>
              <w:rPr>
                <w:sz w:val="21"/>
                <w:szCs w:val="21"/>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84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March 31, 2020:</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92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6"/>
        </w:trPr>
        <w:tc>
          <w:tcPr>
            <w:tcW w:w="9220" w:type="dxa"/>
            <w:vAlign w:val="bottom"/>
          </w:tcPr>
          <w:p>
            <w:pPr>
              <w:spacing w:after="0"/>
              <w:rPr>
                <w:sz w:val="20"/>
                <w:szCs w:val="20"/>
                <w:color w:val="auto"/>
              </w:rPr>
            </w:pPr>
            <w:r>
              <w:rPr>
                <w:rFonts w:ascii="Arial" w:cs="Arial" w:eastAsia="Arial" w:hAnsi="Arial"/>
                <w:sz w:val="18"/>
                <w:szCs w:val="18"/>
                <w:color w:val="auto"/>
              </w:rPr>
              <w:t>Accounts receivable, net - Contracts with customers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w:t>
            </w:r>
          </w:p>
        </w:tc>
      </w:tr>
      <w:tr>
        <w:trPr>
          <w:trHeight w:val="27"/>
        </w:trPr>
        <w:tc>
          <w:tcPr>
            <w:tcW w:w="9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 - Leases</w:t>
            </w:r>
          </w:p>
        </w:tc>
        <w:tc>
          <w:tcPr>
            <w:tcW w:w="7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63"/>
        </w:trPr>
        <w:tc>
          <w:tcPr>
            <w:tcW w:w="9220" w:type="dxa"/>
            <w:vAlign w:val="bottom"/>
          </w:tcPr>
          <w:p>
            <w:pPr>
              <w:ind w:left="180"/>
              <w:spacing w:after="0"/>
              <w:rPr>
                <w:sz w:val="20"/>
                <w:szCs w:val="20"/>
                <w:color w:val="auto"/>
              </w:rPr>
            </w:pPr>
            <w:r>
              <w:rPr>
                <w:rFonts w:ascii="Arial" w:cs="Arial" w:eastAsia="Arial" w:hAnsi="Arial"/>
                <w:sz w:val="18"/>
                <w:szCs w:val="18"/>
                <w:color w:val="auto"/>
              </w:rPr>
              <w:t xml:space="preserve">Total accounts receivable, net </w:t>
            </w:r>
            <w:r>
              <w:rPr>
                <w:rFonts w:ascii="Arial" w:cs="Arial" w:eastAsia="Arial" w:hAnsi="Arial"/>
                <w:sz w:val="23"/>
                <w:szCs w:val="23"/>
                <w:color w:val="auto"/>
                <w:vertAlign w:val="superscript"/>
              </w:rPr>
              <w:t>(a)</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99</w:t>
            </w:r>
          </w:p>
        </w:tc>
      </w:tr>
      <w:tr>
        <w:trPr>
          <w:trHeight w:val="21"/>
        </w:trPr>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240030</wp:posOffset>
            </wp:positionV>
            <wp:extent cx="1362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80" w:right="360" w:hanging="10"/>
        <w:spacing w:after="0"/>
        <w:tabs>
          <w:tab w:leader="none" w:pos="323"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Total accounts receivable, net, excludes $5 million generated at projects affected by PG&amp;E Bankruptcy, which were recorded in non-current assets as of March 31, 2020</w:t>
      </w:r>
      <w:r>
        <w:rPr>
          <w:rFonts w:ascii="Arial" w:cs="Arial" w:eastAsia="Arial" w:hAnsi="Arial"/>
          <w:sz w:val="15"/>
          <w:szCs w:val="15"/>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2020, the FASB issued ASU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w:t>
      </w:r>
    </w:p>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The guidance is effective January 1, 2021, with early adoption permitted. The Company does not expect the effect of the new guidance to be material on its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Thermal LLC,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its interests in Energy Center Dover LLC and Energy Center Smyrna LLC to DB Energy Assets,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ind w:right="462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2019 Form 10-K.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Oahu Solar</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Kawailoa</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Repowering</w:t>
            </w:r>
          </w:p>
        </w:tc>
        <w:tc>
          <w:tcPr>
            <w:tcW w:w="18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Alta TE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Buckthorn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Partnership II</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Spring Canyon</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192"/>
        </w:trPr>
        <w:tc>
          <w:tcPr>
            <w:tcW w:w="3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Partnership</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Partnership</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Holdco</w:t>
            </w:r>
          </w:p>
        </w:tc>
        <w:tc>
          <w:tcPr>
            <w:tcW w:w="1240" w:type="dxa"/>
            <w:vAlign w:val="bottom"/>
            <w:gridSpan w:val="3"/>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Renewables LLC</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20" w:type="dxa"/>
            <w:vAlign w:val="bottom"/>
          </w:tcPr>
          <w:p>
            <w:pPr>
              <w:ind w:left="20"/>
              <w:spacing w:after="0"/>
              <w:rPr>
                <w:sz w:val="20"/>
                <w:szCs w:val="20"/>
                <w:color w:val="auto"/>
              </w:rPr>
            </w:pPr>
            <w:r>
              <w:rPr>
                <w:rFonts w:ascii="Arial" w:cs="Arial" w:eastAsia="Arial" w:hAnsi="Arial"/>
                <w:sz w:val="18"/>
                <w:szCs w:val="18"/>
                <w:color w:val="auto"/>
                <w:w w:val="98"/>
              </w:rPr>
              <w:t>Net assets less noncontrolling interests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Other is comprised of Crosswinds and Hardin projects.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three months ended March 31, 2020.</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b w:val="1"/>
          <w:bCs w:val="1"/>
          <w:i w:val="1"/>
          <w:iCs w:val="1"/>
          <w:color w:val="auto"/>
        </w:rPr>
        <w:t xml:space="preserve">Repowering Partnership II LLC </w:t>
      </w:r>
      <w:r>
        <w:rPr>
          <w:rFonts w:ascii="Arial" w:cs="Arial" w:eastAsia="Arial" w:hAnsi="Arial"/>
          <w:sz w:val="17"/>
          <w:szCs w:val="17"/>
          <w:color w:val="auto"/>
        </w:rPr>
        <w:t>— On February 7, 2020, a third party tax equity investor purchased 100% of the Class A membership interests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Wildorado Repowering Tax Equity Holdco LLC, or Wildorado TE Holdco, for $148 million. The Company's contribution to Wildorado TE Holdco was $112 million as of March 31, 2020. The combined proceeds were used to pay down construction debt under the Repowering Partnership Holdco credit agreement, as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The Company utilizes the HLBV method to determine the net income or loss allocated to tax equity noncontrolling interest. The Company recorded $28 million of loss attributable to Wildorado Investor's noncontrolling interest during the period ended March 31, 2020. Repowering Partnership II LLC also consolidates Elbow Creek TE Holdco and recorded $2 million of loss attributable to Elbow Creek TE Holdco for the three months ended March 31, 2020. In connection with the Wildorado TE Holdco closing, the allocations of income at Repowering Partnership II LLC changed to 60.14% for Wind TE Holdco LLC (the Company member) and 39.86% for CWSP Wildorado Elbow Holding LLC (the CEG member).</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auto"/>
        </w:rPr>
        <w:t>to the consolidated financial statements included in the Company's 2019 Form 10-K.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firstLine="405"/>
        <w:spacing w:after="0" w:line="277" w:lineRule="auto"/>
        <w:rPr>
          <w:sz w:val="20"/>
          <w:szCs w:val="20"/>
          <w:color w:val="auto"/>
        </w:rPr>
      </w:pPr>
      <w:r>
        <w:rPr>
          <w:rFonts w:ascii="Arial" w:cs="Arial" w:eastAsia="Arial" w:hAnsi="Arial"/>
          <w:sz w:val="18"/>
          <w:szCs w:val="18"/>
          <w:color w:val="auto"/>
        </w:rPr>
        <w:t>The Company's maximum exposure to loss as of March 31, 2020, is limited to its equity investment in the unconsolidated entities, as further summarized in the table below:</w:t>
      </w:r>
    </w:p>
    <w:p>
      <w:pPr>
        <w:spacing w:after="0" w:line="252"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42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3800" w:type="dxa"/>
            <w:vAlign w:val="bottom"/>
          </w:tcPr>
          <w:p>
            <w:pPr>
              <w:ind w:left="2440"/>
              <w:spacing w:after="0"/>
              <w:rPr>
                <w:sz w:val="20"/>
                <w:szCs w:val="20"/>
                <w:color w:val="auto"/>
              </w:rPr>
            </w:pPr>
            <w:r>
              <w:rPr>
                <w:rFonts w:ascii="Arial" w:cs="Arial" w:eastAsia="Arial" w:hAnsi="Arial"/>
                <w:sz w:val="16"/>
                <w:szCs w:val="16"/>
                <w:b w:val="1"/>
                <w:bCs w:val="1"/>
                <w:color w:val="auto"/>
                <w:w w:val="96"/>
              </w:rPr>
              <w:t>Economic Interest</w:t>
            </w:r>
          </w:p>
        </w:tc>
        <w:tc>
          <w:tcPr>
            <w:tcW w:w="220" w:type="dxa"/>
            <w:vAlign w:val="bottom"/>
          </w:tcPr>
          <w:p>
            <w:pPr>
              <w:spacing w:after="0"/>
              <w:rPr>
                <w:sz w:val="18"/>
                <w:szCs w:val="18"/>
                <w:color w:val="auto"/>
              </w:rPr>
            </w:pPr>
          </w:p>
        </w:tc>
        <w:tc>
          <w:tcPr>
            <w:tcW w:w="1800" w:type="dxa"/>
            <w:vAlign w:val="bottom"/>
          </w:tcPr>
          <w:p>
            <w:pPr>
              <w:jc w:val="right"/>
              <w:ind w:right="251"/>
              <w:spacing w:after="0"/>
              <w:rPr>
                <w:sz w:val="20"/>
                <w:szCs w:val="20"/>
                <w:color w:val="auto"/>
              </w:rPr>
            </w:pPr>
            <w:r>
              <w:rPr>
                <w:rFonts w:ascii="Arial" w:cs="Arial" w:eastAsia="Arial" w:hAnsi="Arial"/>
                <w:sz w:val="16"/>
                <w:szCs w:val="16"/>
                <w:b w:val="1"/>
                <w:bCs w:val="1"/>
                <w:color w:val="auto"/>
                <w:w w:val="95"/>
              </w:rPr>
              <w:t>Investment Balance</w:t>
            </w:r>
          </w:p>
        </w:tc>
      </w:tr>
      <w:tr>
        <w:trPr>
          <w:trHeight w:val="33"/>
        </w:trPr>
        <w:tc>
          <w:tcPr>
            <w:tcW w:w="4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49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4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Utah Solar Portfolio </w:t>
            </w:r>
            <w:r>
              <w:rPr>
                <w:rFonts w:ascii="Arial" w:cs="Arial" w:eastAsia="Arial" w:hAnsi="Arial"/>
                <w:sz w:val="23"/>
                <w:szCs w:val="23"/>
                <w:color w:val="auto"/>
                <w:vertAlign w:val="superscript"/>
              </w:rPr>
              <w:t>(a)</w:t>
            </w:r>
          </w:p>
        </w:tc>
        <w:tc>
          <w:tcPr>
            <w:tcW w:w="3800" w:type="dxa"/>
            <w:vAlign w:val="bottom"/>
            <w:shd w:val="clear" w:color="auto" w:fill="CCEEFF"/>
          </w:tcPr>
          <w:p>
            <w:pPr>
              <w:jc w:val="center"/>
              <w:ind w:left="2271"/>
              <w:spacing w:after="0"/>
              <w:rPr>
                <w:sz w:val="20"/>
                <w:szCs w:val="20"/>
                <w:color w:val="auto"/>
              </w:rPr>
            </w:pPr>
            <w:r>
              <w:rPr>
                <w:rFonts w:ascii="Arial" w:cs="Arial" w:eastAsia="Arial" w:hAnsi="Arial"/>
                <w:sz w:val="18"/>
                <w:szCs w:val="18"/>
                <w:color w:val="auto"/>
                <w:w w:val="88"/>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 xml:space="preserve">Desert Sunlight </w:t>
            </w:r>
            <w:r>
              <w:rPr>
                <w:rFonts w:ascii="Arial" w:cs="Arial" w:eastAsia="Arial" w:hAnsi="Arial"/>
                <w:sz w:val="23"/>
                <w:szCs w:val="23"/>
                <w:color w:val="auto"/>
                <w:vertAlign w:val="superscript"/>
              </w:rPr>
              <w:t>(b)</w:t>
            </w:r>
          </w:p>
        </w:tc>
        <w:tc>
          <w:tcPr>
            <w:tcW w:w="3800" w:type="dxa"/>
            <w:vAlign w:val="bottom"/>
          </w:tcPr>
          <w:p>
            <w:pPr>
              <w:jc w:val="center"/>
              <w:ind w:left="2271"/>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23"/>
                <w:szCs w:val="23"/>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272</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DGPV Holdco 3 LLC </w:t>
            </w:r>
            <w:r>
              <w:rPr>
                <w:rFonts w:ascii="Arial" w:cs="Arial" w:eastAsia="Arial" w:hAnsi="Arial"/>
                <w:sz w:val="23"/>
                <w:szCs w:val="23"/>
                <w:color w:val="auto"/>
                <w:vertAlign w:val="superscript"/>
              </w:rPr>
              <w:t>(c)</w:t>
            </w:r>
          </w:p>
        </w:tc>
        <w:tc>
          <w:tcPr>
            <w:tcW w:w="3800" w:type="dxa"/>
            <w:vAlign w:val="bottom"/>
            <w:shd w:val="clear" w:color="auto" w:fill="CCEEFF"/>
          </w:tcPr>
          <w:p>
            <w:pPr>
              <w:jc w:val="center"/>
              <w:ind w:left="2271"/>
              <w:spacing w:after="0"/>
              <w:rPr>
                <w:sz w:val="20"/>
                <w:szCs w:val="20"/>
                <w:color w:val="auto"/>
              </w:rPr>
            </w:pPr>
            <w:r>
              <w:rPr>
                <w:rFonts w:ascii="Arial" w:cs="Arial" w:eastAsia="Arial" w:hAnsi="Arial"/>
                <w:sz w:val="18"/>
                <w:szCs w:val="18"/>
                <w:color w:val="auto"/>
                <w:w w:val="88"/>
              </w:rPr>
              <w:t>99%</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152</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 xml:space="preserve">Agua Caliente Solar </w:t>
            </w:r>
            <w:r>
              <w:rPr>
                <w:rFonts w:ascii="Arial" w:cs="Arial" w:eastAsia="Arial" w:hAnsi="Arial"/>
                <w:sz w:val="23"/>
                <w:szCs w:val="23"/>
                <w:color w:val="auto"/>
                <w:vertAlign w:val="superscript"/>
              </w:rPr>
              <w:t>(b)</w:t>
            </w:r>
          </w:p>
        </w:tc>
        <w:tc>
          <w:tcPr>
            <w:tcW w:w="3800" w:type="dxa"/>
            <w:vAlign w:val="bottom"/>
          </w:tcPr>
          <w:p>
            <w:pPr>
              <w:jc w:val="center"/>
              <w:ind w:left="2271"/>
              <w:spacing w:after="0"/>
              <w:rPr>
                <w:sz w:val="20"/>
                <w:szCs w:val="20"/>
                <w:color w:val="auto"/>
              </w:rPr>
            </w:pPr>
            <w:r>
              <w:rPr>
                <w:rFonts w:ascii="Arial" w:cs="Arial" w:eastAsia="Arial" w:hAnsi="Arial"/>
                <w:sz w:val="18"/>
                <w:szCs w:val="18"/>
                <w:color w:val="auto"/>
                <w:w w:val="88"/>
              </w:rPr>
              <w:t>16%</w:t>
            </w:r>
          </w:p>
        </w:tc>
        <w:tc>
          <w:tcPr>
            <w:tcW w:w="220" w:type="dxa"/>
            <w:vAlign w:val="bottom"/>
          </w:tcPr>
          <w:p>
            <w:pPr>
              <w:spacing w:after="0"/>
              <w:rPr>
                <w:sz w:val="23"/>
                <w:szCs w:val="23"/>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96</w:t>
            </w: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GenConn</w:t>
            </w:r>
          </w:p>
        </w:tc>
        <w:tc>
          <w:tcPr>
            <w:tcW w:w="3800" w:type="dxa"/>
            <w:vAlign w:val="bottom"/>
            <w:tcBorders>
              <w:bottom w:val="single" w:sz="8" w:color="CCEEFF"/>
            </w:tcBorders>
            <w:shd w:val="clear" w:color="auto" w:fill="CCEEFF"/>
          </w:tcPr>
          <w:p>
            <w:pPr>
              <w:jc w:val="center"/>
              <w:ind w:left="2271"/>
              <w:spacing w:after="0"/>
              <w:rPr>
                <w:sz w:val="20"/>
                <w:szCs w:val="20"/>
                <w:color w:val="auto"/>
              </w:rPr>
            </w:pPr>
            <w:r>
              <w:rPr>
                <w:rFonts w:ascii="Arial" w:cs="Arial" w:eastAsia="Arial" w:hAnsi="Arial"/>
                <w:sz w:val="18"/>
                <w:szCs w:val="18"/>
                <w:color w:val="auto"/>
                <w:w w:val="88"/>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 xml:space="preserve">DGPV Holdco 1 LLC </w:t>
            </w:r>
            <w:r>
              <w:rPr>
                <w:rFonts w:ascii="Arial" w:cs="Arial" w:eastAsia="Arial" w:hAnsi="Arial"/>
                <w:sz w:val="23"/>
                <w:szCs w:val="23"/>
                <w:color w:val="auto"/>
                <w:vertAlign w:val="superscript"/>
              </w:rPr>
              <w:t>(c)</w:t>
            </w:r>
          </w:p>
        </w:tc>
        <w:tc>
          <w:tcPr>
            <w:tcW w:w="3800" w:type="dxa"/>
            <w:vAlign w:val="bottom"/>
          </w:tcPr>
          <w:p>
            <w:pPr>
              <w:jc w:val="center"/>
              <w:ind w:left="2271"/>
              <w:spacing w:after="0"/>
              <w:rPr>
                <w:sz w:val="20"/>
                <w:szCs w:val="20"/>
                <w:color w:val="auto"/>
              </w:rPr>
            </w:pPr>
            <w:r>
              <w:rPr>
                <w:rFonts w:ascii="Arial" w:cs="Arial" w:eastAsia="Arial" w:hAnsi="Arial"/>
                <w:sz w:val="18"/>
                <w:szCs w:val="18"/>
                <w:color w:val="auto"/>
                <w:w w:val="88"/>
              </w:rPr>
              <w:t>95%</w:t>
            </w:r>
          </w:p>
        </w:tc>
        <w:tc>
          <w:tcPr>
            <w:tcW w:w="220" w:type="dxa"/>
            <w:vAlign w:val="bottom"/>
          </w:tcPr>
          <w:p>
            <w:pPr>
              <w:spacing w:after="0"/>
              <w:rPr>
                <w:sz w:val="23"/>
                <w:szCs w:val="23"/>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80</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DGPV Holdco 2 LLC </w:t>
            </w:r>
            <w:r>
              <w:rPr>
                <w:rFonts w:ascii="Arial" w:cs="Arial" w:eastAsia="Arial" w:hAnsi="Arial"/>
                <w:sz w:val="23"/>
                <w:szCs w:val="23"/>
                <w:color w:val="auto"/>
                <w:vertAlign w:val="superscript"/>
              </w:rPr>
              <w:t>(c)</w:t>
            </w:r>
          </w:p>
        </w:tc>
        <w:tc>
          <w:tcPr>
            <w:tcW w:w="3800" w:type="dxa"/>
            <w:vAlign w:val="bottom"/>
            <w:shd w:val="clear" w:color="auto" w:fill="CCEEFF"/>
          </w:tcPr>
          <w:p>
            <w:pPr>
              <w:jc w:val="center"/>
              <w:ind w:left="2271"/>
              <w:spacing w:after="0"/>
              <w:rPr>
                <w:sz w:val="20"/>
                <w:szCs w:val="20"/>
                <w:color w:val="auto"/>
              </w:rPr>
            </w:pPr>
            <w:r>
              <w:rPr>
                <w:rFonts w:ascii="Arial" w:cs="Arial" w:eastAsia="Arial" w:hAnsi="Arial"/>
                <w:sz w:val="18"/>
                <w:szCs w:val="18"/>
                <w:color w:val="auto"/>
                <w:w w:val="88"/>
              </w:rPr>
              <w:t>95%</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San Juan Mesa</w:t>
            </w:r>
          </w:p>
        </w:tc>
        <w:tc>
          <w:tcPr>
            <w:tcW w:w="3800" w:type="dxa"/>
            <w:vAlign w:val="bottom"/>
          </w:tcPr>
          <w:p>
            <w:pPr>
              <w:jc w:val="center"/>
              <w:ind w:left="2271"/>
              <w:spacing w:after="0"/>
              <w:rPr>
                <w:sz w:val="20"/>
                <w:szCs w:val="20"/>
                <w:color w:val="auto"/>
              </w:rPr>
            </w:pPr>
            <w:r>
              <w:rPr>
                <w:rFonts w:ascii="Arial" w:cs="Arial" w:eastAsia="Arial" w:hAnsi="Arial"/>
                <w:sz w:val="18"/>
                <w:szCs w:val="18"/>
                <w:color w:val="auto"/>
                <w:w w:val="88"/>
              </w:rPr>
              <w:t>75%</w:t>
            </w:r>
          </w:p>
        </w:tc>
        <w:tc>
          <w:tcPr>
            <w:tcW w:w="22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47</w:t>
            </w:r>
          </w:p>
        </w:tc>
      </w:tr>
      <w:tr>
        <w:trPr>
          <w:trHeight w:val="27"/>
        </w:trPr>
        <w:tc>
          <w:tcPr>
            <w:tcW w:w="4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Elkhorn Ridge</w:t>
            </w:r>
          </w:p>
        </w:tc>
        <w:tc>
          <w:tcPr>
            <w:tcW w:w="3800" w:type="dxa"/>
            <w:vAlign w:val="bottom"/>
            <w:tcBorders>
              <w:bottom w:val="single" w:sz="8" w:color="CCEEFF"/>
            </w:tcBorders>
            <w:shd w:val="clear" w:color="auto" w:fill="CCEEFF"/>
          </w:tcPr>
          <w:p>
            <w:pPr>
              <w:jc w:val="center"/>
              <w:ind w:left="2271"/>
              <w:spacing w:after="0"/>
              <w:rPr>
                <w:sz w:val="20"/>
                <w:szCs w:val="20"/>
                <w:color w:val="auto"/>
              </w:rPr>
            </w:pPr>
            <w:r>
              <w:rPr>
                <w:rFonts w:ascii="Arial" w:cs="Arial" w:eastAsia="Arial" w:hAnsi="Arial"/>
                <w:sz w:val="18"/>
                <w:szCs w:val="18"/>
                <w:color w:val="auto"/>
                <w:w w:val="93"/>
              </w:rPr>
              <w:t>66.7%</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 xml:space="preserve">RPV Holdco 1 LLC </w:t>
            </w:r>
            <w:r>
              <w:rPr>
                <w:rFonts w:ascii="Arial" w:cs="Arial" w:eastAsia="Arial" w:hAnsi="Arial"/>
                <w:sz w:val="23"/>
                <w:szCs w:val="23"/>
                <w:color w:val="auto"/>
                <w:vertAlign w:val="superscript"/>
              </w:rPr>
              <w:t>(c)</w:t>
            </w:r>
          </w:p>
        </w:tc>
        <w:tc>
          <w:tcPr>
            <w:tcW w:w="3800" w:type="dxa"/>
            <w:vAlign w:val="bottom"/>
          </w:tcPr>
          <w:p>
            <w:pPr>
              <w:jc w:val="center"/>
              <w:ind w:left="2271"/>
              <w:spacing w:after="0"/>
              <w:rPr>
                <w:sz w:val="20"/>
                <w:szCs w:val="20"/>
                <w:color w:val="auto"/>
              </w:rPr>
            </w:pPr>
            <w:r>
              <w:rPr>
                <w:rFonts w:ascii="Arial" w:cs="Arial" w:eastAsia="Arial" w:hAnsi="Arial"/>
                <w:sz w:val="18"/>
                <w:szCs w:val="18"/>
                <w:color w:val="auto"/>
                <w:w w:val="88"/>
              </w:rPr>
              <w:t>95%</w:t>
            </w:r>
          </w:p>
        </w:tc>
        <w:tc>
          <w:tcPr>
            <w:tcW w:w="220" w:type="dxa"/>
            <w:vAlign w:val="bottom"/>
          </w:tcPr>
          <w:p>
            <w:pPr>
              <w:spacing w:after="0"/>
              <w:rPr>
                <w:sz w:val="23"/>
                <w:szCs w:val="23"/>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27</w:t>
            </w:r>
          </w:p>
        </w:tc>
      </w:tr>
      <w:tr>
        <w:trPr>
          <w:trHeight w:val="27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Avenal </w:t>
            </w:r>
            <w:r>
              <w:rPr>
                <w:rFonts w:ascii="Arial" w:cs="Arial" w:eastAsia="Arial" w:hAnsi="Arial"/>
                <w:sz w:val="23"/>
                <w:szCs w:val="23"/>
                <w:color w:val="auto"/>
                <w:vertAlign w:val="superscript"/>
              </w:rPr>
              <w:t>(b)</w:t>
            </w:r>
          </w:p>
        </w:tc>
        <w:tc>
          <w:tcPr>
            <w:tcW w:w="3800" w:type="dxa"/>
            <w:vAlign w:val="bottom"/>
            <w:shd w:val="clear" w:color="auto" w:fill="CCEEFF"/>
          </w:tcPr>
          <w:p>
            <w:pPr>
              <w:jc w:val="center"/>
              <w:ind w:left="2271"/>
              <w:spacing w:after="0"/>
              <w:rPr>
                <w:sz w:val="20"/>
                <w:szCs w:val="20"/>
                <w:color w:val="auto"/>
              </w:rPr>
            </w:pPr>
            <w:r>
              <w:rPr>
                <w:rFonts w:ascii="Arial" w:cs="Arial" w:eastAsia="Arial" w:hAnsi="Arial"/>
                <w:sz w:val="18"/>
                <w:szCs w:val="18"/>
                <w:color w:val="auto"/>
                <w:w w:val="88"/>
              </w:rPr>
              <w:t>50%</w:t>
            </w:r>
          </w:p>
        </w:tc>
        <w:tc>
          <w:tcPr>
            <w:tcW w:w="22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4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1,149</w:t>
            </w:r>
          </w:p>
        </w:tc>
      </w:tr>
      <w:tr>
        <w:trPr>
          <w:trHeight w:val="27"/>
        </w:trPr>
        <w:tc>
          <w:tcPr>
            <w:tcW w:w="4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
        </w:trPr>
        <w:tc>
          <w:tcPr>
            <w:tcW w:w="4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308610</wp:posOffset>
            </wp:positionV>
            <wp:extent cx="24771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0" w:right="380" w:hanging="7"/>
        <w:spacing w:after="0" w:line="227" w:lineRule="auto"/>
        <w:tabs>
          <w:tab w:leader="none" w:pos="59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Economic interest based on cash to be distributed. Four Brothers Solar, LLC, Granite Mountain Holdings, LLC and Iron Springs Holdings, LLC are tax equity structures and VIEs.</w:t>
      </w:r>
    </w:p>
    <w:p>
      <w:pPr>
        <w:ind w:left="580" w:hanging="167"/>
        <w:spacing w:after="0" w:line="197" w:lineRule="auto"/>
        <w:tabs>
          <w:tab w:leader="none" w:pos="58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 xml:space="preserve">Entities that have PPAs with PG&amp;E. For further update on PG&amp;E Bankruptcy see Note 1— </w:t>
      </w:r>
      <w:r>
        <w:rPr>
          <w:rFonts w:ascii="Arial" w:cs="Arial" w:eastAsia="Arial" w:hAnsi="Arial"/>
          <w:sz w:val="15"/>
          <w:szCs w:val="15"/>
          <w:i w:val="1"/>
          <w:iCs w:val="1"/>
          <w:color w:val="auto"/>
        </w:rPr>
        <w:t>Nature of Business.</w:t>
      </w:r>
    </w:p>
    <w:p>
      <w:pPr>
        <w:ind w:left="420" w:right="400" w:hanging="7"/>
        <w:spacing w:after="0" w:line="215" w:lineRule="auto"/>
        <w:tabs>
          <w:tab w:leader="none" w:pos="57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Economic interest based on cash to be distributed. DGPV Holdco 1 LLC, DGPV Holdco 2 LLC, DGPV Holdco 3 LLC and RPV Holdco 1 LLC are tax equity structures and VIEs.</w:t>
      </w:r>
    </w:p>
    <w:p>
      <w:pPr>
        <w:spacing w:after="0" w:line="21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$7 million of cash during the three months ended March 31, 2020 in DGPV Holdco 3 LLC.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owns approximately 112 MW of distributed solar capacity, based on cash to be distributed, with a weighted average remaining contract life of approximately 21 years as of March 31,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50"/>
        </w:trPr>
        <w:tc>
          <w:tcPr>
            <w:tcW w:w="6980" w:type="dxa"/>
            <w:vAlign w:val="bottom"/>
          </w:tcPr>
          <w:p>
            <w:pPr>
              <w:spacing w:after="0"/>
              <w:rPr>
                <w:sz w:val="21"/>
                <w:szCs w:val="21"/>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020" w:type="dxa"/>
            <w:vAlign w:val="bottom"/>
          </w:tcPr>
          <w:p>
            <w:pPr>
              <w:spacing w:after="0"/>
              <w:rPr>
                <w:sz w:val="21"/>
                <w:szCs w:val="21"/>
                <w:color w:val="auto"/>
              </w:rPr>
            </w:pPr>
          </w:p>
        </w:tc>
        <w:tc>
          <w:tcPr>
            <w:tcW w:w="2360" w:type="dxa"/>
            <w:vAlign w:val="bottom"/>
            <w:gridSpan w:val="4"/>
          </w:tcPr>
          <w:p>
            <w:pPr>
              <w:jc w:val="center"/>
              <w:ind w:right="933"/>
              <w:spacing w:after="0"/>
              <w:rPr>
                <w:sz w:val="20"/>
                <w:szCs w:val="20"/>
                <w:color w:val="auto"/>
              </w:rPr>
            </w:pPr>
            <w:r>
              <w:rPr>
                <w:rFonts w:ascii="Arial" w:cs="Arial" w:eastAsia="Arial" w:hAnsi="Arial"/>
                <w:sz w:val="18"/>
                <w:szCs w:val="18"/>
                <w:b w:val="1"/>
                <w:bCs w:val="1"/>
                <w:color w:val="auto"/>
                <w:w w:val="93"/>
              </w:rPr>
              <w:t>(In millions)</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revenue</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revenue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6980" w:type="dxa"/>
            <w:vAlign w:val="bottom"/>
          </w:tcPr>
          <w:p>
            <w:pPr>
              <w:spacing w:after="0"/>
              <w:rPr>
                <w:sz w:val="24"/>
                <w:szCs w:val="24"/>
                <w:color w:val="auto"/>
              </w:rPr>
            </w:pPr>
          </w:p>
        </w:tc>
        <w:tc>
          <w:tcPr>
            <w:tcW w:w="1640" w:type="dxa"/>
            <w:vAlign w:val="bottom"/>
            <w:gridSpan w:val="3"/>
          </w:tcPr>
          <w:p>
            <w:pPr>
              <w:ind w:left="28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24"/>
                <w:szCs w:val="24"/>
                <w:color w:val="auto"/>
              </w:rPr>
            </w:pPr>
          </w:p>
        </w:tc>
        <w:tc>
          <w:tcPr>
            <w:tcW w:w="156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As of December 31,</w:t>
            </w:r>
          </w:p>
        </w:tc>
      </w:tr>
      <w:tr>
        <w:trPr>
          <w:trHeight w:val="196"/>
        </w:trPr>
        <w:tc>
          <w:tcPr>
            <w:tcW w:w="69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20" w:type="dxa"/>
            <w:vAlign w:val="bottom"/>
          </w:tcPr>
          <w:p>
            <w:pPr>
              <w:spacing w:after="0"/>
              <w:rPr>
                <w:sz w:val="21"/>
                <w:szCs w:val="21"/>
                <w:color w:val="auto"/>
              </w:rPr>
            </w:pPr>
          </w:p>
        </w:tc>
        <w:tc>
          <w:tcPr>
            <w:tcW w:w="2360" w:type="dxa"/>
            <w:vAlign w:val="bottom"/>
            <w:gridSpan w:val="4"/>
          </w:tcPr>
          <w:p>
            <w:pPr>
              <w:jc w:val="center"/>
              <w:ind w:right="933"/>
              <w:spacing w:after="0"/>
              <w:rPr>
                <w:sz w:val="20"/>
                <w:szCs w:val="20"/>
                <w:color w:val="auto"/>
              </w:rPr>
            </w:pPr>
            <w:r>
              <w:rPr>
                <w:rFonts w:ascii="Arial" w:cs="Arial" w:eastAsia="Arial" w:hAnsi="Arial"/>
                <w:sz w:val="18"/>
                <w:szCs w:val="18"/>
                <w:b w:val="1"/>
                <w:bCs w:val="1"/>
                <w:color w:val="auto"/>
                <w:w w:val="93"/>
              </w:rPr>
              <w:t>(In millions)</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371</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216</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Redeemable noncontrolling interest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162</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8</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Redeemable noncontrolling interest</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r>
      <w:tr>
        <w:trPr>
          <w:trHeight w:val="27"/>
        </w:trPr>
        <w:tc>
          <w:tcPr>
            <w:tcW w:w="6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2019</w:t>
            </w:r>
          </w:p>
        </w:tc>
      </w:tr>
      <w:tr>
        <w:trPr>
          <w:trHeight w:val="196"/>
        </w:trPr>
        <w:tc>
          <w:tcPr>
            <w:tcW w:w="6020" w:type="dxa"/>
            <w:vAlign w:val="bottom"/>
          </w:tcPr>
          <w:p>
            <w:pPr>
              <w:spacing w:after="0"/>
              <w:rPr>
                <w:sz w:val="17"/>
                <w:szCs w:val="17"/>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9"/>
              </w:rPr>
              <w:t>Carrying Amount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5"/>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6,634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6,598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6,957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6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2020 and December 31, 2019:</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2019</w:t>
            </w: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1,521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5,077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1,736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5,221</w:t>
            </w:r>
          </w:p>
        </w:tc>
      </w:tr>
      <w:tr>
        <w:trPr>
          <w:trHeight w:val="27"/>
        </w:trPr>
        <w:tc>
          <w:tcPr>
            <w:tcW w:w="6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As of March 31, 2020</w:t>
            </w: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As of December 31, 2019</w:t>
            </w:r>
          </w:p>
        </w:tc>
      </w:tr>
      <w:tr>
        <w:trPr>
          <w:trHeight w:val="186"/>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900" w:type="dxa"/>
            <w:vAlign w:val="bottom"/>
            <w:tcBorders>
              <w:bottom w:val="single" w:sz="8" w:color="auto"/>
            </w:tcBorders>
          </w:tcPr>
          <w:p>
            <w:pPr>
              <w:spacing w:after="0"/>
              <w:rPr>
                <w:sz w:val="16"/>
                <w:szCs w:val="16"/>
                <w:color w:val="auto"/>
              </w:rPr>
            </w:pPr>
          </w:p>
        </w:tc>
      </w:tr>
      <w:tr>
        <w:trPr>
          <w:trHeight w:val="192"/>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w w:val="96"/>
              </w:rPr>
              <w:t>Level 3</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w:t>
            </w: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ind w:left="6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308610</wp:posOffset>
            </wp:positionV>
            <wp:extent cx="1362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320" w:hanging="150"/>
        <w:spacing w:after="0"/>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Level 2 or Level 3 and no liabilities classified as Level 1 as of March 31, 2020 and as of December 31, 2019.</w:t>
      </w:r>
    </w:p>
    <w:p>
      <w:pPr>
        <w:spacing w:after="0" w:line="14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tbl>
      <w:tblPr>
        <w:tblLayout w:type="fixed"/>
        <w:tblInd w:w="46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1"/>
              </w:rPr>
              <w:t>Fair Value Measurement Using Significant</w:t>
            </w: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Unobservable Inputs (Level 3)</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as of January 1, 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Total losses for the period included in earnings</w:t>
            </w:r>
          </w:p>
        </w:tc>
        <w:tc>
          <w:tcPr>
            <w:tcW w:w="2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Ending balance as of March 31, 2020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Change in unrealized losses included in earnings for derivatives held as of March</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31, 2020</w:t>
            </w:r>
          </w:p>
        </w:tc>
        <w:tc>
          <w:tcPr>
            <w:tcW w:w="240" w:type="dxa"/>
            <w:vAlign w:val="bottom"/>
            <w:vMerge w:val="continue"/>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March 31, 2020, contracts valued with prices provided by models and other valuation techniques make up 7% of derivative liabilities.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quantify the significant unobservable inputs used in developing the fair value of the Company's Level 3 positions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March 31, 2020</w:t>
            </w: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Input/Range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Valuation</w:t>
            </w: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Input</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Low</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High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7"/>
        </w:trPr>
        <w:tc>
          <w:tcPr>
            <w:tcW w:w="1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Discounted Cash</w:t>
            </w:r>
          </w:p>
        </w:tc>
        <w:tc>
          <w:tcPr>
            <w:tcW w:w="1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3"/>
              </w:rPr>
              <w:t>Forward Market</w:t>
            </w: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Contracts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Flow</w:t>
            </w:r>
          </w:p>
        </w:tc>
        <w:tc>
          <w:tcPr>
            <w:tcW w:w="16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Price (per MWh)</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7.93</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40.68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March 31, 2020:</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 Observable Input</w:t>
            </w:r>
          </w:p>
        </w:tc>
        <w:tc>
          <w:tcPr>
            <w:tcW w:w="194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Position</w:t>
            </w:r>
          </w:p>
        </w:tc>
        <w:tc>
          <w:tcPr>
            <w:tcW w:w="232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Change In Input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Measurement</w:t>
            </w:r>
          </w:p>
        </w:tc>
      </w:tr>
      <w:tr>
        <w:trPr>
          <w:trHeight w:val="27"/>
        </w:trPr>
        <w:tc>
          <w:tcPr>
            <w:tcW w:w="36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94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6"/>
              </w:rPr>
              <w:t>Buy</w:t>
            </w:r>
          </w:p>
        </w:tc>
        <w:tc>
          <w:tcPr>
            <w:tcW w:w="23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Increase/(Decrease)</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Higher/(Lower)</w:t>
            </w: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2"/>
              </w:rPr>
              <w:t>Forward Market Price Power</w:t>
            </w:r>
          </w:p>
        </w:tc>
        <w:tc>
          <w:tcPr>
            <w:tcW w:w="1940" w:type="dxa"/>
            <w:vAlign w:val="bottom"/>
          </w:tcPr>
          <w:p>
            <w:pPr>
              <w:jc w:val="center"/>
              <w:ind w:left="90"/>
              <w:spacing w:after="0"/>
              <w:rPr>
                <w:sz w:val="20"/>
                <w:szCs w:val="20"/>
                <w:color w:val="auto"/>
              </w:rPr>
            </w:pPr>
            <w:r>
              <w:rPr>
                <w:rFonts w:ascii="Arial" w:cs="Arial" w:eastAsia="Arial" w:hAnsi="Arial"/>
                <w:sz w:val="18"/>
                <w:szCs w:val="18"/>
                <w:color w:val="auto"/>
                <w:w w:val="93"/>
              </w:rPr>
              <w:t>Sell</w:t>
            </w:r>
          </w:p>
        </w:tc>
        <w:tc>
          <w:tcPr>
            <w:tcW w:w="2320" w:type="dxa"/>
            <w:vAlign w:val="bottom"/>
          </w:tcPr>
          <w:p>
            <w:pPr>
              <w:jc w:val="center"/>
              <w:ind w:left="190"/>
              <w:spacing w:after="0"/>
              <w:rPr>
                <w:sz w:val="20"/>
                <w:szCs w:val="20"/>
                <w:color w:val="auto"/>
              </w:rPr>
            </w:pPr>
            <w:r>
              <w:rPr>
                <w:rFonts w:ascii="Arial" w:cs="Arial" w:eastAsia="Arial" w:hAnsi="Arial"/>
                <w:sz w:val="18"/>
                <w:szCs w:val="18"/>
                <w:color w:val="auto"/>
                <w:w w:val="88"/>
              </w:rPr>
              <w:t>Increase/(Decrease)</w:t>
            </w: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Lower/(Higher)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2020, the non-performance reserve was a $19 million gain recorded primarily in interest expense in the consolidated statements of operations. It is possible that future market prices could vary from those used in recording assets and liabilities and such variations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addition to the credit risk discussion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color w:val="231F20"/>
        </w:rPr>
        <w:t>to the</w:t>
      </w:r>
      <w:r>
        <w:rPr>
          <w:rFonts w:ascii="Arial" w:cs="Arial" w:eastAsia="Arial" w:hAnsi="Arial"/>
          <w:sz w:val="17"/>
          <w:szCs w:val="17"/>
          <w:color w:val="auto"/>
        </w:rPr>
        <w:t xml:space="preserve"> consolidated financial statements included in the </w:t>
      </w:r>
      <w:r>
        <w:rPr>
          <w:rFonts w:ascii="Arial" w:cs="Arial" w:eastAsia="Arial" w:hAnsi="Arial"/>
          <w:sz w:val="17"/>
          <w:szCs w:val="17"/>
          <w:color w:val="231F20"/>
        </w:rPr>
        <w:t xml:space="preserve">Company's </w:t>
      </w:r>
      <w:r>
        <w:rPr>
          <w:rFonts w:ascii="Arial" w:cs="Arial" w:eastAsia="Arial" w:hAnsi="Arial"/>
          <w:sz w:val="17"/>
          <w:szCs w:val="17"/>
          <w:color w:val="000000"/>
        </w:rPr>
        <w:t>2019 Form 10-K, the following is a discussion of the concentration of credit risk for the Company's financial instruments. Credit risk relates to</w:t>
      </w:r>
      <w:r>
        <w:rPr>
          <w:rFonts w:ascii="Arial" w:cs="Arial" w:eastAsia="Arial" w:hAnsi="Arial"/>
          <w:sz w:val="17"/>
          <w:szCs w:val="17"/>
          <w:color w:val="231F20"/>
        </w:rPr>
        <w:t xml:space="preserve"> </w:t>
      </w:r>
      <w:r>
        <w:rPr>
          <w:rFonts w:ascii="Arial" w:cs="Arial" w:eastAsia="Arial" w:hAnsi="Arial"/>
          <w:sz w:val="17"/>
          <w:szCs w:val="17"/>
          <w:color w:val="000000"/>
        </w:rPr>
        <w:t>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$13 million in accounts receivable due from PG&amp;E for its consolidated projects, of which $5 million was recorded to non-current assets as of March 31, 2020. As of May 7, 2020, the Company's contracts with PG&amp;E have operated in the normal course and the Company currently expects these contracts to continue as such. The Company has entered into forbearance agreements for certain project-level financing arrangements as of May 7, 2020, and continues seeking similar forbearance agreements with lenders for the remaining project-level financing arrangements affected by the PG&amp;E Bankruptcy. For further discussion see Note 7, </w:t>
      </w:r>
      <w:r>
        <w:rPr>
          <w:rFonts w:ascii="Arial" w:cs="Arial" w:eastAsia="Arial" w:hAnsi="Arial"/>
          <w:sz w:val="17"/>
          <w:szCs w:val="17"/>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Accounting for Derivative Instruments and Hedging Activities, </w:t>
      </w:r>
      <w:r>
        <w:rPr>
          <w:rFonts w:ascii="Arial" w:cs="Arial" w:eastAsia="Arial" w:hAnsi="Arial"/>
          <w:sz w:val="18"/>
          <w:szCs w:val="18"/>
          <w:color w:val="231F20"/>
        </w:rPr>
        <w:t>to the</w:t>
      </w:r>
      <w:r>
        <w:rPr>
          <w:rFonts w:ascii="Arial" w:cs="Arial" w:eastAsia="Arial" w:hAnsi="Arial"/>
          <w:sz w:val="18"/>
          <w:szCs w:val="18"/>
          <w:color w:val="auto"/>
        </w:rPr>
        <w:t xml:space="preserve"> consolidated financial statements included in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60"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March 31, 2020, the Company had interest rate derivative instruments on non-recourse debt extending through 2041, a portion of which were designated as cash flow hedges. Under the interest rate swap agreements, the Company pays a fixed rate and the counterparties to the agreements pay a variable interest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2020, the Company had energy-related derivative instruments extending through 2029. At March 31, 2020,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Total Volume</w:t>
            </w:r>
          </w:p>
        </w:tc>
      </w:tr>
      <w:tr>
        <w:trPr>
          <w:trHeight w:val="20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2019</w:t>
            </w:r>
          </w:p>
        </w:tc>
      </w:tr>
      <w:tr>
        <w:trPr>
          <w:trHeight w:val="162"/>
        </w:trPr>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Commodity</w:t>
            </w:r>
          </w:p>
        </w:tc>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6"/>
          </w:tcPr>
          <w:p>
            <w:pPr>
              <w:ind w:left="900"/>
              <w:spacing w:after="0"/>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Natural Gas</w:t>
            </w: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Power</w:t>
            </w:r>
          </w:p>
        </w:tc>
        <w:tc>
          <w:tcPr>
            <w:tcW w:w="6100" w:type="dxa"/>
            <w:vAlign w:val="bottom"/>
            <w:gridSpan w:val="2"/>
          </w:tcPr>
          <w:p>
            <w:pPr>
              <w:spacing w:after="0"/>
              <w:rPr>
                <w:sz w:val="20"/>
                <w:szCs w:val="20"/>
                <w:color w:val="auto"/>
              </w:rPr>
            </w:pPr>
            <w:r>
              <w:rPr>
                <w:rFonts w:ascii="Arial" w:cs="Arial" w:eastAsia="Arial" w:hAnsi="Arial"/>
                <w:sz w:val="18"/>
                <w:szCs w:val="18"/>
                <w:color w:val="auto"/>
              </w:rPr>
              <w:t>MWh</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ind w:left="9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1,816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w:t>
            </w:r>
          </w:p>
        </w:tc>
      </w:tr>
      <w:tr>
        <w:trPr>
          <w:trHeight w:val="770"/>
        </w:trPr>
        <w:tc>
          <w:tcPr>
            <w:tcW w:w="74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Fair Value of Derivative Instruments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80" w:type="dxa"/>
            <w:vAlign w:val="bottom"/>
            <w:gridSpan w:val="8"/>
          </w:tcPr>
          <w:p>
            <w:pPr>
              <w:jc w:val="right"/>
              <w:ind w:right="876"/>
              <w:spacing w:after="0"/>
              <w:rPr>
                <w:sz w:val="20"/>
                <w:szCs w:val="20"/>
                <w:color w:val="auto"/>
              </w:rPr>
            </w:pPr>
            <w:r>
              <w:rPr>
                <w:rFonts w:ascii="Arial" w:cs="Arial" w:eastAsia="Arial" w:hAnsi="Arial"/>
                <w:sz w:val="18"/>
                <w:szCs w:val="18"/>
                <w:color w:val="auto"/>
                <w:w w:val="93"/>
              </w:rPr>
              <w:t>The following table summarizes the fair value within the derivative instrument valuation on the balance sheet: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25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w w:val="94"/>
              </w:rPr>
              <w:t>Derivative Liabilities</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16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jc w:val="right"/>
              <w:ind w:right="1193"/>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gridSpan w:val="4"/>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62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gridSpan w:val="4"/>
          </w:tcPr>
          <w:p>
            <w:pPr>
              <w:ind w:left="120"/>
              <w:spacing w:after="0"/>
              <w:rPr>
                <w:sz w:val="20"/>
                <w:szCs w:val="20"/>
                <w:color w:val="auto"/>
              </w:rPr>
            </w:pPr>
            <w:r>
              <w:rPr>
                <w:rFonts w:ascii="Arial" w:cs="Arial" w:eastAsia="Arial" w:hAnsi="Arial"/>
                <w:sz w:val="18"/>
                <w:szCs w:val="18"/>
                <w:color w:val="auto"/>
              </w:rPr>
              <w:t>Interest rate contracts long-term</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0" w:type="dxa"/>
            <w:vAlign w:val="bottom"/>
            <w:tcBorders>
              <w:bottom w:val="single" w:sz="8" w:color="CCEEFF"/>
            </w:tcBorders>
            <w:gridSpan w:val="4"/>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Hedges</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0" w:type="dxa"/>
            <w:vAlign w:val="bottom"/>
            <w:gridSpan w:val="4"/>
          </w:tcPr>
          <w:p>
            <w:pPr>
              <w:ind w:left="20"/>
              <w:spacing w:after="0"/>
              <w:rPr>
                <w:sz w:val="20"/>
                <w:szCs w:val="20"/>
                <w:color w:val="auto"/>
              </w:rPr>
            </w:pPr>
            <w:r>
              <w:rPr>
                <w:rFonts w:ascii="Arial" w:cs="Arial" w:eastAsia="Arial" w:hAnsi="Arial"/>
                <w:sz w:val="18"/>
                <w:szCs w:val="18"/>
                <w:color w:val="auto"/>
              </w:rPr>
              <w:t>Derivatives Not Designated as Cash Flow Hedges: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gridSpan w:val="4"/>
          </w:tcPr>
          <w:p>
            <w:pPr>
              <w:ind w:left="120"/>
              <w:spacing w:after="0"/>
              <w:rPr>
                <w:sz w:val="20"/>
                <w:szCs w:val="20"/>
                <w:color w:val="auto"/>
              </w:rPr>
            </w:pPr>
            <w:r>
              <w:rPr>
                <w:rFonts w:ascii="Arial" w:cs="Arial" w:eastAsia="Arial" w:hAnsi="Arial"/>
                <w:sz w:val="18"/>
                <w:szCs w:val="18"/>
                <w:color w:val="auto"/>
              </w:rPr>
              <w:t>Interest rate contracts long-term</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Commodity contracts current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0" w:type="dxa"/>
            <w:vAlign w:val="bottom"/>
            <w:gridSpan w:val="4"/>
          </w:tcPr>
          <w:p>
            <w:pPr>
              <w:ind w:left="120"/>
              <w:spacing w:after="0"/>
              <w:rPr>
                <w:sz w:val="20"/>
                <w:szCs w:val="20"/>
                <w:color w:val="auto"/>
              </w:rPr>
            </w:pPr>
            <w:r>
              <w:rPr>
                <w:rFonts w:ascii="Arial" w:cs="Arial" w:eastAsia="Arial" w:hAnsi="Arial"/>
                <w:sz w:val="18"/>
                <w:szCs w:val="18"/>
                <w:color w:val="auto"/>
              </w:rPr>
              <w:t>Commodity contracts long-term</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0" w:type="dxa"/>
            <w:vAlign w:val="bottom"/>
            <w:tcBorders>
              <w:bottom w:val="single" w:sz="8" w:color="CCEEFF"/>
            </w:tcBorders>
            <w:gridSpan w:val="4"/>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Cash Flow Hedges</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0" w:type="dxa"/>
            <w:vAlign w:val="bottom"/>
            <w:gridSpan w:val="4"/>
          </w:tcPr>
          <w:p>
            <w:pPr>
              <w:ind w:left="20"/>
              <w:spacing w:after="0"/>
              <w:rPr>
                <w:sz w:val="20"/>
                <w:szCs w:val="20"/>
                <w:color w:val="auto"/>
              </w:rPr>
            </w:pPr>
            <w:r>
              <w:rPr>
                <w:rFonts w:ascii="Arial" w:cs="Arial" w:eastAsia="Arial" w:hAnsi="Arial"/>
                <w:sz w:val="18"/>
                <w:szCs w:val="18"/>
                <w:color w:val="auto"/>
              </w:rPr>
              <w:t>Total Derivatives</w:t>
            </w:r>
          </w:p>
        </w:tc>
        <w:tc>
          <w:tcPr>
            <w:tcW w:w="44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March 31, 2020 and December 31, 2019, there was no outstanding collateral paid or received. The following tables summarize the offsetting of derivatives by the counterparty master agreement level as of March 31, 2020 and December 31, 2019:</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As of March 31, 2020</w:t>
            </w:r>
          </w:p>
        </w:tc>
        <w:tc>
          <w:tcPr>
            <w:tcW w:w="22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Arial" w:cs="Arial" w:eastAsia="Arial" w:hAnsi="Arial"/>
                <w:sz w:val="14"/>
                <w:szCs w:val="14"/>
                <w:b w:val="1"/>
                <w:bCs w:val="1"/>
                <w:color w:val="auto"/>
              </w:rPr>
              <w:t>Gross Amounts of</w:t>
            </w:r>
          </w:p>
        </w:tc>
        <w:tc>
          <w:tcPr>
            <w:tcW w:w="140" w:type="dxa"/>
            <w:vAlign w:val="bottom"/>
          </w:tcPr>
          <w:p>
            <w:pPr>
              <w:spacing w:after="0"/>
              <w:rPr>
                <w:sz w:val="14"/>
                <w:szCs w:val="14"/>
                <w:color w:val="auto"/>
              </w:rPr>
            </w:pPr>
          </w:p>
        </w:tc>
        <w:tc>
          <w:tcPr>
            <w:tcW w:w="1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commodity contracts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gridSpan w:val="2"/>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55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tcPr>
          <w:p>
            <w:pPr>
              <w:spacing w:after="0"/>
              <w:rPr>
                <w:sz w:val="24"/>
                <w:szCs w:val="2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Gross Amounts of</w:t>
            </w:r>
          </w:p>
        </w:tc>
        <w:tc>
          <w:tcPr>
            <w:tcW w:w="140" w:type="dxa"/>
            <w:vAlign w:val="bottom"/>
          </w:tcPr>
          <w:p>
            <w:pPr>
              <w:spacing w:after="0"/>
              <w:rPr>
                <w:sz w:val="24"/>
                <w:szCs w:val="24"/>
                <w:color w:val="auto"/>
              </w:rPr>
            </w:pPr>
          </w:p>
        </w:tc>
        <w:tc>
          <w:tcPr>
            <w:tcW w:w="17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194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4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Commodity contracts:</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Derivative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commodity contracts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rate contracts</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derivative instruments</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3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0" w:type="dxa"/>
            <w:vAlign w:val="bottom"/>
          </w:tcPr>
          <w:p>
            <w:pPr>
              <w:spacing w:after="0"/>
              <w:rPr>
                <w:sz w:val="21"/>
                <w:szCs w:val="21"/>
                <w:color w:val="auto"/>
              </w:rPr>
            </w:pPr>
          </w:p>
        </w:tc>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20" w:type="dxa"/>
            <w:vAlign w:val="bottom"/>
            <w:tcBorders>
              <w:top w:val="single" w:sz="8" w:color="auto"/>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7180" w:type="dxa"/>
            <w:vAlign w:val="bottom"/>
          </w:tcPr>
          <w:p>
            <w:pPr>
              <w:ind w:left="400"/>
              <w:spacing w:after="0" w:line="176" w:lineRule="exact"/>
              <w:rPr>
                <w:sz w:val="20"/>
                <w:szCs w:val="20"/>
                <w:color w:val="auto"/>
              </w:rPr>
            </w:pPr>
            <w:r>
              <w:rPr>
                <w:rFonts w:ascii="Arial" w:cs="Arial" w:eastAsia="Arial" w:hAnsi="Arial"/>
                <w:sz w:val="18"/>
                <w:szCs w:val="18"/>
                <w:color w:val="auto"/>
                <w:w w:val="97"/>
              </w:rPr>
              <w:t>Reclassified from accumulated OCL to income due to realization of previously deferred</w:t>
            </w:r>
          </w:p>
        </w:tc>
        <w:tc>
          <w:tcPr>
            <w:tcW w:w="820" w:type="dxa"/>
            <w:vAlign w:val="bottom"/>
          </w:tcPr>
          <w:p>
            <w:pPr>
              <w:spacing w:after="0"/>
              <w:rPr>
                <w:sz w:val="15"/>
                <w:szCs w:val="15"/>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7180" w:type="dxa"/>
            <w:vAlign w:val="bottom"/>
          </w:tcPr>
          <w:p>
            <w:pPr>
              <w:ind w:left="240"/>
              <w:spacing w:after="0"/>
              <w:rPr>
                <w:sz w:val="20"/>
                <w:szCs w:val="20"/>
                <w:color w:val="auto"/>
              </w:rPr>
            </w:pPr>
            <w:r>
              <w:rPr>
                <w:rFonts w:ascii="Arial" w:cs="Arial" w:eastAsia="Arial" w:hAnsi="Arial"/>
                <w:sz w:val="18"/>
                <w:szCs w:val="18"/>
                <w:color w:val="auto"/>
              </w:rPr>
              <w:t>amounts</w:t>
            </w:r>
          </w:p>
        </w:tc>
        <w:tc>
          <w:tcPr>
            <w:tcW w:w="8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Mark-to-market of cash flow hedge accounting contracts</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OCL ending balance, net of income tax benefit of $8 and $7, respectively</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OCL attributable to noncontrolling interests</w:t>
            </w:r>
          </w:p>
        </w:tc>
        <w:tc>
          <w:tcPr>
            <w:tcW w:w="8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Accumulated OCL attributable to Clearway Energy, Inc.</w:t>
            </w:r>
          </w:p>
        </w:tc>
        <w:tc>
          <w:tcPr>
            <w:tcW w:w="82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 w:type="dxa"/>
            <w:vAlign w:val="bottom"/>
          </w:tcPr>
          <w:p>
            <w:pPr>
              <w:spacing w:after="0"/>
              <w:rPr>
                <w:sz w:val="12"/>
                <w:szCs w:val="12"/>
                <w:color w:val="auto"/>
              </w:rPr>
            </w:pPr>
          </w:p>
        </w:tc>
        <w:tc>
          <w:tcPr>
            <w:tcW w:w="718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Losses expected to be realized from OCL during the next 12 months, net of income tax benefit</w:t>
            </w:r>
          </w:p>
        </w:tc>
        <w:tc>
          <w:tcPr>
            <w:tcW w:w="820" w:type="dxa"/>
            <w:vAlign w:val="bottom"/>
            <w:vMerge w:val="restart"/>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$3</w:t>
            </w: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2"/>
        </w:trPr>
        <w:tc>
          <w:tcPr>
            <w:tcW w:w="7900" w:type="dxa"/>
            <w:vAlign w:val="bottom"/>
            <w:gridSpan w:val="2"/>
          </w:tcPr>
          <w:p>
            <w:pPr>
              <w:jc w:val="right"/>
              <w:ind w:right="2091"/>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7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6" w:name="page27"/>
    <w:bookmarkEnd w:id="26"/>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96"/>
        </w:trPr>
        <w:tc>
          <w:tcPr>
            <w:tcW w:w="696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r>
      <w:tr>
        <w:trPr>
          <w:trHeight w:val="187"/>
        </w:trPr>
        <w:tc>
          <w:tcPr>
            <w:tcW w:w="6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6"/>
                <w:szCs w:val="16"/>
                <w:color w:val="auto"/>
              </w:rPr>
            </w:pPr>
          </w:p>
        </w:tc>
      </w:tr>
      <w:tr>
        <w:trPr>
          <w:trHeight w:val="251"/>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352"/>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96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256540</wp:posOffset>
            </wp:positionV>
            <wp:extent cx="1877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20" w:hanging="126"/>
        <w:spacing w:after="0"/>
        <w:tabs>
          <w:tab w:leader="none" w:pos="6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Relates to long-term power hedge at Elbow Creek Wind Project LLC, or Elbow Creek.</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2019 Form 10-K. 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1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3"/>
                <w:szCs w:val="13"/>
                <w:color w:val="auto"/>
              </w:rPr>
            </w:pPr>
          </w:p>
        </w:tc>
        <w:tc>
          <w:tcPr>
            <w:tcW w:w="104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w w:val="92"/>
              </w:rPr>
              <w:t>December 31,</w:t>
            </w:r>
          </w:p>
        </w:tc>
        <w:tc>
          <w:tcPr>
            <w:tcW w:w="20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March 31, 2020, interest rate</w:t>
            </w: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080" w:type="dxa"/>
            <w:vAlign w:val="bottom"/>
            <w:tcBorders>
              <w:bottom w:val="single" w:sz="8" w:color="auto"/>
            </w:tcBorders>
          </w:tcPr>
          <w:p>
            <w:pPr>
              <w:ind w:left="900"/>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 xml:space="preserve"> (a)</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2"/>
          </w:tcPr>
          <w:p>
            <w:pPr>
              <w:ind w:left="700"/>
              <w:spacing w:after="0"/>
              <w:rPr>
                <w:sz w:val="20"/>
                <w:szCs w:val="20"/>
                <w:color w:val="auto"/>
              </w:rPr>
            </w:pPr>
            <w:r>
              <w:rPr>
                <w:rFonts w:ascii="Arial" w:cs="Arial" w:eastAsia="Arial" w:hAnsi="Arial"/>
                <w:sz w:val="14"/>
                <w:szCs w:val="14"/>
                <w:b w:val="1"/>
                <w:bCs w:val="1"/>
                <w:color w:val="auto"/>
              </w:rPr>
              <w:t>(In millions, except rates)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w:t>
            </w:r>
          </w:p>
        </w:tc>
        <w:tc>
          <w:tcPr>
            <w:tcW w:w="20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3.250</w:t>
            </w: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2024</w:t>
            </w:r>
          </w:p>
        </w:tc>
        <w:tc>
          <w:tcPr>
            <w:tcW w:w="5000" w:type="dxa"/>
            <w:vAlign w:val="bottom"/>
          </w:tcPr>
          <w:p>
            <w:pPr>
              <w:ind w:left="40"/>
              <w:spacing w:after="0"/>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(b)</w:t>
            </w:r>
          </w:p>
        </w:tc>
        <w:tc>
          <w:tcPr>
            <w:tcW w:w="44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88</w:t>
            </w:r>
          </w:p>
        </w:tc>
        <w:tc>
          <w:tcPr>
            <w:tcW w:w="2080" w:type="dxa"/>
            <w:vAlign w:val="bottom"/>
          </w:tcPr>
          <w:p>
            <w:pPr>
              <w:ind w:left="1420"/>
              <w:spacing w:after="0"/>
              <w:rPr>
                <w:sz w:val="20"/>
                <w:szCs w:val="20"/>
                <w:color w:val="auto"/>
              </w:rPr>
            </w:pPr>
            <w:r>
              <w:rPr>
                <w:rFonts w:ascii="Arial" w:cs="Arial" w:eastAsia="Arial" w:hAnsi="Arial"/>
                <w:sz w:val="18"/>
                <w:szCs w:val="18"/>
                <w:color w:val="auto"/>
              </w:rPr>
              <w:t>5.375</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2025</w:t>
            </w:r>
          </w:p>
        </w:tc>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600</w:t>
            </w:r>
          </w:p>
        </w:tc>
        <w:tc>
          <w:tcPr>
            <w:tcW w:w="20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5.750</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2026</w:t>
            </w:r>
          </w:p>
        </w:tc>
        <w:tc>
          <w:tcPr>
            <w:tcW w:w="50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4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350</w:t>
            </w:r>
          </w:p>
        </w:tc>
        <w:tc>
          <w:tcPr>
            <w:tcW w:w="2080" w:type="dxa"/>
            <w:vAlign w:val="bottom"/>
          </w:tcPr>
          <w:p>
            <w:pPr>
              <w:ind w:left="1420"/>
              <w:spacing w:after="0"/>
              <w:rPr>
                <w:sz w:val="20"/>
                <w:szCs w:val="20"/>
                <w:color w:val="auto"/>
              </w:rPr>
            </w:pPr>
            <w:r>
              <w:rPr>
                <w:rFonts w:ascii="Arial" w:cs="Arial" w:eastAsia="Arial" w:hAnsi="Arial"/>
                <w:sz w:val="18"/>
                <w:szCs w:val="18"/>
                <w:color w:val="auto"/>
              </w:rPr>
              <w:t>5.000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2028</w:t>
            </w:r>
          </w:p>
        </w:tc>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600</w:t>
            </w:r>
          </w:p>
        </w:tc>
        <w:tc>
          <w:tcPr>
            <w:tcW w:w="20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4.750</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Clearway Energy LLC and Clearway Energy Operating LLC Revolving</w:t>
            </w:r>
          </w:p>
        </w:tc>
        <w:tc>
          <w:tcPr>
            <w:tcW w:w="440" w:type="dxa"/>
            <w:vAlign w:val="bottom"/>
          </w:tcPr>
          <w:p>
            <w:pPr>
              <w:spacing w:after="0"/>
              <w:rPr>
                <w:sz w:val="15"/>
                <w:szCs w:val="15"/>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5"/>
                <w:szCs w:val="15"/>
                <w:color w:val="auto"/>
              </w:rPr>
            </w:pPr>
          </w:p>
        </w:tc>
        <w:tc>
          <w:tcPr>
            <w:tcW w:w="1040" w:type="dxa"/>
            <w:vAlign w:val="bottom"/>
            <w:vMerge w:val="restart"/>
          </w:tcPr>
          <w:p>
            <w:pPr>
              <w:jc w:val="right"/>
              <w:ind w:right="76"/>
              <w:spacing w:after="0"/>
              <w:rPr>
                <w:sz w:val="20"/>
                <w:szCs w:val="20"/>
                <w:color w:val="auto"/>
              </w:rPr>
            </w:pPr>
            <w:r>
              <w:rPr>
                <w:rFonts w:ascii="Arial" w:cs="Arial" w:eastAsia="Arial" w:hAnsi="Arial"/>
                <w:sz w:val="18"/>
                <w:szCs w:val="18"/>
                <w:color w:val="auto"/>
              </w:rPr>
              <w:t>—</w:t>
            </w:r>
          </w:p>
        </w:tc>
        <w:tc>
          <w:tcPr>
            <w:tcW w:w="2080" w:type="dxa"/>
            <w:vAlign w:val="bottom"/>
            <w:vMerge w:val="restart"/>
          </w:tcPr>
          <w:p>
            <w:pPr>
              <w:ind w:left="1440"/>
              <w:spacing w:after="0"/>
              <w:rPr>
                <w:sz w:val="20"/>
                <w:szCs w:val="20"/>
                <w:color w:val="auto"/>
              </w:rPr>
            </w:pPr>
            <w:r>
              <w:rPr>
                <w:rFonts w:ascii="Arial" w:cs="Arial" w:eastAsia="Arial" w:hAnsi="Arial"/>
                <w:sz w:val="18"/>
                <w:szCs w:val="18"/>
                <w:color w:val="auto"/>
              </w:rPr>
              <w:t>L+1.75</w:t>
            </w:r>
          </w:p>
        </w:tc>
        <w:tc>
          <w:tcPr>
            <w:tcW w:w="1260" w:type="dxa"/>
            <w:vAlign w:val="bottom"/>
            <w:vMerge w:val="restart"/>
          </w:tcPr>
          <w:p>
            <w:pPr>
              <w:jc w:val="right"/>
              <w:ind w:right="8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8"/>
        </w:trPr>
        <w:tc>
          <w:tcPr>
            <w:tcW w:w="5400" w:type="dxa"/>
            <w:vAlign w:val="bottom"/>
            <w:gridSpan w:val="2"/>
          </w:tcPr>
          <w:p>
            <w:pPr>
              <w:ind w:left="20"/>
              <w:spacing w:after="0" w:line="258" w:lineRule="exact"/>
              <w:rPr>
                <w:sz w:val="20"/>
                <w:szCs w:val="20"/>
                <w:color w:val="auto"/>
              </w:rPr>
            </w:pPr>
            <w:r>
              <w:rPr>
                <w:rFonts w:ascii="Arial" w:cs="Arial" w:eastAsia="Arial" w:hAnsi="Arial"/>
                <w:sz w:val="18"/>
                <w:szCs w:val="18"/>
                <w:color w:val="auto"/>
              </w:rPr>
              <w:t xml:space="preserve">Credit Facility, due 2023 </w:t>
            </w:r>
            <w:r>
              <w:rPr>
                <w:rFonts w:ascii="Arial" w:cs="Arial" w:eastAsia="Arial" w:hAnsi="Arial"/>
                <w:sz w:val="23"/>
                <w:szCs w:val="23"/>
                <w:color w:val="auto"/>
                <w:vertAlign w:val="superscript"/>
              </w:rPr>
              <w:t>(c)</w:t>
            </w:r>
          </w:p>
        </w:tc>
        <w:tc>
          <w:tcPr>
            <w:tcW w:w="44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0628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Project-level debt:</w:t>
      </w:r>
    </w:p>
    <w:p>
      <w:pPr>
        <w:sectPr>
          <w:pgSz w:w="11900" w:h="16838" w:orient="portrait"/>
          <w:cols w:equalWidth="0" w:num="1">
            <w:col w:w="11240"/>
          </w:cols>
          <w:pgMar w:left="320" w:top="891" w:right="339" w:bottom="1440" w:gutter="0" w:footer="0" w:header="0"/>
        </w:sectPr>
      </w:pP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 xml:space="preserve">Alpine, due 2022 </w:t>
            </w:r>
            <w:r>
              <w:rPr>
                <w:rFonts w:ascii="Arial" w:cs="Arial" w:eastAsia="Arial" w:hAnsi="Arial"/>
                <w:sz w:val="23"/>
                <w:szCs w:val="23"/>
                <w:color w:val="auto"/>
                <w:vertAlign w:val="superscript"/>
              </w:rPr>
              <w:t>(d)</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119</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Alta Wind I-V lease financing arrangements, due 2034 and 2035</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844</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Buckthorn Solar, due 2025</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129</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Carlsbad Holdco, due 2038</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216</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Carlsbad Energy Holdings LLC, due 2027 and 2038</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582</w:t>
            </w:r>
          </w:p>
        </w:tc>
      </w:tr>
      <w:tr>
        <w:trPr>
          <w:trHeight w:val="310"/>
        </w:trPr>
        <w:tc>
          <w:tcPr>
            <w:tcW w:w="5380" w:type="dxa"/>
            <w:vAlign w:val="bottom"/>
          </w:tcPr>
          <w:p>
            <w:pPr>
              <w:spacing w:after="0"/>
              <w:rPr>
                <w:sz w:val="20"/>
                <w:szCs w:val="20"/>
                <w:color w:val="auto"/>
              </w:rPr>
            </w:pPr>
            <w:r>
              <w:rPr>
                <w:rFonts w:ascii="Arial" w:cs="Arial" w:eastAsia="Arial" w:hAnsi="Arial"/>
                <w:sz w:val="18"/>
                <w:szCs w:val="18"/>
                <w:color w:val="auto"/>
              </w:rPr>
              <w:t xml:space="preserve">CVSR, due 2037 </w:t>
            </w:r>
            <w:r>
              <w:rPr>
                <w:rFonts w:ascii="Arial" w:cs="Arial" w:eastAsia="Arial" w:hAnsi="Arial"/>
                <w:sz w:val="23"/>
                <w:szCs w:val="23"/>
                <w:color w:val="auto"/>
                <w:vertAlign w:val="superscript"/>
              </w:rPr>
              <w:t>(d)</w:t>
            </w:r>
          </w:p>
        </w:tc>
        <w:tc>
          <w:tcPr>
            <w:tcW w:w="3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696</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 xml:space="preserve">CVSR Holdco Notes, due 2037 </w:t>
            </w:r>
            <w:r>
              <w:rPr>
                <w:rFonts w:ascii="Arial" w:cs="Arial" w:eastAsia="Arial" w:hAnsi="Arial"/>
                <w:sz w:val="23"/>
                <w:szCs w:val="23"/>
                <w:color w:val="auto"/>
                <w:vertAlign w:val="superscript"/>
              </w:rPr>
              <w:t>(d)</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182</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Duquesne, due 2059</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95</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El Segundo Energy Center, due 2023</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303</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w w:val="94"/>
              </w:rPr>
              <w:t>Energy Center Minneapolis Series D, E, F, G, H Notes, due 2025-2037</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328</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Laredo Ridge, due 2028</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w:t>
            </w:r>
          </w:p>
        </w:tc>
      </w:tr>
      <w:tr>
        <w:trPr>
          <w:trHeight w:val="310"/>
        </w:trPr>
        <w:tc>
          <w:tcPr>
            <w:tcW w:w="5380" w:type="dxa"/>
            <w:vAlign w:val="bottom"/>
          </w:tcPr>
          <w:p>
            <w:pPr>
              <w:spacing w:after="0"/>
              <w:rPr>
                <w:sz w:val="20"/>
                <w:szCs w:val="20"/>
                <w:color w:val="auto"/>
              </w:rPr>
            </w:pPr>
            <w:r>
              <w:rPr>
                <w:rFonts w:ascii="Arial" w:cs="Arial" w:eastAsia="Arial" w:hAnsi="Arial"/>
                <w:sz w:val="18"/>
                <w:szCs w:val="18"/>
                <w:color w:val="auto"/>
              </w:rPr>
              <w:t xml:space="preserve">Kansas South, due 2030 </w:t>
            </w:r>
            <w:r>
              <w:rPr>
                <w:rFonts w:ascii="Arial" w:cs="Arial" w:eastAsia="Arial" w:hAnsi="Arial"/>
                <w:sz w:val="23"/>
                <w:szCs w:val="23"/>
                <w:color w:val="auto"/>
                <w:vertAlign w:val="superscript"/>
              </w:rPr>
              <w:t>(d)</w:t>
            </w:r>
          </w:p>
        </w:tc>
        <w:tc>
          <w:tcPr>
            <w:tcW w:w="3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Kawailoa Solar Holdings LLC, due 2026</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310"/>
        </w:trPr>
        <w:tc>
          <w:tcPr>
            <w:tcW w:w="5380" w:type="dxa"/>
            <w:vAlign w:val="bottom"/>
          </w:tcPr>
          <w:p>
            <w:pPr>
              <w:spacing w:after="0"/>
              <w:rPr>
                <w:sz w:val="20"/>
                <w:szCs w:val="20"/>
                <w:color w:val="auto"/>
              </w:rPr>
            </w:pPr>
            <w:r>
              <w:rPr>
                <w:rFonts w:ascii="Arial" w:cs="Arial" w:eastAsia="Arial" w:hAnsi="Arial"/>
                <w:sz w:val="18"/>
                <w:szCs w:val="18"/>
                <w:color w:val="auto"/>
              </w:rPr>
              <w:t xml:space="preserve">Marsh Landing, due 2023 </w:t>
            </w:r>
            <w:r>
              <w:rPr>
                <w:rFonts w:ascii="Arial" w:cs="Arial" w:eastAsia="Arial" w:hAnsi="Arial"/>
                <w:sz w:val="23"/>
                <w:szCs w:val="23"/>
                <w:color w:val="auto"/>
                <w:vertAlign w:val="superscript"/>
              </w:rPr>
              <w:t>(d)</w:t>
            </w:r>
          </w:p>
        </w:tc>
        <w:tc>
          <w:tcPr>
            <w:tcW w:w="3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206</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Oahu Solar Holdings LLC, due 2026</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91</w:t>
            </w:r>
          </w:p>
        </w:tc>
      </w:tr>
      <w:tr>
        <w:trPr>
          <w:trHeight w:val="310"/>
        </w:trPr>
        <w:tc>
          <w:tcPr>
            <w:tcW w:w="5380" w:type="dxa"/>
            <w:vAlign w:val="bottom"/>
          </w:tcPr>
          <w:p>
            <w:pPr>
              <w:spacing w:after="0"/>
              <w:rPr>
                <w:sz w:val="20"/>
                <w:szCs w:val="20"/>
                <w:color w:val="auto"/>
              </w:rPr>
            </w:pPr>
            <w:r>
              <w:rPr>
                <w:rFonts w:ascii="Arial" w:cs="Arial" w:eastAsia="Arial" w:hAnsi="Arial"/>
                <w:sz w:val="18"/>
                <w:szCs w:val="18"/>
                <w:color w:val="auto"/>
              </w:rPr>
              <w:t xml:space="preserve">Repowering Partnership Holdco LLC, due 2020 </w:t>
            </w:r>
            <w:r>
              <w:rPr>
                <w:rFonts w:ascii="Arial" w:cs="Arial" w:eastAsia="Arial" w:hAnsi="Arial"/>
                <w:sz w:val="23"/>
                <w:szCs w:val="23"/>
                <w:color w:val="auto"/>
                <w:vertAlign w:val="superscript"/>
              </w:rPr>
              <w:t>(e)</w:t>
            </w:r>
          </w:p>
        </w:tc>
        <w:tc>
          <w:tcPr>
            <w:tcW w:w="3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228</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South Trent, due 2028</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43</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Tapestry, due 2031</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156</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Utah Solar Portfolio, due 2022</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254</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Viento, due 2023</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42</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Walnut Creek, due 2023</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175</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296</w:t>
            </w: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100"/>
              <w:spacing w:after="0"/>
              <w:rPr>
                <w:sz w:val="20"/>
                <w:szCs w:val="20"/>
                <w:color w:val="auto"/>
              </w:rPr>
            </w:pPr>
            <w:r>
              <w:rPr>
                <w:rFonts w:ascii="Arial" w:cs="Arial" w:eastAsia="Arial" w:hAnsi="Arial"/>
                <w:sz w:val="18"/>
                <w:szCs w:val="18"/>
                <w:color w:val="auto"/>
              </w:rPr>
              <w:t>Subtotal project-level debt:</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5,175</w:t>
            </w: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6,858</w:t>
            </w:r>
          </w:p>
        </w:tc>
      </w:tr>
      <w:tr>
        <w:trPr>
          <w:trHeight w:val="270"/>
        </w:trPr>
        <w:tc>
          <w:tcPr>
            <w:tcW w:w="5380" w:type="dxa"/>
            <w:vAlign w:val="bottom"/>
          </w:tcPr>
          <w:p>
            <w:pPr>
              <w:ind w:left="100"/>
              <w:spacing w:after="0"/>
              <w:rPr>
                <w:sz w:val="20"/>
                <w:szCs w:val="20"/>
                <w:color w:val="auto"/>
              </w:rPr>
            </w:pPr>
            <w:r>
              <w:rPr>
                <w:rFonts w:ascii="Arial" w:cs="Arial" w:eastAsia="Arial" w:hAnsi="Arial"/>
                <w:sz w:val="18"/>
                <w:szCs w:val="18"/>
                <w:color w:val="auto"/>
              </w:rPr>
              <w:t>Less current maturities</w:t>
            </w:r>
          </w:p>
        </w:tc>
        <w:tc>
          <w:tcPr>
            <w:tcW w:w="3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(1,824)</w:t>
            </w:r>
          </w:p>
        </w:tc>
      </w:tr>
      <w:tr>
        <w:trPr>
          <w:trHeight w:val="270"/>
        </w:trPr>
        <w:tc>
          <w:tcPr>
            <w:tcW w:w="5380" w:type="dxa"/>
            <w:vAlign w:val="bottom"/>
          </w:tcPr>
          <w:p>
            <w:pPr>
              <w:ind w:left="100"/>
              <w:spacing w:after="0"/>
              <w:rPr>
                <w:sz w:val="20"/>
                <w:szCs w:val="20"/>
                <w:color w:val="auto"/>
              </w:rPr>
            </w:pPr>
            <w:r>
              <w:rPr>
                <w:rFonts w:ascii="Arial" w:cs="Arial" w:eastAsia="Arial" w:hAnsi="Arial"/>
                <w:sz w:val="18"/>
                <w:szCs w:val="18"/>
                <w:color w:val="auto"/>
              </w:rPr>
              <w:t>Less net debt issuance costs</w:t>
            </w:r>
          </w:p>
        </w:tc>
        <w:tc>
          <w:tcPr>
            <w:tcW w:w="3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380" w:type="dxa"/>
            <w:vAlign w:val="bottom"/>
          </w:tcPr>
          <w:p>
            <w:pPr>
              <w:ind w:left="20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4,956</w:t>
            </w:r>
          </w:p>
        </w:tc>
      </w:tr>
      <w:tr>
        <w:trPr>
          <w:trHeight w:val="21"/>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-4516755</wp:posOffset>
            </wp:positionV>
            <wp:extent cx="710628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-4173855</wp:posOffset>
            </wp:positionV>
            <wp:extent cx="710628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-3830955</wp:posOffset>
            </wp:positionV>
            <wp:extent cx="710628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-3488055</wp:posOffset>
            </wp:positionV>
            <wp:extent cx="710628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710628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-2802255</wp:posOffset>
            </wp:positionV>
            <wp:extent cx="710628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710628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0628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0628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-1430655</wp:posOffset>
            </wp:positionV>
            <wp:extent cx="710628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0628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0628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0628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L+2.00</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5.696 - 7.015</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L+1.750</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780" w:type="dxa"/>
            <w:vAlign w:val="bottom"/>
          </w:tcPr>
          <w:p>
            <w:pPr>
              <w:jc w:val="right"/>
              <w:ind w:right="530"/>
              <w:spacing w:after="0"/>
              <w:rPr>
                <w:sz w:val="20"/>
                <w:szCs w:val="20"/>
                <w:color w:val="auto"/>
              </w:rPr>
            </w:pPr>
            <w:r>
              <w:rPr>
                <w:rFonts w:ascii="Arial" w:cs="Arial" w:eastAsia="Arial" w:hAnsi="Arial"/>
                <w:sz w:val="18"/>
                <w:szCs w:val="18"/>
                <w:color w:val="auto"/>
              </w:rPr>
              <w:t>4.210</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780" w:type="dxa"/>
            <w:vAlign w:val="bottom"/>
          </w:tcPr>
          <w:p>
            <w:pPr>
              <w:jc w:val="right"/>
              <w:ind w:right="530"/>
              <w:spacing w:after="0"/>
              <w:rPr>
                <w:sz w:val="20"/>
                <w:szCs w:val="20"/>
                <w:color w:val="auto"/>
              </w:rPr>
            </w:pPr>
            <w:r>
              <w:rPr>
                <w:rFonts w:ascii="Arial" w:cs="Arial" w:eastAsia="Arial" w:hAnsi="Arial"/>
                <w:sz w:val="18"/>
                <w:szCs w:val="18"/>
                <w:color w:val="auto"/>
              </w:rPr>
              <w:t>various</w:t>
            </w: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2.339 - 3.775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780" w:type="dxa"/>
            <w:vAlign w:val="bottom"/>
          </w:tcPr>
          <w:p>
            <w:pPr>
              <w:jc w:val="right"/>
              <w:ind w:right="530"/>
              <w:spacing w:after="0"/>
              <w:rPr>
                <w:sz w:val="20"/>
                <w:szCs w:val="20"/>
                <w:color w:val="auto"/>
              </w:rPr>
            </w:pPr>
            <w:r>
              <w:rPr>
                <w:rFonts w:ascii="Arial" w:cs="Arial" w:eastAsia="Arial" w:hAnsi="Arial"/>
                <w:sz w:val="18"/>
                <w:szCs w:val="18"/>
                <w:color w:val="auto"/>
              </w:rPr>
              <w:t>4.680</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780" w:type="dxa"/>
            <w:vAlign w:val="bottom"/>
          </w:tcPr>
          <w:p>
            <w:pPr>
              <w:jc w:val="right"/>
              <w:ind w:right="530"/>
              <w:spacing w:after="0"/>
              <w:rPr>
                <w:sz w:val="20"/>
                <w:szCs w:val="20"/>
                <w:color w:val="auto"/>
              </w:rPr>
            </w:pPr>
            <w:r>
              <w:rPr>
                <w:rFonts w:ascii="Arial" w:cs="Arial" w:eastAsia="Arial" w:hAnsi="Arial"/>
                <w:sz w:val="18"/>
                <w:szCs w:val="18"/>
                <w:color w:val="auto"/>
              </w:rPr>
              <w:t>4.620</w:t>
            </w:r>
          </w:p>
        </w:tc>
        <w:tc>
          <w:tcPr>
            <w:tcW w:w="740" w:type="dxa"/>
            <w:vAlign w:val="bottom"/>
          </w:tcPr>
          <w:p>
            <w:pPr>
              <w:spacing w:after="0"/>
              <w:rPr>
                <w:sz w:val="23"/>
                <w:szCs w:val="23"/>
                <w:color w:val="auto"/>
              </w:rPr>
            </w:pPr>
          </w:p>
        </w:tc>
      </w:tr>
      <w:tr>
        <w:trPr>
          <w:trHeight w:val="297"/>
        </w:trPr>
        <w:tc>
          <w:tcPr>
            <w:tcW w:w="1780" w:type="dxa"/>
            <w:vAlign w:val="bottom"/>
          </w:tcPr>
          <w:p>
            <w:pPr>
              <w:jc w:val="right"/>
              <w:ind w:right="390"/>
              <w:spacing w:after="0"/>
              <w:rPr>
                <w:sz w:val="20"/>
                <w:szCs w:val="20"/>
                <w:color w:val="auto"/>
              </w:rPr>
            </w:pPr>
            <w:r>
              <w:rPr>
                <w:rFonts w:ascii="Arial" w:cs="Arial" w:eastAsia="Arial" w:hAnsi="Arial"/>
                <w:sz w:val="18"/>
                <w:szCs w:val="18"/>
                <w:color w:val="auto"/>
                <w:w w:val="93"/>
              </w:rPr>
              <w:t>L+1.75 - L+2.375</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1780" w:type="dxa"/>
            <w:vAlign w:val="bottom"/>
          </w:tcPr>
          <w:p>
            <w:pPr>
              <w:jc w:val="right"/>
              <w:ind w:right="530"/>
              <w:spacing w:after="0"/>
              <w:rPr>
                <w:sz w:val="20"/>
                <w:szCs w:val="20"/>
                <w:color w:val="auto"/>
              </w:rPr>
            </w:pPr>
            <w:r>
              <w:rPr>
                <w:rFonts w:ascii="Arial" w:cs="Arial" w:eastAsia="Arial" w:hAnsi="Arial"/>
                <w:sz w:val="18"/>
                <w:szCs w:val="18"/>
                <w:color w:val="auto"/>
              </w:rPr>
              <w:t>various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L+2.125</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L+2.25</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L+1.375</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L+2.125</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L+1.375</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L+.85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L+1.350</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L+1.375</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L+2.625</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L+2.00</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780" w:type="dxa"/>
            <w:vAlign w:val="bottom"/>
          </w:tcPr>
          <w:p>
            <w:pPr>
              <w:jc w:val="right"/>
              <w:ind w:right="390"/>
              <w:spacing w:after="0"/>
              <w:rPr>
                <w:sz w:val="20"/>
                <w:szCs w:val="20"/>
                <w:color w:val="auto"/>
              </w:rPr>
            </w:pPr>
            <w:r>
              <w:rPr>
                <w:rFonts w:ascii="Arial" w:cs="Arial" w:eastAsia="Arial" w:hAnsi="Arial"/>
                <w:sz w:val="18"/>
                <w:szCs w:val="18"/>
                <w:color w:val="auto"/>
              </w:rPr>
              <w:t>L+1.75</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1780" w:type="dxa"/>
            <w:vAlign w:val="bottom"/>
          </w:tcPr>
          <w:p>
            <w:pPr>
              <w:jc w:val="right"/>
              <w:ind w:right="530"/>
              <w:spacing w:after="0"/>
              <w:rPr>
                <w:sz w:val="20"/>
                <w:szCs w:val="20"/>
                <w:color w:val="auto"/>
              </w:rPr>
            </w:pPr>
            <w:r>
              <w:rPr>
                <w:rFonts w:ascii="Arial" w:cs="Arial" w:eastAsia="Arial" w:hAnsi="Arial"/>
                <w:sz w:val="18"/>
                <w:szCs w:val="18"/>
                <w:color w:val="auto"/>
              </w:rPr>
              <w:t>various</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671" w:lineRule="exact"/>
        <w:rPr>
          <w:sz w:val="20"/>
          <w:szCs w:val="20"/>
          <w:color w:val="auto"/>
        </w:rPr>
      </w:pPr>
    </w:p>
    <w:p>
      <w:pPr>
        <w:sectPr>
          <w:pgSz w:w="11900" w:h="16838" w:orient="portrait"/>
          <w:cols w:equalWidth="0" w:num="2">
            <w:col w:w="7860" w:space="660"/>
            <w:col w:w="2720"/>
          </w:cols>
          <w:pgMar w:left="320" w:top="891" w:right="339" w:bottom="1440" w:gutter="0" w:footer="0" w:header="0"/>
          <w:type w:val="continuous"/>
        </w:sectPr>
      </w:pPr>
    </w:p>
    <w:p>
      <w:pPr>
        <w:spacing w:after="0" w:line="398" w:lineRule="exact"/>
        <w:rPr>
          <w:sz w:val="20"/>
          <w:szCs w:val="20"/>
          <w:color w:val="auto"/>
        </w:rPr>
      </w:pPr>
    </w:p>
    <w:p>
      <w:pPr>
        <w:ind w:left="80" w:hanging="72"/>
        <w:spacing w:after="0" w:line="292" w:lineRule="auto"/>
        <w:tabs>
          <w:tab w:leader="none" w:pos="142"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As of March 31, 2020, L+ equals 3 month LIBOR plus x%, except for Viento, due 2023 and Kansas South, due 2030 where L+ equals 6 month LIBOR plus x% and Utah Solar Portfolio, where L+ equals 1 month LIBOR plus 2.625%.</w:t>
      </w:r>
    </w:p>
    <w:p>
      <w:pPr>
        <w:ind w:left="160" w:hanging="152"/>
        <w:spacing w:after="0" w:line="21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Repaid in January 2020, as further described below.</w:t>
      </w:r>
    </w:p>
    <w:p>
      <w:pPr>
        <w:ind w:left="160" w:hanging="152"/>
        <w:spacing w:after="0" w:line="192"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w:t>
      </w:r>
    </w:p>
    <w:p>
      <w:pPr>
        <w:ind w:left="160" w:hanging="152"/>
        <w:spacing w:after="0" w:line="20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Entities affected by PG&amp;E bankruptcy, see further discussion below.</w:t>
      </w:r>
    </w:p>
    <w:p>
      <w:pPr>
        <w:ind w:left="160" w:hanging="152"/>
        <w:spacing w:after="0" w:line="22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3"/>
          <w:szCs w:val="13"/>
          <w:color w:val="auto"/>
        </w:rPr>
        <w:t>Repaid in February 2020,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jc w:val="both"/>
        <w:ind w:firstLine="405"/>
        <w:spacing w:after="0" w:line="259"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March 31, 2020, the Company was in compliance with all of the required covenants, other than any covenants impacted by the PG&amp;E Bankruptcy, as discussed below. The discussion below describes material changes to or additions of long-term debt for the three months ended March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Clearway Energy LLC and Clearway Energy Operating LLC Revolving Credit Facility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March 31, 2020</w:t>
      </w:r>
      <w:r>
        <w:rPr>
          <w:rFonts w:ascii="Arial" w:cs="Arial" w:eastAsia="Arial" w:hAnsi="Arial"/>
          <w:sz w:val="16"/>
          <w:szCs w:val="16"/>
          <w:color w:val="231F20"/>
        </w:rPr>
        <w:t>, The Company had $180 million outstanding under the revolving credit facility and $62 million in letters of credit outstanding.</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2024 Senior Notes Redemption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3 2020, the Company redeemed the $88 million aggregate principal amount of the 2024 Senior Notes that remained outstanding 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continues classifying all PG&amp;E affected borrowings as current as of March 31, 2020. In addition, distributions from these projects to Clearway Operating LLC are prohibited under the related debt agreements. As of May 7, 2020, the Company has entered into forbearance agreements for certain project-level financing arrangements, and continues to seek forbearance agreements for its other project-level financing arrangements affected by the PG&amp;E Bankruptcy.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February 2020, the Company repaid $260 million of construction debt outstanding under the construction loan facility. The repayment was effectuated with the proceeds from the tax equity contributions for Wildorado TE Holdco, as further descried in Note 4,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as well as with the contributions by the Company</w:t>
      </w:r>
      <w:r>
        <w:rPr>
          <w:rFonts w:ascii="Arial" w:cs="Arial" w:eastAsia="Arial" w:hAnsi="Arial"/>
          <w:sz w:val="18"/>
          <w:szCs w:val="18"/>
          <w:i w:val="1"/>
          <w:iCs w:val="1"/>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reconciliation of Clearway Energy, Inc.'s basic and diluted earnings per share is shown in the following tables: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Arial" w:cs="Arial" w:eastAsia="Arial" w:hAnsi="Arial"/>
          <w:sz w:val="14"/>
          <w:szCs w:val="14"/>
          <w:b w:val="1"/>
          <w:bCs w:val="1"/>
          <w:u w:val="single" w:color="auto"/>
          <w:color w:val="auto"/>
        </w:rPr>
        <w:t xml:space="preserve">(In millions, except per share data) </w:t>
      </w:r>
      <w:r>
        <w:rPr>
          <w:rFonts w:ascii="Arial" w:cs="Arial" w:eastAsia="Arial" w:hAnsi="Arial"/>
          <w:sz w:val="9"/>
          <w:szCs w:val="9"/>
          <w:b w:val="1"/>
          <w:bCs w:val="1"/>
          <w:u w:val="single" w:color="auto"/>
          <w:color w:val="auto"/>
        </w:rPr>
        <w:t>(a)</w:t>
      </w:r>
    </w:p>
    <w:p>
      <w:pPr>
        <w:spacing w:after="0" w:line="50"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Basic and diluted loss per share attributable to Clearway Energy, Inc.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-1905</wp:posOffset>
            </wp:positionV>
            <wp:extent cx="690943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09435" cy="171450"/>
                    </a:xfrm>
                    <a:prstGeom prst="rect">
                      <a:avLst/>
                    </a:prstGeom>
                    <a:noFill/>
                  </pic:spPr>
                </pic:pic>
              </a:graphicData>
            </a:graphic>
          </wp:anchor>
        </w:drawing>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loss attributable to Clearway Energy,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Weighted average number of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29210</wp:posOffset>
            </wp:positionV>
            <wp:extent cx="6909435"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9435" cy="196850"/>
                    </a:xfrm>
                    <a:prstGeom prst="rect">
                      <a:avLst/>
                    </a:prstGeom>
                    <a:noFill/>
                  </pic:spPr>
                </pic:pic>
              </a:graphicData>
            </a:graphic>
          </wp:anchor>
        </w:drawing>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Loss per weighted average common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306070</wp:posOffset>
            </wp:positionV>
            <wp:extent cx="1354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774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w w:val="89"/>
              </w:rPr>
              <w:t>2020</w:t>
            </w:r>
          </w:p>
        </w:tc>
        <w:tc>
          <w:tcPr>
            <w:tcW w:w="218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2019</w:t>
            </w:r>
          </w:p>
        </w:tc>
      </w:tr>
      <w:tr>
        <w:trPr>
          <w:trHeight w:val="152"/>
        </w:trPr>
        <w:tc>
          <w:tcPr>
            <w:tcW w:w="960" w:type="dxa"/>
            <w:vAlign w:val="bottom"/>
          </w:tcPr>
          <w:p>
            <w:pPr>
              <w:ind w:left="20"/>
              <w:spacing w:after="0" w:line="153" w:lineRule="exact"/>
              <w:rPr>
                <w:sz w:val="20"/>
                <w:szCs w:val="20"/>
                <w:color w:val="auto"/>
              </w:rPr>
            </w:pPr>
            <w:r>
              <w:rPr>
                <w:rFonts w:ascii="Arial" w:cs="Arial" w:eastAsia="Arial" w:hAnsi="Arial"/>
                <w:sz w:val="14"/>
                <w:szCs w:val="14"/>
                <w:b w:val="1"/>
                <w:bCs w:val="1"/>
                <w:color w:val="auto"/>
                <w:w w:val="90"/>
              </w:rPr>
              <w:t>Common Class</w:t>
            </w:r>
          </w:p>
        </w:tc>
        <w:tc>
          <w:tcPr>
            <w:tcW w:w="122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0"/>
              </w:rPr>
              <w:t>Common Class</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Common Class</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Common Class</w:t>
            </w:r>
          </w:p>
        </w:tc>
      </w:tr>
      <w:tr>
        <w:trPr>
          <w:trHeight w:val="186"/>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A</w:t>
            </w:r>
          </w:p>
        </w:tc>
        <w:tc>
          <w:tcPr>
            <w:tcW w:w="1220" w:type="dxa"/>
            <w:vAlign w:val="bottom"/>
          </w:tcPr>
          <w:p>
            <w:pPr>
              <w:jc w:val="center"/>
              <w:ind w:left="28"/>
              <w:spacing w:after="0"/>
              <w:rPr>
                <w:sz w:val="20"/>
                <w:szCs w:val="20"/>
                <w:color w:val="auto"/>
              </w:rPr>
            </w:pPr>
            <w:r>
              <w:rPr>
                <w:rFonts w:ascii="Arial" w:cs="Arial" w:eastAsia="Arial" w:hAnsi="Arial"/>
                <w:sz w:val="14"/>
                <w:szCs w:val="14"/>
                <w:b w:val="1"/>
                <w:bCs w:val="1"/>
                <w:color w:val="auto"/>
              </w:rPr>
              <w:t>C</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2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73</w:t>
            </w:r>
          </w:p>
        </w:tc>
      </w:tr>
      <w:tr>
        <w:trPr>
          <w:trHeight w:val="27"/>
        </w:trPr>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420"/>
          </w:cols>
          <w:pgMar w:left="320" w:top="895" w:right="339" w:bottom="1440" w:gutter="0" w:footer="0" w:header="0"/>
          <w:type w:val="continuous"/>
        </w:sectPr>
      </w:pPr>
    </w:p>
    <w:p>
      <w:pPr>
        <w:spacing w:after="0" w:line="316" w:lineRule="exact"/>
        <w:rPr>
          <w:sz w:val="20"/>
          <w:szCs w:val="20"/>
          <w:color w:val="auto"/>
        </w:rPr>
      </w:pPr>
    </w:p>
    <w:p>
      <w:pPr>
        <w:ind w:left="400" w:hanging="149"/>
        <w:spacing w:after="0"/>
        <w:tabs>
          <w:tab w:leader="none" w:pos="4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Basic and diluted (loss) earnings per share might not recalculate due to presenting values in millions rather than whole dollars.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93"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9" w:name="page30"/>
    <w:bookmarkEnd w:id="29"/>
    <w:p>
      <w:pPr>
        <w:ind w:left="46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w:t>
      </w:r>
    </w:p>
    <w:p>
      <w:pPr>
        <w:spacing w:after="0" w:line="40"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23495</wp:posOffset>
            </wp:positionV>
            <wp:extent cx="2194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440" w:type="dxa"/>
            <w:vAlign w:val="bottom"/>
          </w:tcPr>
          <w:p>
            <w:pPr>
              <w:spacing w:after="0"/>
              <w:rPr>
                <w:sz w:val="16"/>
                <w:szCs w:val="16"/>
                <w:color w:val="auto"/>
              </w:rPr>
            </w:pP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196"/>
        </w:trPr>
        <w:tc>
          <w:tcPr>
            <w:tcW w:w="47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 millions of shares)</w:t>
            </w:r>
          </w:p>
        </w:tc>
        <w:tc>
          <w:tcPr>
            <w:tcW w:w="1000" w:type="dxa"/>
            <w:vAlign w:val="bottom"/>
            <w:tcBorders>
              <w:top w:val="single" w:sz="8" w:color="auto"/>
            </w:tcBorders>
          </w:tcPr>
          <w:p>
            <w:pPr>
              <w:spacing w:after="0"/>
              <w:rPr>
                <w:sz w:val="17"/>
                <w:szCs w:val="17"/>
                <w:color w:val="auto"/>
              </w:rPr>
            </w:pPr>
          </w:p>
        </w:tc>
      </w:tr>
      <w:tr>
        <w:trPr>
          <w:trHeight w:val="249"/>
        </w:trPr>
        <w:tc>
          <w:tcPr>
            <w:tcW w:w="5720" w:type="dxa"/>
            <w:vAlign w:val="bottom"/>
            <w:gridSpan w:val="2"/>
            <w:shd w:val="clear" w:color="auto" w:fill="CCEEFF"/>
          </w:tcPr>
          <w:p>
            <w:pPr>
              <w:jc w:val="right"/>
              <w:ind w:right="2560"/>
              <w:spacing w:after="0"/>
              <w:rPr>
                <w:sz w:val="20"/>
                <w:szCs w:val="20"/>
                <w:color w:val="auto"/>
              </w:rPr>
            </w:pPr>
            <w:r>
              <w:rPr>
                <w:rFonts w:ascii="Arial" w:cs="Arial" w:eastAsia="Arial" w:hAnsi="Arial"/>
                <w:sz w:val="18"/>
                <w:szCs w:val="18"/>
                <w:color w:val="auto"/>
                <w:w w:val="90"/>
              </w:rPr>
              <w:t>2020 Convertible Notes - Common Class C</w:t>
            </w:r>
          </w:p>
        </w:tc>
        <w:tc>
          <w:tcPr>
            <w:tcW w:w="144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Changes in Capital Structure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Clearway Energy, Inc. is party to an equity distribution agreement with Barclays Capital Inc., Credit Suisse Securities (USA) LLC, J.P. Morgan Securities LLC and RBC Capital Markets, LLC, as sales agents. Pursuant to the terms of the equity distribution agreement, Clearway Energy, Inc. may offer and sell shares of its Class C common stock par value $0.01 per share, from time to time through the sales agents up to an aggregate sales price of $150 million through an at-the-market equity offering program, or the ATM Program. Clearway Energy, Inc. may also sell shares of its Class C common stock to any of the sales agents, as principals for its own account, at a price agreed upon at the time of sale.</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quarter ended March 31, 2020, Clearway Energy, Inc. issued and sold 478,384 shares of Class C common stock for net proceeds of $10,245,070. The Company utilized the proceeds of the sales to acquire 478,384 Class C units of Clearway Energy LLC and, as a result, the Company currently owns 57.13% of the economic interests of Clearway Energy LLC, with CEG retaining 42.87% of the economic interests of Clearway Energy LLC.</w:t>
      </w:r>
    </w:p>
    <w:p>
      <w:pPr>
        <w:spacing w:after="0" w:line="133" w:lineRule="exact"/>
        <w:rPr>
          <w:sz w:val="20"/>
          <w:szCs w:val="20"/>
          <w:color w:val="auto"/>
        </w:rPr>
      </w:pPr>
    </w:p>
    <w:p>
      <w:pPr>
        <w:ind w:right="1260" w:firstLine="405"/>
        <w:spacing w:after="0" w:line="438" w:lineRule="auto"/>
        <w:rPr>
          <w:sz w:val="20"/>
          <w:szCs w:val="20"/>
          <w:color w:val="auto"/>
        </w:rPr>
      </w:pPr>
      <w:r>
        <w:rPr>
          <w:rFonts w:ascii="Arial" w:cs="Arial" w:eastAsia="Arial" w:hAnsi="Arial"/>
          <w:sz w:val="18"/>
          <w:szCs w:val="18"/>
          <w:color w:val="auto"/>
        </w:rPr>
        <w:t xml:space="preserve">As of March 31, 2020, approximately $26 million of Class C common stock remains available for issuance under the ATM Program. </w:t>
      </w:r>
      <w:r>
        <w:rPr>
          <w:rFonts w:ascii="Arial" w:cs="Arial" w:eastAsia="Arial" w:hAnsi="Arial"/>
          <w:sz w:val="18"/>
          <w:szCs w:val="18"/>
          <w:b w:val="1"/>
          <w:bCs w:val="1"/>
          <w:i w:val="1"/>
          <w:iCs w:val="1"/>
          <w:color w:val="auto"/>
        </w:rPr>
        <w:t>Dividends to Class A and Class C common stockholders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the Company's Class A common stock and Class C common stock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First Quarter 2020</w:t>
            </w: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0.21</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0.21</w:t>
            </w:r>
          </w:p>
        </w:tc>
      </w:tr>
    </w:tbl>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30, 2020, the Company declared quarterly dividends on its Class A common stock and Class C common stock of $0.21 per share payable on June 15, 2020, to stockholders of record as of June 1, 2020.</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has authorized 10 million shares of preferred stock, par value $0.01 per share. None of the shares of preferred stock have been issued.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93"/>
              </w:rPr>
              <w:t>Three months ended March 31, 2020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Conventional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20" w:type="dxa"/>
            <w:vAlign w:val="bottom"/>
            <w:gridSpan w:val="2"/>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99"/>
              </w:rPr>
              <w:t>Thermal</w:t>
            </w:r>
          </w:p>
        </w:tc>
        <w:tc>
          <w:tcPr>
            <w:tcW w:w="120" w:type="dxa"/>
            <w:vAlign w:val="bottom"/>
            <w:gridSpan w:val="2"/>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BFE4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gridSpan w:val="2"/>
            <w:shd w:val="clear" w:color="auto" w:fill="BFE4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72"/>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BFE4FF"/>
            </w:tcBorders>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Cost of operations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33</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62</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92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7</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60" w:type="dxa"/>
            <w:vAlign w:val="bottom"/>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Acquisition-related transaction and integration costs</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12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108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04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23"/>
                <w:szCs w:val="23"/>
                <w:color w:val="auto"/>
              </w:rPr>
            </w:pPr>
          </w:p>
        </w:tc>
        <w:tc>
          <w:tcPr>
            <w:tcW w:w="94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Development costs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080" w:type="dxa"/>
            <w:vAlign w:val="bottom"/>
            <w:tcBorders>
              <w:top w:val="single" w:sz="8" w:color="BFE4FF"/>
            </w:tcBorders>
            <w:shd w:val="clear" w:color="auto" w:fill="BFE4FF"/>
          </w:tcPr>
          <w:p>
            <w:pPr>
              <w:spacing w:after="0"/>
              <w:rPr>
                <w:sz w:val="20"/>
                <w:szCs w:val="20"/>
                <w:color w:val="auto"/>
              </w:rPr>
            </w:pPr>
            <w:r>
              <w:rPr>
                <w:rFonts w:ascii="Arial" w:cs="Arial" w:eastAsia="Arial" w:hAnsi="Arial"/>
                <w:sz w:val="18"/>
                <w:szCs w:val="18"/>
                <w:color w:val="auto"/>
              </w:rPr>
              <w:t>Operating income (loss)</w:t>
            </w:r>
          </w:p>
        </w:tc>
        <w:tc>
          <w:tcPr>
            <w:tcW w:w="40" w:type="dxa"/>
            <w:vAlign w:val="bottom"/>
            <w:tcBorders>
              <w:top w:val="single" w:sz="8" w:color="auto"/>
            </w:tcBorders>
            <w:shd w:val="clear" w:color="auto" w:fill="BFE4FF"/>
          </w:tcPr>
          <w:p>
            <w:pPr>
              <w:spacing w:after="0"/>
              <w:rPr>
                <w:sz w:val="22"/>
                <w:szCs w:val="22"/>
                <w:color w:val="auto"/>
              </w:rPr>
            </w:pPr>
          </w:p>
        </w:tc>
        <w:tc>
          <w:tcPr>
            <w:tcW w:w="100" w:type="dxa"/>
            <w:vAlign w:val="bottom"/>
            <w:tcBorders>
              <w:top w:val="single" w:sz="8" w:color="auto"/>
            </w:tcBorders>
            <w:shd w:val="clear" w:color="auto" w:fill="BFE4FF"/>
          </w:tcPr>
          <w:p>
            <w:pPr>
              <w:spacing w:after="0"/>
              <w:rPr>
                <w:sz w:val="22"/>
                <w:szCs w:val="22"/>
                <w:color w:val="auto"/>
              </w:rPr>
            </w:pPr>
          </w:p>
        </w:tc>
        <w:tc>
          <w:tcPr>
            <w:tcW w:w="1000" w:type="dxa"/>
            <w:vAlign w:val="bottom"/>
            <w:tcBorders>
              <w:top w:val="single" w:sz="8" w:color="auto"/>
            </w:tcBorders>
            <w:shd w:val="clear" w:color="auto" w:fill="BFE4FF"/>
          </w:tcPr>
          <w:p>
            <w:pPr>
              <w:jc w:val="right"/>
              <w:ind w:right="72"/>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BFE4FF"/>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20" w:type="dxa"/>
            <w:vAlign w:val="bottom"/>
            <w:tcBorders>
              <w:top w:val="single" w:sz="8" w:color="auto"/>
            </w:tcBorders>
            <w:shd w:val="clear" w:color="auto" w:fill="BFE4FF"/>
          </w:tcPr>
          <w:p>
            <w:pPr>
              <w:spacing w:after="0"/>
              <w:rPr>
                <w:sz w:val="22"/>
                <w:szCs w:val="22"/>
                <w:color w:val="auto"/>
              </w:rPr>
            </w:pPr>
          </w:p>
        </w:tc>
        <w:tc>
          <w:tcPr>
            <w:tcW w:w="140" w:type="dxa"/>
            <w:vAlign w:val="bottom"/>
            <w:tcBorders>
              <w:top w:val="single" w:sz="8" w:color="auto"/>
            </w:tcBorders>
            <w:shd w:val="clear" w:color="auto" w:fill="BFE4FF"/>
          </w:tcPr>
          <w:p>
            <w:pPr>
              <w:spacing w:after="0"/>
              <w:rPr>
                <w:sz w:val="22"/>
                <w:szCs w:val="22"/>
                <w:color w:val="auto"/>
              </w:rPr>
            </w:pPr>
          </w:p>
        </w:tc>
        <w:tc>
          <w:tcPr>
            <w:tcW w:w="960" w:type="dxa"/>
            <w:vAlign w:val="bottom"/>
            <w:tcBorders>
              <w:top w:val="single" w:sz="8" w:color="auto"/>
            </w:tcBorders>
            <w:shd w:val="clear" w:color="auto" w:fill="BFE4FF"/>
          </w:tcPr>
          <w:p>
            <w:pPr>
              <w:jc w:val="right"/>
              <w:ind w:right="72"/>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BFE4FF"/>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200" w:type="dxa"/>
            <w:vAlign w:val="bottom"/>
            <w:tcBorders>
              <w:top w:val="single" w:sz="8" w:color="auto"/>
            </w:tcBorders>
            <w:shd w:val="clear" w:color="auto" w:fill="BFE4FF"/>
          </w:tcPr>
          <w:p>
            <w:pPr>
              <w:spacing w:after="0"/>
              <w:rPr>
                <w:sz w:val="22"/>
                <w:szCs w:val="22"/>
                <w:color w:val="auto"/>
              </w:rPr>
            </w:pPr>
          </w:p>
        </w:tc>
        <w:tc>
          <w:tcPr>
            <w:tcW w:w="920" w:type="dxa"/>
            <w:vAlign w:val="bottom"/>
            <w:tcBorders>
              <w:top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BFE4FF"/>
            </w:tcBorders>
            <w:shd w:val="clear" w:color="auto" w:fill="BFE4FF"/>
          </w:tcPr>
          <w:p>
            <w:pPr>
              <w:spacing w:after="0"/>
              <w:rPr>
                <w:sz w:val="22"/>
                <w:szCs w:val="22"/>
                <w:color w:val="auto"/>
              </w:rPr>
            </w:pPr>
          </w:p>
        </w:tc>
        <w:tc>
          <w:tcPr>
            <w:tcW w:w="100" w:type="dxa"/>
            <w:vAlign w:val="bottom"/>
            <w:tcBorders>
              <w:top w:val="single" w:sz="8" w:color="BFE4FF"/>
            </w:tcBorders>
            <w:shd w:val="clear" w:color="auto" w:fill="BFE4FF"/>
          </w:tcPr>
          <w:p>
            <w:pPr>
              <w:spacing w:after="0"/>
              <w:rPr>
                <w:sz w:val="22"/>
                <w:szCs w:val="22"/>
                <w:color w:val="auto"/>
              </w:rPr>
            </w:pPr>
          </w:p>
        </w:tc>
        <w:tc>
          <w:tcPr>
            <w:tcW w:w="180" w:type="dxa"/>
            <w:vAlign w:val="bottom"/>
            <w:tcBorders>
              <w:top w:val="single" w:sz="8" w:color="auto"/>
            </w:tcBorders>
            <w:shd w:val="clear" w:color="auto" w:fill="BFE4FF"/>
          </w:tcPr>
          <w:p>
            <w:pPr>
              <w:spacing w:after="0"/>
              <w:rPr>
                <w:sz w:val="22"/>
                <w:szCs w:val="22"/>
                <w:color w:val="auto"/>
              </w:rPr>
            </w:pPr>
          </w:p>
        </w:tc>
        <w:tc>
          <w:tcPr>
            <w:tcW w:w="940" w:type="dxa"/>
            <w:vAlign w:val="bottom"/>
            <w:tcBorders>
              <w:top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BFE4FF"/>
            </w:tcBorders>
            <w:shd w:val="clear" w:color="auto" w:fill="BFE4FF"/>
          </w:tcPr>
          <w:p>
            <w:pPr>
              <w:spacing w:after="0"/>
              <w:rPr>
                <w:sz w:val="22"/>
                <w:szCs w:val="22"/>
                <w:color w:val="auto"/>
              </w:rPr>
            </w:pPr>
          </w:p>
        </w:tc>
        <w:tc>
          <w:tcPr>
            <w:tcW w:w="240" w:type="dxa"/>
            <w:vAlign w:val="bottom"/>
            <w:tcBorders>
              <w:top w:val="single" w:sz="8" w:color="auto"/>
            </w:tcBorders>
            <w:shd w:val="clear" w:color="auto" w:fill="BFE4FF"/>
          </w:tcPr>
          <w:p>
            <w:pPr>
              <w:spacing w:after="0"/>
              <w:rPr>
                <w:sz w:val="22"/>
                <w:szCs w:val="22"/>
                <w:color w:val="auto"/>
              </w:rPr>
            </w:pPr>
          </w:p>
        </w:tc>
        <w:tc>
          <w:tcPr>
            <w:tcW w:w="880" w:type="dxa"/>
            <w:vAlign w:val="bottom"/>
            <w:tcBorders>
              <w:top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Equity in earnings of unconsolidated affiliates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12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92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60" w:type="dxa"/>
            <w:vAlign w:val="bottom"/>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7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auto"/>
            </w:tcBorders>
            <w:shd w:val="clear" w:color="auto" w:fill="BFE4FF"/>
          </w:tcPr>
          <w:p>
            <w:pPr>
              <w:spacing w:after="0"/>
              <w:rPr>
                <w:sz w:val="23"/>
                <w:szCs w:val="23"/>
                <w:color w:val="auto"/>
              </w:rPr>
            </w:pPr>
          </w:p>
        </w:tc>
        <w:tc>
          <w:tcPr>
            <w:tcW w:w="10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(30)</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 w:type="dxa"/>
            <w:vAlign w:val="bottom"/>
            <w:tcBorders>
              <w:bottom w:val="single" w:sz="8" w:color="auto"/>
            </w:tcBorders>
            <w:shd w:val="clear" w:color="auto" w:fill="BFE4FF"/>
          </w:tcPr>
          <w:p>
            <w:pPr>
              <w:spacing w:after="0"/>
              <w:rPr>
                <w:sz w:val="23"/>
                <w:szCs w:val="23"/>
                <w:color w:val="auto"/>
              </w:rPr>
            </w:pPr>
          </w:p>
        </w:tc>
        <w:tc>
          <w:tcPr>
            <w:tcW w:w="140" w:type="dxa"/>
            <w:vAlign w:val="bottom"/>
            <w:tcBorders>
              <w:bottom w:val="single" w:sz="8" w:color="auto"/>
            </w:tcBorders>
            <w:shd w:val="clear" w:color="auto" w:fill="BFE4FF"/>
          </w:tcPr>
          <w:p>
            <w:pPr>
              <w:spacing w:after="0"/>
              <w:rPr>
                <w:sz w:val="23"/>
                <w:szCs w:val="23"/>
                <w:color w:val="auto"/>
              </w:rPr>
            </w:pPr>
          </w:p>
        </w:tc>
        <w:tc>
          <w:tcPr>
            <w:tcW w:w="96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(109)</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0" w:type="dxa"/>
            <w:vAlign w:val="bottom"/>
            <w:tcBorders>
              <w:bottom w:val="single" w:sz="8" w:color="auto"/>
            </w:tcBorders>
            <w:shd w:val="clear" w:color="auto" w:fill="BFE4FF"/>
          </w:tcPr>
          <w:p>
            <w:pPr>
              <w:spacing w:after="0"/>
              <w:rPr>
                <w:sz w:val="23"/>
                <w:szCs w:val="23"/>
                <w:color w:val="auto"/>
              </w:rPr>
            </w:pPr>
          </w:p>
        </w:tc>
        <w:tc>
          <w:tcPr>
            <w:tcW w:w="92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(5)</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8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shd w:val="clear" w:color="auto" w:fill="BFE4FF"/>
          </w:tcPr>
          <w:p>
            <w:pPr>
              <w:ind w:left="220"/>
              <w:spacing w:after="0"/>
              <w:rPr>
                <w:sz w:val="20"/>
                <w:szCs w:val="20"/>
                <w:color w:val="auto"/>
              </w:rPr>
            </w:pPr>
            <w:r>
              <w:rPr>
                <w:rFonts w:ascii="Arial" w:cs="Arial" w:eastAsia="Arial" w:hAnsi="Arial"/>
                <w:sz w:val="18"/>
                <w:szCs w:val="18"/>
                <w:color w:val="auto"/>
              </w:rPr>
              <w:t>Income tax benefit</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12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108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040" w:type="dxa"/>
            <w:vAlign w:val="bottom"/>
            <w:gridSpan w:val="3"/>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23"/>
                <w:szCs w:val="23"/>
                <w:color w:val="auto"/>
              </w:rPr>
            </w:pPr>
          </w:p>
        </w:tc>
        <w:tc>
          <w:tcPr>
            <w:tcW w:w="94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80" w:type="dxa"/>
            <w:vAlign w:val="bottom"/>
            <w:tcBorders>
              <w:bottom w:val="single" w:sz="8" w:color="BFE4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BFE4FF"/>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BFE4FF"/>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BFE4FF"/>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080" w:type="dxa"/>
            <w:vAlign w:val="bottom"/>
            <w:shd w:val="clear" w:color="auto" w:fill="BFE4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72"/>
              <w:spacing w:after="0"/>
              <w:rPr>
                <w:sz w:val="20"/>
                <w:szCs w:val="20"/>
                <w:color w:val="auto"/>
              </w:rPr>
            </w:pPr>
            <w:r>
              <w:rPr>
                <w:rFonts w:ascii="Arial" w:cs="Arial" w:eastAsia="Arial" w:hAnsi="Arial"/>
                <w:sz w:val="18"/>
                <w:szCs w:val="18"/>
                <w:color w:val="auto"/>
              </w:rPr>
              <w:t>2,677</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60" w:type="dxa"/>
            <w:vAlign w:val="bottom"/>
            <w:tcBorders>
              <w:bottom w:val="single" w:sz="8" w:color="auto"/>
            </w:tcBorders>
            <w:gridSpan w:val="2"/>
            <w:shd w:val="clear" w:color="auto" w:fill="BFE4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FE4FF"/>
          </w:tcPr>
          <w:p>
            <w:pPr>
              <w:jc w:val="right"/>
              <w:ind w:right="72"/>
              <w:spacing w:after="0"/>
              <w:rPr>
                <w:sz w:val="20"/>
                <w:szCs w:val="20"/>
                <w:color w:val="auto"/>
              </w:rPr>
            </w:pPr>
            <w:r>
              <w:rPr>
                <w:rFonts w:ascii="Arial" w:cs="Arial" w:eastAsia="Arial" w:hAnsi="Arial"/>
                <w:sz w:val="18"/>
                <w:szCs w:val="18"/>
                <w:color w:val="auto"/>
              </w:rPr>
              <w:t>6,116</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625</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9,555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w w:val="93"/>
              </w:rPr>
              <w:t>Three months ended March 31, 2019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Thermal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80" w:type="dxa"/>
            <w:vAlign w:val="bottom"/>
            <w:tcBorders>
              <w:bottom w:val="single" w:sz="8" w:color="BFE4FF"/>
            </w:tcBorders>
            <w:vMerge w:val="continue"/>
          </w:tcPr>
          <w:p>
            <w:pPr>
              <w:spacing w:after="0"/>
              <w:rPr>
                <w:sz w:val="16"/>
                <w:szCs w:val="16"/>
                <w:color w:val="auto"/>
              </w:rPr>
            </w:pPr>
          </w:p>
        </w:tc>
        <w:tc>
          <w:tcPr>
            <w:tcW w:w="4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BFE4FF"/>
            </w:tcBorders>
          </w:tcPr>
          <w:p>
            <w:pPr>
              <w:spacing w:after="0"/>
              <w:rPr>
                <w:sz w:val="16"/>
                <w:szCs w:val="16"/>
                <w:color w:val="auto"/>
              </w:rPr>
            </w:pPr>
          </w:p>
        </w:tc>
        <w:tc>
          <w:tcPr>
            <w:tcW w:w="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BFE4FF"/>
            </w:tcBorders>
          </w:tcPr>
          <w:p>
            <w:pPr>
              <w:spacing w:after="0"/>
              <w:rPr>
                <w:sz w:val="21"/>
                <w:szCs w:val="21"/>
                <w:color w:val="auto"/>
              </w:rPr>
            </w:pPr>
          </w:p>
        </w:tc>
        <w:tc>
          <w:tcPr>
            <w:tcW w:w="5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Cost of operations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BFE4FF"/>
            </w:tcBorders>
          </w:tcPr>
          <w:p>
            <w:pPr>
              <w:spacing w:after="0"/>
              <w:rPr>
                <w:sz w:val="23"/>
                <w:szCs w:val="23"/>
                <w:color w:val="auto"/>
              </w:rPr>
            </w:pPr>
          </w:p>
        </w:tc>
        <w:tc>
          <w:tcPr>
            <w:tcW w:w="5080" w:type="dxa"/>
            <w:vAlign w:val="bottom"/>
            <w:shd w:val="clear" w:color="auto" w:fill="BFE4FF"/>
          </w:tcPr>
          <w:p>
            <w:pPr>
              <w:ind w:left="100"/>
              <w:spacing w:after="0"/>
              <w:rPr>
                <w:sz w:val="20"/>
                <w:szCs w:val="20"/>
                <w:color w:val="auto"/>
              </w:rPr>
            </w:pPr>
            <w:r>
              <w:rPr>
                <w:rFonts w:ascii="Arial" w:cs="Arial" w:eastAsia="Arial" w:hAnsi="Arial"/>
                <w:sz w:val="18"/>
                <w:szCs w:val="18"/>
                <w:color w:val="auto"/>
              </w:rPr>
              <w:t>Depreciation, amortization and accretion</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25</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54</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92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60" w:type="dxa"/>
            <w:vAlign w:val="bottom"/>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BFE4FF"/>
            </w:tcBorders>
          </w:tcPr>
          <w:p>
            <w:pPr>
              <w:spacing w:after="0"/>
              <w:rPr>
                <w:sz w:val="23"/>
                <w:szCs w:val="23"/>
                <w:color w:val="auto"/>
              </w:rPr>
            </w:pPr>
          </w:p>
        </w:tc>
        <w:tc>
          <w:tcPr>
            <w:tcW w:w="5080" w:type="dxa"/>
            <w:vAlign w:val="bottom"/>
            <w:shd w:val="clear" w:color="auto" w:fill="BFE4FF"/>
          </w:tcPr>
          <w:p>
            <w:pPr>
              <w:ind w:left="100"/>
              <w:spacing w:after="0"/>
              <w:rPr>
                <w:sz w:val="20"/>
                <w:szCs w:val="20"/>
                <w:color w:val="auto"/>
              </w:rPr>
            </w:pPr>
            <w:r>
              <w:rPr>
                <w:rFonts w:ascii="Arial" w:cs="Arial" w:eastAsia="Arial" w:hAnsi="Arial"/>
                <w:sz w:val="18"/>
                <w:szCs w:val="18"/>
                <w:color w:val="auto"/>
              </w:rPr>
              <w:t>Acquisition-related transaction and integration costs</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120" w:type="dxa"/>
            <w:vAlign w:val="bottom"/>
            <w:gridSpan w:val="3"/>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1080" w:type="dxa"/>
            <w:vAlign w:val="bottom"/>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BFE4FF"/>
          </w:tcPr>
          <w:p>
            <w:pPr>
              <w:spacing w:after="0"/>
              <w:rPr>
                <w:sz w:val="23"/>
                <w:szCs w:val="23"/>
                <w:color w:val="auto"/>
              </w:rPr>
            </w:pPr>
          </w:p>
        </w:tc>
        <w:tc>
          <w:tcPr>
            <w:tcW w:w="1040" w:type="dxa"/>
            <w:vAlign w:val="bottom"/>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23"/>
                <w:szCs w:val="23"/>
                <w:color w:val="auto"/>
              </w:rPr>
            </w:pPr>
          </w:p>
        </w:tc>
        <w:tc>
          <w:tcPr>
            <w:tcW w:w="94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8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BFE4FF"/>
            </w:tcBorders>
          </w:tcPr>
          <w:p>
            <w:pPr>
              <w:spacing w:after="0"/>
              <w:rPr>
                <w:sz w:val="22"/>
                <w:szCs w:val="22"/>
                <w:color w:val="auto"/>
              </w:rPr>
            </w:pPr>
          </w:p>
        </w:tc>
        <w:tc>
          <w:tcPr>
            <w:tcW w:w="5080" w:type="dxa"/>
            <w:vAlign w:val="bottom"/>
            <w:shd w:val="clear" w:color="auto" w:fill="BFE4FF"/>
          </w:tcPr>
          <w:p>
            <w:pPr>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37</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9</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94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88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Equity in earnings of unconsolidated affiliates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BFE4FF"/>
            </w:tcBorders>
          </w:tcPr>
          <w:p>
            <w:pPr>
              <w:spacing w:after="0"/>
              <w:rPr>
                <w:sz w:val="23"/>
                <w:szCs w:val="23"/>
                <w:color w:val="auto"/>
              </w:rPr>
            </w:pPr>
          </w:p>
        </w:tc>
        <w:tc>
          <w:tcPr>
            <w:tcW w:w="5080" w:type="dxa"/>
            <w:vAlign w:val="bottom"/>
            <w:shd w:val="clear" w:color="auto" w:fill="BFE4FF"/>
          </w:tcPr>
          <w:p>
            <w:pPr>
              <w:ind w:left="10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0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960" w:type="dxa"/>
            <w:vAlign w:val="bottom"/>
            <w:shd w:val="clear" w:color="auto" w:fill="BFE4FF"/>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00" w:type="dxa"/>
            <w:vAlign w:val="bottom"/>
            <w:shd w:val="clear" w:color="auto" w:fill="BFE4FF"/>
          </w:tcPr>
          <w:p>
            <w:pPr>
              <w:spacing w:after="0"/>
              <w:rPr>
                <w:sz w:val="23"/>
                <w:szCs w:val="23"/>
                <w:color w:val="auto"/>
              </w:rPr>
            </w:pPr>
          </w:p>
        </w:tc>
        <w:tc>
          <w:tcPr>
            <w:tcW w:w="1040" w:type="dxa"/>
            <w:vAlign w:val="bottom"/>
            <w:gridSpan w:val="3"/>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BFE4FF"/>
          </w:tcPr>
          <w:p>
            <w:pPr>
              <w:spacing w:after="0"/>
              <w:rPr>
                <w:sz w:val="23"/>
                <w:szCs w:val="23"/>
                <w:color w:val="auto"/>
              </w:rPr>
            </w:pPr>
          </w:p>
        </w:tc>
        <w:tc>
          <w:tcPr>
            <w:tcW w:w="94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Borders>
              <w:bottom w:val="single" w:sz="8" w:color="BFE4FF"/>
            </w:tcBorders>
          </w:tcPr>
          <w:p>
            <w:pPr>
              <w:ind w:left="100"/>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BFE4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BFE4FF"/>
            </w:tcBorders>
          </w:tcPr>
          <w:p>
            <w:pPr>
              <w:spacing w:after="0"/>
              <w:rPr>
                <w:sz w:val="23"/>
                <w:szCs w:val="23"/>
                <w:color w:val="auto"/>
              </w:rPr>
            </w:pPr>
          </w:p>
        </w:tc>
        <w:tc>
          <w:tcPr>
            <w:tcW w:w="20" w:type="dxa"/>
            <w:vAlign w:val="bottom"/>
            <w:tcBorders>
              <w:bottom w:val="single" w:sz="8" w:color="BFE4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BFE4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BFE4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BFE4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BFE4FF"/>
            </w:tcBorders>
          </w:tcPr>
          <w:p>
            <w:pPr>
              <w:spacing w:after="0"/>
              <w:rPr>
                <w:sz w:val="22"/>
                <w:szCs w:val="22"/>
                <w:color w:val="auto"/>
              </w:rPr>
            </w:pPr>
          </w:p>
        </w:tc>
        <w:tc>
          <w:tcPr>
            <w:tcW w:w="5080" w:type="dxa"/>
            <w:vAlign w:val="bottom"/>
            <w:shd w:val="clear" w:color="auto" w:fill="BFE4FF"/>
          </w:tcPr>
          <w:p>
            <w:pPr>
              <w:spacing w:after="0"/>
              <w:rPr>
                <w:sz w:val="20"/>
                <w:szCs w:val="20"/>
                <w:color w:val="auto"/>
              </w:rPr>
            </w:pPr>
            <w:r>
              <w:rPr>
                <w:rFonts w:ascii="Arial" w:cs="Arial" w:eastAsia="Arial" w:hAnsi="Arial"/>
                <w:sz w:val="18"/>
                <w:szCs w:val="18"/>
                <w:color w:val="auto"/>
              </w:rPr>
              <w:t>Income (loss) before income taxes</w:t>
            </w:r>
          </w:p>
        </w:tc>
        <w:tc>
          <w:tcPr>
            <w:tcW w:w="4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0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24</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0" w:type="dxa"/>
            <w:vAlign w:val="bottom"/>
            <w:shd w:val="clear" w:color="auto" w:fill="BFE4FF"/>
          </w:tcPr>
          <w:p>
            <w:pPr>
              <w:spacing w:after="0"/>
              <w:rPr>
                <w:sz w:val="22"/>
                <w:szCs w:val="22"/>
                <w:color w:val="auto"/>
              </w:rPr>
            </w:pPr>
          </w:p>
        </w:tc>
        <w:tc>
          <w:tcPr>
            <w:tcW w:w="14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(56)</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92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5</w:t>
            </w:r>
          </w:p>
        </w:tc>
        <w:tc>
          <w:tcPr>
            <w:tcW w:w="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94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BFE4FF"/>
          </w:tcPr>
          <w:p>
            <w:pPr>
              <w:spacing w:after="0"/>
              <w:rPr>
                <w:sz w:val="22"/>
                <w:szCs w:val="22"/>
                <w:color w:val="auto"/>
              </w:rPr>
            </w:pPr>
          </w:p>
        </w:tc>
        <w:tc>
          <w:tcPr>
            <w:tcW w:w="240" w:type="dxa"/>
            <w:vAlign w:val="bottom"/>
            <w:shd w:val="clear" w:color="auto" w:fill="BFE4FF"/>
          </w:tcPr>
          <w:p>
            <w:pPr>
              <w:spacing w:after="0"/>
              <w:rPr>
                <w:sz w:val="22"/>
                <w:szCs w:val="22"/>
                <w:color w:val="auto"/>
              </w:rPr>
            </w:pPr>
          </w:p>
        </w:tc>
        <w:tc>
          <w:tcPr>
            <w:tcW w:w="8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80" w:type="dxa"/>
            <w:vAlign w:val="bottom"/>
            <w:tcBorders>
              <w:bottom w:val="single" w:sz="8" w:color="BFE4FF"/>
            </w:tcBorders>
          </w:tcPr>
          <w:p>
            <w:pPr>
              <w:ind w:left="100"/>
              <w:spacing w:after="0"/>
              <w:rPr>
                <w:sz w:val="20"/>
                <w:szCs w:val="20"/>
                <w:color w:val="auto"/>
              </w:rPr>
            </w:pPr>
            <w:r>
              <w:rPr>
                <w:rFonts w:ascii="Arial" w:cs="Arial" w:eastAsia="Arial" w:hAnsi="Arial"/>
                <w:sz w:val="18"/>
                <w:szCs w:val="18"/>
                <w:color w:val="auto"/>
              </w:rPr>
              <w:t>Income tax benefit</w:t>
            </w:r>
          </w:p>
        </w:tc>
        <w:tc>
          <w:tcPr>
            <w:tcW w:w="40" w:type="dxa"/>
            <w:vAlign w:val="bottom"/>
            <w:tcBorders>
              <w:bottom w:val="single" w:sz="8" w:color="BFE4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23"/>
                <w:szCs w:val="23"/>
                <w:color w:val="auto"/>
              </w:rPr>
            </w:pPr>
          </w:p>
        </w:tc>
        <w:tc>
          <w:tcPr>
            <w:tcW w:w="20" w:type="dxa"/>
            <w:vAlign w:val="bottom"/>
            <w:tcBorders>
              <w:bottom w:val="single" w:sz="8" w:color="BFE4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BFE4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BFE4FF"/>
            </w:tcBorders>
          </w:tcPr>
          <w:p>
            <w:pPr>
              <w:spacing w:after="0"/>
              <w:rPr>
                <w:sz w:val="24"/>
                <w:szCs w:val="24"/>
                <w:color w:val="auto"/>
              </w:rPr>
            </w:pPr>
          </w:p>
        </w:tc>
        <w:tc>
          <w:tcPr>
            <w:tcW w:w="5080" w:type="dxa"/>
            <w:vAlign w:val="bottom"/>
            <w:shd w:val="clear" w:color="auto" w:fill="BFE4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FE4FF"/>
          </w:tcPr>
          <w:p>
            <w:pPr>
              <w:jc w:val="right"/>
              <w:ind w:right="32"/>
              <w:spacing w:after="0"/>
              <w:rPr>
                <w:sz w:val="20"/>
                <w:szCs w:val="20"/>
                <w:color w:val="auto"/>
              </w:rPr>
            </w:pPr>
            <w:r>
              <w:rPr>
                <w:rFonts w:ascii="Arial" w:cs="Arial" w:eastAsia="Arial" w:hAnsi="Arial"/>
                <w:sz w:val="18"/>
                <w:szCs w:val="18"/>
                <w:color w:val="auto"/>
              </w:rPr>
              <w:t>24</w:t>
            </w:r>
          </w:p>
        </w:tc>
        <w:tc>
          <w:tcPr>
            <w:tcW w:w="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60" w:type="dxa"/>
            <w:vAlign w:val="bottom"/>
            <w:gridSpan w:val="2"/>
            <w:shd w:val="clear" w:color="auto" w:fill="BFE4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12"/>
              <w:spacing w:after="0"/>
              <w:rPr>
                <w:sz w:val="20"/>
                <w:szCs w:val="20"/>
                <w:color w:val="auto"/>
              </w:rPr>
            </w:pPr>
            <w:r>
              <w:rPr>
                <w:rFonts w:ascii="Arial" w:cs="Arial" w:eastAsia="Arial" w:hAnsi="Arial"/>
                <w:sz w:val="18"/>
                <w:szCs w:val="18"/>
                <w:color w:val="auto"/>
              </w:rPr>
              <w:t>(56)</w:t>
            </w:r>
          </w:p>
        </w:tc>
        <w:tc>
          <w:tcPr>
            <w:tcW w:w="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5</w:t>
            </w:r>
          </w:p>
        </w:tc>
        <w:tc>
          <w:tcPr>
            <w:tcW w:w="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(54)</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(7)</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7"/>
        </w:trPr>
        <w:tc>
          <w:tcPr>
            <w:tcW w:w="6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2020 the overall effective tax rate was different than the statutory rate of 21% primarily due to taxable earnings and losses allocated to partners' interest in Clearway Energy LLC, which includes the effects of applying HLBV method of accounting for book purposes for certain partnerships.</w:t>
      </w:r>
    </w:p>
    <w:p>
      <w:pPr>
        <w:spacing w:after="0" w:line="157"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7"/>
          <w:szCs w:val="17"/>
          <w:color w:val="auto"/>
        </w:rPr>
        <w:t>For the three months ended March 31, 2019, the overall effective tax rate was different than the statutory rate of 21% primarily due to production and investment tax credits generated from certain wind and solar assets, as well as taxable earnings and losses allocated to partners' interest in Clearway Energy LLC, which includes the effects of applying HLBV method of accounting for book purposes for certain partnerships.</w:t>
      </w:r>
    </w:p>
    <w:p>
      <w:pPr>
        <w:spacing w:after="0" w:line="10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11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March 27, 2020 the Coronavirus Aid, Relief, and Economic Security (CARES) Act, or the Act, was signed into law, which includes modifications to the business interest expense disallowance and net operating loss provisions. While the Company expects to utilize previously disallowed interest expense during 2020 as a result of the modifications, the Company does not expect the Act to have a material impact on the consolidated financial statements. The Company will continue to assess the effects of the Act and ongoing government guidance related to COVID-19 that may be issued.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77" w:lineRule="auto"/>
        <w:tabs>
          <w:tab w:leader="none" w:pos="202"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Maintenance LLC, or RENOM, a wholly-owned subsidiary of CEG, which provides operation and maintenance, or O&amp;M, to these subsidiaries. The Company incurred total expenses for these services of $9 million and $7 million for the three months ended March 31, 2020 and March 31, 2019, respectively. There was a balance of $9 million and $7 million due to RENOM as of March 31, 2020 and December 31, 2019, respectively.</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$2 million for each of the periods ended March 31, 2020 and March 31, 2019.</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 and amounts due to the Company from CEG and subsidiaries are recorded as accounts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receivable - affiliate on the Company's consolidated balance sheet. The Company incurred expenses of $0.6 million under these agreements during the period ended March 31,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58"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is subject to a right to appeal and the case in the Knox County District Court remains pending, but has been stayed pending the outcome of the U.S. District Court case. The Company believes the allegations of NPPD are meritless and the Company is vigorously defending its rights under the PPAs.</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14 —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March 31,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ectPr>
          <w:pgSz w:w="11900" w:h="16838" w:orient="portrait"/>
          <w:cols w:equalWidth="0" w:num="1">
            <w:col w:w="11240"/>
          </w:cols>
          <w:pgMar w:left="320" w:top="891" w:right="339" w:bottom="1440" w:gutter="0" w:footer="0" w:header="0"/>
        </w:sectPr>
      </w:pPr>
    </w:p>
    <w:p>
      <w:pPr>
        <w:spacing w:after="0" w:line="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Lease expense was comprised of the following:</w:t>
      </w:r>
    </w:p>
    <w:p>
      <w:pPr>
        <w:spacing w:after="0" w:line="235"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25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Operating lease cost - Fixed</w:t>
      </w:r>
    </w:p>
    <w:p>
      <w:pPr>
        <w:spacing w:after="0" w:line="75"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Operating lease cost - Variable</w:t>
      </w:r>
    </w:p>
    <w:p>
      <w:pPr>
        <w:spacing w:after="0" w:line="12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Total lease cost</w:t>
      </w: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lease information was as follows: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(In millions, except term and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March</w:t>
            </w:r>
          </w:p>
        </w:tc>
        <w:tc>
          <w:tcPr>
            <w:tcW w:w="160" w:type="dxa"/>
            <w:vAlign w:val="bottom"/>
          </w:tcPr>
          <w:p>
            <w:pPr>
              <w:spacing w:after="0"/>
              <w:rPr>
                <w:sz w:val="14"/>
                <w:szCs w:val="14"/>
                <w:color w:val="auto"/>
              </w:rPr>
            </w:pPr>
          </w:p>
        </w:tc>
        <w:tc>
          <w:tcPr>
            <w:tcW w:w="1580" w:type="dxa"/>
            <w:vAlign w:val="bottom"/>
          </w:tcPr>
          <w:p>
            <w:pPr>
              <w:jc w:val="right"/>
              <w:ind w:right="157"/>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31, 2020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March 31, 2019</w:t>
            </w:r>
          </w:p>
        </w:tc>
      </w:tr>
      <w:tr>
        <w:trPr>
          <w:trHeight w:val="243"/>
        </w:trPr>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7"/>
              <w:spacing w:after="0"/>
              <w:rPr>
                <w:sz w:val="20"/>
                <w:szCs w:val="20"/>
                <w:color w:val="auto"/>
              </w:rPr>
            </w:pPr>
            <w:r>
              <w:rPr>
                <w:rFonts w:ascii="Arial" w:cs="Arial" w:eastAsia="Arial" w:hAnsi="Arial"/>
                <w:sz w:val="18"/>
                <w:szCs w:val="18"/>
                <w:color w:val="auto"/>
              </w:rPr>
              <w:t>2</w:t>
            </w:r>
          </w:p>
        </w:tc>
      </w:tr>
      <w:tr>
        <w:trPr>
          <w:trHeight w:val="270"/>
        </w:trPr>
        <w:tc>
          <w:tcPr>
            <w:tcW w:w="380" w:type="dxa"/>
            <w:vAlign w:val="bottom"/>
          </w:tcPr>
          <w:p>
            <w:pPr>
              <w:spacing w:after="0"/>
              <w:rPr>
                <w:sz w:val="23"/>
                <w:szCs w:val="23"/>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jc w:val="right"/>
              <w:ind w:right="57"/>
              <w:spacing w:after="0"/>
              <w:rPr>
                <w:sz w:val="20"/>
                <w:szCs w:val="20"/>
                <w:color w:val="auto"/>
              </w:rPr>
            </w:pPr>
            <w:r>
              <w:rPr>
                <w:rFonts w:ascii="Arial" w:cs="Arial" w:eastAsia="Arial" w:hAnsi="Arial"/>
                <w:sz w:val="18"/>
                <w:szCs w:val="18"/>
                <w:color w:val="auto"/>
              </w:rPr>
              <w:t>4</w:t>
            </w:r>
          </w:p>
        </w:tc>
      </w:tr>
      <w:tr>
        <w:trPr>
          <w:trHeight w:val="27"/>
        </w:trPr>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7"/>
              <w:spacing w:after="0"/>
              <w:rPr>
                <w:sz w:val="20"/>
                <w:szCs w:val="20"/>
                <w:color w:val="auto"/>
              </w:rPr>
            </w:pPr>
            <w:r>
              <w:rPr>
                <w:rFonts w:ascii="Arial" w:cs="Arial" w:eastAsia="Arial" w:hAnsi="Arial"/>
                <w:sz w:val="18"/>
                <w:szCs w:val="18"/>
                <w:color w:val="auto"/>
              </w:rPr>
              <w:t>6</w:t>
            </w:r>
          </w:p>
        </w:tc>
      </w:tr>
      <w:tr>
        <w:trPr>
          <w:trHeight w:val="27"/>
        </w:trPr>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-565150</wp:posOffset>
            </wp:positionV>
            <wp:extent cx="519493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94935" cy="18034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-213995</wp:posOffset>
            </wp:positionV>
            <wp:extent cx="5194935" cy="196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94935" cy="1968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-796925</wp:posOffset>
            </wp:positionV>
            <wp:extent cx="2374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556895</wp:posOffset>
            </wp:positionV>
            <wp:extent cx="28460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580"/>
        <w:spacing w:after="0"/>
        <w:tabs>
          <w:tab w:leader="none" w:pos="114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194945</wp:posOffset>
            </wp:positionV>
            <wp:extent cx="703770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18859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23495</wp:posOffset>
            </wp:positionV>
            <wp:extent cx="28460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91" w:right="339" w:bottom="1440" w:gutter="0" w:footer="0" w:header="0"/>
          <w:type w:val="continuous"/>
        </w:sectPr>
      </w:pP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ROU Assets - operating leases, net</w:t>
      </w:r>
    </w:p>
    <w:p>
      <w:pPr>
        <w:spacing w:after="0" w:line="34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Short-term lease liability - operating leases </w:t>
      </w:r>
      <w:r>
        <w:rPr>
          <w:rFonts w:ascii="Arial" w:cs="Arial" w:eastAsia="Arial" w:hAnsi="Arial"/>
          <w:sz w:val="20"/>
          <w:szCs w:val="20"/>
          <w:color w:val="auto"/>
          <w:vertAlign w:val="superscript"/>
        </w:rPr>
        <w:t>(a)</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Long-term lease liability - operating leases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lease liability</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Weighted average remaining lease term</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306070</wp:posOffset>
            </wp:positionV>
            <wp:extent cx="13716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223</w:t>
            </w:r>
          </w:p>
        </w:tc>
      </w:tr>
      <w:tr>
        <w:trPr>
          <w:trHeight w:val="27"/>
        </w:trPr>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7</w:t>
            </w:r>
          </w:p>
        </w:tc>
      </w:tr>
      <w:tr>
        <w:trPr>
          <w:trHeight w:val="270"/>
        </w:trPr>
        <w:tc>
          <w:tcPr>
            <w:tcW w:w="100" w:type="dxa"/>
            <w:vAlign w:val="bottom"/>
          </w:tcPr>
          <w:p>
            <w:pPr>
              <w:spacing w:after="0"/>
              <w:rPr>
                <w:sz w:val="23"/>
                <w:szCs w:val="23"/>
                <w:color w:val="auto"/>
              </w:rPr>
            </w:pP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227</w:t>
            </w:r>
          </w:p>
        </w:tc>
      </w:tr>
      <w:tr>
        <w:trPr>
          <w:trHeight w:val="27"/>
        </w:trPr>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234</w:t>
            </w:r>
          </w:p>
        </w:tc>
      </w:tr>
      <w:tr>
        <w:trPr>
          <w:trHeight w:val="27"/>
        </w:trPr>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00" w:type="dxa"/>
            <w:vAlign w:val="bottom"/>
          </w:tcPr>
          <w:p>
            <w:pPr>
              <w:spacing w:after="0"/>
              <w:rPr>
                <w:sz w:val="23"/>
                <w:szCs w:val="23"/>
                <w:color w:val="auto"/>
              </w:rPr>
            </w:pPr>
          </w:p>
        </w:tc>
        <w:tc>
          <w:tcPr>
            <w:tcW w:w="2080" w:type="dxa"/>
            <w:vAlign w:val="bottom"/>
          </w:tcPr>
          <w:p>
            <w:pPr>
              <w:jc w:val="right"/>
              <w:ind w:right="35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jc w:val="right"/>
              <w:ind w:right="354"/>
              <w:spacing w:after="0"/>
              <w:rPr>
                <w:sz w:val="20"/>
                <w:szCs w:val="20"/>
                <w:color w:val="auto"/>
              </w:rPr>
            </w:pPr>
            <w:r>
              <w:rPr>
                <w:rFonts w:ascii="Arial" w:cs="Arial" w:eastAsia="Arial" w:hAnsi="Arial"/>
                <w:sz w:val="18"/>
                <w:szCs w:val="18"/>
                <w:color w:val="auto"/>
              </w:rPr>
              <w:t>4.4%</w:t>
            </w:r>
          </w:p>
        </w:tc>
      </w:tr>
      <w:tr>
        <w:trPr>
          <w:trHeight w:val="283"/>
        </w:trPr>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146"/>
        </w:trPr>
        <w:tc>
          <w:tcPr>
            <w:tcW w:w="100" w:type="dxa"/>
            <w:vAlign w:val="bottom"/>
          </w:tcPr>
          <w:p>
            <w:pPr>
              <w:spacing w:after="0"/>
              <w:rPr>
                <w:sz w:val="12"/>
                <w:szCs w:val="12"/>
                <w:color w:val="auto"/>
              </w:rPr>
            </w:pPr>
          </w:p>
        </w:tc>
        <w:tc>
          <w:tcPr>
            <w:tcW w:w="21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2"/>
                <w:szCs w:val="12"/>
                <w:color w:val="auto"/>
              </w:rPr>
            </w:pPr>
          </w:p>
        </w:tc>
        <w:tc>
          <w:tcPr>
            <w:tcW w:w="208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93"/>
              </w:rPr>
              <w:t>Three months ended March 31,</w:t>
            </w:r>
          </w:p>
        </w:tc>
      </w:tr>
      <w:tr>
        <w:trPr>
          <w:trHeight w:val="192"/>
        </w:trPr>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2019</w:t>
            </w:r>
          </w:p>
        </w:tc>
      </w:tr>
      <w:tr>
        <w:trPr>
          <w:trHeight w:val="24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74"/>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-1602740</wp:posOffset>
            </wp:positionV>
            <wp:extent cx="703770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-1259840</wp:posOffset>
            </wp:positionV>
            <wp:extent cx="703770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19685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-728345</wp:posOffset>
            </wp:positionV>
            <wp:extent cx="703770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-162560</wp:posOffset>
            </wp:positionV>
            <wp:extent cx="703770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540"/>
          </w:cols>
          <w:pgMar w:left="320" w:top="891" w:right="339" w:bottom="1440" w:gutter="0" w:footer="0" w:header="0"/>
          <w:type w:val="continuous"/>
        </w:sectPr>
      </w:pPr>
    </w:p>
    <w:p>
      <w:pPr>
        <w:spacing w:after="0" w:line="362" w:lineRule="exact"/>
        <w:rPr>
          <w:sz w:val="20"/>
          <w:szCs w:val="20"/>
          <w:color w:val="auto"/>
        </w:rPr>
      </w:pPr>
    </w:p>
    <w:p>
      <w:pPr>
        <w:ind w:left="180" w:right="180" w:hanging="91"/>
        <w:spacing w:after="0" w:line="273" w:lineRule="auto"/>
        <w:tabs>
          <w:tab w:leader="none" w:pos="238" w:val="left"/>
        </w:tabs>
        <w:numPr>
          <w:ilvl w:val="0"/>
          <w:numId w:val="15"/>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4" w:name="page35"/>
    <w:bookmarkEnd w:id="34"/>
    <w:p>
      <w:pPr>
        <w:ind w:left="500"/>
        <w:spacing w:after="0"/>
        <w:rPr>
          <w:sz w:val="20"/>
          <w:szCs w:val="20"/>
          <w:color w:val="auto"/>
        </w:rPr>
      </w:pPr>
      <w:r>
        <w:rPr>
          <w:rFonts w:ascii="Arial" w:cs="Arial" w:eastAsia="Arial" w:hAnsi="Arial"/>
          <w:sz w:val="18"/>
          <w:szCs w:val="18"/>
          <w:color w:val="auto"/>
        </w:rPr>
        <w:t>Maturities of operating lease liabilities as of March 31, 2020 are as follows: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Remainder of 2020</w:t>
            </w:r>
          </w:p>
        </w:tc>
        <w:tc>
          <w:tcPr>
            <w:tcW w:w="900" w:type="dxa"/>
            <w:vAlign w:val="bottom"/>
            <w:tcBorders>
              <w:bottom w:val="single" w:sz="8" w:color="BFE4FF"/>
            </w:tcBorders>
            <w:shd w:val="clear" w:color="auto" w:fill="BFE4FF"/>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10</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2024</w:t>
            </w:r>
          </w:p>
        </w:tc>
        <w:tc>
          <w:tcPr>
            <w:tcW w:w="9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300</w:t>
            </w:r>
          </w:p>
        </w:tc>
      </w:tr>
      <w:tr>
        <w:trPr>
          <w:trHeight w:val="27"/>
        </w:trPr>
        <w:tc>
          <w:tcPr>
            <w:tcW w:w="874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9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373</w:t>
            </w:r>
          </w:p>
        </w:tc>
      </w:tr>
      <w:tr>
        <w:trPr>
          <w:trHeight w:val="243"/>
        </w:trPr>
        <w:tc>
          <w:tcPr>
            <w:tcW w:w="8740" w:type="dxa"/>
            <w:vAlign w:val="bottom"/>
          </w:tcPr>
          <w:p>
            <w:pPr>
              <w:ind w:left="420"/>
              <w:spacing w:after="0"/>
              <w:rPr>
                <w:sz w:val="20"/>
                <w:szCs w:val="20"/>
                <w:color w:val="auto"/>
              </w:rPr>
            </w:pPr>
            <w:r>
              <w:rPr>
                <w:rFonts w:ascii="Arial" w:cs="Arial" w:eastAsia="Arial" w:hAnsi="Arial"/>
                <w:sz w:val="18"/>
                <w:szCs w:val="18"/>
                <w:color w:val="auto"/>
              </w:rPr>
              <w:t>Less imputed interest</w:t>
            </w:r>
          </w:p>
        </w:tc>
        <w:tc>
          <w:tcPr>
            <w:tcW w:w="9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874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liability - operating leases</w:t>
            </w:r>
          </w:p>
        </w:tc>
        <w:tc>
          <w:tcPr>
            <w:tcW w:w="900" w:type="dxa"/>
            <w:vAlign w:val="bottom"/>
            <w:tcBorders>
              <w:bottom w:val="single" w:sz="8" w:color="auto"/>
            </w:tcBorders>
            <w:shd w:val="clear" w:color="auto" w:fill="BFE4FF"/>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229</w:t>
            </w:r>
          </w:p>
        </w:tc>
      </w:tr>
      <w:tr>
        <w:trPr>
          <w:trHeight w:val="20"/>
        </w:trPr>
        <w:tc>
          <w:tcPr>
            <w:tcW w:w="874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30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following amounts of energy and capacity revenue are related to the Company’s leases:</w:t>
      </w:r>
    </w:p>
    <w:p>
      <w:pPr>
        <w:spacing w:after="0" w:line="173"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Conventional</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7"/>
        </w:trPr>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Generation</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Renewables</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Thermal</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r>
      <w:tr>
        <w:trPr>
          <w:trHeight w:val="250"/>
        </w:trPr>
        <w:tc>
          <w:tcPr>
            <w:tcW w:w="3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43"/>
        </w:trPr>
        <w:tc>
          <w:tcPr>
            <w:tcW w:w="3060" w:type="dxa"/>
            <w:vAlign w:val="bottom"/>
            <w:gridSpan w:val="2"/>
          </w:tcPr>
          <w:p>
            <w:pPr>
              <w:ind w:left="8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r>
      <w:tr>
        <w:trPr>
          <w:trHeight w:val="27"/>
        </w:trPr>
        <w:tc>
          <w:tcPr>
            <w:tcW w:w="7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0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Operating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r>
      <w:tr>
        <w:trPr>
          <w:trHeight w:val="717"/>
        </w:trPr>
        <w:tc>
          <w:tcPr>
            <w:tcW w:w="7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4"/>
                <w:szCs w:val="14"/>
                <w:b w:val="1"/>
                <w:bCs w:val="1"/>
                <w:color w:val="auto"/>
                <w:w w:val="94"/>
              </w:rPr>
              <w:t>Three months ended March 31, 2019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8"/>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gridSpan w:val="4"/>
          </w:tcPr>
          <w:p>
            <w:pPr>
              <w:ind w:left="260"/>
              <w:spacing w:after="0"/>
              <w:rPr>
                <w:sz w:val="20"/>
                <w:szCs w:val="20"/>
                <w:color w:val="auto"/>
              </w:rPr>
            </w:pPr>
            <w:r>
              <w:rPr>
                <w:rFonts w:ascii="Arial" w:cs="Arial" w:eastAsia="Arial" w:hAnsi="Arial"/>
                <w:sz w:val="16"/>
                <w:szCs w:val="16"/>
                <w:b w:val="1"/>
                <w:bCs w:val="1"/>
                <w:color w:val="auto"/>
              </w:rPr>
              <w:t>Conventional</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7"/>
        </w:trPr>
        <w:tc>
          <w:tcPr>
            <w:tcW w:w="760" w:type="dxa"/>
            <w:vAlign w:val="bottom"/>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Generation</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w w:val="99"/>
              </w:rPr>
              <w:t>Renewables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48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76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2300" w:type="dxa"/>
            <w:vAlign w:val="bottom"/>
          </w:tcPr>
          <w:p>
            <w:pPr>
              <w:ind w:left="8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79</w:t>
            </w:r>
          </w:p>
        </w:tc>
        <w:tc>
          <w:tcPr>
            <w:tcW w:w="74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179</w:t>
            </w:r>
          </w:p>
        </w:tc>
        <w:tc>
          <w:tcPr>
            <w:tcW w:w="740" w:type="dxa"/>
            <w:vAlign w:val="bottom"/>
          </w:tcPr>
          <w:p>
            <w:pPr>
              <w:spacing w:after="0"/>
              <w:rPr>
                <w:sz w:val="20"/>
                <w:szCs w:val="20"/>
                <w:color w:val="auto"/>
              </w:rPr>
            </w:pPr>
          </w:p>
        </w:tc>
      </w:tr>
      <w:tr>
        <w:trPr>
          <w:trHeight w:val="27"/>
        </w:trPr>
        <w:tc>
          <w:tcPr>
            <w:tcW w:w="760" w:type="dxa"/>
            <w:vAlign w:val="bottom"/>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Minimum future rent payments under the operating leases for the remaining periods as of March 31, 2020</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203"/>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Remainder of 2020</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358</w:t>
            </w:r>
          </w:p>
        </w:tc>
      </w:tr>
      <w:tr>
        <w:trPr>
          <w:trHeight w:val="27"/>
        </w:trPr>
        <w:tc>
          <w:tcPr>
            <w:tcW w:w="6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6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6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r>
      <w:tr>
        <w:trPr>
          <w:trHeight w:val="263"/>
        </w:trPr>
        <w:tc>
          <w:tcPr>
            <w:tcW w:w="6540" w:type="dxa"/>
            <w:vAlign w:val="bottom"/>
          </w:tcPr>
          <w:p>
            <w:pPr>
              <w:ind w:left="120"/>
              <w:spacing w:after="0"/>
              <w:rPr>
                <w:sz w:val="20"/>
                <w:szCs w:val="20"/>
                <w:color w:val="auto"/>
              </w:rPr>
            </w:pPr>
            <w:r>
              <w:rPr>
                <w:rFonts w:ascii="Arial" w:cs="Arial" w:eastAsia="Arial" w:hAnsi="Arial"/>
                <w:sz w:val="18"/>
                <w:szCs w:val="18"/>
                <w:color w:val="auto"/>
              </w:rPr>
              <w:t>Total lease payments</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3,222</w:t>
            </w:r>
          </w:p>
        </w:tc>
      </w:tr>
      <w:tr>
        <w:trPr>
          <w:trHeight w:val="21"/>
        </w:trPr>
        <w:tc>
          <w:tcPr>
            <w:tcW w:w="6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related to the Company’s operating leases were as follows: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5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88"/>
              </w:rPr>
              <w:t>7,020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center"/>
              <w:ind w:left="695"/>
              <w:spacing w:after="0"/>
              <w:rPr>
                <w:sz w:val="20"/>
                <w:szCs w:val="20"/>
                <w:color w:val="auto"/>
              </w:rPr>
            </w:pPr>
            <w:r>
              <w:rPr>
                <w:rFonts w:ascii="Arial" w:cs="Arial" w:eastAsia="Arial" w:hAnsi="Arial"/>
                <w:sz w:val="18"/>
                <w:szCs w:val="18"/>
                <w:color w:val="auto"/>
                <w:w w:val="88"/>
              </w:rPr>
              <w:t>6,942</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420" w:type="dxa"/>
            <w:vAlign w:val="bottom"/>
          </w:tcPr>
          <w:p>
            <w:pPr>
              <w:jc w:val="center"/>
              <w:ind w:left="615"/>
              <w:spacing w:after="0"/>
              <w:rPr>
                <w:sz w:val="20"/>
                <w:szCs w:val="20"/>
                <w:color w:val="auto"/>
              </w:rPr>
            </w:pPr>
            <w:r>
              <w:rPr>
                <w:rFonts w:ascii="Arial" w:cs="Arial" w:eastAsia="Arial" w:hAnsi="Arial"/>
                <w:sz w:val="18"/>
                <w:szCs w:val="18"/>
                <w:color w:val="auto"/>
                <w:w w:val="91"/>
              </w:rPr>
              <w:t>(1,732)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left="655"/>
              <w:spacing w:after="0"/>
              <w:rPr>
                <w:sz w:val="20"/>
                <w:szCs w:val="20"/>
                <w:color w:val="auto"/>
              </w:rPr>
            </w:pPr>
            <w:r>
              <w:rPr>
                <w:rFonts w:ascii="Arial" w:cs="Arial" w:eastAsia="Arial" w:hAnsi="Arial"/>
                <w:sz w:val="18"/>
                <w:szCs w:val="18"/>
                <w:color w:val="auto"/>
                <w:w w:val="91"/>
              </w:rPr>
              <w:t>(1,649)</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88"/>
              </w:rPr>
              <w:t>5,288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88"/>
              </w:rPr>
              <w:t>5,293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95" w:right="979" w:bottom="1440" w:gutter="0" w:footer="0" w:header="0"/>
        </w:sectPr>
      </w:pPr>
    </w:p>
    <w:bookmarkStart w:id="36" w:name="page37"/>
    <w:bookmarkEnd w:id="36"/>
    <w:p>
      <w:pPr>
        <w:jc w:val="right"/>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months ended March 31, 2020 and 2019. Also refer to the Company's 2019 Form 10-K, which includes detailed discussions of various items impacting the Company's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980" w:right="400"/>
        <w:spacing w:after="0" w:line="277" w:lineRule="auto"/>
        <w:tabs>
          <w:tab w:leader="none" w:pos="1299"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1300" w:hanging="320"/>
        <w:spacing w:after="0"/>
        <w:tabs>
          <w:tab w:leader="none" w:pos="13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171" w:lineRule="exact"/>
        <w:rPr>
          <w:rFonts w:ascii="Arial" w:cs="Arial" w:eastAsia="Arial" w:hAnsi="Arial"/>
          <w:sz w:val="18"/>
          <w:szCs w:val="18"/>
          <w:color w:val="231F20"/>
        </w:rPr>
      </w:pPr>
    </w:p>
    <w:p>
      <w:pPr>
        <w:ind w:left="980" w:right="880"/>
        <w:spacing w:after="0" w:line="277" w:lineRule="auto"/>
        <w:tabs>
          <w:tab w:leader="none" w:pos="1299"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116" w:lineRule="exact"/>
        <w:rPr>
          <w:rFonts w:ascii="Arial" w:cs="Arial" w:eastAsia="Arial" w:hAnsi="Arial"/>
          <w:sz w:val="18"/>
          <w:szCs w:val="18"/>
          <w:color w:val="auto"/>
        </w:rPr>
      </w:pPr>
    </w:p>
    <w:p>
      <w:pPr>
        <w:ind w:left="980" w:right="200"/>
        <w:spacing w:after="0" w:line="277" w:lineRule="auto"/>
        <w:tabs>
          <w:tab w:leader="none" w:pos="1299"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116" w:lineRule="exact"/>
        <w:rPr>
          <w:rFonts w:ascii="Arial" w:cs="Arial" w:eastAsia="Arial" w:hAnsi="Arial"/>
          <w:sz w:val="18"/>
          <w:szCs w:val="18"/>
          <w:color w:val="231F20"/>
        </w:rPr>
      </w:pPr>
    </w:p>
    <w:p>
      <w:pPr>
        <w:ind w:left="980" w:right="760"/>
        <w:spacing w:after="0" w:line="277" w:lineRule="auto"/>
        <w:tabs>
          <w:tab w:leader="none" w:pos="12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3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environmentally-sound asset portfolio includes over 5,878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Company also owns </w:t>
      </w:r>
      <w:r>
        <w:rPr>
          <w:rFonts w:ascii="Arial" w:cs="Arial" w:eastAsia="Arial" w:hAnsi="Arial"/>
          <w:sz w:val="18"/>
          <w:szCs w:val="18"/>
          <w:color w:val="231F20"/>
        </w:rPr>
        <w:t>thermal infrastructure assets with an aggregate steam and chilled water capacity of 1,508 net MWt and electric generation</w:t>
      </w:r>
      <w:r>
        <w:rPr>
          <w:rFonts w:ascii="Arial" w:cs="Arial" w:eastAsia="Arial" w:hAnsi="Arial"/>
          <w:sz w:val="18"/>
          <w:szCs w:val="18"/>
          <w:color w:val="auto"/>
        </w:rPr>
        <w:t xml:space="preserve"> </w:t>
      </w:r>
      <w:r>
        <w:rPr>
          <w:rFonts w:ascii="Arial" w:cs="Arial" w:eastAsia="Arial" w:hAnsi="Arial"/>
          <w:sz w:val="18"/>
          <w:szCs w:val="18"/>
          <w:color w:val="231F20"/>
        </w:rPr>
        <w:t xml:space="preserve">capacity of 36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t>
      </w:r>
      <w:r>
        <w:rPr>
          <w:rFonts w:ascii="Arial" w:cs="Arial" w:eastAsia="Arial" w:hAnsi="Arial"/>
          <w:sz w:val="18"/>
          <w:szCs w:val="18"/>
          <w:color w:val="000000"/>
        </w:rPr>
        <w:t>The weighted average remaining contract duration of these offtake agreements was approximately</w:t>
      </w:r>
      <w:r>
        <w:rPr>
          <w:rFonts w:ascii="Arial" w:cs="Arial" w:eastAsia="Arial" w:hAnsi="Arial"/>
          <w:sz w:val="18"/>
          <w:szCs w:val="18"/>
          <w:color w:val="231F20"/>
        </w:rPr>
        <w:t xml:space="preserve"> 13 years as of </w:t>
      </w:r>
      <w:r>
        <w:rPr>
          <w:rFonts w:ascii="Arial" w:cs="Arial" w:eastAsia="Arial" w:hAnsi="Arial"/>
          <w:sz w:val="18"/>
          <w:szCs w:val="18"/>
          <w:color w:val="000000"/>
        </w:rPr>
        <w:t>March 31, 2020</w:t>
      </w:r>
      <w:r>
        <w:rPr>
          <w:rFonts w:ascii="Arial" w:cs="Arial" w:eastAsia="Arial" w:hAnsi="Arial"/>
          <w:sz w:val="18"/>
          <w:szCs w:val="18"/>
          <w:color w:val="231F20"/>
        </w:rPr>
        <w:t xml:space="preserve"> based on CAFD.</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the Company's operating assets are comprised of the following projects: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Offtake Counterparty</w:t>
            </w:r>
          </w:p>
        </w:tc>
        <w:tc>
          <w:tcPr>
            <w:tcW w:w="120" w:type="dxa"/>
            <w:vAlign w:val="bottom"/>
            <w:vMerge w:val="restart"/>
          </w:tcPr>
          <w:p>
            <w:pPr>
              <w:spacing w:after="0"/>
              <w:rPr>
                <w:sz w:val="14"/>
                <w:szCs w:val="1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100" w:type="dxa"/>
            <w:vAlign w:val="bottom"/>
          </w:tcPr>
          <w:p>
            <w:pPr>
              <w:spacing w:after="0"/>
              <w:rPr>
                <w:sz w:val="16"/>
                <w:szCs w:val="16"/>
                <w:color w:val="auto"/>
              </w:rPr>
            </w:pPr>
          </w:p>
        </w:tc>
        <w:tc>
          <w:tcPr>
            <w:tcW w:w="3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Conventional</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Carlsbad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San Diego Gas &amp;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El Segundo .</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GenConn Devon.</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GenConn Middletown .</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Marsh Landing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Walnut Creek . . . .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Utility Scale Solar</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Agua Caliente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Alpine</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Avenal</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Avra Valley</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Tucson Electric Power</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Blythe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Borrego</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San Diego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9"/>
                <w:szCs w:val="9"/>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City of Georgetown, TX</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2043</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CVSR</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Desert Sunlight 250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2034</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Desert Sunlight 300</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Kansas South</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9"/>
                <w:szCs w:val="9"/>
                <w:color w:val="auto"/>
              </w:rPr>
              <w:t>(b) .</w:t>
            </w: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9"/>
                <w:szCs w:val="9"/>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Roadrunner</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TA High Desert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9"/>
                <w:szCs w:val="9"/>
                <w:color w:val="auto"/>
              </w:rPr>
              <w:t>(b) (e)</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5"/>
              </w:rPr>
              <w:t>PacifiCorp</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Distributed Solar</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Apple I LLC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97"/>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AZ DG Solar Projects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2025 - 2033</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SPP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2026 - 2037</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Other DG Projects</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2023 - 2039</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20" w:type="dxa"/>
            <w:vAlign w:val="bottom"/>
            <w:gridSpan w:val="2"/>
          </w:tcPr>
          <w:p>
            <w:pPr>
              <w:ind w:left="20"/>
              <w:spacing w:after="0"/>
              <w:rPr>
                <w:sz w:val="20"/>
                <w:szCs w:val="20"/>
                <w:color w:val="auto"/>
              </w:rPr>
            </w:pPr>
            <w:r>
              <w:rPr>
                <w:rFonts w:ascii="Arial" w:cs="Arial" w:eastAsia="Arial" w:hAnsi="Arial"/>
                <w:sz w:val="14"/>
                <w:szCs w:val="14"/>
                <w:i w:val="1"/>
                <w:iCs w:val="1"/>
                <w:color w:val="auto"/>
              </w:rPr>
              <w:t>Wind</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Alta I</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6"/>
        </w:trPr>
        <w:tc>
          <w:tcPr>
            <w:tcW w:w="4420" w:type="dxa"/>
            <w:vAlign w:val="bottom"/>
            <w:gridSpan w:val="2"/>
          </w:tcPr>
          <w:p>
            <w:pPr>
              <w:ind w:left="100"/>
              <w:spacing w:after="0"/>
              <w:rPr>
                <w:sz w:val="20"/>
                <w:szCs w:val="20"/>
                <w:color w:val="auto"/>
              </w:rPr>
            </w:pPr>
            <w:r>
              <w:rPr>
                <w:rFonts w:ascii="Arial" w:cs="Arial" w:eastAsia="Arial" w:hAnsi="Arial"/>
                <w:sz w:val="14"/>
                <w:szCs w:val="14"/>
                <w:color w:val="auto"/>
              </w:rPr>
              <w:t>Alta II</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Alta III</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33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Offtake Counterparty</w:t>
            </w:r>
          </w:p>
        </w:tc>
        <w:tc>
          <w:tcPr>
            <w:tcW w:w="11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86"/>
        </w:trPr>
        <w:tc>
          <w:tcPr>
            <w:tcW w:w="3220" w:type="dxa"/>
            <w:vAlign w:val="bottom"/>
            <w:vMerge w:val="continue"/>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Ownership</w:t>
            </w:r>
          </w:p>
        </w:tc>
        <w:tc>
          <w:tcPr>
            <w:tcW w:w="28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33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20" w:type="dxa"/>
            <w:vAlign w:val="bottom"/>
          </w:tcPr>
          <w:p>
            <w:pPr>
              <w:ind w:left="100"/>
              <w:spacing w:after="0"/>
              <w:rPr>
                <w:sz w:val="20"/>
                <w:szCs w:val="20"/>
                <w:color w:val="auto"/>
              </w:rPr>
            </w:pPr>
            <w:r>
              <w:rPr>
                <w:rFonts w:ascii="Arial" w:cs="Arial" w:eastAsia="Arial" w:hAnsi="Arial"/>
                <w:sz w:val="14"/>
                <w:szCs w:val="14"/>
                <w:color w:val="auto"/>
              </w:rPr>
              <w:t>Alta IV</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Alta V</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Alta X (b)</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9"/>
                <w:szCs w:val="9"/>
                <w:color w:val="auto"/>
              </w:rPr>
              <w:t>(b)</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Buffalo Bear</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3"/>
              </w:rPr>
              <w:t>Western Farmers Electric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Crosswinds</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Corn Belt Power Cooperative</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6"/>
        </w:trPr>
        <w:tc>
          <w:tcPr>
            <w:tcW w:w="3220" w:type="dxa"/>
            <w:vAlign w:val="bottom"/>
          </w:tcPr>
          <w:p>
            <w:pPr>
              <w:ind w:left="12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9"/>
                <w:szCs w:val="9"/>
                <w:color w:val="auto"/>
              </w:rPr>
              <w:t>(b)</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122</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Elkhorn Ridge</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Forward</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Constellation NewEnergy, Inc.</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Goat Wind</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Hardin</w:t>
            </w:r>
          </w:p>
        </w:tc>
        <w:tc>
          <w:tcPr>
            <w:tcW w:w="2140" w:type="dxa"/>
            <w:vAlign w:val="bottom"/>
          </w:tcPr>
          <w:p>
            <w:pPr>
              <w:jc w:val="right"/>
              <w:spacing w:after="0"/>
              <w:rPr>
                <w:sz w:val="20"/>
                <w:szCs w:val="20"/>
                <w:color w:val="auto"/>
              </w:rPr>
            </w:pPr>
            <w:r>
              <w:rPr>
                <w:rFonts w:ascii="Arial" w:cs="Arial" w:eastAsia="Arial" w:hAnsi="Arial"/>
                <w:sz w:val="14"/>
                <w:szCs w:val="14"/>
                <w:color w:val="auto"/>
              </w:rPr>
              <w:t>99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Interstate Power and Light Company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Laredo Ridge</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6"/>
        </w:trPr>
        <w:tc>
          <w:tcPr>
            <w:tcW w:w="3220" w:type="dxa"/>
            <w:vAlign w:val="bottom"/>
          </w:tcPr>
          <w:p>
            <w:pPr>
              <w:ind w:left="100"/>
              <w:spacing w:after="0"/>
              <w:rPr>
                <w:sz w:val="20"/>
                <w:szCs w:val="20"/>
                <w:color w:val="auto"/>
              </w:rPr>
            </w:pPr>
            <w:r>
              <w:rPr>
                <w:rFonts w:ascii="Arial" w:cs="Arial" w:eastAsia="Arial" w:hAnsi="Arial"/>
                <w:sz w:val="14"/>
                <w:szCs w:val="14"/>
                <w:color w:val="auto"/>
              </w:rPr>
              <w:t>Lookout</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Odin</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57"/>
        </w:trPr>
        <w:tc>
          <w:tcPr>
            <w:tcW w:w="3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340" w:type="dxa"/>
            <w:vAlign w:val="bottom"/>
          </w:tcPr>
          <w:p>
            <w:pPr>
              <w:jc w:val="center"/>
              <w:ind w:left="8"/>
              <w:spacing w:after="0" w:line="157" w:lineRule="exact"/>
              <w:rPr>
                <w:sz w:val="20"/>
                <w:szCs w:val="20"/>
                <w:color w:val="auto"/>
              </w:rPr>
            </w:pPr>
            <w:r>
              <w:rPr>
                <w:rFonts w:ascii="Arial" w:cs="Arial" w:eastAsia="Arial" w:hAnsi="Arial"/>
                <w:sz w:val="14"/>
                <w:szCs w:val="14"/>
                <w:color w:val="auto"/>
                <w:w w:val="93"/>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ind w:left="100"/>
              <w:spacing w:after="0"/>
              <w:rPr>
                <w:sz w:val="20"/>
                <w:szCs w:val="20"/>
                <w:color w:val="auto"/>
              </w:rPr>
            </w:pPr>
            <w:r>
              <w:rPr>
                <w:rFonts w:ascii="Arial" w:cs="Arial" w:eastAsia="Arial" w:hAnsi="Arial"/>
                <w:sz w:val="14"/>
                <w:szCs w:val="14"/>
                <w:color w:val="auto"/>
              </w:rPr>
              <w:t>Pinnacle</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San Juan Mesa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Sleeping Bear</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South Trent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AEP Energy Partners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7"/>
        </w:trPr>
        <w:tc>
          <w:tcPr>
            <w:tcW w:w="3220" w:type="dxa"/>
            <w:vAlign w:val="bottom"/>
          </w:tcPr>
          <w:p>
            <w:pPr>
              <w:ind w:left="100"/>
              <w:spacing w:after="0"/>
              <w:rPr>
                <w:sz w:val="20"/>
                <w:szCs w:val="20"/>
                <w:color w:val="auto"/>
              </w:rPr>
            </w:pPr>
            <w:r>
              <w:rPr>
                <w:rFonts w:ascii="Arial" w:cs="Arial" w:eastAsia="Arial" w:hAnsi="Arial"/>
                <w:sz w:val="14"/>
                <w:szCs w:val="14"/>
                <w:color w:val="auto"/>
              </w:rPr>
              <w:t>Spanish Fork</w:t>
            </w:r>
          </w:p>
        </w:tc>
        <w:tc>
          <w:tcPr>
            <w:tcW w:w="21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9"/>
                <w:szCs w:val="9"/>
                <w:color w:val="auto"/>
              </w:rPr>
              <w:t>(b)</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7"/>
        </w:trPr>
        <w:tc>
          <w:tcPr>
            <w:tcW w:w="3220" w:type="dxa"/>
            <w:vAlign w:val="bottom"/>
          </w:tcPr>
          <w:p>
            <w:pPr>
              <w:ind w:left="12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9"/>
                <w:szCs w:val="9"/>
                <w:color w:val="auto"/>
              </w:rPr>
              <w:t>(b)</w:t>
            </w:r>
          </w:p>
        </w:tc>
        <w:tc>
          <w:tcPr>
            <w:tcW w:w="2140" w:type="dxa"/>
            <w:vAlign w:val="bottom"/>
          </w:tcPr>
          <w:p>
            <w:pPr>
              <w:jc w:val="right"/>
              <w:spacing w:after="0"/>
              <w:rPr>
                <w:sz w:val="20"/>
                <w:szCs w:val="20"/>
                <w:color w:val="auto"/>
              </w:rPr>
            </w:pPr>
            <w:r>
              <w:rPr>
                <w:rFonts w:ascii="Arial" w:cs="Arial" w:eastAsia="Arial" w:hAnsi="Arial"/>
                <w:sz w:val="14"/>
                <w:szCs w:val="14"/>
                <w:color w:val="auto"/>
              </w:rPr>
              <w:t>90.1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Taloga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5"/>
              </w:rPr>
              <w:t>Oklahoma Gas &amp; Electric</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9"/>
                <w:szCs w:val="9"/>
                <w:color w:val="auto"/>
              </w:rPr>
              <w:t>(b)</w:t>
            </w: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w:t>
            </w:r>
          </w:p>
        </w:tc>
        <w:tc>
          <w:tcPr>
            <w:tcW w:w="334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2,203</w:t>
            </w: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Thermal</w:t>
            </w: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Thermal Generation .</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Total net generation capacity </w:t>
            </w:r>
            <w:r>
              <w:rPr>
                <w:rFonts w:ascii="Arial" w:cs="Arial" w:eastAsia="Arial" w:hAnsi="Arial"/>
                <w:sz w:val="9"/>
                <w:szCs w:val="9"/>
                <w:color w:val="auto"/>
              </w:rPr>
              <w:t>(c)</w:t>
            </w:r>
          </w:p>
        </w:tc>
        <w:tc>
          <w:tcPr>
            <w:tcW w:w="2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5,914</w:t>
            </w:r>
          </w:p>
        </w:tc>
        <w:tc>
          <w:tcPr>
            <w:tcW w:w="3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Thermal equivalent MWt</w:t>
            </w:r>
            <w:r>
              <w:rPr>
                <w:rFonts w:ascii="Arial" w:cs="Arial" w:eastAsia="Arial" w:hAnsi="Arial"/>
                <w:sz w:val="9"/>
                <w:szCs w:val="9"/>
                <w:color w:val="auto"/>
              </w:rPr>
              <w:t>(d)</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1,508</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379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March 31, 2020.</w:t>
      </w:r>
    </w:p>
    <w:p>
      <w:pPr>
        <w:spacing w:after="0" w:line="13" w:lineRule="exact"/>
        <w:rPr>
          <w:rFonts w:ascii="Arial" w:cs="Arial" w:eastAsia="Arial" w:hAnsi="Arial"/>
          <w:sz w:val="9"/>
          <w:szCs w:val="9"/>
          <w:color w:val="auto"/>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as further described in Item 1 —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w:t>
      </w:r>
    </w:p>
    <w:p>
      <w:pPr>
        <w:spacing w:after="0" w:line="9" w:lineRule="exact"/>
        <w:rPr>
          <w:rFonts w:ascii="Arial" w:cs="Arial" w:eastAsia="Arial" w:hAnsi="Arial"/>
          <w:sz w:val="9"/>
          <w:szCs w:val="9"/>
          <w:color w:val="auto"/>
        </w:rPr>
      </w:pPr>
    </w:p>
    <w:p>
      <w:pPr>
        <w:ind w:firstLine="8"/>
        <w:spacing w:after="0" w:line="245" w:lineRule="auto"/>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Clearway Energy, Inc.'s total generation capacity is net of 6 MWs for noncontrolling interest for Spring Canyon II and III. Clearway Energy, Inc.'s generation capacity including this noncontrolling interest was 5,917 MWs.</w:t>
      </w:r>
    </w:p>
    <w:p>
      <w:pPr>
        <w:ind w:firstLine="8"/>
        <w:spacing w:after="0" w:line="241" w:lineRule="auto"/>
        <w:tabs>
          <w:tab w:leader="none" w:pos="158" w:val="left"/>
        </w:tabs>
        <w:numPr>
          <w:ilvl w:val="0"/>
          <w:numId w:val="17"/>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19 MWt available under the right-to-use provisions contained in agreements between one of the Company's thermal facilities and certain of its customers.</w:t>
      </w: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Represents interests in Four Brothers Solar, LLC, Granite Mountain Holdings, LLC, and Iron Springs Holdings, LLC, all acquired as part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the March 2017 Drop Down Assets (ownership percentage is based upon cash to be distributed).</w:t>
      </w:r>
    </w:p>
    <w:p>
      <w:pPr>
        <w:spacing w:after="0" w:line="2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Additionally,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320 MW based on cash to be distributed pursuant to the partnership agreements as of March 31, 2020. For further discussions, see Item 1—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2019 Form 10-K.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 Update</w:t>
      </w:r>
    </w:p>
    <w:p>
      <w:pPr>
        <w:spacing w:after="0" w:line="185" w:lineRule="exact"/>
        <w:rPr>
          <w:sz w:val="20"/>
          <w:szCs w:val="20"/>
          <w:color w:val="auto"/>
        </w:rPr>
      </w:pPr>
    </w:p>
    <w:p>
      <w:pPr>
        <w:jc w:val="both"/>
        <w:ind w:left="340" w:hanging="332"/>
        <w:spacing w:after="0" w:line="28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6"/>
          <w:szCs w:val="16"/>
          <w:color w:val="auto"/>
        </w:rPr>
        <w:t xml:space="preserve">During 2019, PG&amp;E, one of the Company's largest customers, filed for reorganization under Chapter 11 of the U.S. Bankruptcy Code in the U.S. Bankruptcy Court for the Northern District of California, or the Bankruptcy Court. On January 31, 2020, PG&amp;E filed with the Bankruptcy Court a Chapter 11 plan of reorganization, as amended, or the PG&amp;E Plan. The PG&amp;E Plan provides for PG&amp;E to assume all of its PPAs with the Company.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 As of March 31, 2020, the Company had $1.37 billion of property, plant and equipment, net, $368 million investments in unconsolidated affiliates and $1.19 billion of borrowings with final maturity dates ranging from 2022 - 2037 related to subsidiaries that sell their output to PG&amp;E under the long-term contracts. These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 Note 7, </w:t>
      </w:r>
      <w:r>
        <w:rPr>
          <w:rFonts w:ascii="Arial" w:cs="Arial" w:eastAsia="Arial" w:hAnsi="Arial"/>
          <w:sz w:val="16"/>
          <w:szCs w:val="16"/>
          <w:i w:val="1"/>
          <w:iCs w:val="1"/>
          <w:color w:val="auto"/>
        </w:rPr>
        <w:t>Long-term Debt</w:t>
      </w:r>
      <w:r>
        <w:rPr>
          <w:rFonts w:ascii="Arial" w:cs="Arial" w:eastAsia="Arial" w:hAnsi="Arial"/>
          <w:sz w:val="16"/>
          <w:szCs w:val="16"/>
          <w:color w:val="auto"/>
        </w:rPr>
        <w:t>. As a result, the Company recorded approximately $1.19 billion of principal, net of the related unamortized debt issuance costs, as short-term debt. As of May 7, 2020, the Company's contracts with PG&amp;E have operated in the normal course and the Company currently expects these contracts to continue as such. As of May 7, 2020, the Company has entered into forbearance agreements for certain project-level financing arrangements and continues to seek forbearance agreements for other project-level financing arrangements affected by the PG&amp;E Bankruptcy. The Company continues to assess the potential future impacts of the PG&amp;E Bankruptcy as events occur.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 Drop Down</w:t>
      </w:r>
    </w:p>
    <w:p>
      <w:pPr>
        <w:spacing w:after="0" w:line="171" w:lineRule="exact"/>
        <w:rPr>
          <w:sz w:val="20"/>
          <w:szCs w:val="20"/>
          <w:color w:val="auto"/>
        </w:rPr>
      </w:pPr>
    </w:p>
    <w:p>
      <w:pPr>
        <w:jc w:val="both"/>
        <w:ind w:left="340" w:hanging="332"/>
        <w:spacing w:after="0" w:line="286" w:lineRule="auto"/>
        <w:tabs>
          <w:tab w:leader="none" w:pos="336" w:val="left"/>
        </w:tabs>
        <w:numPr>
          <w:ilvl w:val="0"/>
          <w:numId w:val="19"/>
        </w:numPr>
        <w:rPr>
          <w:rFonts w:ascii="Arial" w:cs="Arial" w:eastAsia="Arial" w:hAnsi="Arial"/>
          <w:sz w:val="13"/>
          <w:szCs w:val="13"/>
          <w:i w:val="1"/>
          <w:iCs w:val="1"/>
          <w:color w:val="auto"/>
        </w:rPr>
      </w:pPr>
      <w:r>
        <w:rPr>
          <w:rFonts w:ascii="Arial" w:cs="Arial" w:eastAsia="Arial" w:hAnsi="Arial"/>
          <w:sz w:val="16"/>
          <w:szCs w:val="16"/>
          <w:color w:val="auto"/>
        </w:rPr>
        <w:t>On April 17, 2020, the Company entered into binding agreements related to the previously announced drop-down offer from CEG to enable the Company to acquire and invest in a portfolio of renewable energy projects. The following projects are included in the drop-down: (i) 100% of the equity interests in Rattlesnake Flat, LLC, which owns the Rattlesnake Wind Project, a 144 net MW wind facility located in Adams County, WA; (ii) CEG's interest in Repowering Partnership II LLC (Repowering 1.0), which would give the Company a 100% equity interest in Repowering 1.0; and</w:t>
      </w:r>
    </w:p>
    <w:p>
      <w:pPr>
        <w:spacing w:after="0" w:line="1" w:lineRule="exact"/>
        <w:rPr>
          <w:rFonts w:ascii="Arial" w:cs="Arial" w:eastAsia="Arial" w:hAnsi="Arial"/>
          <w:sz w:val="13"/>
          <w:szCs w:val="13"/>
          <w:i w:val="1"/>
          <w:iCs w:val="1"/>
          <w:color w:val="auto"/>
        </w:rPr>
      </w:pPr>
    </w:p>
    <w:p>
      <w:pPr>
        <w:jc w:val="both"/>
        <w:ind w:left="340" w:hanging="8"/>
        <w:spacing w:after="0" w:line="253" w:lineRule="auto"/>
        <w:tabs>
          <w:tab w:leader="none" w:pos="6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new partnership with CEG to repower the Pinnacle Wind Project, a 55 net MW wind facility located in Mineral County, WV. The Company expects to invest approximately $241 million in corporate capital subject to closing adjustments for the above mentioned transactions. 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Energy Center Dover LLC and Energy Center Smyrna LLC Assets</w:t>
      </w:r>
    </w:p>
    <w:p>
      <w:pPr>
        <w:spacing w:after="0" w:line="171" w:lineRule="exact"/>
        <w:rPr>
          <w:sz w:val="20"/>
          <w:szCs w:val="20"/>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3, 2020, the Company, through Thermal LLC, sold 100% of its interests in Energy Center Dover LLC and Energy Center Smyrna LLC to DB Energy Assets,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Affordable Clean Energy </w:t>
      </w:r>
      <w:r>
        <w:rPr>
          <w:rFonts w:ascii="Arial" w:cs="Arial" w:eastAsia="Arial" w:hAnsi="Arial"/>
          <w:sz w:val="21"/>
          <w:szCs w:val="21"/>
          <w:i w:val="1"/>
          <w:iCs w:val="1"/>
          <w:color w:val="auto"/>
        </w:rPr>
        <w:t>Rule</w:t>
      </w:r>
      <w:r>
        <w:rPr>
          <w:rFonts w:ascii="Arial" w:cs="Arial" w:eastAsia="Arial" w:hAnsi="Arial"/>
          <w:sz w:val="18"/>
          <w:szCs w:val="18"/>
          <w:i w:val="1"/>
          <w:iCs w:val="1"/>
          <w:color w:val="auto"/>
        </w:rPr>
        <w:t xml:space="preserve"> </w:t>
      </w:r>
      <w:r>
        <w:rPr>
          <w:rFonts w:ascii="Arial" w:cs="Arial" w:eastAsia="Arial" w:hAnsi="Arial"/>
          <w:sz w:val="18"/>
          <w:szCs w:val="18"/>
          <w:color w:val="auto"/>
        </w:rPr>
        <w:t>— The attention in recent years on GHG emissions has resulted in federal regulations and state legislative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action. In 2015, the EPA finalized the Clean Power Plan, or the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13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Proposed State Solar Photovoltaic Module Disposal and Recycling Regulations </w:t>
      </w:r>
      <w:r>
        <w:rPr>
          <w:rFonts w:ascii="Arial" w:cs="Arial" w:eastAsia="Arial" w:hAnsi="Arial"/>
          <w:sz w:val="17"/>
          <w:szCs w:val="17"/>
          <w:color w:val="auto"/>
        </w:rPr>
        <w:t>— On October 1, 2015, California enacted SB 489, which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California’s Department of Toxic Substances Control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Comments on the proposed rule were due by June 10, 2019, but the date was extended to January 8, 2020, as a result of text modifications. The final rule has not yet been published.</w:t>
      </w:r>
    </w:p>
    <w:p>
      <w:pPr>
        <w:spacing w:after="0" w:line="12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w:t>
      </w:r>
    </w:p>
    <w:p>
      <w:pPr>
        <w:jc w:val="both"/>
        <w:spacing w:after="0" w:line="277" w:lineRule="auto"/>
        <w:rPr>
          <w:sz w:val="20"/>
          <w:szCs w:val="20"/>
          <w:color w:val="auto"/>
        </w:rPr>
      </w:pPr>
      <w:r>
        <w:rPr>
          <w:rFonts w:ascii="Arial" w:cs="Arial" w:eastAsia="Arial" w:hAnsi="Arial"/>
          <w:sz w:val="18"/>
          <w:szCs w:val="18"/>
          <w:color w:val="auto"/>
        </w:rPr>
        <w:t>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3, 2020, the U.S. Fish and Wildlife Service published in the Federal Register a notice of proposed rulemaking to solicit public comment on a proposed regulation that would codify Solicitor’s Opinion M-37050 defining the scope of certain prohibitions under the MBTA. The proposed rule would clarify that criminal liability for pursuing, hunting, taking, capturing, or killing or attempting to take, capture or kill migratory birds is limited to actions directed at migratory birds, their nests, or their eggs. The proposed rule would have the effect of clarifying that these prohibitions do not extend to actions that only incidentally take or kill migratory birds as a result of otherwise lawful activities. Comments on the proposed rule were due by March 19, 2020. The final rule has not yet been published.</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2019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2019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w:t>
      </w:r>
    </w:p>
    <w:p>
      <w:pPr>
        <w:spacing w:after="0" w:line="12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All of the Company’s facilities have remained operational. The Company believes that all of its accounts receivable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balances as of March 31, 2020 are collectible. The Company will continue to assess collectability based on any future developments.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report.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6"/>
                <w:szCs w:val="16"/>
                <w:color w:val="auto"/>
              </w:rPr>
            </w:pPr>
          </w:p>
        </w:tc>
      </w:tr>
      <w:tr>
        <w:trPr>
          <w:trHeight w:val="196"/>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7"/>
              </w:rPr>
              <w:t>Change</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w:t>
            </w:r>
          </w:p>
        </w:tc>
      </w:tr>
      <w:tr>
        <w:trPr>
          <w:trHeight w:val="27"/>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Operations and maintenance</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10</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17</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Transaction and integration costs</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Pr>
          <w:p>
            <w:pPr>
              <w:ind w:left="2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w:t>
            </w:r>
          </w:p>
        </w:tc>
      </w:tr>
      <w:tr>
        <w:trPr>
          <w:trHeight w:val="27"/>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Equity in (losses) earnings of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69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6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Clearway Energy,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right"/>
        <w:ind w:right="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23495</wp:posOffset>
            </wp:positionV>
            <wp:extent cx="18688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34290</wp:posOffset>
            </wp:positionV>
            <wp:extent cx="7054850"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54850" cy="180340"/>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p>
      <w:pPr>
        <w:ind w:left="80"/>
        <w:spacing w:after="0"/>
        <w:rPr>
          <w:sz w:val="20"/>
          <w:szCs w:val="20"/>
          <w:color w:val="auto"/>
        </w:rPr>
      </w:pPr>
      <w:r>
        <w:rPr>
          <w:rFonts w:ascii="Arial" w:cs="Arial" w:eastAsia="Arial" w:hAnsi="Arial"/>
          <w:sz w:val="18"/>
          <w:szCs w:val="18"/>
          <w:color w:val="auto"/>
        </w:rPr>
        <w:t>Thermal MWt sold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21590</wp:posOffset>
            </wp:positionV>
            <wp:extent cx="7054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Thermal MWh sold (in thousands)</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-17780</wp:posOffset>
            </wp:positionV>
            <wp:extent cx="705485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Conventional equivalent availability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22459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1"/>
          <w:szCs w:val="11"/>
          <w:color w:val="auto"/>
        </w:rPr>
      </w:pPr>
      <w:r>
        <w:rPr>
          <w:rFonts w:ascii="Arial" w:cs="Arial" w:eastAsia="Arial" w:hAnsi="Arial"/>
          <w:sz w:val="14"/>
          <w:szCs w:val="14"/>
          <w:color w:val="auto"/>
        </w:rPr>
        <w:t>Volumes do not include the MWh generated/sold by the Company's equity method investments.</w:t>
      </w:r>
    </w:p>
    <w:p>
      <w:pPr>
        <w:spacing w:after="0" w:line="13" w:lineRule="exact"/>
        <w:rPr>
          <w:rFonts w:ascii="Arial" w:cs="Arial" w:eastAsia="Arial" w:hAnsi="Arial"/>
          <w:sz w:val="11"/>
          <w:szCs w:val="11"/>
          <w:color w:val="auto"/>
        </w:rPr>
      </w:pP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2"/>
          <w:szCs w:val="12"/>
          <w:color w:val="auto"/>
        </w:rPr>
        <w:t>Volumes generated are not sold by the Company as the Conventional facilities sell capacity rather than energy.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63" w:lineRule="exact"/>
        <w:rPr>
          <w:sz w:val="20"/>
          <w:szCs w:val="20"/>
          <w:color w:val="auto"/>
        </w:rPr>
      </w:pPr>
    </w:p>
    <w:p>
      <w:pPr>
        <w:ind w:left="220"/>
        <w:spacing w:after="0"/>
        <w:tabs>
          <w:tab w:leader="none" w:pos="1720" w:val="left"/>
        </w:tabs>
        <w:rPr>
          <w:sz w:val="20"/>
          <w:szCs w:val="20"/>
          <w:color w:val="auto"/>
        </w:rPr>
      </w:pPr>
      <w:r>
        <w:rPr>
          <w:rFonts w:ascii="Arial" w:cs="Arial" w:eastAsia="Arial" w:hAnsi="Arial"/>
          <w:sz w:val="18"/>
          <w:szCs w:val="18"/>
          <w:color w:val="auto"/>
        </w:rPr>
        <w:t>1,676</w:t>
      </w:r>
      <w:r>
        <w:rPr>
          <w:sz w:val="20"/>
          <w:szCs w:val="20"/>
          <w:color w:val="auto"/>
        </w:rPr>
        <w:tab/>
      </w:r>
      <w:r>
        <w:rPr>
          <w:rFonts w:ascii="Arial" w:cs="Arial" w:eastAsia="Arial" w:hAnsi="Arial"/>
          <w:sz w:val="18"/>
          <w:szCs w:val="18"/>
          <w:color w:val="auto"/>
        </w:rPr>
        <w:t>1,449</w:t>
      </w:r>
    </w:p>
    <w:p>
      <w:pPr>
        <w:spacing w:after="0" w:line="63" w:lineRule="exact"/>
        <w:rPr>
          <w:sz w:val="20"/>
          <w:szCs w:val="20"/>
          <w:color w:val="auto"/>
        </w:rPr>
      </w:pPr>
    </w:p>
    <w:p>
      <w:pPr>
        <w:ind w:left="360"/>
        <w:spacing w:after="0"/>
        <w:tabs>
          <w:tab w:leader="none" w:pos="186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8"/>
          <w:szCs w:val="18"/>
          <w:color w:val="auto"/>
        </w:rPr>
        <w:t>644</w:t>
      </w:r>
    </w:p>
    <w:p>
      <w:pPr>
        <w:spacing w:after="0" w:line="63" w:lineRule="exact"/>
        <w:rPr>
          <w:sz w:val="20"/>
          <w:szCs w:val="20"/>
          <w:color w:val="auto"/>
        </w:rPr>
      </w:pPr>
    </w:p>
    <w:p>
      <w:pPr>
        <w:ind w:left="440"/>
        <w:spacing w:after="0"/>
        <w:tabs>
          <w:tab w:leader="none" w:pos="1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14</w:t>
      </w:r>
    </w:p>
    <w:p>
      <w:pPr>
        <w:spacing w:after="0" w:line="63" w:lineRule="exact"/>
        <w:rPr>
          <w:sz w:val="20"/>
          <w:szCs w:val="20"/>
          <w:color w:val="auto"/>
        </w:rPr>
      </w:pPr>
    </w:p>
    <w:p>
      <w:pPr>
        <w:ind w:left="1880" w:hanging="1530"/>
        <w:spacing w:after="0"/>
        <w:tabs>
          <w:tab w:leader="none" w:pos="1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111</w:t>
      </w:r>
    </w:p>
    <w:p>
      <w:pPr>
        <w:spacing w:after="0" w:line="6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89.0 %</w:t>
      </w:r>
      <w:r>
        <w:rPr>
          <w:rFonts w:ascii="Arial" w:cs="Arial" w:eastAsia="Arial" w:hAnsi="Arial"/>
          <w:sz w:val="16"/>
          <w:szCs w:val="16"/>
          <w:color w:val="auto"/>
        </w:rPr>
        <w:t>89.0 %</w:t>
      </w:r>
    </w:p>
    <w:p>
      <w:pPr>
        <w:spacing w:after="0" w:line="1043" w:lineRule="exact"/>
        <w:rPr>
          <w:sz w:val="20"/>
          <w:szCs w:val="20"/>
          <w:color w:val="auto"/>
        </w:rPr>
      </w:pPr>
    </w:p>
    <w:p>
      <w:pPr>
        <w:sectPr>
          <w:pgSz w:w="11900" w:h="16838" w:orient="portrait"/>
          <w:cols w:equalWidth="0" w:num="2">
            <w:col w:w="8080" w:space="720"/>
            <w:col w:w="2360"/>
          </w:cols>
          <w:pgMar w:left="320" w:top="89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type w:val="continuous"/>
        </w:sectPr>
      </w:pPr>
    </w:p>
    <w:bookmarkStart w:id="43" w:name="page44"/>
    <w:bookmarkEnd w:id="43"/>
    <w:p>
      <w:pPr>
        <w:ind w:right="2840"/>
        <w:spacing w:after="0" w:line="432"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March 31,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Conventional</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60"/>
              <w:spacing w:after="0"/>
              <w:rPr>
                <w:sz w:val="20"/>
                <w:szCs w:val="20"/>
                <w:color w:val="auto"/>
              </w:rPr>
            </w:pPr>
            <w:r>
              <w:rPr>
                <w:rFonts w:ascii="Arial" w:cs="Arial" w:eastAsia="Arial" w:hAnsi="Arial"/>
                <w:sz w:val="16"/>
                <w:szCs w:val="16"/>
                <w:b w:val="1"/>
                <w:bCs w:val="1"/>
                <w:color w:val="auto"/>
              </w:rPr>
              <w:t>(In millions)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Generation</w:t>
            </w:r>
          </w:p>
        </w:tc>
        <w:tc>
          <w:tcPr>
            <w:tcW w:w="1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5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gross margin</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2019</w:t>
            </w: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gross margin</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firstLine="405"/>
        <w:spacing w:after="0" w:line="277" w:lineRule="auto"/>
        <w:rPr>
          <w:sz w:val="20"/>
          <w:szCs w:val="20"/>
          <w:color w:val="auto"/>
        </w:rPr>
      </w:pPr>
      <w:r>
        <w:rPr>
          <w:rFonts w:ascii="Arial" w:cs="Arial" w:eastAsia="Arial" w:hAnsi="Arial"/>
          <w:sz w:val="18"/>
          <w:szCs w:val="18"/>
          <w:color w:val="auto"/>
        </w:rPr>
        <w:t>Gross margin increased by $43 million during the three months ended March 31, 2020, compared to the same period in 2019, due to a combination of the drivers summarized in the table below:</w:t>
      </w:r>
    </w:p>
    <w:p>
      <w:pPr>
        <w:sectPr>
          <w:pgSz w:w="11900" w:h="16838" w:orient="portrait"/>
          <w:cols w:equalWidth="0" w:num="1">
            <w:col w:w="11240"/>
          </w:cols>
          <w:pgMar w:left="320" w:top="1192"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Segment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Conventional</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Renewables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Thermal: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20"/>
                <w:szCs w:val="20"/>
                <w:color w:val="auto"/>
              </w:rPr>
            </w:pPr>
            <w:r>
              <w:rPr>
                <w:rFonts w:ascii="Arial" w:cs="Arial" w:eastAsia="Arial" w:hAnsi="Arial"/>
                <w:sz w:val="16"/>
                <w:szCs w:val="16"/>
                <w:b w:val="1"/>
                <w:bCs w:val="1"/>
                <w:color w:val="auto"/>
              </w:rPr>
              <w:t>Increase</w:t>
            </w:r>
          </w:p>
        </w:tc>
        <w:tc>
          <w:tcPr>
            <w:tcW w:w="28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6"/>
                <w:szCs w:val="16"/>
                <w:b w:val="1"/>
                <w:bCs w:val="1"/>
                <w:color w:val="auto"/>
                <w:w w:val="90"/>
              </w:rPr>
              <w:t>(Decrease)</w:t>
            </w:r>
          </w:p>
        </w:tc>
        <w:tc>
          <w:tcPr>
            <w:tcW w:w="280" w:type="dxa"/>
            <w:vAlign w:val="bottom"/>
          </w:tcPr>
          <w:p>
            <w:pPr>
              <w:spacing w:after="0"/>
              <w:rPr>
                <w:sz w:val="18"/>
                <w:szCs w:val="18"/>
                <w:color w:val="auto"/>
              </w:rPr>
            </w:pPr>
          </w:p>
        </w:tc>
        <w:tc>
          <w:tcPr>
            <w:tcW w:w="8100" w:type="dxa"/>
            <w:vAlign w:val="bottom"/>
          </w:tcPr>
          <w:p>
            <w:pPr>
              <w:ind w:left="100"/>
              <w:spacing w:after="0"/>
              <w:rPr>
                <w:sz w:val="20"/>
                <w:szCs w:val="20"/>
                <w:color w:val="auto"/>
              </w:rPr>
            </w:pPr>
            <w:r>
              <w:rPr>
                <w:rFonts w:ascii="Arial" w:cs="Arial" w:eastAsia="Arial" w:hAnsi="Arial"/>
                <w:sz w:val="16"/>
                <w:szCs w:val="16"/>
                <w:b w:val="1"/>
                <w:bCs w:val="1"/>
                <w:color w:val="auto"/>
              </w:rPr>
              <w:t>Reason for Increase (Decrease)</w:t>
            </w:r>
          </w:p>
        </w:tc>
        <w:tc>
          <w:tcPr>
            <w:tcW w:w="0" w:type="dxa"/>
            <w:vAlign w:val="bottom"/>
          </w:tcPr>
          <w:p>
            <w:pPr>
              <w:spacing w:after="0"/>
              <w:rPr>
                <w:sz w:val="1"/>
                <w:szCs w:val="1"/>
                <w:color w:val="auto"/>
              </w:rPr>
            </w:pPr>
          </w:p>
        </w:tc>
      </w:tr>
      <w:tr>
        <w:trPr>
          <w:trHeight w:val="302"/>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23</w:t>
            </w:r>
          </w:p>
        </w:tc>
        <w:tc>
          <w:tcPr>
            <w:tcW w:w="8100" w:type="dxa"/>
            <w:vAlign w:val="bottom"/>
          </w:tcPr>
          <w:p>
            <w:pPr>
              <w:ind w:left="260"/>
              <w:spacing w:after="0"/>
              <w:rPr>
                <w:sz w:val="20"/>
                <w:szCs w:val="20"/>
                <w:color w:val="auto"/>
              </w:rPr>
            </w:pPr>
            <w:r>
              <w:rPr>
                <w:rFonts w:ascii="Arial" w:cs="Arial" w:eastAsia="Arial" w:hAnsi="Arial"/>
                <w:sz w:val="18"/>
                <w:szCs w:val="18"/>
                <w:color w:val="auto"/>
              </w:rPr>
              <w:t>Increase primarily due to the acquisition of the Carlsbad Energy Center on December 5, 2019</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100" w:type="dxa"/>
            <w:vAlign w:val="bottom"/>
          </w:tcPr>
          <w:p>
            <w:pPr>
              <w:ind w:left="260"/>
              <w:spacing w:after="0" w:line="176" w:lineRule="exact"/>
              <w:rPr>
                <w:sz w:val="20"/>
                <w:szCs w:val="20"/>
                <w:color w:val="auto"/>
              </w:rPr>
            </w:pPr>
            <w:r>
              <w:rPr>
                <w:rFonts w:ascii="Arial" w:cs="Arial" w:eastAsia="Arial" w:hAnsi="Arial"/>
                <w:sz w:val="18"/>
                <w:szCs w:val="18"/>
                <w:color w:val="auto"/>
                <w:w w:val="91"/>
              </w:rPr>
              <w:t>Primarily driven by an increase of $17 million in energy revenue due to higher energy production across the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89"/>
              </w:rPr>
              <w:t>19</w:t>
            </w:r>
          </w:p>
        </w:tc>
        <w:tc>
          <w:tcPr>
            <w:tcW w:w="8100" w:type="dxa"/>
            <w:vAlign w:val="bottom"/>
          </w:tcPr>
          <w:p>
            <w:pPr>
              <w:ind w:left="100"/>
              <w:spacing w:after="0" w:line="176" w:lineRule="exact"/>
              <w:rPr>
                <w:sz w:val="20"/>
                <w:szCs w:val="20"/>
                <w:color w:val="auto"/>
              </w:rPr>
            </w:pPr>
            <w:r>
              <w:rPr>
                <w:rFonts w:ascii="Arial" w:cs="Arial" w:eastAsia="Arial" w:hAnsi="Arial"/>
                <w:sz w:val="18"/>
                <w:szCs w:val="18"/>
                <w:color w:val="auto"/>
                <w:w w:val="91"/>
              </w:rPr>
              <w:t>wind and solar portfolios, as well as $2 million in mark-to-market gain on the Elbow Creek forward power sale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100" w:type="dxa"/>
            <w:vAlign w:val="bottom"/>
          </w:tcPr>
          <w:p>
            <w:pPr>
              <w:ind w:left="100"/>
              <w:spacing w:after="0"/>
              <w:rPr>
                <w:sz w:val="20"/>
                <w:szCs w:val="20"/>
                <w:color w:val="auto"/>
              </w:rPr>
            </w:pPr>
            <w:r>
              <w:rPr>
                <w:rFonts w:ascii="Arial" w:cs="Arial" w:eastAsia="Arial" w:hAnsi="Arial"/>
                <w:sz w:val="18"/>
                <w:szCs w:val="18"/>
                <w:color w:val="auto"/>
              </w:rPr>
              <w:t>contract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-539750</wp:posOffset>
            </wp:positionV>
            <wp:extent cx="709803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0</wp:posOffset>
            </wp:positionV>
            <wp:extent cx="7098030"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jc w:val="right"/>
        <w:ind w:right="360"/>
        <w:spacing w:after="0" w:line="188" w:lineRule="auto"/>
        <w:rPr>
          <w:sz w:val="20"/>
          <w:szCs w:val="20"/>
          <w:color w:val="auto"/>
        </w:rPr>
      </w:pPr>
      <w:r>
        <w:rPr>
          <w:rFonts w:ascii="Arial" w:cs="Arial" w:eastAsia="Arial" w:hAnsi="Arial"/>
          <w:sz w:val="18"/>
          <w:szCs w:val="18"/>
          <w:color w:val="auto"/>
        </w:rPr>
        <w:t>Increase of $2 million due to the Duquesne University District Energy System which was acquired on May 1,</w:t>
      </w:r>
    </w:p>
    <w:p>
      <w:pPr>
        <w:spacing w:after="0" w:line="12" w:lineRule="exact"/>
        <w:rPr>
          <w:sz w:val="20"/>
          <w:szCs w:val="20"/>
          <w:color w:val="auto"/>
        </w:rPr>
      </w:pPr>
    </w:p>
    <w:p>
      <w:pPr>
        <w:ind w:left="1140" w:hanging="267"/>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2019, offset by a decrease due to the sale of the Energy Center Dover on March 2, 2020</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7200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7200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-147320</wp:posOffset>
            </wp:positionV>
            <wp:extent cx="7200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60" w:space="640"/>
            <w:col w:w="9540"/>
          </w:cols>
          <w:pgMar w:left="320" w:top="1192"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Depreciation, amortization and accretion expense increased by $17 million during the three months ended March 31, 2020, compared to the same period in 2019, primarily due to depreciation expense increase of $8 million in the Renewables segment and $8 million in the Conventional segment. The increase in the Renewables segment was driven by the completion of the repowering activities at Elbow Creek and Wildorado projects in the fourth quarter of 2019 and first quarter of 2020, respectively, as well as the Oahu and Kawailoa solar facilities reaching COD in the second half of 2019. The increase in depreciation expense in the Conventional segment was due to the Carlsbad Energy Center acquisition in December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Equity in earnings of unconsolidated affiliates decreased by $16 million during the three months ended March 31, 2020, compared to the same period in 2019, driven by lower income allocated to the Company's interests in DGPV Holdco 3, partially offset by higher income allocated to the Company's interests in RPV Holdco. Losses for DGPV Holdco 3 were primarily driven by an increase in derivative interest expense, due to the change in LIBOR, for the three months ended March 31, 2020 compared to the three months ended March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loss on debt extinguishment of $3 million for the three months ended March 31, 2020, which primarily relates to the redemption of the 2024 Senior Notes. On January 3, 2020, the Company redeemed the remaining $88 million outstanding of 2024 Senior Notes at a premium of 102.7% and as a result, it recorded a loss on extinguishment in the amount of $3 million, which also included the write off of previously deferred financing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increased by $66 million during the three months ended March 31, 2020, compared to the same period in 2019, due to the following:</w:t>
      </w: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(Increase) Decrease</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80" w:type="dxa"/>
            <w:vAlign w:val="bottom"/>
            <w:shd w:val="clear" w:color="auto" w:fill="BFE4FF"/>
          </w:tcPr>
          <w:p>
            <w:pPr>
              <w:ind w:left="340"/>
              <w:spacing w:after="0"/>
              <w:rPr>
                <w:sz w:val="20"/>
                <w:szCs w:val="20"/>
                <w:color w:val="auto"/>
              </w:rPr>
            </w:pPr>
            <w:r>
              <w:rPr>
                <w:rFonts w:ascii="Arial" w:cs="Arial" w:eastAsia="Arial" w:hAnsi="Arial"/>
                <w:sz w:val="18"/>
                <w:szCs w:val="18"/>
                <w:color w:val="auto"/>
              </w:rPr>
              <w:t>Change in fair value of interest rate swaps</w:t>
            </w:r>
          </w:p>
        </w:tc>
        <w:tc>
          <w:tcPr>
            <w:tcW w:w="660" w:type="dxa"/>
            <w:vAlign w:val="bottom"/>
            <w:shd w:val="clear" w:color="auto" w:fill="BFE4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5"/>
        </w:trPr>
        <w:tc>
          <w:tcPr>
            <w:tcW w:w="9080" w:type="dxa"/>
            <w:vAlign w:val="bottom"/>
          </w:tcPr>
          <w:p>
            <w:pPr>
              <w:ind w:left="340"/>
              <w:spacing w:after="0" w:line="176" w:lineRule="exact"/>
              <w:rPr>
                <w:sz w:val="20"/>
                <w:szCs w:val="20"/>
                <w:color w:val="auto"/>
              </w:rPr>
            </w:pPr>
            <w:r>
              <w:rPr>
                <w:rFonts w:ascii="Arial" w:cs="Arial" w:eastAsia="Arial" w:hAnsi="Arial"/>
                <w:sz w:val="18"/>
                <w:szCs w:val="18"/>
                <w:color w:val="auto"/>
                <w:w w:val="95"/>
              </w:rPr>
              <w:t>Additional interest expense of $9 million in the Conventional segment, primarily due to the Carlsbad Energy Center</w:t>
            </w: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80" w:type="dxa"/>
            <w:vAlign w:val="bottom"/>
          </w:tcPr>
          <w:p>
            <w:pPr>
              <w:spacing w:after="0" w:line="176" w:lineRule="exact"/>
              <w:rPr>
                <w:sz w:val="20"/>
                <w:szCs w:val="20"/>
                <w:color w:val="auto"/>
              </w:rPr>
            </w:pPr>
            <w:r>
              <w:rPr>
                <w:rFonts w:ascii="Arial" w:cs="Arial" w:eastAsia="Arial" w:hAnsi="Arial"/>
                <w:sz w:val="18"/>
                <w:szCs w:val="18"/>
                <w:color w:val="auto"/>
                <w:w w:val="95"/>
              </w:rPr>
              <w:t>acquisition on December 5, 2019, which was partially offset by lower interest expense due to lower principal balances of</w:t>
            </w:r>
          </w:p>
        </w:tc>
        <w:tc>
          <w:tcPr>
            <w:tcW w:w="66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080" w:type="dxa"/>
            <w:vAlign w:val="bottom"/>
            <w:tcBorders>
              <w:bottom w:val="single" w:sz="8" w:color="BFE4FF"/>
            </w:tcBorders>
          </w:tcPr>
          <w:p>
            <w:pPr>
              <w:spacing w:after="0"/>
              <w:rPr>
                <w:sz w:val="20"/>
                <w:szCs w:val="20"/>
                <w:color w:val="auto"/>
              </w:rPr>
            </w:pPr>
            <w:r>
              <w:rPr>
                <w:rFonts w:ascii="Arial" w:cs="Arial" w:eastAsia="Arial" w:hAnsi="Arial"/>
                <w:sz w:val="18"/>
                <w:szCs w:val="18"/>
                <w:color w:val="auto"/>
              </w:rPr>
              <w:t>project level debt in the remainder of the portfolio</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9080" w:type="dxa"/>
            <w:vAlign w:val="bottom"/>
            <w:tcBorders>
              <w:bottom w:val="single" w:sz="8" w:color="BFE4FF"/>
            </w:tcBorders>
            <w:shd w:val="clear" w:color="auto" w:fill="BFE4FF"/>
          </w:tcPr>
          <w:p>
            <w:pPr>
              <w:spacing w:after="0"/>
              <w:rPr>
                <w:sz w:val="24"/>
                <w:szCs w:val="24"/>
                <w:color w:val="auto"/>
              </w:rPr>
            </w:pPr>
          </w:p>
        </w:tc>
        <w:tc>
          <w:tcPr>
            <w:tcW w:w="660" w:type="dxa"/>
            <w:vAlign w:val="bottom"/>
            <w:tcBorders>
              <w:bottom w:val="single" w:sz="8" w:color="BFE4FF"/>
            </w:tcBorders>
            <w:shd w:val="clear" w:color="auto" w:fill="BFE4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9080" w:type="dxa"/>
            <w:vAlign w:val="bottom"/>
            <w:tcBorders>
              <w:top w:val="single" w:sz="8" w:color="BFE4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March 31, 2020, the Company recorded an income tax benefit of $22 million on a pretax loss of $129 million. For the same period in 2019, the Company recorded an income tax benefit of $7 million on a pretax loss of $54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45" w:name="page46"/>
    <w:bookmarkEnd w:id="45"/>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2020 the overall effective tax rate was different than the statutory rate of 21% primarily due to taxable earnings and losses allocated to partners' interests in Clearway Energy LLC, which includes the effects of applying HLBV method of accounting for book purposes for certain partnerships.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March 31, 2019, the overall effective tax rate was different than the statutory rate of 21% primarily due to production and investment tax credits generated from certain wind and solar assets, as well as taxable earnings and losses allocated to partners' interest in Clearway Energy LLC, which includes the effects of applying the HLBV method of accounting for book purposes for certain partnerships.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the three months ended March 31, 2020, the Company had a loss of $39 million attributable to CEG's economic interest in Clearway Energy LLC, partially offset by income of $6 million attributable to CEG's interests in the Kawailoa, Oahu and Repowering partnerships. The Company also recorded $43 million of loss attributable to tax equity noncontrolling interests due to the application of the HLBV method, which was primarily driven by tax losses for depreciation allocated to tax equity investors for the Repowering project, as well as $2 million of loss attributable to a third party's interest in Kawailoa partnership. For the three months ended March 31, 2019, the Company had a loss of $23 million attributable to CEG's economic interest in Clearway Energy LLC and Repowering Partnership LLC. Additionally, for the three months ended March 31, 2019, the Company had a loss of $4 million attributable to noncontrolling interests with respect to its tax equity financing arrangements and the application of the HLBV method.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xml:space="preserve"> and </w:t>
      </w:r>
      <w:r>
        <w:rPr>
          <w:rFonts w:ascii="Arial" w:cs="Arial" w:eastAsia="Arial" w:hAnsi="Arial"/>
          <w:sz w:val="18"/>
          <w:szCs w:val="18"/>
          <w:color w:val="000000"/>
        </w:rPr>
        <w:t>December 31, 2019</w:t>
      </w:r>
      <w:r>
        <w:rPr>
          <w:rFonts w:ascii="Arial" w:cs="Arial" w:eastAsia="Arial" w:hAnsi="Arial"/>
          <w:sz w:val="18"/>
          <w:szCs w:val="18"/>
          <w:color w:val="231F20"/>
        </w:rPr>
        <w:t>, the Company's liquidity was approximately $633 million and $</w:t>
      </w:r>
      <w:r>
        <w:rPr>
          <w:rFonts w:ascii="Arial" w:cs="Arial" w:eastAsia="Arial" w:hAnsi="Arial"/>
          <w:sz w:val="18"/>
          <w:szCs w:val="18"/>
          <w:color w:val="000000"/>
        </w:rPr>
        <w:t>842</w:t>
      </w:r>
      <w:r>
        <w:rPr>
          <w:rFonts w:ascii="Arial" w:cs="Arial" w:eastAsia="Arial" w:hAnsi="Arial"/>
          <w:sz w:val="18"/>
          <w:szCs w:val="18"/>
          <w:color w:val="231F20"/>
        </w:rPr>
        <w:t xml:space="preserve"> million, respectively, comprised of cash, restricted cash and availability under the Company's revolving credit facility.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 2019</w:t>
            </w:r>
          </w:p>
        </w:tc>
      </w:tr>
      <w:tr>
        <w:trPr>
          <w:trHeight w:val="236"/>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Clearway Energy, Inc. and Clearway Energy LLC, excluding subsidiaries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30</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accounts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Reserves, including debt service, distributions, performance obligations and other reserves</w:t>
            </w:r>
          </w:p>
        </w:tc>
        <w:tc>
          <w:tcPr>
            <w:tcW w:w="26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133</w:t>
            </w:r>
          </w:p>
        </w:tc>
      </w:tr>
      <w:tr>
        <w:trPr>
          <w:trHeight w:val="27"/>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417</w:t>
            </w:r>
          </w:p>
        </w:tc>
      </w:tr>
      <w:tr>
        <w:trPr>
          <w:trHeight w:val="237"/>
        </w:trPr>
        <w:tc>
          <w:tcPr>
            <w:tcW w:w="7580" w:type="dxa"/>
            <w:vAlign w:val="bottom"/>
          </w:tcPr>
          <w:p>
            <w:pPr>
              <w:ind w:left="100"/>
              <w:spacing w:after="0"/>
              <w:rPr>
                <w:sz w:val="20"/>
                <w:szCs w:val="20"/>
                <w:color w:val="auto"/>
              </w:rPr>
            </w:pPr>
            <w:r>
              <w:rPr>
                <w:rFonts w:ascii="Arial" w:cs="Arial" w:eastAsia="Arial" w:hAnsi="Arial"/>
                <w:sz w:val="18"/>
                <w:szCs w:val="18"/>
                <w:color w:val="auto"/>
              </w:rPr>
              <w:t>Revolving credit facility availability</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425</w:t>
            </w:r>
          </w:p>
        </w:tc>
      </w:tr>
      <w:tr>
        <w:trPr>
          <w:trHeight w:val="27"/>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842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231F20"/>
        </w:rPr>
        <w:t xml:space="preserve">The Company's liquidity includes </w:t>
      </w:r>
      <w:r>
        <w:rPr>
          <w:rFonts w:ascii="Arial" w:cs="Arial" w:eastAsia="Arial" w:hAnsi="Arial"/>
          <w:sz w:val="17"/>
          <w:szCs w:val="17"/>
          <w:color w:val="000000"/>
        </w:rPr>
        <w:t>$270 million</w:t>
      </w:r>
      <w:r>
        <w:rPr>
          <w:rFonts w:ascii="Arial" w:cs="Arial" w:eastAsia="Arial" w:hAnsi="Arial"/>
          <w:sz w:val="17"/>
          <w:szCs w:val="17"/>
          <w:color w:val="231F20"/>
        </w:rPr>
        <w:t xml:space="preserve"> and $262 million of restricted cash balances as of March 31, 2020 and December 31, </w:t>
      </w:r>
      <w:r>
        <w:rPr>
          <w:rFonts w:ascii="Arial" w:cs="Arial" w:eastAsia="Arial" w:hAnsi="Arial"/>
          <w:sz w:val="17"/>
          <w:szCs w:val="17"/>
          <w:color w:val="000000"/>
        </w:rPr>
        <w:t>2019</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7"/>
          <w:szCs w:val="17"/>
          <w:color w:val="000000"/>
        </w:rPr>
        <w:t>March 31, 2020, these restricted funds were comprised of $111 million designated to fund operating expenses,</w:t>
      </w:r>
      <w:r>
        <w:rPr>
          <w:rFonts w:ascii="Arial" w:cs="Arial" w:eastAsia="Arial" w:hAnsi="Arial"/>
          <w:sz w:val="17"/>
          <w:szCs w:val="17"/>
          <w:color w:val="231F20"/>
        </w:rPr>
        <w:t xml:space="preserve"> </w:t>
      </w:r>
      <w:r>
        <w:rPr>
          <w:rFonts w:ascii="Arial" w:cs="Arial" w:eastAsia="Arial" w:hAnsi="Arial"/>
          <w:sz w:val="17"/>
          <w:szCs w:val="17"/>
          <w:color w:val="000000"/>
        </w:rPr>
        <w:t>approximately $35 million designated for current debt service payments, and $46 million restricted for reserves including debt service, performance obligations and other reserves, as well as capital expenditures. The remaining $78 million is held in distribution reserve accounts, of which $68 million related to subsidiaries affected by the PG&amp;E Bankruptcy as discussed further below and may not be distributed during the pendency of the bankruptcy. Such subsidiaries had a total of $174 million in restricted cash as of March 31, 2020.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ind w:left="420"/>
        <w:spacing w:after="0"/>
        <w:rPr>
          <w:sz w:val="20"/>
          <w:szCs w:val="20"/>
          <w:color w:val="auto"/>
        </w:rPr>
      </w:pPr>
      <w:r>
        <w:rPr>
          <w:rFonts w:ascii="Arial" w:cs="Arial" w:eastAsia="Arial" w:hAnsi="Arial"/>
          <w:sz w:val="16"/>
          <w:szCs w:val="16"/>
          <w:color w:val="231F20"/>
        </w:rPr>
        <w:t xml:space="preserve">The Company had $180 million outstanding under the revolving credit facility and $62 million in letters of credit outstanding as of </w:t>
      </w:r>
      <w:r>
        <w:rPr>
          <w:rFonts w:ascii="Arial" w:cs="Arial" w:eastAsia="Arial" w:hAnsi="Arial"/>
          <w:sz w:val="16"/>
          <w:szCs w:val="16"/>
          <w:color w:val="000000"/>
        </w:rPr>
        <w:t>March 31, 2020</w:t>
      </w:r>
      <w:r>
        <w:rPr>
          <w:rFonts w:ascii="Arial" w:cs="Arial" w:eastAsia="Arial" w:hAnsi="Arial"/>
          <w:sz w:val="16"/>
          <w:szCs w:val="16"/>
          <w:color w:val="231F20"/>
        </w:rPr>
        <w:t>.</w:t>
      </w:r>
    </w:p>
    <w:p>
      <w:pPr>
        <w:spacing w:after="0" w:line="19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2019, PG&amp;E, one of the Company's largest customers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is an event of default under the related financing agreements which caused uncertainty around the timing of when certain project-level cash distributions will be available to the Company. As of March 31, 2020, all project level cash balances for these subsidiaries were classified as restricted cash.</w:t>
      </w:r>
    </w:p>
    <w:p>
      <w:pPr>
        <w:spacing w:after="0" w:line="12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Ratings</w:t>
      </w:r>
    </w:p>
    <w:p>
      <w:pPr>
        <w:spacing w:after="0" w:line="2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March 31,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Borders>
              <w:bottom w:val="single" w:sz="8" w:color="CCEEFF"/>
            </w:tcBorders>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249"/>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5.75% Senior Notes, due 2025</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7"/>
        </w:trPr>
        <w:tc>
          <w:tcPr>
            <w:tcW w:w="60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5.000%</w:t>
            </w:r>
          </w:p>
        </w:tc>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4.750%</w:t>
            </w:r>
          </w:p>
        </w:tc>
        <w:tc>
          <w:tcPr>
            <w:tcW w:w="7540" w:type="dxa"/>
            <w:vAlign w:val="bottom"/>
          </w:tcPr>
          <w:p>
            <w:pPr>
              <w:ind w:left="20"/>
              <w:spacing w:after="0"/>
              <w:rPr>
                <w:sz w:val="20"/>
                <w:szCs w:val="20"/>
                <w:color w:val="auto"/>
              </w:rPr>
            </w:pPr>
            <w:r>
              <w:rPr>
                <w:rFonts w:ascii="Arial" w:cs="Arial" w:eastAsia="Arial" w:hAnsi="Arial"/>
                <w:sz w:val="18"/>
                <w:szCs w:val="18"/>
                <w:color w:val="auto"/>
              </w:rPr>
              <w:t>Senior Notes, due 2028 .</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Note 7, </w:t>
      </w:r>
      <w:r>
        <w:rPr>
          <w:rFonts w:ascii="Arial" w:cs="Arial" w:eastAsia="Arial" w:hAnsi="Arial"/>
          <w:sz w:val="17"/>
          <w:szCs w:val="17"/>
          <w:i w:val="1"/>
          <w:iCs w:val="1"/>
          <w:color w:val="231F20"/>
        </w:rPr>
        <w:t>Long-term Debt</w:t>
      </w:r>
      <w:r>
        <w:rPr>
          <w:rFonts w:ascii="Arial" w:cs="Arial" w:eastAsia="Arial" w:hAnsi="Arial"/>
          <w:sz w:val="17"/>
          <w:szCs w:val="17"/>
          <w:color w:val="231F20"/>
        </w:rPr>
        <w:t>, to this Form 10-Q and Note 10, Long-term Debt, to the consolidated financial statements included in the Company's 2019 Form 10-K, the Company's financing arrangements consist corporate level debt, which includes Senior Notes, Convertible Notes and the revolving credit facility; the ATM Program; and project-level financings for its various assets.</w:t>
      </w:r>
    </w:p>
    <w:p>
      <w:pPr>
        <w:spacing w:after="0" w:line="109"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i w:val="1"/>
          <w:iCs w:val="1"/>
          <w:color w:val="231F20"/>
        </w:rPr>
        <w:t xml:space="preserve">Revolving Credit Facility </w:t>
      </w:r>
      <w:r>
        <w:rPr>
          <w:rFonts w:ascii="Arial" w:cs="Arial" w:eastAsia="Arial" w:hAnsi="Arial"/>
          <w:sz w:val="18"/>
          <w:szCs w:val="18"/>
          <w:color w:val="231F20"/>
        </w:rPr>
        <w:t>— The Company has a total of $246 million available under the revolving credit facility as of March 31, 2020. The facility</w:t>
      </w:r>
      <w:r>
        <w:rPr>
          <w:rFonts w:ascii="Arial" w:cs="Arial" w:eastAsia="Arial" w:hAnsi="Arial"/>
          <w:sz w:val="18"/>
          <w:szCs w:val="18"/>
          <w:i w:val="1"/>
          <w:iCs w:val="1"/>
          <w:color w:val="231F20"/>
        </w:rPr>
        <w:t xml:space="preserve"> </w:t>
      </w:r>
      <w:r>
        <w:rPr>
          <w:rFonts w:ascii="Arial" w:cs="Arial" w:eastAsia="Arial" w:hAnsi="Arial"/>
          <w:sz w:val="18"/>
          <w:szCs w:val="18"/>
          <w:color w:val="231F20"/>
        </w:rPr>
        <w:t>will continue to be used for general corporate purposes including financing of future acquisitions and posting letters of credit.</w:t>
      </w:r>
    </w:p>
    <w:p>
      <w:pPr>
        <w:spacing w:after="0" w:line="121"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i w:val="1"/>
          <w:iCs w:val="1"/>
          <w:color w:val="auto"/>
        </w:rPr>
        <w:t xml:space="preserve">ATM Sales </w:t>
      </w:r>
      <w:r>
        <w:rPr>
          <w:rFonts w:ascii="Arial" w:cs="Arial" w:eastAsia="Arial" w:hAnsi="Arial"/>
          <w:sz w:val="18"/>
          <w:szCs w:val="18"/>
          <w:color w:val="auto"/>
        </w:rPr>
        <w:t>— During the quarter ended March 31, 2020, Clearway Energy, Inc. issued and sold 478,384 shares of Class C common stock for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$10,245,070. As of March 31, 2020, approximately $26 million of Class C common stock remains available for issuance under the ATM Program.</w:t>
      </w:r>
    </w:p>
    <w:p>
      <w:pPr>
        <w:spacing w:after="0" w:line="13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Thermal LLC, sold 100% of</w:t>
      </w:r>
      <w:r>
        <w:rPr>
          <w:rFonts w:ascii="Arial" w:cs="Arial" w:eastAsia="Arial" w:hAnsi="Arial"/>
          <w:sz w:val="18"/>
          <w:szCs w:val="18"/>
          <w:i w:val="1"/>
          <w:iCs w:val="1"/>
          <w:color w:val="auto"/>
        </w:rPr>
        <w:t xml:space="preserve"> </w:t>
      </w:r>
      <w:r>
        <w:rPr>
          <w:rFonts w:ascii="Arial" w:cs="Arial" w:eastAsia="Arial" w:hAnsi="Arial"/>
          <w:sz w:val="18"/>
          <w:szCs w:val="18"/>
          <w:color w:val="auto"/>
        </w:rPr>
        <w:t>its interests in Energy Center Dover LLC and Energy Center Smyrna LLC to DB Energy Assets, LLC.</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cash dividends to investors.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For the three months ended </w:t>
      </w:r>
      <w:r>
        <w:rPr>
          <w:rFonts w:ascii="Arial" w:cs="Arial" w:eastAsia="Arial" w:hAnsi="Arial"/>
          <w:sz w:val="18"/>
          <w:szCs w:val="18"/>
          <w:color w:val="000000"/>
        </w:rPr>
        <w:t>March 31, 2020</w:t>
      </w:r>
      <w:r>
        <w:rPr>
          <w:rFonts w:ascii="Arial" w:cs="Arial" w:eastAsia="Arial" w:hAnsi="Arial"/>
          <w:sz w:val="18"/>
          <w:szCs w:val="18"/>
          <w:color w:val="231F20"/>
        </w:rPr>
        <w:t xml:space="preserve">, the Company used approximately $40 million to fund capital expenditures, including growth </w:t>
      </w:r>
      <w:r>
        <w:rPr>
          <w:rFonts w:ascii="Arial" w:cs="Arial" w:eastAsia="Arial" w:hAnsi="Arial"/>
          <w:sz w:val="18"/>
          <w:szCs w:val="18"/>
          <w:color w:val="000000"/>
        </w:rPr>
        <w:t xml:space="preserve">expenditures of $32 million, $24 million of which were incurred in connection with the repowering of the Elbow Creek and Wildorado facilities completed in the first quarter of 2020, as well as $3 million in connection with Oahu and Kawailoa Partnerships. The Company also incurred $2 million of growth capital expenditures in the Thermal segment in connection with various development projects. </w:t>
      </w:r>
      <w:r>
        <w:rPr>
          <w:rFonts w:ascii="Arial" w:cs="Arial" w:eastAsia="Arial" w:hAnsi="Arial"/>
          <w:sz w:val="18"/>
          <w:szCs w:val="18"/>
          <w:color w:val="231F20"/>
        </w:rPr>
        <w:t>For the three months ended March 31, 2019, the Company</w:t>
      </w:r>
      <w:r>
        <w:rPr>
          <w:rFonts w:ascii="Arial" w:cs="Arial" w:eastAsia="Arial" w:hAnsi="Arial"/>
          <w:sz w:val="18"/>
          <w:szCs w:val="18"/>
          <w:color w:val="000000"/>
        </w:rPr>
        <w:t xml:space="preserve"> </w:t>
      </w:r>
      <w:r>
        <w:rPr>
          <w:rFonts w:ascii="Arial" w:cs="Arial" w:eastAsia="Arial" w:hAnsi="Arial"/>
          <w:sz w:val="18"/>
          <w:szCs w:val="18"/>
          <w:color w:val="231F20"/>
        </w:rPr>
        <w:t>used approximately $16 million to fund capital expenditures, including growth expenditures of $12 million, primarily in the Renewables segment in connection with the Oahu Partnership entered by the Company on March 8, 2019, and to a lesser extent in the Thermal segment in connection with the Mylan development project.</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estimates $32 million of maintenance expenditures for 2020. These estimates are subject to continuing review and adjustment. Actual capital expenditures may vary from these estimates.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April 2020 Drop Down</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April 17, 2020, the Company entered into binding agreements to acquire and invest in a portfolio of the following projects: (i) 100% of the equity interests in Rattlesnake Flat, LLC, which owns the Rattlesnake Wind Project, a 144 net MW wind facility located in Adams County, WA; (ii) CEG's interest in Repowering Partnership II LLC (Repowering 1.0), which would give the Company a 100% equity interest in Repowering 1.0; and (iii) a new partnership with CEG to repower the Pinnacle Wind Project, a 55 net MW wind facility located in Mineral County, WV. The Company expects to invest approximately $241 million in corporate capital subject to closing adjustments for the above mentioned transactions.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2020, the Company invested $7 million in distributed generation partnerships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Clearway Energy, Inc.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w:t>
      </w:r>
      <w:r>
        <w:rPr>
          <w:rFonts w:ascii="Arial" w:cs="Arial" w:eastAsia="Arial" w:hAnsi="Arial"/>
          <w:sz w:val="16"/>
          <w:szCs w:val="16"/>
          <w:color w:val="000000"/>
        </w:rPr>
        <w:t>he Class A common stock and Class C common stock are subject to</w:t>
      </w:r>
      <w:r>
        <w:rPr>
          <w:rFonts w:ascii="Arial" w:cs="Arial" w:eastAsia="Arial" w:hAnsi="Arial"/>
          <w:sz w:val="16"/>
          <w:szCs w:val="16"/>
          <w:color w:val="231F20"/>
        </w:rPr>
        <w:t xml:space="preserve"> </w:t>
      </w:r>
      <w:r>
        <w:rPr>
          <w:rFonts w:ascii="Arial" w:cs="Arial" w:eastAsia="Arial" w:hAnsi="Arial"/>
          <w:sz w:val="16"/>
          <w:szCs w:val="16"/>
          <w:color w:val="000000"/>
        </w:rPr>
        <w:t>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lists the dividends paid on Clearway Energy, Inc.'s Class A common stock and Class C common stock during the three months ended March 31, 2020:</w:t>
      </w:r>
    </w:p>
    <w:p>
      <w:pPr>
        <w:spacing w:after="0" w:line="14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7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Class A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0.21</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Dividends per Class C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0.21</w:t>
            </w:r>
          </w:p>
        </w:tc>
      </w:tr>
    </w:tbl>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30, 2020, the Company declared quarterly dividends on its Class A common stock and Class C common stock of $0.21 per share payable on June 15, 2020, to stockholders of record as of June 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reflects the changes in cash flows for the three months ended March 31, 2020, compared to the three months ended March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1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80" w:type="dxa"/>
            <w:vAlign w:val="bottom"/>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operating income adjusted for non-cash items</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60" w:type="dxa"/>
            <w:vAlign w:val="bottom"/>
            <w:gridSpan w:val="6"/>
          </w:tcPr>
          <w:p>
            <w:pPr>
              <w:ind w:left="180"/>
              <w:spacing w:after="0"/>
              <w:rPr>
                <w:sz w:val="20"/>
                <w:szCs w:val="20"/>
                <w:color w:val="auto"/>
              </w:rPr>
            </w:pPr>
            <w:r>
              <w:rPr>
                <w:rFonts w:ascii="Arial" w:cs="Arial" w:eastAsia="Arial" w:hAnsi="Arial"/>
                <w:sz w:val="18"/>
                <w:szCs w:val="18"/>
                <w:color w:val="auto"/>
                <w:w w:val="98"/>
              </w:rPr>
              <w:t>Increase in working capital driven primarily by the timing of accounts receivable collections and payment of accounts payable</w:t>
            </w:r>
          </w:p>
        </w:tc>
        <w:tc>
          <w:tcPr>
            <w:tcW w:w="22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net distributions in 2020 compared to 2019</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80" w:type="dxa"/>
            <w:vAlign w:val="bottom"/>
          </w:tcPr>
          <w:p>
            <w:pPr>
              <w:ind w:left="20"/>
              <w:spacing w:after="0"/>
              <w:rPr>
                <w:sz w:val="20"/>
                <w:szCs w:val="20"/>
                <w:color w:val="auto"/>
              </w:rPr>
            </w:pPr>
            <w:r>
              <w:rPr>
                <w:rFonts w:ascii="Arial" w:cs="Arial" w:eastAsia="Arial" w:hAnsi="Arial"/>
                <w:sz w:val="18"/>
                <w:szCs w:val="18"/>
                <w:color w:val="auto"/>
              </w:rPr>
              <w:t>Changes to net cash used in investing activities were driven by:</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6"/>
        </w:trPr>
        <w:tc>
          <w:tcPr>
            <w:tcW w:w="9960" w:type="dxa"/>
            <w:vAlign w:val="bottom"/>
            <w:gridSpan w:val="6"/>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Increase in growth capital expenditures in the Renewables segment driven primarily by the final repowering costs at Elbow Creek and</w:t>
            </w:r>
          </w:p>
        </w:tc>
        <w:tc>
          <w:tcPr>
            <w:tcW w:w="220" w:type="dxa"/>
            <w:vAlign w:val="bottom"/>
            <w:vMerge w:val="restart"/>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Wildorado, as well as the final construction costs for Oahu and Kawailoa projects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180"/>
              <w:spacing w:after="0"/>
              <w:rPr>
                <w:sz w:val="20"/>
                <w:szCs w:val="20"/>
                <w:color w:val="auto"/>
              </w:rPr>
            </w:pPr>
            <w:r>
              <w:rPr>
                <w:rFonts w:ascii="Arial" w:cs="Arial" w:eastAsia="Arial" w:hAnsi="Arial"/>
                <w:sz w:val="18"/>
                <w:szCs w:val="18"/>
                <w:color w:val="auto"/>
              </w:rPr>
              <w:t>Buy out of the existing tax equity partner of Wind TE Holdco on January 1, 2019.</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assets in the Thermal segment</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960" w:type="dxa"/>
            <w:vAlign w:val="bottom"/>
            <w:gridSpan w:val="6"/>
          </w:tcPr>
          <w:p>
            <w:pPr>
              <w:ind w:left="180"/>
              <w:spacing w:after="0" w:line="176" w:lineRule="exact"/>
              <w:rPr>
                <w:sz w:val="20"/>
                <w:szCs w:val="20"/>
                <w:color w:val="auto"/>
              </w:rPr>
            </w:pPr>
            <w:r>
              <w:rPr>
                <w:rFonts w:ascii="Arial" w:cs="Arial" w:eastAsia="Arial" w:hAnsi="Arial"/>
                <w:sz w:val="18"/>
                <w:szCs w:val="18"/>
                <w:color w:val="auto"/>
                <w:w w:val="95"/>
              </w:rPr>
              <w:t>Increase in investments in unconsolidated affiliates in 2020 primarily in the distributed generation combined with lower returns of</w:t>
            </w:r>
          </w:p>
        </w:tc>
        <w:tc>
          <w:tcPr>
            <w:tcW w:w="220" w:type="dxa"/>
            <w:vAlign w:val="bottom"/>
          </w:tcPr>
          <w:p>
            <w:pPr>
              <w:spacing w:after="0"/>
              <w:rPr>
                <w:sz w:val="15"/>
                <w:szCs w:val="15"/>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investment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Partial payment to acquire the Class A interests in the Oahu Partnership and Kawailoa Partnership in 2019</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ectPr>
          <w:pgSz w:w="11900" w:h="16838" w:orient="portrait"/>
          <w:cols w:equalWidth="0" w:num="1">
            <w:col w:w="11240"/>
          </w:cols>
          <w:pgMar w:left="320" w:top="891" w:right="33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borrowings under the revolving line of credit in the first quarter ended March 31, 2020</w:t>
      </w:r>
    </w:p>
    <w:p>
      <w:pPr>
        <w:spacing w:after="0" w:line="23" w:lineRule="exact"/>
        <w:rPr>
          <w:sz w:val="20"/>
          <w:szCs w:val="20"/>
          <w:color w:val="auto"/>
        </w:rPr>
      </w:pPr>
    </w:p>
    <w:p>
      <w:pPr>
        <w:ind w:left="20" w:right="460" w:firstLine="162"/>
        <w:spacing w:after="0" w:line="234" w:lineRule="auto"/>
        <w:rPr>
          <w:sz w:val="20"/>
          <w:szCs w:val="20"/>
          <w:color w:val="auto"/>
        </w:rPr>
      </w:pPr>
      <w:r>
        <w:rPr>
          <w:rFonts w:ascii="Arial" w:cs="Arial" w:eastAsia="Arial" w:hAnsi="Arial"/>
          <w:sz w:val="18"/>
          <w:szCs w:val="18"/>
          <w:color w:val="auto"/>
        </w:rPr>
        <w:t>Higher net contributions from noncontrolling interests in 2020 compared to 2019, primarily from tax equity contributions in the Wildorado 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368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368300"/>
                    </a:xfrm>
                    <a:prstGeom prst="rect">
                      <a:avLst/>
                    </a:prstGeom>
                    <a:noFill/>
                  </pic:spPr>
                </pic:pic>
              </a:graphicData>
            </a:graphic>
          </wp:anchor>
        </w:drawing>
      </w:r>
    </w:p>
    <w:p>
      <w:pPr>
        <w:jc w:val="both"/>
        <w:ind w:left="20" w:firstLine="162"/>
        <w:spacing w:after="0" w:line="224" w:lineRule="auto"/>
        <w:rPr>
          <w:sz w:val="20"/>
          <w:szCs w:val="20"/>
          <w:color w:val="auto"/>
        </w:rPr>
      </w:pPr>
      <w:r>
        <w:rPr>
          <w:rFonts w:ascii="Arial" w:cs="Arial" w:eastAsia="Arial" w:hAnsi="Arial"/>
          <w:sz w:val="18"/>
          <w:szCs w:val="18"/>
          <w:color w:val="auto"/>
        </w:rPr>
        <w:t>Higher repayments in 2020 primarily driven by the payoff of the Repowering construction loan in the amount of $260 million, as well final redemption of Senior Notes due 2024 in the amount of $88 million, partially offset by the repayment of 2019 Convertible Notes in the amount of $220 million during the first quarter of 2019</w:t>
      </w:r>
    </w:p>
    <w:p>
      <w:pPr>
        <w:spacing w:after="0" w:line="1" w:lineRule="exact"/>
        <w:rPr>
          <w:sz w:val="20"/>
          <w:szCs w:val="20"/>
          <w:color w:val="auto"/>
        </w:rPr>
      </w:pPr>
    </w:p>
    <w:p>
      <w:pPr>
        <w:ind w:left="20" w:right="240" w:firstLine="162"/>
        <w:spacing w:after="0" w:line="234" w:lineRule="auto"/>
        <w:rPr>
          <w:sz w:val="20"/>
          <w:szCs w:val="20"/>
          <w:color w:val="auto"/>
        </w:rPr>
      </w:pPr>
      <w:r>
        <w:rPr>
          <w:rFonts w:ascii="Arial" w:cs="Arial" w:eastAsia="Arial" w:hAnsi="Arial"/>
          <w:sz w:val="18"/>
          <w:szCs w:val="18"/>
          <w:color w:val="auto"/>
        </w:rPr>
        <w:t>Higher borrowings in 2020 due to construction draws in the Repowering Partnership II LLC, partially offset by significantly lower construction draws in the Oahu solar projects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proceeds from equity issuance in 2020</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Higher dividends and distributions in 2020 compared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840" w:hanging="832"/>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180</w:t>
      </w:r>
    </w:p>
    <w:p>
      <w:pPr>
        <w:spacing w:after="0" w:line="19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135</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(133)</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27</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ind w:left="840" w:hanging="832"/>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8058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100"/>
            <w:col w:w="130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As of December 31, 2019, the Company has a cumulative federal NOL carry forward balance of $1 billion for financial statement purposes, of which $0.9 billion will begin expiring between 2033 to 2037 if unutilized. The Company does not anticipate any federal income tax payments for 2020. Additionally, as of December 31, 2019, the Company has a cumulative state NOL carryforward balance of $649 million for financial statement purposes, which will expire between 2023 to 2039 if unutilized. The Company does not anticipate significant income tax payments for state and local jurisdictions in 2020.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after 2017 or later subject to an 80% limitation against future taxable income pursuant to the Tax Act.</w:t>
      </w:r>
    </w:p>
    <w:p>
      <w:pPr>
        <w:spacing w:after="0" w:line="1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the Company has an interest disallowance carry forward of $219 million as a result of the proposed §163(j) regulation, which was enacted as part of the Tax Cut and Jobs Act. The disallowed interest deduction has an indefinite carry forward period and any limitations on the utilization of this carry forward have been factored into our valuation allowance analysis. These are proposed regulations which are not final and are subject to change in the regulatory review process.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27, 2020 the Coronavirus Aid, Relief, and Economic Security (CARES) Act (the "Act") was signed into law, which includes modifications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business interest expense disallowance and net operating loss provisions. While the Company expects to utilize previously disallowed interest expense during 2020 as a result of the modifications, the Company does not expect the Act to have a material impact on the consolidated financial statements. The Company will continue to assess the effects of the Act and ongoing government guidance related to COVID-19 that may be issued.</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jurisdiction and various state jurisdictions. The Company is not subject to U.S. federal or state income tax examinations for years prior to 2013. The Company has no uncertain tax benefits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2020, the Company has several investments with an ownership interest percentage of 50%</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in energy and energy-related entities that are accounted for under the equity method. DGPV Holdco 1 LLC</w:t>
      </w:r>
      <w:r>
        <w:rPr>
          <w:rFonts w:ascii="Arial" w:cs="Arial" w:eastAsia="Arial" w:hAnsi="Arial"/>
          <w:sz w:val="17"/>
          <w:szCs w:val="17"/>
          <w:i w:val="1"/>
          <w:iCs w:val="1"/>
          <w:color w:val="auto"/>
        </w:rPr>
        <w:t>,</w:t>
      </w:r>
      <w:r>
        <w:rPr>
          <w:rFonts w:ascii="Arial" w:cs="Arial" w:eastAsia="Arial" w:hAnsi="Arial"/>
          <w:sz w:val="17"/>
          <w:szCs w:val="17"/>
          <w:color w:val="auto"/>
        </w:rPr>
        <w:t xml:space="preserve"> DGPV Holdco 2 LLC, DGPV Holdco 3 LLC, RPV Holdco 1 LLC and GenConn are variable interest entities for which the Company is not the primary beneficiary. The Company's pro-rata share of non-recourse debt held by unconsolidated affiliates was approximately $877 million as of March 31, 2020. The Company's pro-rata share of non-recourse debt held by unconsolidated affiliates as it related to the projects affected by PG&amp;E bankruptcy was $408 million as of March 31, 2020. This indebtedness may restrict the ability of these subsidiaries to issue dividends or distributions to the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2019 Form 10-K.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2020</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2020</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gridSpan w:val="4"/>
          </w:tcPr>
          <w:p>
            <w:pPr>
              <w:spacing w:after="0"/>
              <w:rPr>
                <w:sz w:val="20"/>
                <w:szCs w:val="20"/>
                <w:color w:val="auto"/>
              </w:rPr>
            </w:pPr>
            <w:r>
              <w:rPr>
                <w:rFonts w:ascii="Arial" w:cs="Arial" w:eastAsia="Arial" w:hAnsi="Arial"/>
                <w:sz w:val="14"/>
                <w:szCs w:val="14"/>
                <w:b w:val="1"/>
                <w:bCs w:val="1"/>
                <w:color w:val="auto"/>
              </w:rPr>
              <w:t>Derivative Activity (Losses) Gains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Fair value of contracts as of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Fair value of contracts as of March 31, 2020</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2"/>
              </w:rPr>
              <w:t>Fair value of contracts as of March 31, 2020</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Greater Than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3 Years to 5 Years</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00" w:type="dxa"/>
            <w:vAlign w:val="bottom"/>
            <w:gridSpan w:val="4"/>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495"/>
              <w:spacing w:after="0"/>
              <w:rPr>
                <w:sz w:val="20"/>
                <w:szCs w:val="20"/>
                <w:color w:val="auto"/>
              </w:rPr>
            </w:pPr>
            <w:r>
              <w:rPr>
                <w:rFonts w:ascii="Arial" w:cs="Arial" w:eastAsia="Arial" w:hAnsi="Arial"/>
                <w:sz w:val="18"/>
                <w:szCs w:val="18"/>
                <w:color w:val="auto"/>
                <w:w w:val="93"/>
              </w:rPr>
              <w:t>(38)</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Borders>
              <w:bottom w:val="single" w:sz="8" w:color="BFE4FF"/>
            </w:tcBorders>
            <w:gridSpan w:val="4"/>
            <w:shd w:val="clear" w:color="auto" w:fill="BFE4FF"/>
          </w:tcPr>
          <w:p>
            <w:pPr>
              <w:ind w:left="2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gridSpan w:val="2"/>
            <w:shd w:val="clear" w:color="auto" w:fill="BFE4FF"/>
          </w:tcPr>
          <w:p>
            <w:pPr>
              <w:jc w:val="center"/>
              <w:ind w:left="35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center"/>
              <w:ind w:left="495"/>
              <w:spacing w:after="0"/>
              <w:rPr>
                <w:sz w:val="20"/>
                <w:szCs w:val="20"/>
                <w:color w:val="auto"/>
              </w:rPr>
            </w:pPr>
            <w:r>
              <w:rPr>
                <w:rFonts w:ascii="Arial" w:cs="Arial" w:eastAsia="Arial" w:hAnsi="Arial"/>
                <w:sz w:val="18"/>
                <w:szCs w:val="18"/>
                <w:color w:val="auto"/>
                <w:w w:val="93"/>
              </w:rPr>
              <w:t>(38)</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1" w:name="page52"/>
    <w:bookmarkEnd w:id="51"/>
    <w:p>
      <w:pPr>
        <w:jc w:val="both"/>
        <w:ind w:firstLine="44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2019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2019</w:t>
      </w:r>
      <w:r>
        <w:rPr>
          <w:rFonts w:ascii="Arial" w:cs="Arial" w:eastAsia="Arial" w:hAnsi="Arial"/>
          <w:sz w:val="17"/>
          <w:szCs w:val="17"/>
          <w:color w:val="231F20"/>
        </w:rPr>
        <w:t xml:space="preserve"> </w:t>
      </w:r>
      <w:r>
        <w:rPr>
          <w:rFonts w:ascii="Arial" w:cs="Arial" w:eastAsia="Arial" w:hAnsi="Arial"/>
          <w:sz w:val="17"/>
          <w:szCs w:val="17"/>
          <w:color w:val="000000"/>
        </w:rPr>
        <w:t xml:space="preserve">included in the 2019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March 31, 2020</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$194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2020</w:t>
      </w:r>
      <w:r>
        <w:rPr>
          <w:rFonts w:ascii="Arial" w:cs="Arial" w:eastAsia="Arial" w:hAnsi="Arial"/>
          <w:sz w:val="17"/>
          <w:szCs w:val="17"/>
          <w:color w:val="231F20"/>
        </w:rPr>
        <w:t>, a 1% change in interest rates would result in an approximately $4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xml:space="preserve">, the fair value of the Company's debt was $6,598 million and the carrying value was $6,634 million. The Company estimates that a 1% decrease in market interest rates would have increased the fair value of its long-term debt by approximately </w:t>
      </w:r>
      <w:r>
        <w:rPr>
          <w:rFonts w:ascii="Arial" w:cs="Arial" w:eastAsia="Arial" w:hAnsi="Arial"/>
          <w:sz w:val="18"/>
          <w:szCs w:val="18"/>
          <w:color w:val="000000"/>
        </w:rPr>
        <w:t>$298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8"/>
          <w:szCs w:val="18"/>
          <w:color w:val="000000"/>
        </w:rPr>
        <w:t>$1 million</w:t>
      </w:r>
      <w:r>
        <w:rPr>
          <w:rFonts w:ascii="Arial" w:cs="Arial" w:eastAsia="Arial" w:hAnsi="Arial"/>
          <w:sz w:val="18"/>
          <w:szCs w:val="18"/>
          <w:color w:val="231F20"/>
        </w:rPr>
        <w:t xml:space="preserve"> to the net value of derivatives as of </w:t>
      </w:r>
      <w:r>
        <w:rPr>
          <w:rFonts w:ascii="Arial" w:cs="Arial" w:eastAsia="Arial" w:hAnsi="Arial"/>
          <w:sz w:val="18"/>
          <w:szCs w:val="18"/>
          <w:color w:val="000000"/>
        </w:rPr>
        <w:t>March 31, 2020</w:t>
      </w:r>
      <w:r>
        <w:rPr>
          <w:rFonts w:ascii="Arial" w:cs="Arial" w:eastAsia="Arial" w:hAnsi="Arial"/>
          <w:sz w:val="18"/>
          <w:szCs w:val="18"/>
          <w:color w:val="231F20"/>
        </w:rPr>
        <w:t>. The impact of a $0.50 per MWh increase or decrease in power prices across the term of the derivatives contracts would cause a change of approximately $1 million to the net value of power derivatives as of March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March 31, 2020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For a discussion of the material legal proceedings in which the Company was involved through March 31, 2020, see Note 13, Contingencies,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2019 Form 10-K. Except as presented below, there have been no material changes in the Company's risk factors since those reported in its 2019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ongoing coronavirus (COVID-19) outbreak could adversely affect the Company’s business, financial condition and results of operations.</w:t>
      </w:r>
    </w:p>
    <w:p>
      <w:pPr>
        <w:spacing w:after="0" w:line="19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ongoing coronavirus (COVID-19) outbreak, which the World Health Organization declared as a pandemic on March 11, 2020, has reached more than 200 countries and has continued to be a rapidly evolving situation. In response, the Company has modified certain business and workforce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conform to government restrictions and best practices encouraged by governmental and regulatory authorities. However, the quarantine of personnel or the inability to access the Company’s facilities or customer sites could adversely affect the Company’s operations. Also, the Company has a limited number of highly skilled employees for some of its operations. If a large proportion of the Company’s employees in those critical positions were to contract COVID-19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w:t>
      </w:r>
    </w:p>
    <w:p>
      <w:pPr>
        <w:spacing w:after="0" w:line="13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 As a result, the Company could experience reductions in its sales and corresponding revenues in future periods. In addition, worsening economic conditions could result in the Company’s customers being unable or unwilling to fulfill their contractual obligations over time, or as contracts expire, to replace them with agreements on similar terms, which would impact the Company’s future financial performance. A significant decline in sales for the output the Company generates, whether due to decreases in consumer demand or disruption to its facilities or otherwise, would have a material adverse effect on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the effects of COVID-19 on the global economy could adversely affect the Company’s ability to access the capital and other financial markets, and if so, the Company may need to consider alternative sources of funding for some of its operations and for working capital, which may increase its cost of, as well as adversely impact its access to, capital. These uncertain economic conditions may also result in the inability of the Company’s customers and other counterparties to make payments to the Company, on a timely basis or at all, which could adversely affect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actions taken by authorities, customers, suppliers and other third parties, workforce availability and the timing and extent to which normal economic and operating conditions resume.</w:t>
      </w:r>
    </w:p>
    <w:p>
      <w:pPr>
        <w:spacing w:after="0" w:line="12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jc w:val="both"/>
        <w:ind w:firstLine="405"/>
        <w:spacing w:after="0" w:line="253" w:lineRule="auto"/>
        <w:rPr>
          <w:sz w:val="20"/>
          <w:szCs w:val="20"/>
          <w:color w:val="auto"/>
        </w:rPr>
      </w:pPr>
      <w:r>
        <w:rPr>
          <w:rFonts w:ascii="Arial" w:cs="Arial" w:eastAsia="Arial" w:hAnsi="Arial"/>
          <w:sz w:val="18"/>
          <w:szCs w:val="18"/>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in Texas within the footprint of ERCOT, or in Puerto Rico,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All of the Company's generating assets are operating either as EWGs or FUCOs as defined under the PUHCA, or as QFs as defined under the PURPA, as amended, and therefore are exempt from certain regulation under the PUHCA and the FPA. If a facility fails to maintain its status as an EWG, FUCO,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ITEM 2 — UNREGISTERED SALES OF EQUITY SECURITIES AND USE OF PROCEEDS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 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20" w:type="dxa"/>
            <w:vAlign w:val="bottom"/>
            <w:gridSpan w:val="20"/>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6"/>
                <w:szCs w:val="16"/>
                <w:color w:val="auto"/>
              </w:rPr>
              <w:t>3.1</w:t>
            </w:r>
          </w:p>
        </w:tc>
        <w:tc>
          <w:tcPr>
            <w:tcW w:w="5720" w:type="dxa"/>
            <w:vAlign w:val="bottom"/>
            <w:gridSpan w:val="20"/>
          </w:tcPr>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Amended and Restated Certificate of Incorporation of Clearway Energy, Inc.</w:t>
              </w:r>
            </w:hyperlink>
          </w:p>
        </w:tc>
        <w:tc>
          <w:tcPr>
            <w:tcW w:w="0" w:type="dxa"/>
            <w:vAlign w:val="bottom"/>
          </w:tcPr>
          <w:p>
            <w:pPr>
              <w:spacing w:after="0"/>
              <w:rPr>
                <w:sz w:val="1"/>
                <w:szCs w:val="1"/>
                <w:color w:val="auto"/>
              </w:rPr>
            </w:pPr>
          </w:p>
        </w:tc>
      </w:tr>
      <w:tr>
        <w:trPr>
          <w:trHeight w:val="411"/>
        </w:trPr>
        <w:tc>
          <w:tcPr>
            <w:tcW w:w="1000" w:type="dxa"/>
            <w:vAlign w:val="bottom"/>
          </w:tcPr>
          <w:p>
            <w:pPr>
              <w:spacing w:after="0"/>
              <w:rPr>
                <w:sz w:val="20"/>
                <w:szCs w:val="20"/>
                <w:color w:val="auto"/>
              </w:rPr>
            </w:pPr>
            <w:r>
              <w:rPr>
                <w:rFonts w:ascii="Arial" w:cs="Arial" w:eastAsia="Arial" w:hAnsi="Arial"/>
                <w:sz w:val="16"/>
                <w:szCs w:val="16"/>
                <w:color w:val="auto"/>
              </w:rPr>
              <w:t>4.1</w:t>
            </w:r>
          </w:p>
        </w:tc>
        <w:tc>
          <w:tcPr>
            <w:tcW w:w="5520" w:type="dxa"/>
            <w:vAlign w:val="bottom"/>
            <w:tcBorders>
              <w:bottom w:val="single" w:sz="8" w:color="0000FF"/>
            </w:tcBorders>
            <w:gridSpan w:val="15"/>
          </w:tcPr>
          <w:p>
            <w:pPr>
              <w:spacing w:after="0"/>
              <w:rPr>
                <w:rFonts w:ascii="Arial" w:cs="Arial" w:eastAsia="Arial" w:hAnsi="Arial"/>
                <w:sz w:val="16"/>
                <w:szCs w:val="16"/>
                <w:color w:val="0000FF"/>
                <w:w w:val="91"/>
              </w:rPr>
            </w:pPr>
            <w:hyperlink r:id="rId134">
              <w:r>
                <w:rPr>
                  <w:rFonts w:ascii="Arial" w:cs="Arial" w:eastAsia="Arial" w:hAnsi="Arial"/>
                  <w:sz w:val="16"/>
                  <w:szCs w:val="16"/>
                  <w:color w:val="0000FF"/>
                  <w:w w:val="91"/>
                </w:rPr>
                <w:t>Ninth Supplemental Indenture, dated as of January 6, 2020, among Clearway Energy</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520" w:type="dxa"/>
            <w:vAlign w:val="bottom"/>
            <w:gridSpan w:val="15"/>
          </w:tcPr>
          <w:p>
            <w:pPr>
              <w:spacing w:after="0" w:line="155" w:lineRule="exact"/>
              <w:rPr>
                <w:rFonts w:ascii="Arial" w:cs="Arial" w:eastAsia="Arial" w:hAnsi="Arial"/>
                <w:sz w:val="16"/>
                <w:szCs w:val="16"/>
                <w:color w:val="0000FF"/>
                <w:w w:val="97"/>
              </w:rPr>
            </w:pPr>
            <w:hyperlink r:id="rId134">
              <w:r>
                <w:rPr>
                  <w:rFonts w:ascii="Arial" w:cs="Arial" w:eastAsia="Arial" w:hAnsi="Arial"/>
                  <w:sz w:val="16"/>
                  <w:szCs w:val="16"/>
                  <w:color w:val="0000FF"/>
                  <w:w w:val="97"/>
                </w:rPr>
                <w:t>Operating LLC, the guarantors named therein and Delaware Trust Company (as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180" w:type="dxa"/>
            <w:vAlign w:val="bottom"/>
            <w:tcBorders>
              <w:top w:val="single" w:sz="8" w:color="0000FF"/>
            </w:tcBorders>
            <w:gridSpan w:val="9"/>
          </w:tcPr>
          <w:p>
            <w:pPr>
              <w:spacing w:after="0"/>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successor in interest to Law Debenture Trust Company of New York).</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00" w:type="dxa"/>
            <w:vAlign w:val="bottom"/>
          </w:tcPr>
          <w:p>
            <w:pPr>
              <w:spacing w:after="0" w:line="165" w:lineRule="exact"/>
              <w:rPr>
                <w:sz w:val="20"/>
                <w:szCs w:val="20"/>
                <w:color w:val="auto"/>
              </w:rPr>
            </w:pPr>
            <w:r>
              <w:rPr>
                <w:rFonts w:ascii="Arial" w:cs="Arial" w:eastAsia="Arial" w:hAnsi="Arial"/>
                <w:sz w:val="16"/>
                <w:szCs w:val="16"/>
                <w:color w:val="auto"/>
              </w:rPr>
              <w:t>4.2</w:t>
            </w:r>
          </w:p>
        </w:tc>
        <w:tc>
          <w:tcPr>
            <w:tcW w:w="5720" w:type="dxa"/>
            <w:vAlign w:val="bottom"/>
            <w:gridSpan w:val="20"/>
          </w:tcPr>
          <w:p>
            <w:pPr>
              <w:spacing w:after="0" w:line="165" w:lineRule="exact"/>
              <w:rPr>
                <w:rFonts w:ascii="Arial" w:cs="Arial" w:eastAsia="Arial" w:hAnsi="Arial"/>
                <w:sz w:val="16"/>
                <w:szCs w:val="16"/>
                <w:color w:val="0000FF"/>
                <w:w w:val="95"/>
              </w:rPr>
            </w:pPr>
            <w:hyperlink r:id="rId135">
              <w:r>
                <w:rPr>
                  <w:rFonts w:ascii="Arial" w:cs="Arial" w:eastAsia="Arial" w:hAnsi="Arial"/>
                  <w:sz w:val="16"/>
                  <w:szCs w:val="16"/>
                  <w:color w:val="0000FF"/>
                  <w:w w:val="95"/>
                </w:rPr>
                <w:t>Fifth Supplemental Indenture, dated as of January 6, 2020, among Clearway Energy</w:t>
              </w:r>
            </w:hyperlink>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480" w:type="dxa"/>
            <w:vAlign w:val="bottom"/>
            <w:tcBorders>
              <w:top w:val="single" w:sz="8" w:color="0000FF"/>
            </w:tcBorders>
            <w:gridSpan w:val="13"/>
          </w:tcPr>
          <w:p>
            <w:pPr>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Operating LLC, the guarantors named therein and Delaware Trust Company.</w:t>
              </w:r>
            </w:hyperlink>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4.3</w:t>
            </w:r>
          </w:p>
        </w:tc>
        <w:tc>
          <w:tcPr>
            <w:tcW w:w="5440" w:type="dxa"/>
            <w:vAlign w:val="bottom"/>
            <w:tcBorders>
              <w:bottom w:val="single" w:sz="8" w:color="0000FF"/>
            </w:tcBorders>
            <w:gridSpan w:val="11"/>
          </w:tcPr>
          <w:p>
            <w:pPr>
              <w:spacing w:after="0"/>
              <w:rPr>
                <w:rFonts w:ascii="Arial" w:cs="Arial" w:eastAsia="Arial" w:hAnsi="Arial"/>
                <w:sz w:val="16"/>
                <w:szCs w:val="16"/>
                <w:color w:val="0000FF"/>
                <w:w w:val="90"/>
              </w:rPr>
            </w:pPr>
            <w:hyperlink r:id="rId136">
              <w:r>
                <w:rPr>
                  <w:rFonts w:ascii="Arial" w:cs="Arial" w:eastAsia="Arial" w:hAnsi="Arial"/>
                  <w:sz w:val="16"/>
                  <w:szCs w:val="16"/>
                  <w:color w:val="0000FF"/>
                  <w:w w:val="90"/>
                </w:rPr>
                <w:t>First Supplemental Indenture, dated as of January 6, 2020, among Clearway Energy</w:t>
              </w:r>
            </w:hyperlink>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440" w:type="dxa"/>
            <w:vAlign w:val="bottom"/>
            <w:gridSpan w:val="11"/>
          </w:tcPr>
          <w:p>
            <w:pPr>
              <w:spacing w:after="0"/>
              <w:rPr>
                <w:rFonts w:ascii="Arial" w:cs="Arial" w:eastAsia="Arial" w:hAnsi="Arial"/>
                <w:sz w:val="16"/>
                <w:szCs w:val="16"/>
                <w:u w:val="single" w:color="auto"/>
                <w:color w:val="0000FF"/>
                <w:w w:val="99"/>
              </w:rPr>
            </w:pPr>
            <w:hyperlink r:id="rId136">
              <w:r>
                <w:rPr>
                  <w:rFonts w:ascii="Arial" w:cs="Arial" w:eastAsia="Arial" w:hAnsi="Arial"/>
                  <w:sz w:val="16"/>
                  <w:szCs w:val="16"/>
                  <w:u w:val="single" w:color="auto"/>
                  <w:color w:val="0000FF"/>
                  <w:w w:val="99"/>
                </w:rPr>
                <w:t>Operating LLC, the guarantors named therein and Delaware Trust Company.</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4.4</w:t>
            </w:r>
          </w:p>
        </w:tc>
        <w:tc>
          <w:tcPr>
            <w:tcW w:w="5720" w:type="dxa"/>
            <w:vAlign w:val="bottom"/>
            <w:gridSpan w:val="20"/>
          </w:tcPr>
          <w:p>
            <w:pPr>
              <w:spacing w:after="0"/>
              <w:rPr>
                <w:rFonts w:ascii="Arial" w:cs="Arial" w:eastAsia="Arial" w:hAnsi="Arial"/>
                <w:sz w:val="16"/>
                <w:szCs w:val="16"/>
                <w:color w:val="0000FF"/>
                <w:w w:val="91"/>
              </w:rPr>
            </w:pPr>
            <w:hyperlink r:id="rId137">
              <w:r>
                <w:rPr>
                  <w:rFonts w:ascii="Arial" w:cs="Arial" w:eastAsia="Arial" w:hAnsi="Arial"/>
                  <w:sz w:val="16"/>
                  <w:szCs w:val="16"/>
                  <w:color w:val="0000FF"/>
                  <w:w w:val="91"/>
                </w:rPr>
                <w:t>Tenth Supplemental Indenture, dated as of February 26, 2020, among Clearway Energy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660" w:type="dxa"/>
            <w:vAlign w:val="bottom"/>
            <w:tcBorders>
              <w:top w:val="single" w:sz="8" w:color="0000FF"/>
            </w:tcBorders>
            <w:gridSpan w:val="18"/>
          </w:tcPr>
          <w:p>
            <w:pPr>
              <w:spacing w:after="0" w:line="155" w:lineRule="exact"/>
              <w:rPr>
                <w:rFonts w:ascii="Arial" w:cs="Arial" w:eastAsia="Arial" w:hAnsi="Arial"/>
                <w:sz w:val="16"/>
                <w:szCs w:val="16"/>
                <w:color w:val="0000FF"/>
                <w:w w:val="99"/>
              </w:rPr>
            </w:pPr>
            <w:hyperlink r:id="rId137">
              <w:r>
                <w:rPr>
                  <w:rFonts w:ascii="Arial" w:cs="Arial" w:eastAsia="Arial" w:hAnsi="Arial"/>
                  <w:sz w:val="16"/>
                  <w:szCs w:val="16"/>
                  <w:color w:val="0000FF"/>
                  <w:w w:val="99"/>
                </w:rPr>
                <w:t>Operating LLC, the guarantors named therein and Delaware Trust Company (as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18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137">
              <w:r>
                <w:rPr>
                  <w:rFonts w:ascii="Arial" w:cs="Arial" w:eastAsia="Arial" w:hAnsi="Arial"/>
                  <w:sz w:val="16"/>
                  <w:szCs w:val="16"/>
                  <w:color w:val="0000FF"/>
                </w:rPr>
                <w:t>successor in interest to Law Debenture Trust Company of New York).</w:t>
              </w:r>
            </w:hyperlink>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6"/>
                <w:szCs w:val="16"/>
                <w:color w:val="auto"/>
              </w:rPr>
              <w:t>4.5</w:t>
            </w:r>
          </w:p>
        </w:tc>
        <w:tc>
          <w:tcPr>
            <w:tcW w:w="5720" w:type="dxa"/>
            <w:vAlign w:val="bottom"/>
            <w:gridSpan w:val="20"/>
          </w:tcPr>
          <w:p>
            <w:pPr>
              <w:spacing w:after="0"/>
              <w:rPr>
                <w:rFonts w:ascii="Arial" w:cs="Arial" w:eastAsia="Arial" w:hAnsi="Arial"/>
                <w:sz w:val="16"/>
                <w:szCs w:val="16"/>
                <w:color w:val="0000FF"/>
                <w:w w:val="92"/>
              </w:rPr>
            </w:pPr>
            <w:hyperlink r:id="rId138">
              <w:r>
                <w:rPr>
                  <w:rFonts w:ascii="Arial" w:cs="Arial" w:eastAsia="Arial" w:hAnsi="Arial"/>
                  <w:sz w:val="16"/>
                  <w:szCs w:val="16"/>
                  <w:color w:val="0000FF"/>
                  <w:w w:val="92"/>
                </w:rPr>
                <w:t>Sixth Supplemental Indenture, dated as of February 26, 2020, among Clearway Energy</w:t>
              </w:r>
            </w:hyperlink>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640" w:type="dxa"/>
            <w:vAlign w:val="bottom"/>
            <w:tcBorders>
              <w:top w:val="single" w:sz="8" w:color="0000FF"/>
            </w:tcBorders>
            <w:gridSpan w:val="17"/>
          </w:tcPr>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Operating LLC, the guarantors named therein and Delaware Trust Company.</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4.6</w:t>
            </w:r>
          </w:p>
        </w:tc>
        <w:tc>
          <w:tcPr>
            <w:tcW w:w="5280" w:type="dxa"/>
            <w:vAlign w:val="bottom"/>
            <w:tcBorders>
              <w:bottom w:val="single" w:sz="8" w:color="0000FF"/>
            </w:tcBorders>
            <w:gridSpan w:val="10"/>
          </w:tcPr>
          <w:p>
            <w:pPr>
              <w:spacing w:after="0"/>
              <w:rPr>
                <w:rFonts w:ascii="Arial" w:cs="Arial" w:eastAsia="Arial" w:hAnsi="Arial"/>
                <w:sz w:val="16"/>
                <w:szCs w:val="16"/>
                <w:color w:val="0000FF"/>
                <w:w w:val="90"/>
              </w:rPr>
            </w:pPr>
            <w:hyperlink r:id="rId139">
              <w:r>
                <w:rPr>
                  <w:rFonts w:ascii="Arial" w:cs="Arial" w:eastAsia="Arial" w:hAnsi="Arial"/>
                  <w:sz w:val="16"/>
                  <w:szCs w:val="16"/>
                  <w:color w:val="0000FF"/>
                  <w:w w:val="90"/>
                </w:rPr>
                <w:t>Second Supplemental Indenture, dated as of February 26, 2020, among Clearway</w:t>
              </w:r>
            </w:hyperlink>
          </w:p>
        </w:tc>
        <w:tc>
          <w:tcPr>
            <w:tcW w:w="4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720" w:type="dxa"/>
            <w:vAlign w:val="bottom"/>
            <w:gridSpan w:val="20"/>
          </w:tcPr>
          <w:p>
            <w:pPr>
              <w:spacing w:after="0"/>
              <w:rPr>
                <w:rFonts w:ascii="Arial" w:cs="Arial" w:eastAsia="Arial" w:hAnsi="Arial"/>
                <w:sz w:val="16"/>
                <w:szCs w:val="16"/>
                <w:u w:val="single" w:color="auto"/>
                <w:color w:val="0000FF"/>
                <w:w w:val="95"/>
              </w:rPr>
            </w:pPr>
            <w:hyperlink r:id="rId139">
              <w:r>
                <w:rPr>
                  <w:rFonts w:ascii="Arial" w:cs="Arial" w:eastAsia="Arial" w:hAnsi="Arial"/>
                  <w:sz w:val="16"/>
                  <w:szCs w:val="16"/>
                  <w:u w:val="single" w:color="auto"/>
                  <w:color w:val="0000FF"/>
                  <w:w w:val="95"/>
                </w:rPr>
                <w:t>Energy Operating LLC, the guarantors named therein and Delaware Trust Company.</w:t>
              </w:r>
            </w:hyperlink>
          </w:p>
        </w:tc>
        <w:tc>
          <w:tcPr>
            <w:tcW w:w="0" w:type="dxa"/>
            <w:vAlign w:val="bottom"/>
          </w:tcPr>
          <w:p>
            <w:pPr>
              <w:spacing w:after="0"/>
              <w:rPr>
                <w:sz w:val="1"/>
                <w:szCs w:val="1"/>
                <w:color w:val="auto"/>
              </w:rPr>
            </w:pPr>
          </w:p>
        </w:tc>
      </w:tr>
      <w:tr>
        <w:trPr>
          <w:trHeight w:val="287"/>
        </w:trPr>
        <w:tc>
          <w:tcPr>
            <w:tcW w:w="1000" w:type="dxa"/>
            <w:vAlign w:val="bottom"/>
          </w:tcPr>
          <w:p>
            <w:pPr>
              <w:spacing w:after="0"/>
              <w:rPr>
                <w:sz w:val="20"/>
                <w:szCs w:val="20"/>
                <w:color w:val="auto"/>
              </w:rPr>
            </w:pPr>
            <w:r>
              <w:rPr>
                <w:rFonts w:ascii="Arial" w:cs="Arial" w:eastAsia="Arial" w:hAnsi="Arial"/>
                <w:sz w:val="16"/>
                <w:szCs w:val="16"/>
                <w:color w:val="auto"/>
              </w:rPr>
              <w:t>10.1†</w:t>
            </w:r>
          </w:p>
        </w:tc>
        <w:tc>
          <w:tcPr>
            <w:tcW w:w="5720" w:type="dxa"/>
            <w:vAlign w:val="bottom"/>
            <w:gridSpan w:val="20"/>
          </w:tcPr>
          <w:p>
            <w:pPr>
              <w:spacing w:after="0"/>
              <w:rPr>
                <w:rFonts w:ascii="Arial" w:cs="Arial" w:eastAsia="Arial" w:hAnsi="Arial"/>
                <w:sz w:val="16"/>
                <w:szCs w:val="16"/>
                <w:color w:val="0000FF"/>
              </w:rPr>
            </w:pPr>
            <w:hyperlink r:id="rId140">
              <w:r>
                <w:rPr>
                  <w:rFonts w:ascii="Arial" w:cs="Arial" w:eastAsia="Arial" w:hAnsi="Arial"/>
                  <w:sz w:val="16"/>
                  <w:szCs w:val="16"/>
                  <w:u w:val="single" w:color="auto"/>
                  <w:color w:val="0000FF"/>
                </w:rPr>
                <w:t>Clearway Energy, Inc. Involuntary Severance Plan</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r>
        <w:trPr>
          <w:trHeight w:val="662"/>
        </w:trPr>
        <w:tc>
          <w:tcPr>
            <w:tcW w:w="1000" w:type="dxa"/>
            <w:vAlign w:val="bottom"/>
          </w:tcPr>
          <w:p>
            <w:pPr>
              <w:spacing w:after="0"/>
              <w:rPr>
                <w:sz w:val="20"/>
                <w:szCs w:val="20"/>
                <w:color w:val="auto"/>
              </w:rPr>
            </w:pPr>
            <w:r>
              <w:rPr>
                <w:rFonts w:ascii="Arial" w:cs="Arial" w:eastAsia="Arial" w:hAnsi="Arial"/>
                <w:sz w:val="16"/>
                <w:szCs w:val="16"/>
                <w:color w:val="auto"/>
              </w:rPr>
              <w:t>10.2†</w:t>
            </w:r>
          </w:p>
        </w:tc>
        <w:tc>
          <w:tcPr>
            <w:tcW w:w="5720" w:type="dxa"/>
            <w:vAlign w:val="bottom"/>
            <w:gridSpan w:val="20"/>
          </w:tcPr>
          <w:p>
            <w:pPr>
              <w:spacing w:after="0"/>
              <w:rPr>
                <w:rFonts w:ascii="Arial" w:cs="Arial" w:eastAsia="Arial" w:hAnsi="Arial"/>
                <w:sz w:val="16"/>
                <w:szCs w:val="16"/>
                <w:color w:val="0000FF"/>
                <w:w w:val="98"/>
              </w:rPr>
            </w:pPr>
            <w:hyperlink r:id="rId141">
              <w:r>
                <w:rPr>
                  <w:rFonts w:ascii="Arial" w:cs="Arial" w:eastAsia="Arial" w:hAnsi="Arial"/>
                  <w:sz w:val="16"/>
                  <w:szCs w:val="16"/>
                  <w:u w:val="single" w:color="auto"/>
                  <w:color w:val="0000FF"/>
                  <w:w w:val="98"/>
                </w:rPr>
                <w:t>Clearway Energy, Inc. Executive Change-in-Control and General Severance Plan</w:t>
              </w:r>
              <w:r>
                <w:rPr>
                  <w:rFonts w:ascii="Arial" w:cs="Arial" w:eastAsia="Arial" w:hAnsi="Arial"/>
                  <w:sz w:val="16"/>
                  <w:szCs w:val="16"/>
                  <w:color w:val="0000FF"/>
                  <w:w w:val="98"/>
                </w:rPr>
                <w:t>.</w:t>
              </w:r>
            </w:hyperlink>
          </w:p>
        </w:tc>
        <w:tc>
          <w:tcPr>
            <w:tcW w:w="0" w:type="dxa"/>
            <w:vAlign w:val="bottom"/>
          </w:tcPr>
          <w:p>
            <w:pPr>
              <w:spacing w:after="0"/>
              <w:rPr>
                <w:sz w:val="1"/>
                <w:szCs w:val="1"/>
                <w:color w:val="auto"/>
              </w:rPr>
            </w:pPr>
          </w:p>
        </w:tc>
      </w:tr>
      <w:tr>
        <w:trPr>
          <w:trHeight w:val="613"/>
        </w:trPr>
        <w:tc>
          <w:tcPr>
            <w:tcW w:w="1000" w:type="dxa"/>
            <w:vAlign w:val="bottom"/>
          </w:tcPr>
          <w:p>
            <w:pPr>
              <w:spacing w:after="0"/>
              <w:rPr>
                <w:sz w:val="20"/>
                <w:szCs w:val="20"/>
                <w:color w:val="auto"/>
              </w:rPr>
            </w:pPr>
            <w:r>
              <w:rPr>
                <w:rFonts w:ascii="Arial" w:cs="Arial" w:eastAsia="Arial" w:hAnsi="Arial"/>
                <w:sz w:val="16"/>
                <w:szCs w:val="16"/>
                <w:color w:val="auto"/>
              </w:rPr>
              <w:t>10.3†</w:t>
            </w:r>
          </w:p>
        </w:tc>
        <w:tc>
          <w:tcPr>
            <w:tcW w:w="5720" w:type="dxa"/>
            <w:vAlign w:val="bottom"/>
            <w:gridSpan w:val="20"/>
          </w:tcPr>
          <w:p>
            <w:pPr>
              <w:spacing w:after="0"/>
              <w:rPr>
                <w:rFonts w:ascii="Arial" w:cs="Arial" w:eastAsia="Arial" w:hAnsi="Arial"/>
                <w:sz w:val="16"/>
                <w:szCs w:val="16"/>
                <w:color w:val="0000FF"/>
                <w:w w:val="95"/>
              </w:rPr>
            </w:pPr>
            <w:hyperlink r:id="rId142">
              <w:r>
                <w:rPr>
                  <w:rFonts w:ascii="Arial" w:cs="Arial" w:eastAsia="Arial" w:hAnsi="Arial"/>
                  <w:sz w:val="16"/>
                  <w:szCs w:val="16"/>
                  <w:color w:val="0000FF"/>
                  <w:w w:val="95"/>
                </w:rPr>
                <w:t>Clearway Energy, Inc. Key Management Change-in-Control and General Severance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87"/>
              </w:rPr>
            </w:pPr>
            <w:hyperlink r:id="rId142">
              <w:r>
                <w:rPr>
                  <w:rFonts w:ascii="Arial" w:cs="Arial" w:eastAsia="Arial" w:hAnsi="Arial"/>
                  <w:sz w:val="16"/>
                  <w:szCs w:val="16"/>
                  <w:color w:val="0000FF"/>
                  <w:w w:val="87"/>
                </w:rPr>
                <w:t>Plan.</w:t>
              </w:r>
            </w:hyperlink>
          </w:p>
        </w:tc>
        <w:tc>
          <w:tcPr>
            <w:tcW w:w="51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00" w:type="dxa"/>
            <w:vAlign w:val="bottom"/>
          </w:tcPr>
          <w:p>
            <w:pPr>
              <w:spacing w:after="0"/>
              <w:rPr>
                <w:sz w:val="20"/>
                <w:szCs w:val="20"/>
                <w:color w:val="auto"/>
              </w:rPr>
            </w:pPr>
            <w:r>
              <w:rPr>
                <w:rFonts w:ascii="Arial" w:cs="Arial" w:eastAsia="Arial" w:hAnsi="Arial"/>
                <w:sz w:val="16"/>
                <w:szCs w:val="16"/>
                <w:color w:val="auto"/>
              </w:rPr>
              <w:t>10.4*^</w:t>
            </w:r>
          </w:p>
        </w:tc>
        <w:tc>
          <w:tcPr>
            <w:tcW w:w="5720" w:type="dxa"/>
            <w:vAlign w:val="bottom"/>
            <w:gridSpan w:val="20"/>
          </w:tcPr>
          <w:p>
            <w:pPr>
              <w:spacing w:after="0"/>
              <w:rPr>
                <w:rFonts w:ascii="Arial" w:cs="Arial" w:eastAsia="Arial" w:hAnsi="Arial"/>
                <w:sz w:val="16"/>
                <w:szCs w:val="16"/>
                <w:color w:val="0000FF"/>
                <w:w w:val="94"/>
              </w:rPr>
            </w:pPr>
            <w:hyperlink r:id="rId143">
              <w:r>
                <w:rPr>
                  <w:rFonts w:ascii="Arial" w:cs="Arial" w:eastAsia="Arial" w:hAnsi="Arial"/>
                  <w:sz w:val="16"/>
                  <w:szCs w:val="16"/>
                  <w:color w:val="0000FF"/>
                  <w:w w:val="94"/>
                </w:rPr>
                <w:t>Purchase and Sale Agreement, dated as of April 17, 2020, by and between Clearway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3"/>
              </w:rPr>
            </w:pPr>
            <w:hyperlink r:id="rId143">
              <w:r>
                <w:rPr>
                  <w:rFonts w:ascii="Arial" w:cs="Arial" w:eastAsia="Arial" w:hAnsi="Arial"/>
                  <w:sz w:val="16"/>
                  <w:szCs w:val="16"/>
                  <w:color w:val="0000FF"/>
                  <w:w w:val="93"/>
                </w:rPr>
                <w:t>Energy Operating LLC and Clearway Renew LLC.</w:t>
              </w:r>
            </w:hyperlink>
          </w:p>
        </w:tc>
        <w:tc>
          <w:tcPr>
            <w:tcW w:w="2180" w:type="dxa"/>
            <w:vAlign w:val="bottom"/>
            <w:tcBorders>
              <w:top w:val="single" w:sz="8" w:color="0000FF"/>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10.5*^</w:t>
            </w:r>
          </w:p>
        </w:tc>
        <w:tc>
          <w:tcPr>
            <w:tcW w:w="5720" w:type="dxa"/>
            <w:vAlign w:val="bottom"/>
            <w:gridSpan w:val="20"/>
          </w:tcPr>
          <w:p>
            <w:pPr>
              <w:spacing w:after="0"/>
              <w:rPr>
                <w:rFonts w:ascii="Arial" w:cs="Arial" w:eastAsia="Arial" w:hAnsi="Arial"/>
                <w:sz w:val="16"/>
                <w:szCs w:val="16"/>
                <w:color w:val="0000FF"/>
                <w:w w:val="92"/>
              </w:rPr>
            </w:pPr>
            <w:hyperlink r:id="rId144">
              <w:r>
                <w:rPr>
                  <w:rFonts w:ascii="Arial" w:cs="Arial" w:eastAsia="Arial" w:hAnsi="Arial"/>
                  <w:sz w:val="16"/>
                  <w:szCs w:val="16"/>
                  <w:color w:val="0000FF"/>
                  <w:w w:val="92"/>
                </w:rPr>
                <w:t>Membership Interest Purchase Agreement, dated as of April 17, 2020, by and between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5"/>
          </w:tcPr>
          <w:p>
            <w:pPr>
              <w:spacing w:after="0" w:line="155" w:lineRule="exact"/>
              <w:rPr>
                <w:rFonts w:ascii="Arial" w:cs="Arial" w:eastAsia="Arial" w:hAnsi="Arial"/>
                <w:sz w:val="16"/>
                <w:szCs w:val="16"/>
                <w:color w:val="0000FF"/>
                <w:w w:val="93"/>
              </w:rPr>
            </w:pPr>
            <w:hyperlink r:id="rId144">
              <w:r>
                <w:rPr>
                  <w:rFonts w:ascii="Arial" w:cs="Arial" w:eastAsia="Arial" w:hAnsi="Arial"/>
                  <w:sz w:val="16"/>
                  <w:szCs w:val="16"/>
                  <w:color w:val="0000FF"/>
                  <w:w w:val="93"/>
                </w:rPr>
                <w:t>Clearway Energy Operating LLC and SP Wind Holdings, LLC.</w:t>
              </w:r>
            </w:hyperlink>
          </w:p>
        </w:tc>
        <w:tc>
          <w:tcPr>
            <w:tcW w:w="1480" w:type="dxa"/>
            <w:vAlign w:val="bottom"/>
            <w:tcBorders>
              <w:top w:val="single" w:sz="8" w:color="0000FF"/>
            </w:tcBorders>
            <w:gridSpan w:val="11"/>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6"/>
                <w:szCs w:val="16"/>
                <w:color w:val="auto"/>
              </w:rPr>
              <w:t>10.6*^</w:t>
            </w:r>
          </w:p>
        </w:tc>
        <w:tc>
          <w:tcPr>
            <w:tcW w:w="5720" w:type="dxa"/>
            <w:vAlign w:val="bottom"/>
            <w:gridSpan w:val="20"/>
          </w:tcPr>
          <w:p>
            <w:pPr>
              <w:spacing w:after="0"/>
              <w:rPr>
                <w:rFonts w:ascii="Arial" w:cs="Arial" w:eastAsia="Arial" w:hAnsi="Arial"/>
                <w:sz w:val="16"/>
                <w:szCs w:val="16"/>
                <w:color w:val="0000FF"/>
                <w:w w:val="92"/>
              </w:rPr>
            </w:pPr>
            <w:hyperlink r:id="rId145">
              <w:r>
                <w:rPr>
                  <w:rFonts w:ascii="Arial" w:cs="Arial" w:eastAsia="Arial" w:hAnsi="Arial"/>
                  <w:sz w:val="16"/>
                  <w:szCs w:val="16"/>
                  <w:color w:val="0000FF"/>
                  <w:w w:val="92"/>
                </w:rPr>
                <w:t>Membership Interest Purchase Agreement, dated as of April 17, 2020, by and between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6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145">
              <w:r>
                <w:rPr>
                  <w:rFonts w:ascii="Arial" w:cs="Arial" w:eastAsia="Arial" w:hAnsi="Arial"/>
                  <w:sz w:val="16"/>
                  <w:szCs w:val="16"/>
                  <w:color w:val="0000FF"/>
                </w:rPr>
                <w:t>CWSP Wildorado Elbow Holding LLC and Wind TE Holdco LLC.</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10.7*^</w:t>
            </w:r>
          </w:p>
        </w:tc>
        <w:tc>
          <w:tcPr>
            <w:tcW w:w="5720" w:type="dxa"/>
            <w:vAlign w:val="bottom"/>
            <w:gridSpan w:val="20"/>
          </w:tcPr>
          <w:p>
            <w:pPr>
              <w:spacing w:after="0"/>
              <w:rPr>
                <w:rFonts w:ascii="Arial" w:cs="Arial" w:eastAsia="Arial" w:hAnsi="Arial"/>
                <w:sz w:val="16"/>
                <w:szCs w:val="16"/>
                <w:color w:val="0000FF"/>
                <w:w w:val="93"/>
              </w:rPr>
            </w:pPr>
            <w:hyperlink r:id="rId146">
              <w:r>
                <w:rPr>
                  <w:rFonts w:ascii="Arial" w:cs="Arial" w:eastAsia="Arial" w:hAnsi="Arial"/>
                  <w:sz w:val="16"/>
                  <w:szCs w:val="16"/>
                  <w:color w:val="0000FF"/>
                  <w:w w:val="93"/>
                </w:rPr>
                <w:t>Limited Liability Company Agreement of Pinnacle Repowering Partnership LLC, dated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700" w:type="dxa"/>
            <w:vAlign w:val="bottom"/>
            <w:tcBorders>
              <w:top w:val="single" w:sz="8" w:color="0000FF"/>
            </w:tcBorders>
            <w:gridSpan w:val="19"/>
          </w:tcPr>
          <w:p>
            <w:pPr>
              <w:spacing w:after="0" w:line="155" w:lineRule="exact"/>
              <w:rPr>
                <w:rFonts w:ascii="Arial" w:cs="Arial" w:eastAsia="Arial" w:hAnsi="Arial"/>
                <w:sz w:val="16"/>
                <w:szCs w:val="16"/>
                <w:color w:val="0000FF"/>
              </w:rPr>
            </w:pPr>
            <w:hyperlink r:id="rId146">
              <w:r>
                <w:rPr>
                  <w:rFonts w:ascii="Arial" w:cs="Arial" w:eastAsia="Arial" w:hAnsi="Arial"/>
                  <w:sz w:val="16"/>
                  <w:szCs w:val="16"/>
                  <w:color w:val="0000FF"/>
                </w:rPr>
                <w:t>as of April 17,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5720" w:type="dxa"/>
            <w:vAlign w:val="bottom"/>
            <w:gridSpan w:val="20"/>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Rule 13a-14(Rule 13a-14(a)/15d-14(a) certification of Christopher S.</w:t>
              </w:r>
            </w:hyperlink>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39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w:anchor="page61">
              <w:r>
                <w:rPr>
                  <w:rFonts w:ascii="Arial" w:cs="Arial" w:eastAsia="Arial" w:hAnsi="Arial"/>
                  <w:sz w:val="16"/>
                  <w:szCs w:val="16"/>
                  <w:color w:val="0000FF"/>
                </w:rPr>
                <w:t>Sotos.)/15d-14(a) certification of Christopher S. Sotos.</w:t>
              </w:r>
            </w:hyperlink>
          </w:p>
        </w:tc>
        <w:tc>
          <w:tcPr>
            <w:tcW w:w="1000" w:type="dxa"/>
            <w:vAlign w:val="bottom"/>
            <w:tcBorders>
              <w:top w:val="single" w:sz="8" w:color="0000FF"/>
            </w:tcBorders>
            <w:gridSpan w:val="4"/>
          </w:tcPr>
          <w:p>
            <w:pPr>
              <w:spacing w:after="0"/>
              <w:rPr>
                <w:sz w:val="12"/>
                <w:szCs w:val="12"/>
                <w:color w:val="auto"/>
              </w:rPr>
            </w:pPr>
          </w:p>
        </w:tc>
        <w:tc>
          <w:tcPr>
            <w:tcW w:w="82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5720" w:type="dxa"/>
            <w:vAlign w:val="bottom"/>
            <w:gridSpan w:val="20"/>
          </w:tcPr>
          <w:p>
            <w:pPr>
              <w:spacing w:after="0"/>
              <w:rPr>
                <w:rFonts w:ascii="Arial" w:cs="Arial" w:eastAsia="Arial" w:hAnsi="Arial"/>
                <w:sz w:val="16"/>
                <w:szCs w:val="16"/>
                <w:u w:val="single" w:color="auto"/>
                <w:color w:val="0000FF"/>
              </w:rPr>
            </w:pPr>
            <w:hyperlink w:anchor="page62">
              <w:r>
                <w:rPr>
                  <w:rFonts w:ascii="Arial" w:cs="Arial" w:eastAsia="Arial" w:hAnsi="Arial"/>
                  <w:sz w:val="16"/>
                  <w:szCs w:val="16"/>
                  <w:u w:val="single" w:color="auto"/>
                  <w:color w:val="0000FF"/>
                </w:rPr>
                <w:t>Rule 13a-14(a)/15d-14(a) certification of Chad Plotkin.</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auto"/>
        </w:rPr>
        <w:t>Incorporated herein by reference to Exhibit 3.1 to the Company's Current Report on Form 8-K filed on May 4, 2020.</w:t>
      </w: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January 8, 2020.</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January 8, 2020.</w:t>
      </w:r>
    </w:p>
    <w:p>
      <w:pPr>
        <w:spacing w:after="0" w:line="342" w:lineRule="auto"/>
        <w:rPr>
          <w:sz w:val="20"/>
          <w:szCs w:val="20"/>
          <w:color w:val="auto"/>
        </w:rPr>
      </w:pPr>
      <w:r>
        <w:rPr>
          <w:rFonts w:ascii="Arial" w:cs="Arial" w:eastAsia="Arial" w:hAnsi="Arial"/>
          <w:sz w:val="14"/>
          <w:szCs w:val="14"/>
          <w:color w:val="auto"/>
        </w:rPr>
        <w:t>Incorporated herein by reference to Exhibit 4.3 to the Company’s Current Report on Form 8-K filed on January 8, 2020.</w:t>
      </w: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March 3, 2020.</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March 3, 2020.</w:t>
      </w:r>
    </w:p>
    <w:p>
      <w:pPr>
        <w:spacing w:after="0" w:line="342" w:lineRule="auto"/>
        <w:rPr>
          <w:sz w:val="20"/>
          <w:szCs w:val="20"/>
          <w:color w:val="auto"/>
        </w:rPr>
      </w:pPr>
      <w:r>
        <w:rPr>
          <w:rFonts w:ascii="Arial" w:cs="Arial" w:eastAsia="Arial" w:hAnsi="Arial"/>
          <w:sz w:val="14"/>
          <w:szCs w:val="14"/>
          <w:color w:val="auto"/>
        </w:rPr>
        <w:t>Incorporated herein by reference to Exhibit 4.3 to the Company’s Current Report on Form 8-K filed on March 3, 2020.</w:t>
      </w:r>
    </w:p>
    <w:p>
      <w:pPr>
        <w:ind w:right="360"/>
        <w:spacing w:after="0" w:line="278" w:lineRule="auto"/>
        <w:rPr>
          <w:sz w:val="20"/>
          <w:szCs w:val="20"/>
          <w:color w:val="auto"/>
        </w:rPr>
      </w:pPr>
      <w:r>
        <w:rPr>
          <w:rFonts w:ascii="Arial" w:cs="Arial" w:eastAsia="Arial" w:hAnsi="Arial"/>
          <w:sz w:val="16"/>
          <w:szCs w:val="16"/>
          <w:color w:val="auto"/>
        </w:rPr>
        <w:t>Incorporated herein by reference to Exhibit 10.26 to the Company’s Annual Report on Form 10-K filed on March 2, 2020.</w:t>
      </w:r>
    </w:p>
    <w:p>
      <w:pPr>
        <w:spacing w:after="0" w:line="2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Incorporated herein by reference to Exhibit 10.27 to the Company’s Annual Report on Form 10-K filed on March 2, 2020.</w:t>
      </w:r>
    </w:p>
    <w:p>
      <w:pPr>
        <w:spacing w:after="0" w:line="2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Incorporated herein by reference to Exhibit 10.28 to the Company’s Annual Report on Form 10-K filed on March 2, 2020.</w:t>
      </w:r>
    </w:p>
    <w:p>
      <w:pPr>
        <w:spacing w:after="0" w:line="22"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April 20, 2020.</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10.2 to the Company's Current Report on Form 8-K filed on April 20, 2020.</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10.3 to the Company's Current Report on Form 8-K filed on April 20, 2020.</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10.4 to the Company's Current Report on Form 8-K filed on April 20, 2020.</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9" w:lineRule="exact"/>
        <w:rPr>
          <w:sz w:val="20"/>
          <w:szCs w:val="20"/>
          <w:color w:val="auto"/>
        </w:rPr>
      </w:pPr>
    </w:p>
    <w:p>
      <w:pPr>
        <w:sectPr>
          <w:pgSz w:w="11900" w:h="16838" w:orient="portrait"/>
          <w:cols w:equalWidth="0" w:num="2">
            <w:col w:w="6760" w:space="180"/>
            <w:col w:w="4220"/>
          </w:cols>
          <w:pgMar w:left="320" w:top="1134" w:right="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type w:val="continuous"/>
        </w:sectPr>
      </w:pPr>
    </w:p>
    <w:bookmarkStart w:id="58" w:name="page59"/>
    <w:bookmarkEnd w:id="58"/>
    <w:tbl>
      <w:tblPr>
        <w:tblLayout w:type="fixed"/>
        <w:tblInd w:w="14" w:type="dxa"/>
        <w:tblCellMar>
          <w:top w:w="0" w:type="dxa"/>
          <w:left w:w="0" w:type="dxa"/>
          <w:bottom w:w="0" w:type="dxa"/>
          <w:right w:w="0" w:type="dxa"/>
        </w:tblCellMar>
      </w:tblPr>
      <w:tr>
        <w:trPr>
          <w:trHeight w:val="233"/>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520" w:type="dxa"/>
            <w:vAlign w:val="bottom"/>
          </w:tcPr>
          <w:p>
            <w:pPr>
              <w:spacing w:after="0"/>
              <w:rPr>
                <w:sz w:val="20"/>
                <w:szCs w:val="20"/>
                <w:color w:val="auto"/>
              </w:rPr>
            </w:pPr>
          </w:p>
        </w:tc>
        <w:tc>
          <w:tcPr>
            <w:tcW w:w="5980" w:type="dxa"/>
            <w:vAlign w:val="bottom"/>
          </w:tcPr>
          <w:p>
            <w:pPr>
              <w:ind w:left="200"/>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Rule 13a-14(a)/15d-14(a) certification of Mary-Lee Stillwell.</w:t>
              </w:r>
            </w:hyperlink>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520" w:type="dxa"/>
            <w:vAlign w:val="bottom"/>
          </w:tcPr>
          <w:p>
            <w:pPr>
              <w:spacing w:after="0"/>
              <w:rPr>
                <w:sz w:val="22"/>
                <w:szCs w:val="22"/>
                <w:color w:val="auto"/>
              </w:rPr>
            </w:pPr>
          </w:p>
        </w:tc>
        <w:tc>
          <w:tcPr>
            <w:tcW w:w="5980" w:type="dxa"/>
            <w:vAlign w:val="bottom"/>
          </w:tcPr>
          <w:p>
            <w:pPr>
              <w:ind w:left="20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Section 1350 Certification.</w:t>
              </w:r>
            </w:hyperlink>
          </w:p>
        </w:tc>
        <w:tc>
          <w:tcPr>
            <w:tcW w:w="1400" w:type="dxa"/>
            <w:vAlign w:val="bottom"/>
          </w:tcPr>
          <w:p>
            <w:pPr>
              <w:ind w:left="120"/>
              <w:spacing w:after="0"/>
              <w:rPr>
                <w:sz w:val="20"/>
                <w:szCs w:val="20"/>
                <w:color w:val="auto"/>
              </w:rPr>
            </w:pPr>
            <w:r>
              <w:rPr>
                <w:rFonts w:ascii="Arial" w:cs="Arial" w:eastAsia="Arial" w:hAnsi="Arial"/>
                <w:sz w:val="16"/>
                <w:szCs w:val="16"/>
                <w:color w:val="auto"/>
                <w:w w:val="89"/>
              </w:rPr>
              <w:t>Furnished herewith.</w:t>
            </w:r>
          </w:p>
        </w:tc>
      </w:tr>
      <w:tr>
        <w:trPr>
          <w:trHeight w:val="23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20" w:type="dxa"/>
            <w:vAlign w:val="bottom"/>
          </w:tcPr>
          <w:p>
            <w:pPr>
              <w:spacing w:after="0"/>
              <w:rPr>
                <w:sz w:val="20"/>
                <w:szCs w:val="20"/>
                <w:color w:val="auto"/>
              </w:rPr>
            </w:pPr>
            <w:r>
              <w:rPr>
                <w:rFonts w:ascii="Arial" w:cs="Arial" w:eastAsia="Arial" w:hAnsi="Arial"/>
                <w:sz w:val="16"/>
                <w:szCs w:val="16"/>
                <w:color w:val="auto"/>
              </w:rPr>
              <w:t>INS</w:t>
            </w:r>
          </w:p>
        </w:tc>
        <w:tc>
          <w:tcPr>
            <w:tcW w:w="598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6"/>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20" w:type="dxa"/>
            <w:vAlign w:val="bottom"/>
          </w:tcPr>
          <w:p>
            <w:pPr>
              <w:spacing w:after="0"/>
              <w:rPr>
                <w:sz w:val="20"/>
                <w:szCs w:val="20"/>
                <w:color w:val="auto"/>
              </w:rPr>
            </w:pPr>
            <w:r>
              <w:rPr>
                <w:rFonts w:ascii="Arial" w:cs="Arial" w:eastAsia="Arial" w:hAnsi="Arial"/>
                <w:sz w:val="16"/>
                <w:szCs w:val="16"/>
                <w:color w:val="auto"/>
              </w:rPr>
              <w:t>SCH</w:t>
            </w:r>
          </w:p>
        </w:tc>
        <w:tc>
          <w:tcPr>
            <w:tcW w:w="598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20" w:type="dxa"/>
            <w:vAlign w:val="bottom"/>
          </w:tcPr>
          <w:p>
            <w:pPr>
              <w:spacing w:after="0"/>
              <w:rPr>
                <w:sz w:val="20"/>
                <w:szCs w:val="20"/>
                <w:color w:val="auto"/>
              </w:rPr>
            </w:pPr>
            <w:r>
              <w:rPr>
                <w:rFonts w:ascii="Arial" w:cs="Arial" w:eastAsia="Arial" w:hAnsi="Arial"/>
                <w:sz w:val="16"/>
                <w:szCs w:val="16"/>
                <w:color w:val="auto"/>
              </w:rPr>
              <w:t>CAL</w:t>
            </w:r>
          </w:p>
        </w:tc>
        <w:tc>
          <w:tcPr>
            <w:tcW w:w="5980" w:type="dxa"/>
            <w:vAlign w:val="bottom"/>
          </w:tcPr>
          <w:p>
            <w:pPr>
              <w:ind w:left="200"/>
              <w:spacing w:after="0"/>
              <w:rPr>
                <w:sz w:val="20"/>
                <w:szCs w:val="20"/>
                <w:color w:val="auto"/>
              </w:rPr>
            </w:pPr>
            <w:r>
              <w:rPr>
                <w:rFonts w:ascii="Arial" w:cs="Arial" w:eastAsia="Arial" w:hAnsi="Arial"/>
                <w:sz w:val="16"/>
                <w:szCs w:val="16"/>
                <w:color w:val="auto"/>
              </w:rPr>
              <w:t>Inline XBRL Taxonomy Extension Calculation Linkbase.</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20" w:type="dxa"/>
            <w:vAlign w:val="bottom"/>
          </w:tcPr>
          <w:p>
            <w:pPr>
              <w:spacing w:after="0"/>
              <w:rPr>
                <w:sz w:val="20"/>
                <w:szCs w:val="20"/>
                <w:color w:val="auto"/>
              </w:rPr>
            </w:pPr>
            <w:r>
              <w:rPr>
                <w:rFonts w:ascii="Arial" w:cs="Arial" w:eastAsia="Arial" w:hAnsi="Arial"/>
                <w:sz w:val="16"/>
                <w:szCs w:val="16"/>
                <w:color w:val="auto"/>
              </w:rPr>
              <w:t>DEF</w:t>
            </w:r>
          </w:p>
        </w:tc>
        <w:tc>
          <w:tcPr>
            <w:tcW w:w="5980" w:type="dxa"/>
            <w:vAlign w:val="bottom"/>
          </w:tcPr>
          <w:p>
            <w:pPr>
              <w:ind w:left="200"/>
              <w:spacing w:after="0"/>
              <w:rPr>
                <w:sz w:val="20"/>
                <w:szCs w:val="20"/>
                <w:color w:val="auto"/>
              </w:rPr>
            </w:pPr>
            <w:r>
              <w:rPr>
                <w:rFonts w:ascii="Arial" w:cs="Arial" w:eastAsia="Arial" w:hAnsi="Arial"/>
                <w:sz w:val="16"/>
                <w:szCs w:val="16"/>
                <w:color w:val="auto"/>
              </w:rPr>
              <w:t>Inline XBRL Taxonomy Extension Definition Linkbase.</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20" w:type="dxa"/>
            <w:vAlign w:val="bottom"/>
          </w:tcPr>
          <w:p>
            <w:pPr>
              <w:spacing w:after="0"/>
              <w:rPr>
                <w:sz w:val="20"/>
                <w:szCs w:val="20"/>
                <w:color w:val="auto"/>
              </w:rPr>
            </w:pPr>
            <w:r>
              <w:rPr>
                <w:rFonts w:ascii="Arial" w:cs="Arial" w:eastAsia="Arial" w:hAnsi="Arial"/>
                <w:sz w:val="16"/>
                <w:szCs w:val="16"/>
                <w:color w:val="auto"/>
              </w:rPr>
              <w:t>LAB</w:t>
            </w:r>
          </w:p>
        </w:tc>
        <w:tc>
          <w:tcPr>
            <w:tcW w:w="59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7"/>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20" w:type="dxa"/>
            <w:vAlign w:val="bottom"/>
          </w:tcPr>
          <w:p>
            <w:pPr>
              <w:spacing w:after="0"/>
              <w:rPr>
                <w:sz w:val="20"/>
                <w:szCs w:val="20"/>
                <w:color w:val="auto"/>
              </w:rPr>
            </w:pPr>
            <w:r>
              <w:rPr>
                <w:rFonts w:ascii="Arial" w:cs="Arial" w:eastAsia="Arial" w:hAnsi="Arial"/>
                <w:sz w:val="16"/>
                <w:szCs w:val="16"/>
                <w:color w:val="auto"/>
              </w:rPr>
              <w:t>PRE</w:t>
            </w:r>
          </w:p>
        </w:tc>
        <w:tc>
          <w:tcPr>
            <w:tcW w:w="5980" w:type="dxa"/>
            <w:vAlign w:val="bottom"/>
          </w:tcPr>
          <w:p>
            <w:pPr>
              <w:ind w:left="200"/>
              <w:spacing w:after="0"/>
              <w:rPr>
                <w:sz w:val="20"/>
                <w:szCs w:val="20"/>
                <w:color w:val="auto"/>
              </w:rPr>
            </w:pPr>
            <w:r>
              <w:rPr>
                <w:rFonts w:ascii="Arial" w:cs="Arial" w:eastAsia="Arial" w:hAnsi="Arial"/>
                <w:sz w:val="16"/>
                <w:szCs w:val="16"/>
                <w:color w:val="auto"/>
              </w:rPr>
              <w:t>Inline XBRL Taxonomy Extension Presentation Linkbase.</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97"/>
              </w:rPr>
              <w:t>104</w:t>
            </w:r>
          </w:p>
        </w:tc>
        <w:tc>
          <w:tcPr>
            <w:tcW w:w="520" w:type="dxa"/>
            <w:vAlign w:val="bottom"/>
          </w:tcPr>
          <w:p>
            <w:pPr>
              <w:spacing w:after="0"/>
              <w:rPr>
                <w:sz w:val="21"/>
                <w:szCs w:val="21"/>
                <w:color w:val="auto"/>
              </w:rPr>
            </w:pPr>
          </w:p>
        </w:tc>
        <w:tc>
          <w:tcPr>
            <w:tcW w:w="5980" w:type="dxa"/>
            <w:vAlign w:val="bottom"/>
          </w:tcPr>
          <w:p>
            <w:pPr>
              <w:ind w:left="200"/>
              <w:spacing w:after="0"/>
              <w:rPr>
                <w:sz w:val="20"/>
                <w:szCs w:val="20"/>
                <w:color w:val="auto"/>
              </w:rPr>
            </w:pPr>
            <w:r>
              <w:rPr>
                <w:rFonts w:ascii="Arial" w:cs="Arial" w:eastAsia="Arial" w:hAnsi="Arial"/>
                <w:sz w:val="16"/>
                <w:szCs w:val="16"/>
                <w:color w:val="auto"/>
                <w:w w:val="92"/>
              </w:rPr>
              <w:t>Cover Page Interactive Data File (the cover page interactive data file does not appear in</w:t>
            </w:r>
          </w:p>
        </w:tc>
        <w:tc>
          <w:tcPr>
            <w:tcW w:w="140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Arial" w:cs="Arial" w:eastAsia="Arial" w:hAnsi="Arial"/>
                <w:sz w:val="16"/>
                <w:szCs w:val="16"/>
                <w:color w:val="auto"/>
              </w:rPr>
              <w:t>Exhibit 104 because its Inline XBRL tags are embedded within the Inline XBRL</w:t>
            </w:r>
          </w:p>
        </w:tc>
        <w:tc>
          <w:tcPr>
            <w:tcW w:w="140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Arial" w:cs="Arial" w:eastAsia="Arial" w:hAnsi="Arial"/>
                <w:sz w:val="16"/>
                <w:szCs w:val="16"/>
                <w:color w:val="auto"/>
              </w:rPr>
              <w:t>document).</w:t>
            </w:r>
          </w:p>
        </w:tc>
        <w:tc>
          <w:tcPr>
            <w:tcW w:w="1400" w:type="dxa"/>
            <w:vAlign w:val="bottom"/>
          </w:tcPr>
          <w:p>
            <w:pPr>
              <w:spacing w:after="0"/>
              <w:rPr>
                <w:sz w:val="17"/>
                <w:szCs w:val="17"/>
                <w:color w:val="auto"/>
              </w:rPr>
            </w:pPr>
          </w:p>
        </w:tc>
      </w:tr>
    </w:tbl>
    <w:p>
      <w:pPr>
        <w:spacing w:after="0" w:line="200" w:lineRule="exact"/>
        <w:rPr>
          <w:sz w:val="20"/>
          <w:szCs w:val="20"/>
          <w:color w:val="auto"/>
        </w:rPr>
      </w:pPr>
    </w:p>
    <w:p>
      <w:pPr>
        <w:spacing w:after="0" w:line="228" w:lineRule="exact"/>
        <w:rPr>
          <w:sz w:val="20"/>
          <w:szCs w:val="20"/>
          <w:color w:val="auto"/>
        </w:rPr>
      </w:pPr>
    </w:p>
    <w:p>
      <w:pPr>
        <w:ind w:left="614" w:hanging="614"/>
        <w:spacing w:after="0"/>
        <w:tabs>
          <w:tab w:leader="none" w:pos="6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73" w:lineRule="exact"/>
        <w:rPr>
          <w:sz w:val="20"/>
          <w:szCs w:val="20"/>
          <w:color w:val="auto"/>
        </w:rPr>
      </w:pPr>
    </w:p>
    <w:p>
      <w:pPr>
        <w:jc w:val="both"/>
        <w:ind w:left="614" w:right="579" w:hanging="614"/>
        <w:spacing w:after="0" w:line="278" w:lineRule="auto"/>
        <w:tabs>
          <w:tab w:leader="none" w:pos="6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spacing w:after="0" w:line="4" w:lineRule="exact"/>
        <w:rPr>
          <w:sz w:val="20"/>
          <w:szCs w:val="20"/>
          <w:color w:val="auto"/>
        </w:rPr>
      </w:pPr>
    </w:p>
    <w:p>
      <w:pPr>
        <w:jc w:val="both"/>
        <w:ind w:left="614" w:right="579" w:hanging="614"/>
        <w:spacing w:after="0" w:line="211" w:lineRule="auto"/>
        <w:tabs>
          <w:tab w:leader="none" w:pos="614" w:val="left"/>
        </w:tabs>
        <w:numPr>
          <w:ilvl w:val="0"/>
          <w:numId w:val="28"/>
        </w:numPr>
        <w:rPr>
          <w:rFonts w:ascii="Arial" w:cs="Arial" w:eastAsia="Arial" w:hAnsi="Arial"/>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ertain portions of this Exhibit have been redacted pursuant to Item 601(b)(10)(iv) of Regulation S-K. The omitted information is (i) not</w:t>
      </w:r>
      <w:r>
        <w:rPr>
          <w:rFonts w:ascii="Arial" w:cs="Arial" w:eastAsia="Arial" w:hAnsi="Arial"/>
          <w:sz w:val="18"/>
          <w:szCs w:val="18"/>
          <w:color w:val="auto"/>
        </w:rPr>
        <w:t xml:space="preserve"> </w:t>
      </w:r>
      <w:r>
        <w:rPr>
          <w:rFonts w:ascii="Arial" w:cs="Arial" w:eastAsia="Arial" w:hAnsi="Arial"/>
          <w:sz w:val="16"/>
          <w:szCs w:val="16"/>
          <w:color w:val="auto"/>
        </w:rPr>
        <w:t>material and (ii) would likely cause competitive harm to the Company if publicly disclosed. The Company agrees to furnish supplementally an unredacted copy of this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14"/>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13"/>
          </w:cols>
          <w:pgMar w:left="346" w:top="953" w:right="1440"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w:t>
      </w:r>
    </w:p>
    <w:p>
      <w:pPr>
        <w:sectPr>
          <w:pgSz w:w="11900" w:h="16838" w:orient="portrait"/>
          <w:cols w:equalWidth="0" w:num="1">
            <w:col w:w="11220"/>
          </w:cols>
          <w:pgMar w:left="320" w:top="891" w:right="35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CLEARWAY ENERGY,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2854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w:t>
      </w:r>
    </w:p>
    <w:p>
      <w:pPr>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ectPr>
          <w:pgSz w:w="11900" w:h="16838" w:orient="portrait"/>
          <w:cols w:equalWidth="0" w:num="2">
            <w:col w:w="6000" w:space="720"/>
            <w:col w:w="450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320" w:top="891" w:right="35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31750</wp:posOffset>
            </wp:positionV>
            <wp:extent cx="1920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Sotos</w:t>
      </w:r>
    </w:p>
    <w:p>
      <w:pPr>
        <w:ind w:left="6960"/>
        <w:spacing w:after="0" w:line="203" w:lineRule="auto"/>
        <w:rPr>
          <w:sz w:val="20"/>
          <w:szCs w:val="20"/>
          <w:color w:val="auto"/>
        </w:rPr>
      </w:pPr>
      <w:r>
        <w:rPr>
          <w:rFonts w:ascii="Arial" w:cs="Arial" w:eastAsia="Arial" w:hAnsi="Arial"/>
          <w:sz w:val="18"/>
          <w:szCs w:val="18"/>
          <w:i w:val="1"/>
          <w:iCs w:val="1"/>
          <w:color w:val="auto"/>
        </w:rPr>
        <w:t>Chief Executive Officer</w:t>
      </w:r>
    </w:p>
    <w:p>
      <w:pPr>
        <w:ind w:left="696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240"/>
          </w:cols>
          <w:pgMar w:left="320" w:top="98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19716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240"/>
          </w:cols>
          <w:pgMar w:left="320" w:top="98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4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1809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Mary-Lee Stillwell</w:t>
      </w:r>
    </w:p>
    <w:p>
      <w:pPr>
        <w:ind w:left="7300"/>
        <w:spacing w:after="0" w:line="203" w:lineRule="auto"/>
        <w:rPr>
          <w:sz w:val="20"/>
          <w:szCs w:val="20"/>
          <w:color w:val="auto"/>
        </w:rPr>
      </w:pPr>
      <w:r>
        <w:rPr>
          <w:rFonts w:ascii="Arial" w:cs="Arial" w:eastAsia="Arial" w:hAnsi="Arial"/>
          <w:sz w:val="18"/>
          <w:szCs w:val="18"/>
          <w:i w:val="1"/>
          <w:iCs w:val="1"/>
          <w:color w:val="auto"/>
        </w:rPr>
        <w:t>Chief Accounting Officer</w:t>
      </w: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Inc. on Form 10-Q for the quarter ended March 31, 2020,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ind w:left="59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Accounting Officer</w:t>
      </w:r>
    </w:p>
    <w:p>
      <w:pPr>
        <w:ind w:left="590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amp;"/>
      <w:numFmt w:val="bullet"/>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2)"/>
      <w:numFmt w:val="lowerRoman"/>
      <w:start w:val="3"/>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decimal"/>
      <w:start w:val="177"/>
    </w:lvl>
  </w:abstractNum>
  <w:abstractNum w:abstractNumId="22">
    <w:nsid w:val="71F32454"/>
    <w:multiLevelType w:val="hybridMultilevel"/>
    <w:lvl w:ilvl="0">
      <w:lvlJc w:val="left"/>
      <w:lvlText w:val="1"/>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33" Type="http://schemas.openxmlformats.org/officeDocument/2006/relationships/hyperlink" Target="http://www.sec.gov/Archives/edgar/data/1567683/000110465920056290/tm203404d2_ex3-1.htm" TargetMode="External"/><Relationship Id="rId134" Type="http://schemas.openxmlformats.org/officeDocument/2006/relationships/hyperlink" Target="http://www.sec.gov/Archives/edgar/data/1567683/000110465920002258/tm201233d1_ex4-1.htm" TargetMode="External"/><Relationship Id="rId135" Type="http://schemas.openxmlformats.org/officeDocument/2006/relationships/hyperlink" Target="http://www.sec.gov/Archives/edgar/data/1567683/000110465920002258/tm201233d1_ex4-2.htm" TargetMode="External"/><Relationship Id="rId136" Type="http://schemas.openxmlformats.org/officeDocument/2006/relationships/hyperlink" Target="http://www.sec.gov/Archives/edgar/data/1567683/000110465920002258/tm201233d1_ex4-3.htm" TargetMode="External"/><Relationship Id="rId137" Type="http://schemas.openxmlformats.org/officeDocument/2006/relationships/hyperlink" Target="http://www.sec.gov/Archives/edgar/data/1567683/000110465920028560/tm2011093d1_ex4-1.htm" TargetMode="External"/><Relationship Id="rId138" Type="http://schemas.openxmlformats.org/officeDocument/2006/relationships/hyperlink" Target="http://www.sec.gov/Archives/edgar/data/1567683/000110465920028560/tm2011093d1_ex4-2.htm" TargetMode="External"/><Relationship Id="rId139" Type="http://schemas.openxmlformats.org/officeDocument/2006/relationships/hyperlink" Target="http://www.sec.gov/Archives/edgar/data/1567683/000110465920028560/tm2011093d1_ex4-3.htm" TargetMode="External"/><Relationship Id="rId140" Type="http://schemas.openxmlformats.org/officeDocument/2006/relationships/hyperlink" Target="http://www.sec.gov/Archives/edgar/data/1567683/000156768320000008/clearwayincex102620191.htm" TargetMode="External"/><Relationship Id="rId141" Type="http://schemas.openxmlformats.org/officeDocument/2006/relationships/hyperlink" Target="http://www.sec.gov/Archives/edgar/data/1567683/000156768320000008/clearwayincex102720191.htm" TargetMode="External"/><Relationship Id="rId142" Type="http://schemas.openxmlformats.org/officeDocument/2006/relationships/hyperlink" Target="http://www.sec.gov/Archives/edgar/data/1567683/000156768320000008/clearwayincex102820191.htm" TargetMode="External"/><Relationship Id="rId143" Type="http://schemas.openxmlformats.org/officeDocument/2006/relationships/hyperlink" Target="http://www.sec.gov/Archives/edgar/data/1567683/000110465920048792/tm2016404d1_ex10-1.htm" TargetMode="External"/><Relationship Id="rId144" Type="http://schemas.openxmlformats.org/officeDocument/2006/relationships/hyperlink" Target="http://www.sec.gov/Archives/edgar/data/1567683/000110465920048792/tm2016404d1_ex10-2.htm" TargetMode="External"/><Relationship Id="rId145" Type="http://schemas.openxmlformats.org/officeDocument/2006/relationships/hyperlink" Target="http://www.sec.gov/Archives/edgar/data/1567683/000110465920048792/tm2016404d1_ex10-3.htm" TargetMode="External"/><Relationship Id="rId146" Type="http://schemas.openxmlformats.org/officeDocument/2006/relationships/hyperlink" Target="http://www.sec.gov/Archives/edgar/data/1567683/000110465920048792/tm2016404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2020-05-07T10:58:14Z</dcterms:created>
  <dcterms:modified xsi:type="dcterms:W3CDTF">2020-05-07T10:58:14Z</dcterms:modified>
</cp:coreProperties>
</file>