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2052023_091204.xml.htm"/>
      <w:bookmarkStart w:id="1" w:name="ksform412052023_0912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More Daniel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CLEARWAY ENERGY,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CARNEGIE CENTER,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12/01/2023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12/01/2023</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744</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48,131</w:t>
            </w:r>
            <w:r>
              <w:rPr>
                <w:rFonts w:ascii="Times;serif" w:hAnsi="Times;serif"/>
                <w:color w:val="008000"/>
                <w:position w:val="7"/>
                <w:sz w:val="16"/>
                <w:sz w:val="20"/>
                <w:shd w:fill="FFFFFF" w:val="clear"/>
              </w:rPr>
              <w:t>(2)</w:t>
            </w:r>
            <w:r>
              <w:rPr/>
              <w:t xml:space="preserve"> </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accrued on the Reporting Person's Deferred Stock Units, which become exercisable proportionately with the Deferred Stock Units to which they relate and may only be settled in Class C Common Stock of Clearway Energy,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6,959 dividend equivalent rights that may only be settled in Class C Common Stock. There has been a de minimus adjustment of 1 share to the number of dividend equivalent rights as a result of rounding fractional shares.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P. Malcarney,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12/05/2023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39398"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3486</Characters>
  <CharactersWithSpaces>4068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