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29,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33"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33"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33"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Title of each class</w:t>
            </w:r>
          </w:p>
        </w:tc>
        <w:tc>
          <w:tcPr>
            <w:tcW w:w="28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Trading Symbol(s)</w:t>
            </w:r>
          </w:p>
        </w:tc>
        <w:tc>
          <w:tcPr>
            <w:tcW w:w="42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1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80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7"/>
              </w:rPr>
              <w:t>CWEN.A</w:t>
            </w:r>
          </w:p>
        </w:tc>
        <w:tc>
          <w:tcPr>
            <w:tcW w:w="4260" w:type="dxa"/>
            <w:vAlign w:val="bottom"/>
          </w:tcPr>
          <w:p>
            <w:pPr>
              <w:jc w:val="center"/>
              <w:ind w:left="23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89"/>
              </w:rPr>
              <w:t>Class C Common Stock, par value $0.01</w:t>
            </w:r>
          </w:p>
        </w:tc>
        <w:tc>
          <w:tcPr>
            <w:tcW w:w="2800" w:type="dxa"/>
            <w:vAlign w:val="bottom"/>
          </w:tcPr>
          <w:p>
            <w:pPr>
              <w:jc w:val="center"/>
              <w:ind w:left="10"/>
              <w:spacing w:after="0"/>
              <w:rPr>
                <w:sz w:val="20"/>
                <w:szCs w:val="20"/>
                <w:color w:val="auto"/>
              </w:rPr>
            </w:pPr>
            <w:r>
              <w:rPr>
                <w:rFonts w:ascii="Arial" w:cs="Arial" w:eastAsia="Arial" w:hAnsi="Arial"/>
                <w:sz w:val="18"/>
                <w:szCs w:val="18"/>
                <w:color w:val="auto"/>
                <w:w w:val="98"/>
              </w:rPr>
              <w:t>CWEN</w:t>
            </w:r>
          </w:p>
        </w:tc>
        <w:tc>
          <w:tcPr>
            <w:tcW w:w="4260" w:type="dxa"/>
            <w:vAlign w:val="bottom"/>
          </w:tcPr>
          <w:p>
            <w:pPr>
              <w:jc w:val="center"/>
              <w:ind w:left="23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ind w:left="1360" w:right="1080" w:hanging="1295"/>
        <w:spacing w:after="0" w:line="282" w:lineRule="auto"/>
        <w:tabs>
          <w:tab w:leader="none" w:pos="13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firstLine="648"/>
        <w:spacing w:after="0" w:line="273" w:lineRule="auto"/>
        <w:rPr>
          <w:rFonts w:ascii="Arial" w:cs="Arial" w:eastAsia="Arial" w:hAnsi="Arial"/>
          <w:sz w:val="17"/>
          <w:szCs w:val="17"/>
          <w:color w:val="auto"/>
        </w:rPr>
      </w:pPr>
      <w:r>
        <w:rPr>
          <w:rFonts w:ascii="Arial" w:cs="Arial" w:eastAsia="Arial" w:hAnsi="Arial"/>
          <w:sz w:val="17"/>
          <w:szCs w:val="17"/>
          <w:color w:val="auto"/>
        </w:rPr>
        <w:t>Clearway Energy, Inc. (the “</w:t>
      </w:r>
      <w:r>
        <w:rPr>
          <w:rFonts w:ascii="Arial" w:cs="Arial" w:eastAsia="Arial" w:hAnsi="Arial"/>
          <w:sz w:val="17"/>
          <w:szCs w:val="17"/>
          <w:u w:val="single" w:color="auto"/>
          <w:color w:val="auto"/>
        </w:rPr>
        <w:t>Company</w:t>
      </w:r>
      <w:r>
        <w:rPr>
          <w:rFonts w:ascii="Arial" w:cs="Arial" w:eastAsia="Arial" w:hAnsi="Arial"/>
          <w:sz w:val="17"/>
          <w:szCs w:val="17"/>
          <w:color w:val="auto"/>
        </w:rPr>
        <w:t>”) held its Annual Meeting of Stockholders (the “</w:t>
      </w:r>
      <w:r>
        <w:rPr>
          <w:rFonts w:ascii="Arial" w:cs="Arial" w:eastAsia="Arial" w:hAnsi="Arial"/>
          <w:sz w:val="17"/>
          <w:szCs w:val="17"/>
          <w:u w:val="single" w:color="auto"/>
          <w:color w:val="auto"/>
        </w:rPr>
        <w:t>Annual Meeting</w:t>
      </w:r>
      <w:r>
        <w:rPr>
          <w:rFonts w:ascii="Arial" w:cs="Arial" w:eastAsia="Arial" w:hAnsi="Arial"/>
          <w:sz w:val="17"/>
          <w:szCs w:val="17"/>
          <w:color w:val="auto"/>
        </w:rPr>
        <w:t>”) on April 29, 2021. At the Annual Meeting, as discussed below, the shareholders approved the amendment and restatement of the Company’s Amended and Restated 2013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xml:space="preserve">”) to increase the number of shares of common stock available for issuance under the Plan from 2,000,000 shares to 4,500,000 shares and to make certain additional changes. A description of the terms and conditions of the Plan is included in the Company’s </w:t>
      </w:r>
      <w:hyperlink r:id="rId13">
        <w:r>
          <w:rPr>
            <w:rFonts w:ascii="Arial" w:cs="Arial" w:eastAsia="Arial" w:hAnsi="Arial"/>
            <w:sz w:val="17"/>
            <w:szCs w:val="17"/>
            <w:u w:val="single" w:color="auto"/>
            <w:color w:val="0000EE"/>
          </w:rPr>
          <w:t>definitive proxy statement</w:t>
        </w:r>
      </w:hyperlink>
      <w:r>
        <w:rPr>
          <w:rFonts w:ascii="Arial" w:cs="Arial" w:eastAsia="Arial" w:hAnsi="Arial"/>
          <w:sz w:val="17"/>
          <w:szCs w:val="17"/>
          <w:color w:val="auto"/>
        </w:rPr>
        <w:t>, which was filed with the Securities and Exchange Commission on March 17, 2021 and is incorporated herein by reference. Such description is qualified in its entirety by reference to the full text of the Plan, which is filed as Exhibit 10.1 to this Current Report.</w:t>
      </w:r>
    </w:p>
    <w:p>
      <w:pPr>
        <w:spacing w:after="0" w:line="174"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Set forth below are the final voting results for each of the proposals submitted to a vote of the stockholders at the Company’s Annual Meeting held on April 29,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(a) Proposal 1 – Election of nine directors</w:t>
            </w: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Votes For</w:t>
            </w:r>
          </w:p>
        </w:tc>
        <w:tc>
          <w:tcPr>
            <w:tcW w:w="2460" w:type="dxa"/>
            <w:vAlign w:val="bottom"/>
            <w:gridSpan w:val="2"/>
          </w:tcPr>
          <w:p>
            <w:pPr>
              <w:ind w:left="760"/>
              <w:spacing w:after="0"/>
              <w:rPr>
                <w:sz w:val="20"/>
                <w:szCs w:val="20"/>
                <w:color w:val="auto"/>
              </w:rPr>
            </w:pPr>
            <w:r>
              <w:rPr>
                <w:rFonts w:ascii="Arial" w:cs="Arial" w:eastAsia="Arial" w:hAnsi="Arial"/>
                <w:sz w:val="18"/>
                <w:szCs w:val="18"/>
                <w:b w:val="1"/>
                <w:bCs w:val="1"/>
                <w:color w:val="auto"/>
              </w:rPr>
              <w:t>Withheld</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Jonathan Bram</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56,663,659</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10,230,564</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Brian R. Ford</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61,856,035</w:t>
            </w:r>
          </w:p>
        </w:tc>
        <w:tc>
          <w:tcPr>
            <w:tcW w:w="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5,038,188</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Nathaniel Anschuetz</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59,195,685</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7,698,538</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Bruce MacLennan</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59,202,806</w:t>
            </w:r>
          </w:p>
        </w:tc>
        <w:tc>
          <w:tcPr>
            <w:tcW w:w="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7,691,417</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Ferrell P. McClean</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60,961,119</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5,933,104</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Daniel B. More</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61,865,351</w:t>
            </w:r>
          </w:p>
        </w:tc>
        <w:tc>
          <w:tcPr>
            <w:tcW w:w="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5,028,872</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Stanley O’Neal</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66,440,142</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454,081</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Christopher S. Sotos</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58,005,110</w:t>
            </w:r>
          </w:p>
        </w:tc>
        <w:tc>
          <w:tcPr>
            <w:tcW w:w="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8,889,113</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Stanley</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59,203,474</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7,690,749</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the foregoing Proposal 1, all nine directors were elected and each received a plurality of the votes cast at the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 Proposal 2 — Advisory vote on the Company’s executive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Votes For</w:t>
            </w:r>
          </w:p>
        </w:tc>
        <w:tc>
          <w:tcPr>
            <w:tcW w:w="2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Abstentions</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304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66,202,910</w:t>
            </w:r>
          </w:p>
        </w:tc>
        <w:tc>
          <w:tcPr>
            <w:tcW w:w="2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546,555</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144,758</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2,963,644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The foregoing Proposal 2 was approved.</w:t>
            </w: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5"/>
        </w:trPr>
        <w:tc>
          <w:tcPr>
            <w:tcW w:w="3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(c) Proposal 3 – Approval of the amendment and restatement of the Plan, as described above under Item 5.02 of this Current Report on Form 8-K</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Votes For</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Votes Against</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Abstentions</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4060" w:type="dxa"/>
            <w:vAlign w:val="bottom"/>
            <w:tcBorders>
              <w:top w:val="single" w:sz="8" w:color="auto"/>
            </w:tcBorders>
            <w:shd w:val="clear" w:color="auto" w:fill="CCEEFF"/>
          </w:tcPr>
          <w:p>
            <w:pPr>
              <w:jc w:val="right"/>
              <w:ind w:right="1530"/>
              <w:spacing w:after="0"/>
              <w:rPr>
                <w:sz w:val="20"/>
                <w:szCs w:val="20"/>
                <w:color w:val="auto"/>
              </w:rPr>
            </w:pPr>
            <w:r>
              <w:rPr>
                <w:rFonts w:ascii="Arial" w:cs="Arial" w:eastAsia="Arial" w:hAnsi="Arial"/>
                <w:sz w:val="18"/>
                <w:szCs w:val="18"/>
                <w:color w:val="auto"/>
              </w:rPr>
              <w:t>65,245,027</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1,559,671</w:t>
            </w: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89,524</w:t>
            </w: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2,963,644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color w:val="auto"/>
              </w:rPr>
              <w:t>The foregoing Proposal 3 was approved.</w:t>
            </w: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right="26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Proposal 4 – Ratification of the Appointment of Ernst &amp; Young LLP as the Company’s Independent Registered Public Accounting Firm for the 2021 fiscal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326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89"/>
              </w:rPr>
              <w:t>Votes For</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Votes Against</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Abstentions</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1020" w:type="dxa"/>
            <w:vAlign w:val="bottom"/>
            <w:tcBorders>
              <w:top w:val="single" w:sz="8" w:color="auto"/>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jc w:val="right"/>
              <w:ind w:right="1530"/>
              <w:spacing w:after="0"/>
              <w:rPr>
                <w:sz w:val="20"/>
                <w:szCs w:val="20"/>
                <w:color w:val="auto"/>
              </w:rPr>
            </w:pPr>
            <w:r>
              <w:rPr>
                <w:rFonts w:ascii="Arial" w:cs="Arial" w:eastAsia="Arial" w:hAnsi="Arial"/>
                <w:sz w:val="18"/>
                <w:szCs w:val="18"/>
                <w:color w:val="auto"/>
              </w:rPr>
              <w:t>69,667,416</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156,505</w:t>
            </w: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33,945</w:t>
            </w: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4280" w:type="dxa"/>
            <w:vAlign w:val="bottom"/>
            <w:gridSpan w:val="3"/>
          </w:tcPr>
          <w:p>
            <w:pPr>
              <w:spacing w:after="0"/>
              <w:rPr>
                <w:sz w:val="20"/>
                <w:szCs w:val="20"/>
                <w:color w:val="auto"/>
              </w:rPr>
            </w:pPr>
            <w:r>
              <w:rPr>
                <w:rFonts w:ascii="Arial" w:cs="Arial" w:eastAsia="Arial" w:hAnsi="Arial"/>
                <w:sz w:val="18"/>
                <w:szCs w:val="18"/>
                <w:color w:val="auto"/>
              </w:rPr>
              <w:t>The foregoing Proposal 4 was approved.</w:t>
            </w: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3260" w:type="dxa"/>
            <w:vAlign w:val="bottom"/>
            <w:gridSpan w:val="2"/>
          </w:tcPr>
          <w:p>
            <w:pPr>
              <w:ind w:left="280"/>
              <w:spacing w:after="0"/>
              <w:rPr>
                <w:sz w:val="20"/>
                <w:szCs w:val="20"/>
                <w:color w:val="auto"/>
              </w:rPr>
            </w:pPr>
            <w:r>
              <w:rPr>
                <w:rFonts w:ascii="Arial" w:cs="Arial" w:eastAsia="Arial" w:hAnsi="Arial"/>
                <w:sz w:val="18"/>
                <w:szCs w:val="18"/>
                <w:b w:val="1"/>
                <w:bCs w:val="1"/>
                <w:color w:val="auto"/>
                <w:w w:val="99"/>
              </w:rPr>
              <w:t>Financial Statements and Exhibits.</w:t>
            </w: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9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0000" w:type="dxa"/>
            <w:vAlign w:val="bottom"/>
            <w:gridSpan w:val="2"/>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6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w:t>
              </w:r>
              <w:r>
                <w:rPr>
                  <w:rFonts w:ascii="Arial" w:cs="Arial" w:eastAsia="Arial" w:hAnsi="Arial"/>
                  <w:sz w:val="18"/>
                  <w:szCs w:val="18"/>
                  <w:color w:val="0000EE"/>
                  <w:w w:val="93"/>
                </w:rPr>
                <w:t xml:space="preserve"> *</w:t>
              </w:r>
            </w:hyperlink>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Borders>
              <w:top w:val="single" w:sz="8" w:color="auto"/>
              <w:bottom w:val="single" w:sz="8" w:color="0000EE"/>
            </w:tcBorders>
          </w:tcPr>
          <w:p>
            <w:pPr>
              <w:ind w:left="20"/>
              <w:spacing w:after="0" w:line="169"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Clearway Energy, Inc. Amended and Restated 2013 Equity Incentive Plan, as amended and restated effective February 19, 2021</w:t>
              </w:r>
            </w:hyperlink>
          </w:p>
        </w:tc>
        <w:tc>
          <w:tcPr>
            <w:tcW w:w="780" w:type="dxa"/>
            <w:vAlign w:val="bottom"/>
            <w:tcBorders>
              <w:top w:val="single" w:sz="8" w:color="auto"/>
            </w:tcBorders>
          </w:tcPr>
          <w:p>
            <w:pPr>
              <w:spacing w:after="0"/>
              <w:rPr>
                <w:sz w:val="14"/>
                <w:szCs w:val="14"/>
                <w:color w:val="auto"/>
              </w:rPr>
            </w:pPr>
          </w:p>
        </w:tc>
      </w:tr>
    </w:tbl>
    <w:p>
      <w:pPr>
        <w:spacing w:after="0" w:line="13" w:lineRule="exact"/>
        <w:rPr>
          <w:sz w:val="20"/>
          <w:szCs w:val="20"/>
          <w:color w:val="auto"/>
        </w:rPr>
      </w:pPr>
    </w:p>
    <w:p>
      <w:pPr>
        <w:ind w:left="500" w:right="4220" w:hanging="492"/>
        <w:spacing w:after="0" w:line="684" w:lineRule="auto"/>
        <w:tabs>
          <w:tab w:leader="none" w:pos="1256"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Amended and Restated Effective February 19, 2021)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Clearway Energy, Inc. (the “</w:t>
      </w:r>
      <w:r>
        <w:rPr>
          <w:rFonts w:ascii="Arial" w:cs="Arial" w:eastAsia="Arial" w:hAnsi="Arial"/>
          <w:sz w:val="18"/>
          <w:szCs w:val="18"/>
          <w:i w:val="1"/>
          <w:iCs w:val="1"/>
          <w:color w:val="auto"/>
        </w:rPr>
        <w:t>Company</w:t>
      </w:r>
      <w:r>
        <w:rPr>
          <w:rFonts w:ascii="Arial" w:cs="Arial" w:eastAsia="Arial" w:hAnsi="Arial"/>
          <w:sz w:val="18"/>
          <w:szCs w:val="18"/>
          <w:color w:val="auto"/>
        </w:rPr>
        <w:t>”) previously established the Clearway Energy, Inc. 2013 Equity Incentive Plan (the “</w:t>
      </w:r>
      <w:r>
        <w:rPr>
          <w:rFonts w:ascii="Arial" w:cs="Arial" w:eastAsia="Arial" w:hAnsi="Arial"/>
          <w:sz w:val="18"/>
          <w:szCs w:val="18"/>
          <w:i w:val="1"/>
          <w:iCs w:val="1"/>
          <w:color w:val="auto"/>
        </w:rPr>
        <w:t>Plan</w:t>
      </w:r>
      <w:r>
        <w:rPr>
          <w:rFonts w:ascii="Arial" w:cs="Arial" w:eastAsia="Arial" w:hAnsi="Arial"/>
          <w:sz w:val="18"/>
          <w:szCs w:val="18"/>
          <w:color w:val="auto"/>
        </w:rPr>
        <w:t>”) as of July 16, 2013. The Plan was subsequently amended and restated effective as of May 14, 2015 and is hereby amended and restated, effective as of February 19, 2021, to increase the number of Shares (as defined below) available for issuance thereunder and to reflect other minor technical changes. Capitalized terms used herein without definition shall have the respective meanings assigned to them in Section 2.</w:t>
      </w:r>
    </w:p>
    <w:p>
      <w:pPr>
        <w:spacing w:after="0" w:line="187"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purpose of the Plan shall be to promote the long-term growth and profitability of the Company and its Affiliates by (a) providing certain directors, officers and employees of, and certain other individuals who perform services for, or to whom an offer of employment has been extended by, the Company and its Affiliates with incentives to maximize shareholder value and otherwise contribute to the success of the Company and (b) enabling the Company to attract, retain and reward the best available persons for positions of responsibility. Grants of Incentive Stock Options or Non-qualified Stock Options, Stock Appreciation Rights, either alone or in tandem with Options, Restricted Stock, Restricted Stock Units, Performance Awards, Deferred Stock Units, Other Stock-Based Awards or Other Cash-Based Awards, or any combination of the foregoing (collectively, the “</w:t>
      </w:r>
      <w:r>
        <w:rPr>
          <w:rFonts w:ascii="Arial" w:cs="Arial" w:eastAsia="Arial" w:hAnsi="Arial"/>
          <w:sz w:val="16"/>
          <w:szCs w:val="16"/>
          <w:i w:val="1"/>
          <w:iCs w:val="1"/>
          <w:color w:val="auto"/>
        </w:rPr>
        <w:t>Awards</w:t>
      </w:r>
      <w:r>
        <w:rPr>
          <w:rFonts w:ascii="Arial" w:cs="Arial" w:eastAsia="Arial" w:hAnsi="Arial"/>
          <w:sz w:val="16"/>
          <w:szCs w:val="16"/>
          <w:color w:val="auto"/>
        </w:rPr>
        <w:t>”) may be made under the Plan. Notwithstanding any provision of the Plan, to the extent that any Award would be subject to Section 409A of the Code, no such Award may be granted if it would fail to comply with the requirements set forth in Section 409A of the Code and any regulations or guidance promulgated thereunder.</w:t>
      </w:r>
    </w:p>
    <w:p>
      <w:pPr>
        <w:spacing w:after="0" w:line="165"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Definitions.</w:t>
      </w:r>
    </w:p>
    <w:p>
      <w:pPr>
        <w:spacing w:after="0" w:line="225" w:lineRule="exact"/>
        <w:rPr>
          <w:rFonts w:ascii="Arial" w:cs="Arial" w:eastAsia="Arial" w:hAnsi="Arial"/>
          <w:sz w:val="18"/>
          <w:szCs w:val="18"/>
          <w:b w:val="1"/>
          <w:bCs w:val="1"/>
          <w:color w:val="010000"/>
        </w:rPr>
      </w:pPr>
    </w:p>
    <w:p>
      <w:pPr>
        <w:jc w:val="both"/>
        <w:ind w:firstLine="656"/>
        <w:spacing w:after="0" w:line="254" w:lineRule="auto"/>
        <w:tabs>
          <w:tab w:leader="none" w:pos="1374" w:val="left"/>
        </w:tabs>
        <w:numPr>
          <w:ilvl w:val="1"/>
          <w:numId w:val="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each of the following: (i) any Subsidiary; (ii) any Parent; (iii) any corporation, trade or business (including, without limitation, a partnership or limited liability company) which is directly or indirectly controlled 50% or more (whether by ownership of stock, assets or an equivalent ownership interest or voting interest) by the Company or one of its Affiliates; (iv) any trade or business (including, without limitation, a partnership or limited liability company) which directly or indirectly controls 50% or more (whether by ownership of stock, assets or an equivalent ownership interest or voting interest) of the Company; and (v) any other entity in which the Company or any of its Affiliates has a material equity interest and which is designated as an “Affiliate” by resolution of the Committee; provided that, unless otherwise determined by the Committee, the Common Stock subject to any Award constitutes “service recipient stock” for purposes of Section 409A of the Code or otherwise does not subject the Award to Section 409A of the Code.</w:t>
      </w:r>
    </w:p>
    <w:p>
      <w:pPr>
        <w:spacing w:after="0" w:line="191" w:lineRule="exact"/>
        <w:rPr>
          <w:rFonts w:ascii="Arial" w:cs="Arial" w:eastAsia="Arial" w:hAnsi="Arial"/>
          <w:sz w:val="18"/>
          <w:szCs w:val="18"/>
          <w:color w:val="010000"/>
        </w:rPr>
      </w:pPr>
    </w:p>
    <w:p>
      <w:pPr>
        <w:ind w:left="1400" w:hanging="744"/>
        <w:spacing w:after="0"/>
        <w:tabs>
          <w:tab w:leader="none" w:pos="1400" w:val="left"/>
        </w:tabs>
        <w:numPr>
          <w:ilvl w:val="1"/>
          <w:numId w:val="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Awards</w:t>
      </w:r>
      <w:r>
        <w:rPr>
          <w:rFonts w:ascii="Arial" w:cs="Arial" w:eastAsia="Arial" w:hAnsi="Arial"/>
          <w:sz w:val="18"/>
          <w:szCs w:val="18"/>
          <w:color w:val="auto"/>
        </w:rPr>
        <w:t>” shall have the meaning given to such term in Section 1 above.</w:t>
      </w:r>
    </w:p>
    <w:p>
      <w:pPr>
        <w:spacing w:after="0" w:line="225" w:lineRule="exact"/>
        <w:rPr>
          <w:rFonts w:ascii="Arial" w:cs="Arial" w:eastAsia="Arial" w:hAnsi="Arial"/>
          <w:sz w:val="18"/>
          <w:szCs w:val="18"/>
          <w:color w:val="010000"/>
        </w:rPr>
      </w:pPr>
    </w:p>
    <w:p>
      <w:pPr>
        <w:ind w:left="1400" w:hanging="744"/>
        <w:spacing w:after="0"/>
        <w:tabs>
          <w:tab w:leader="none" w:pos="1400" w:val="left"/>
        </w:tabs>
        <w:numPr>
          <w:ilvl w:val="1"/>
          <w:numId w:val="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firstLine="656"/>
        <w:spacing w:after="0" w:line="263" w:lineRule="auto"/>
        <w:tabs>
          <w:tab w:leader="none" w:pos="137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unless otherwise defined in a Participant’s Grant Agreement or in a Participant’s written employment arrangements with the Company or any of its Subsidiaries in effect on the date of grant (as amended from time to time thereafter), means the occurrence of one or more of the following events:</w:t>
      </w:r>
    </w:p>
    <w:p>
      <w:pPr>
        <w:spacing w:after="0" w:line="183" w:lineRule="exact"/>
        <w:rPr>
          <w:rFonts w:ascii="Arial" w:cs="Arial" w:eastAsia="Arial" w:hAnsi="Arial"/>
          <w:sz w:val="18"/>
          <w:szCs w:val="18"/>
          <w:color w:val="010000"/>
        </w:rPr>
      </w:pPr>
    </w:p>
    <w:p>
      <w:pPr>
        <w:ind w:left="660" w:firstLine="644"/>
        <w:spacing w:after="0" w:line="277" w:lineRule="auto"/>
        <w:tabs>
          <w:tab w:leader="none" w:pos="1937" w:val="left"/>
        </w:tabs>
        <w:numPr>
          <w:ilvl w:val="1"/>
          <w:numId w:val="6"/>
        </w:numPr>
        <w:rPr>
          <w:rFonts w:ascii="Arial" w:cs="Arial" w:eastAsia="Arial" w:hAnsi="Arial"/>
          <w:sz w:val="18"/>
          <w:szCs w:val="18"/>
          <w:color w:val="010000"/>
        </w:rPr>
      </w:pPr>
      <w:r>
        <w:rPr>
          <w:rFonts w:ascii="Arial" w:cs="Arial" w:eastAsia="Arial" w:hAnsi="Arial"/>
          <w:sz w:val="18"/>
          <w:szCs w:val="18"/>
          <w:color w:val="auto"/>
        </w:rPr>
        <w:t>Conviction of, or agreement to a plea of nolo contendere to, a felony, or any crime or offense lesser than a felony involving the property of the Company or a Subsidiary; or</w:t>
      </w:r>
    </w:p>
    <w:p>
      <w:pPr>
        <w:spacing w:after="0" w:line="170" w:lineRule="exact"/>
        <w:rPr>
          <w:rFonts w:ascii="Arial" w:cs="Arial" w:eastAsia="Arial" w:hAnsi="Arial"/>
          <w:sz w:val="18"/>
          <w:szCs w:val="18"/>
          <w:color w:val="010000"/>
        </w:rPr>
      </w:pPr>
    </w:p>
    <w:p>
      <w:pPr>
        <w:ind w:left="1980" w:hanging="676"/>
        <w:spacing w:after="0"/>
        <w:tabs>
          <w:tab w:leader="none" w:pos="1980" w:val="left"/>
        </w:tabs>
        <w:numPr>
          <w:ilvl w:val="1"/>
          <w:numId w:val="6"/>
        </w:numPr>
        <w:rPr>
          <w:rFonts w:ascii="Arial" w:cs="Arial" w:eastAsia="Arial" w:hAnsi="Arial"/>
          <w:sz w:val="17"/>
          <w:szCs w:val="17"/>
          <w:color w:val="010000"/>
        </w:rPr>
      </w:pPr>
      <w:r>
        <w:rPr>
          <w:rFonts w:ascii="Arial" w:cs="Arial" w:eastAsia="Arial" w:hAnsi="Arial"/>
          <w:sz w:val="17"/>
          <w:szCs w:val="17"/>
          <w:color w:val="auto"/>
        </w:rPr>
        <w:t>Conduct that has caused demonstrable and serious injury to the Company or a Subsidiary, monetary or otherwise; or</w:t>
      </w:r>
    </w:p>
    <w:p>
      <w:pPr>
        <w:spacing w:after="0" w:line="236" w:lineRule="exact"/>
        <w:rPr>
          <w:rFonts w:ascii="Arial" w:cs="Arial" w:eastAsia="Arial" w:hAnsi="Arial"/>
          <w:sz w:val="17"/>
          <w:szCs w:val="17"/>
          <w:color w:val="010000"/>
        </w:rPr>
      </w:pPr>
    </w:p>
    <w:p>
      <w:pPr>
        <w:ind w:left="2020" w:hanging="716"/>
        <w:spacing w:after="0"/>
        <w:tabs>
          <w:tab w:leader="none" w:pos="2020" w:val="left"/>
        </w:tabs>
        <w:numPr>
          <w:ilvl w:val="1"/>
          <w:numId w:val="6"/>
        </w:numPr>
        <w:rPr>
          <w:rFonts w:ascii="Arial" w:cs="Arial" w:eastAsia="Arial" w:hAnsi="Arial"/>
          <w:sz w:val="18"/>
          <w:szCs w:val="18"/>
          <w:color w:val="010000"/>
        </w:rPr>
      </w:pPr>
      <w:r>
        <w:rPr>
          <w:rFonts w:ascii="Arial" w:cs="Arial" w:eastAsia="Arial" w:hAnsi="Arial"/>
          <w:sz w:val="18"/>
          <w:szCs w:val="18"/>
          <w:color w:val="auto"/>
        </w:rPr>
        <w:t>Willful refusal to perform or substantial disregard of duties properly assigned, as determined by the Company; or</w:t>
      </w:r>
    </w:p>
    <w:p>
      <w:pPr>
        <w:spacing w:after="0" w:line="225" w:lineRule="exact"/>
        <w:rPr>
          <w:rFonts w:ascii="Arial" w:cs="Arial" w:eastAsia="Arial" w:hAnsi="Arial"/>
          <w:sz w:val="18"/>
          <w:szCs w:val="18"/>
          <w:color w:val="010000"/>
        </w:rPr>
      </w:pPr>
    </w:p>
    <w:p>
      <w:pPr>
        <w:ind w:left="2020" w:hanging="716"/>
        <w:spacing w:after="0"/>
        <w:tabs>
          <w:tab w:leader="none" w:pos="2020" w:val="left"/>
        </w:tabs>
        <w:numPr>
          <w:ilvl w:val="1"/>
          <w:numId w:val="6"/>
        </w:numPr>
        <w:rPr>
          <w:rFonts w:ascii="Arial" w:cs="Arial" w:eastAsia="Arial" w:hAnsi="Arial"/>
          <w:sz w:val="16"/>
          <w:szCs w:val="16"/>
          <w:color w:val="010000"/>
        </w:rPr>
      </w:pPr>
      <w:r>
        <w:rPr>
          <w:rFonts w:ascii="Arial" w:cs="Arial" w:eastAsia="Arial" w:hAnsi="Arial"/>
          <w:sz w:val="16"/>
          <w:szCs w:val="16"/>
          <w:color w:val="auto"/>
        </w:rPr>
        <w:t>Breach of duty of loyalty to the Company or a Subsidiary or other act of fraud or dishonesty with respect to the Company or a</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Subsidiary; or</w:t>
      </w:r>
    </w:p>
    <w:p>
      <w:pPr>
        <w:spacing w:after="0" w:line="210" w:lineRule="exact"/>
        <w:rPr>
          <w:rFonts w:ascii="Arial" w:cs="Arial" w:eastAsia="Arial" w:hAnsi="Arial"/>
          <w:sz w:val="16"/>
          <w:szCs w:val="16"/>
          <w:color w:val="010000"/>
        </w:rPr>
      </w:pPr>
    </w:p>
    <w:p>
      <w:pPr>
        <w:ind w:left="2060" w:hanging="756"/>
        <w:spacing w:after="0"/>
        <w:tabs>
          <w:tab w:leader="none" w:pos="2060" w:val="left"/>
        </w:tabs>
        <w:numPr>
          <w:ilvl w:val="1"/>
          <w:numId w:val="6"/>
        </w:numPr>
        <w:rPr>
          <w:rFonts w:ascii="Arial" w:cs="Arial" w:eastAsia="Arial" w:hAnsi="Arial"/>
          <w:sz w:val="18"/>
          <w:szCs w:val="18"/>
          <w:color w:val="010000"/>
        </w:rPr>
      </w:pPr>
      <w:r>
        <w:rPr>
          <w:rFonts w:ascii="Arial" w:cs="Arial" w:eastAsia="Arial" w:hAnsi="Arial"/>
          <w:sz w:val="18"/>
          <w:szCs w:val="18"/>
          <w:color w:val="auto"/>
        </w:rPr>
        <w:t>Violation of the Company’s code of conduct.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definition of Cause set forth in a Participant’s Grant Agreement shall control if such definition is different from the definition of Cause set forth in a Participant’s written employment arrangements with the Company or any of its Subsidiaries.</w:t>
      </w:r>
    </w:p>
    <w:p>
      <w:pPr>
        <w:spacing w:after="0" w:line="170" w:lineRule="exact"/>
        <w:rPr>
          <w:sz w:val="20"/>
          <w:szCs w:val="20"/>
          <w:color w:val="auto"/>
        </w:rPr>
      </w:pPr>
    </w:p>
    <w:p>
      <w:pPr>
        <w:ind w:left="1360" w:hanging="704"/>
        <w:spacing w:after="0"/>
        <w:tabs>
          <w:tab w:leader="none" w:pos="1360" w:val="left"/>
        </w:tabs>
        <w:numPr>
          <w:ilvl w:val="0"/>
          <w:numId w:val="7"/>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means, unless otherwise defined in a Participant’s Grant Agreement, the occurrence of one of the following events:</w:t>
      </w:r>
    </w:p>
    <w:p>
      <w:pPr>
        <w:spacing w:after="0" w:line="248" w:lineRule="exact"/>
        <w:rPr>
          <w:rFonts w:ascii="Arial" w:cs="Arial" w:eastAsia="Arial" w:hAnsi="Arial"/>
          <w:sz w:val="16"/>
          <w:szCs w:val="16"/>
          <w:color w:val="010000"/>
        </w:rPr>
      </w:pPr>
    </w:p>
    <w:p>
      <w:pPr>
        <w:jc w:val="both"/>
        <w:ind w:left="660" w:firstLine="644"/>
        <w:spacing w:after="0" w:line="286" w:lineRule="auto"/>
        <w:tabs>
          <w:tab w:leader="none" w:pos="2193" w:val="left"/>
        </w:tabs>
        <w:numPr>
          <w:ilvl w:val="1"/>
          <w:numId w:val="7"/>
        </w:numPr>
        <w:rPr>
          <w:rFonts w:ascii="Arial" w:cs="Arial" w:eastAsia="Arial" w:hAnsi="Arial"/>
          <w:sz w:val="16"/>
          <w:szCs w:val="16"/>
          <w:color w:val="010000"/>
        </w:rPr>
      </w:pPr>
      <w:r>
        <w:rPr>
          <w:rFonts w:ascii="Arial" w:cs="Arial" w:eastAsia="Arial" w:hAnsi="Arial"/>
          <w:sz w:val="16"/>
          <w:szCs w:val="16"/>
          <w:color w:val="auto"/>
        </w:rPr>
        <w:t>Any “person” (as that term is used in Sections 13 and 14(d)(2) of the Exchange Act or any successors thereto), other than Clearway Energy Group LLC or one of its subsidiaries or affiliates, becomes the “beneficial owner” (as that term is used in Section 13(d) of the Exchange Act or any successor thereto), directly or indirectly, of 50% or more of the Company’s capital stock entitled to vote in the election of directors, excluding any “person” who becomes a “beneficial owner” in connection with a Business Combination (as defined in paragraph</w:t>
      </w:r>
    </w:p>
    <w:p>
      <w:pPr>
        <w:spacing w:after="0" w:line="1" w:lineRule="exact"/>
        <w:rPr>
          <w:rFonts w:ascii="Arial" w:cs="Arial" w:eastAsia="Arial" w:hAnsi="Arial"/>
          <w:sz w:val="16"/>
          <w:szCs w:val="16"/>
          <w:color w:val="010000"/>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below) which does not constitute a Change in Control under said paragraph (iii); or</w:t>
      </w:r>
    </w:p>
    <w:p>
      <w:pPr>
        <w:spacing w:after="0" w:line="210" w:lineRule="exact"/>
        <w:rPr>
          <w:rFonts w:ascii="Arial" w:cs="Arial" w:eastAsia="Arial" w:hAnsi="Arial"/>
          <w:sz w:val="18"/>
          <w:szCs w:val="18"/>
          <w:color w:val="auto"/>
        </w:rPr>
      </w:pPr>
    </w:p>
    <w:p>
      <w:pPr>
        <w:jc w:val="both"/>
        <w:ind w:left="660" w:firstLine="644"/>
        <w:spacing w:after="0" w:line="271" w:lineRule="auto"/>
        <w:tabs>
          <w:tab w:leader="none" w:pos="2022" w:val="left"/>
        </w:tabs>
        <w:numPr>
          <w:ilvl w:val="1"/>
          <w:numId w:val="8"/>
        </w:numPr>
        <w:rPr>
          <w:rFonts w:ascii="Arial" w:cs="Arial" w:eastAsia="Arial" w:hAnsi="Arial"/>
          <w:sz w:val="17"/>
          <w:szCs w:val="17"/>
          <w:color w:val="010000"/>
        </w:rPr>
      </w:pPr>
      <w:r>
        <w:rPr>
          <w:rFonts w:ascii="Arial" w:cs="Arial" w:eastAsia="Arial" w:hAnsi="Arial"/>
          <w:sz w:val="17"/>
          <w:szCs w:val="17"/>
          <w:color w:val="auto"/>
        </w:rPr>
        <w:t>Persons who on the Effective Date (the “</w:t>
      </w:r>
      <w:r>
        <w:rPr>
          <w:rFonts w:ascii="Arial" w:cs="Arial" w:eastAsia="Arial" w:hAnsi="Arial"/>
          <w:sz w:val="17"/>
          <w:szCs w:val="17"/>
          <w:i w:val="1"/>
          <w:iCs w:val="1"/>
          <w:color w:val="auto"/>
        </w:rPr>
        <w:t>Commencement Date</w:t>
      </w:r>
      <w:r>
        <w:rPr>
          <w:rFonts w:ascii="Arial" w:cs="Arial" w:eastAsia="Arial" w:hAnsi="Arial"/>
          <w:sz w:val="17"/>
          <w:szCs w:val="17"/>
          <w:color w:val="auto"/>
        </w:rPr>
        <w:t>”) constitute the Board (the “</w:t>
      </w:r>
      <w:r>
        <w:rPr>
          <w:rFonts w:ascii="Arial" w:cs="Arial" w:eastAsia="Arial" w:hAnsi="Arial"/>
          <w:sz w:val="17"/>
          <w:szCs w:val="17"/>
          <w:i w:val="1"/>
          <w:iCs w:val="1"/>
          <w:color w:val="auto"/>
        </w:rPr>
        <w:t>Incumbent Directors</w:t>
      </w:r>
      <w:r>
        <w:rPr>
          <w:rFonts w:ascii="Arial" w:cs="Arial" w:eastAsia="Arial" w:hAnsi="Arial"/>
          <w:sz w:val="17"/>
          <w:szCs w:val="17"/>
          <w:color w:val="auto"/>
        </w:rPr>
        <w:t>”) cease for any reason, including without limitation, as a result of a tender offer, proxy contest, merger or similar transaction, to constitute at least a majority thereof; provided that, any person becoming a director of the Company subsequent to the Commencement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left="660" w:firstLine="644"/>
        <w:spacing w:after="0" w:line="271" w:lineRule="auto"/>
        <w:tabs>
          <w:tab w:leader="none" w:pos="2028" w:val="left"/>
        </w:tabs>
        <w:numPr>
          <w:ilvl w:val="0"/>
          <w:numId w:val="9"/>
        </w:numPr>
        <w:rPr>
          <w:rFonts w:ascii="Arial" w:cs="Arial" w:eastAsia="Arial" w:hAnsi="Arial"/>
          <w:sz w:val="17"/>
          <w:szCs w:val="17"/>
          <w:color w:val="010000"/>
        </w:rPr>
      </w:pPr>
      <w:r>
        <w:rPr>
          <w:rFonts w:ascii="Arial" w:cs="Arial" w:eastAsia="Arial" w:hAnsi="Arial"/>
          <w:sz w:val="17"/>
          <w:szCs w:val="17"/>
          <w:color w:val="auto"/>
        </w:rPr>
        <w:t>Consummation of a reorganization, merger or consolidation or sale or other disposition of all or substantially all of the assets of the Company (a “</w:t>
      </w:r>
      <w:r>
        <w:rPr>
          <w:rFonts w:ascii="Arial" w:cs="Arial" w:eastAsia="Arial" w:hAnsi="Arial"/>
          <w:sz w:val="17"/>
          <w:szCs w:val="17"/>
          <w:i w:val="1"/>
          <w:iCs w:val="1"/>
          <w:color w:val="auto"/>
        </w:rPr>
        <w:t>Business Combination</w:t>
      </w:r>
      <w:r>
        <w:rPr>
          <w:rFonts w:ascii="Arial" w:cs="Arial" w:eastAsia="Arial" w:hAnsi="Arial"/>
          <w:sz w:val="17"/>
          <w:szCs w:val="17"/>
          <w:color w:val="auto"/>
        </w:rPr>
        <w:t>”), in each case, unless, following such Business Combination, all or substantially all of the individuals and entities who were the beneficial owners of outstanding voting securities of the Company immediately prior to such Business Combination beneficially own, directly or indirectly, more than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78" w:lineRule="exact"/>
        <w:rPr>
          <w:rFonts w:ascii="Arial" w:cs="Arial" w:eastAsia="Arial" w:hAnsi="Arial"/>
          <w:sz w:val="17"/>
          <w:szCs w:val="17"/>
          <w:color w:val="010000"/>
        </w:rPr>
      </w:pPr>
    </w:p>
    <w:p>
      <w:pPr>
        <w:ind w:left="2100" w:hanging="796"/>
        <w:spacing w:after="0"/>
        <w:tabs>
          <w:tab w:leader="none" w:pos="210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The shareholders of the Company approve any plan or proposal for the liquidation or dissolution of the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with respect to any Award that is characterized as “nonqualified deferred compensation” within the meaning of Section 409A of the Code, an event shall not be considered to be a Change in Control under the Plan for purposes of payment of such Award unless such event is also a “change in ownership,” a “change in effective control” or a “change in ownership of a substantial portion of the assets” of the Company within the meaning of Section 409A of the Code.</w:t>
      </w:r>
    </w:p>
    <w:p>
      <w:pPr>
        <w:spacing w:after="0" w:line="187" w:lineRule="exact"/>
        <w:rPr>
          <w:sz w:val="20"/>
          <w:szCs w:val="20"/>
          <w:color w:val="auto"/>
        </w:rPr>
      </w:pPr>
    </w:p>
    <w:p>
      <w:pPr>
        <w:ind w:left="1280" w:hanging="624"/>
        <w:spacing w:after="0"/>
        <w:tabs>
          <w:tab w:leader="none" w:pos="128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010000"/>
        </w:rPr>
      </w:pPr>
    </w:p>
    <w:p>
      <w:pPr>
        <w:jc w:val="both"/>
        <w:ind w:firstLine="656"/>
        <w:spacing w:after="0" w:line="275" w:lineRule="auto"/>
        <w:tabs>
          <w:tab w:leader="none" w:pos="1470"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Committee</w:t>
      </w:r>
      <w:r>
        <w:rPr>
          <w:rFonts w:ascii="Arial" w:cs="Arial" w:eastAsia="Arial" w:hAnsi="Arial"/>
          <w:sz w:val="17"/>
          <w:szCs w:val="17"/>
          <w:color w:val="auto"/>
        </w:rPr>
        <w:t>” means the Compensation Committee of the Board or such other committee which, to the extent required by law, shall consist solely of two or more members of the Board, each of whom is (i) a non-employee director under Rule 16b-3 and (ii) an “independent director” under the rules of any national securities exchange on which the Common Stock is listed for trading; provided that, if for any reason the Committee shall not have been appointed by the Board to administer the Plan, all authority and duties of the Committee under the Plan shall be vested in and exercised by the Board, and the term “Committee” shall be deemed to mean the Board for all purposes herein.</w:t>
      </w:r>
    </w:p>
    <w:p>
      <w:pPr>
        <w:spacing w:after="0" w:line="176" w:lineRule="exact"/>
        <w:rPr>
          <w:rFonts w:ascii="Arial" w:cs="Arial" w:eastAsia="Arial" w:hAnsi="Arial"/>
          <w:sz w:val="17"/>
          <w:szCs w:val="17"/>
          <w:color w:val="010000"/>
        </w:rPr>
      </w:pPr>
    </w:p>
    <w:p>
      <w:pPr>
        <w:jc w:val="both"/>
        <w:ind w:firstLine="656"/>
        <w:spacing w:after="0" w:line="257" w:lineRule="auto"/>
        <w:tabs>
          <w:tab w:leader="none" w:pos="1335"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Class A Common Stock, par value $0.01 per share, of the Company (as described in the Company’s Second Amended and Restated Certificate of Incorporation, as it may be amended from time to time); the Class C Common Stock, par value $0.01 per share, of the Company (as described in the Company’s Second Amended and Restated Certificate of Incorporation, as it may be amended from time to time); and any other shares into which such stock may be changed by reason of a recapitalization, reorganization, merger, consolidation or any other change in the corporate structure or capital stock of the Company.</w:t>
      </w:r>
    </w:p>
    <w:p>
      <w:pPr>
        <w:spacing w:after="0" w:line="187" w:lineRule="exact"/>
        <w:rPr>
          <w:rFonts w:ascii="Arial" w:cs="Arial" w:eastAsia="Arial" w:hAnsi="Arial"/>
          <w:sz w:val="18"/>
          <w:szCs w:val="18"/>
          <w:color w:val="010000"/>
        </w:rPr>
      </w:pPr>
    </w:p>
    <w:p>
      <w:pPr>
        <w:ind w:left="1360" w:hanging="704"/>
        <w:spacing w:after="0"/>
        <w:tabs>
          <w:tab w:leader="none" w:pos="136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shall have the meaning given to such term in the introductory paragraph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ind w:left="1360" w:hanging="704"/>
        <w:spacing w:after="0"/>
        <w:tabs>
          <w:tab w:leader="none" w:pos="136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Consultant</w:t>
      </w:r>
      <w:r>
        <w:rPr>
          <w:rFonts w:ascii="Arial" w:cs="Arial" w:eastAsia="Arial" w:hAnsi="Arial"/>
          <w:sz w:val="18"/>
          <w:szCs w:val="18"/>
          <w:color w:val="auto"/>
        </w:rPr>
        <w:t>” means any natural person who is an advisor or consultant to the Company or its Affiliates.</w:t>
      </w:r>
    </w:p>
    <w:p>
      <w:pPr>
        <w:spacing w:after="0" w:line="225" w:lineRule="exact"/>
        <w:rPr>
          <w:rFonts w:ascii="Arial" w:cs="Arial" w:eastAsia="Arial" w:hAnsi="Arial"/>
          <w:sz w:val="18"/>
          <w:szCs w:val="18"/>
          <w:color w:val="010000"/>
        </w:rPr>
      </w:pPr>
    </w:p>
    <w:p>
      <w:pPr>
        <w:ind w:firstLine="656"/>
        <w:spacing w:after="0" w:line="308" w:lineRule="auto"/>
        <w:tabs>
          <w:tab w:leader="none" w:pos="1348"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Disability</w:t>
      </w:r>
      <w:r>
        <w:rPr>
          <w:rFonts w:ascii="Arial" w:cs="Arial" w:eastAsia="Arial" w:hAnsi="Arial"/>
          <w:sz w:val="17"/>
          <w:szCs w:val="17"/>
          <w:color w:val="auto"/>
        </w:rPr>
        <w:t>”, unless otherwise defined in a Participant’s Grant Agreement, means a disability that would entitle an eligible Participant to payment of monthly disability payments under any Company long-term disability plan or as otherwise determined by the Committee.</w:t>
      </w:r>
    </w:p>
    <w:p>
      <w:pPr>
        <w:spacing w:after="0" w:line="146" w:lineRule="exact"/>
        <w:rPr>
          <w:rFonts w:ascii="Arial" w:cs="Arial" w:eastAsia="Arial" w:hAnsi="Arial"/>
          <w:sz w:val="17"/>
          <w:szCs w:val="17"/>
          <w:color w:val="010000"/>
        </w:rPr>
      </w:pPr>
    </w:p>
    <w:p>
      <w:pPr>
        <w:ind w:left="1360" w:hanging="704"/>
        <w:spacing w:after="0"/>
        <w:tabs>
          <w:tab w:leader="none" w:pos="136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have the meaning set forth in Section 23.</w:t>
      </w:r>
    </w:p>
    <w:p>
      <w:pPr>
        <w:spacing w:after="0" w:line="225" w:lineRule="exact"/>
        <w:rPr>
          <w:rFonts w:ascii="Arial" w:cs="Arial" w:eastAsia="Arial" w:hAnsi="Arial"/>
          <w:sz w:val="18"/>
          <w:szCs w:val="18"/>
          <w:color w:val="010000"/>
        </w:rPr>
      </w:pPr>
    </w:p>
    <w:p>
      <w:pPr>
        <w:ind w:left="1420" w:hanging="764"/>
        <w:spacing w:after="0"/>
        <w:tabs>
          <w:tab w:leader="none" w:pos="142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Eligible Employees</w:t>
      </w:r>
      <w:r>
        <w:rPr>
          <w:rFonts w:ascii="Arial" w:cs="Arial" w:eastAsia="Arial" w:hAnsi="Arial"/>
          <w:sz w:val="18"/>
          <w:szCs w:val="18"/>
          <w:color w:val="auto"/>
        </w:rPr>
        <w:t>” means each employee of the Company or an Affiliate.</w:t>
      </w:r>
    </w:p>
    <w:p>
      <w:pPr>
        <w:spacing w:after="0" w:line="225" w:lineRule="exact"/>
        <w:rPr>
          <w:rFonts w:ascii="Arial" w:cs="Arial" w:eastAsia="Arial" w:hAnsi="Arial"/>
          <w:sz w:val="18"/>
          <w:szCs w:val="18"/>
          <w:color w:val="010000"/>
        </w:rPr>
      </w:pPr>
    </w:p>
    <w:p>
      <w:pPr>
        <w:ind w:left="1400" w:hanging="744"/>
        <w:spacing w:after="0"/>
        <w:tabs>
          <w:tab w:leader="none" w:pos="140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010000"/>
        </w:rPr>
      </w:pPr>
    </w:p>
    <w:p>
      <w:pPr>
        <w:jc w:val="both"/>
        <w:ind w:firstLine="656"/>
        <w:spacing w:after="0" w:line="271" w:lineRule="auto"/>
        <w:tabs>
          <w:tab w:leader="none" w:pos="1429"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a share of Common Stock means, as of the date in question, the officially-quoted closing selling price of the applicable class of Common Stock (or if no selling price is quoted, the bid price) on the principal securities exchange on which the Common Stock is then listed for trading (including for this purpose the NYSE) (the “</w:t>
      </w:r>
      <w:r>
        <w:rPr>
          <w:rFonts w:ascii="Arial" w:cs="Arial" w:eastAsia="Arial" w:hAnsi="Arial"/>
          <w:sz w:val="17"/>
          <w:szCs w:val="17"/>
          <w:i w:val="1"/>
          <w:iCs w:val="1"/>
          <w:color w:val="auto"/>
        </w:rPr>
        <w:t>Market</w:t>
      </w:r>
      <w:r>
        <w:rPr>
          <w:rFonts w:ascii="Arial" w:cs="Arial" w:eastAsia="Arial" w:hAnsi="Arial"/>
          <w:sz w:val="17"/>
          <w:szCs w:val="17"/>
          <w:color w:val="auto"/>
        </w:rPr>
        <w:t>”) for the applicable trading day (or if there no closing price on such day because the Market is not open on such day, the last preceding day on which the Market was open) or, if the applicable class of Common Stock is not then listed or quoted in the Market, the Fair Market Value shall be the fair value of the applicable class of Common Stock determined in good faith by the Board and, in the case of an Incentive Stock Option, in accordance with Section 422 of the Code; provided, however, that when shares received upon exercise of an Option are immediately sold in the open market, the net sale price received may be used to determine the Fair Market Value of any shares used to pay the exercise price or applicable withholding taxes and to compute the withholding taxes.</w:t>
      </w:r>
    </w:p>
    <w:p>
      <w:pPr>
        <w:spacing w:after="0" w:line="178" w:lineRule="exact"/>
        <w:rPr>
          <w:rFonts w:ascii="Arial" w:cs="Arial" w:eastAsia="Arial" w:hAnsi="Arial"/>
          <w:sz w:val="17"/>
          <w:szCs w:val="17"/>
          <w:color w:val="010000"/>
        </w:rPr>
      </w:pPr>
    </w:p>
    <w:p>
      <w:pPr>
        <w:ind w:left="1400" w:hanging="744"/>
        <w:spacing w:after="0"/>
        <w:tabs>
          <w:tab w:leader="none" w:pos="1400"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Family Member</w:t>
      </w:r>
      <w:r>
        <w:rPr>
          <w:rFonts w:ascii="Arial" w:cs="Arial" w:eastAsia="Arial" w:hAnsi="Arial"/>
          <w:sz w:val="17"/>
          <w:szCs w:val="17"/>
          <w:color w:val="auto"/>
        </w:rPr>
        <w:t>” has the meaning given to such term in General Instructions A.1(a)(5) to Form S-8 under the Securities Act.</w:t>
      </w:r>
    </w:p>
    <w:p>
      <w:pPr>
        <w:spacing w:after="0" w:line="236" w:lineRule="exact"/>
        <w:rPr>
          <w:rFonts w:ascii="Arial" w:cs="Arial" w:eastAsia="Arial" w:hAnsi="Arial"/>
          <w:sz w:val="17"/>
          <w:szCs w:val="17"/>
          <w:color w:val="010000"/>
        </w:rPr>
      </w:pPr>
    </w:p>
    <w:p>
      <w:pPr>
        <w:ind w:firstLine="656"/>
        <w:spacing w:after="0" w:line="277" w:lineRule="auto"/>
        <w:tabs>
          <w:tab w:leader="none" w:pos="1478"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Full Value Award</w:t>
      </w:r>
      <w:r>
        <w:rPr>
          <w:rFonts w:ascii="Arial" w:cs="Arial" w:eastAsia="Arial" w:hAnsi="Arial"/>
          <w:sz w:val="18"/>
          <w:szCs w:val="18"/>
          <w:color w:val="auto"/>
        </w:rPr>
        <w:t>” an Award, other than an Incentive Stock Option, Non-qualified Stock Option or Stock Appreciation Right, that is settled in Common Stock.</w:t>
      </w:r>
    </w:p>
    <w:p>
      <w:pPr>
        <w:spacing w:after="0" w:line="170" w:lineRule="exact"/>
        <w:rPr>
          <w:rFonts w:ascii="Arial" w:cs="Arial" w:eastAsia="Arial" w:hAnsi="Arial"/>
          <w:sz w:val="18"/>
          <w:szCs w:val="18"/>
          <w:color w:val="010000"/>
        </w:rPr>
      </w:pPr>
    </w:p>
    <w:p>
      <w:pPr>
        <w:jc w:val="both"/>
        <w:ind w:firstLine="656"/>
        <w:spacing w:after="0" w:line="263" w:lineRule="auto"/>
        <w:tabs>
          <w:tab w:leader="none" w:pos="139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Grant Agreement</w:t>
      </w:r>
      <w:r>
        <w:rPr>
          <w:rFonts w:ascii="Arial" w:cs="Arial" w:eastAsia="Arial" w:hAnsi="Arial"/>
          <w:sz w:val="18"/>
          <w:szCs w:val="18"/>
          <w:color w:val="auto"/>
        </w:rPr>
        <w:t>” means the written (whether in print or electronic form) agreement that each Participant to whom an Award is made under the Plan is required to enter into with the Company containing the terms and conditions of such grant as are determined by the Committee and consistent with the Plan.</w:t>
      </w:r>
    </w:p>
    <w:p>
      <w:pPr>
        <w:spacing w:after="0" w:line="183" w:lineRule="exact"/>
        <w:rPr>
          <w:rFonts w:ascii="Arial" w:cs="Arial" w:eastAsia="Arial" w:hAnsi="Arial"/>
          <w:sz w:val="18"/>
          <w:szCs w:val="18"/>
          <w:color w:val="010000"/>
        </w:rPr>
      </w:pPr>
    </w:p>
    <w:p>
      <w:pPr>
        <w:ind w:left="1380" w:hanging="724"/>
        <w:spacing w:after="0"/>
        <w:tabs>
          <w:tab w:leader="none" w:pos="1380"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Incentive Stock Option</w:t>
      </w:r>
      <w:r>
        <w:rPr>
          <w:rFonts w:ascii="Arial" w:cs="Arial" w:eastAsia="Arial" w:hAnsi="Arial"/>
          <w:sz w:val="17"/>
          <w:szCs w:val="17"/>
          <w:color w:val="auto"/>
        </w:rPr>
        <w:t>” means an option conforming to the requirements of Section 422 of the Code and any successor thereto.</w:t>
      </w:r>
    </w:p>
    <w:p>
      <w:pPr>
        <w:spacing w:after="0" w:line="236" w:lineRule="exact"/>
        <w:rPr>
          <w:rFonts w:ascii="Arial" w:cs="Arial" w:eastAsia="Arial" w:hAnsi="Arial"/>
          <w:sz w:val="17"/>
          <w:szCs w:val="17"/>
          <w:color w:val="010000"/>
        </w:rPr>
      </w:pPr>
    </w:p>
    <w:p>
      <w:pPr>
        <w:ind w:left="1360" w:hanging="704"/>
        <w:spacing w:after="0"/>
        <w:tabs>
          <w:tab w:leader="none" w:pos="136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Lead Underwriter</w:t>
      </w:r>
      <w:r>
        <w:rPr>
          <w:rFonts w:ascii="Arial" w:cs="Arial" w:eastAsia="Arial" w:hAnsi="Arial"/>
          <w:sz w:val="18"/>
          <w:szCs w:val="18"/>
          <w:color w:val="auto"/>
        </w:rPr>
        <w:t>” has the meaning set forth in Section 18.</w:t>
      </w:r>
    </w:p>
    <w:p>
      <w:pPr>
        <w:spacing w:after="0" w:line="225" w:lineRule="exact"/>
        <w:rPr>
          <w:rFonts w:ascii="Arial" w:cs="Arial" w:eastAsia="Arial" w:hAnsi="Arial"/>
          <w:sz w:val="18"/>
          <w:szCs w:val="18"/>
          <w:color w:val="010000"/>
        </w:rPr>
      </w:pPr>
    </w:p>
    <w:p>
      <w:pPr>
        <w:ind w:left="1400" w:hanging="744"/>
        <w:spacing w:after="0"/>
        <w:tabs>
          <w:tab w:leader="none" w:pos="140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Lock-Up Period</w:t>
      </w:r>
      <w:r>
        <w:rPr>
          <w:rFonts w:ascii="Arial" w:cs="Arial" w:eastAsia="Arial" w:hAnsi="Arial"/>
          <w:sz w:val="18"/>
          <w:szCs w:val="18"/>
          <w:color w:val="auto"/>
        </w:rPr>
        <w:t>” has the meaning set forth in Section 18.</w:t>
      </w:r>
    </w:p>
    <w:p>
      <w:pPr>
        <w:spacing w:after="0" w:line="225" w:lineRule="exact"/>
        <w:rPr>
          <w:rFonts w:ascii="Arial" w:cs="Arial" w:eastAsia="Arial" w:hAnsi="Arial"/>
          <w:sz w:val="18"/>
          <w:szCs w:val="18"/>
          <w:color w:val="010000"/>
        </w:rPr>
      </w:pPr>
    </w:p>
    <w:p>
      <w:pPr>
        <w:ind w:left="1400" w:hanging="744"/>
        <w:spacing w:after="0"/>
        <w:tabs>
          <w:tab w:leader="none" w:pos="140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Minimum Vesting Requirement</w:t>
      </w:r>
      <w:r>
        <w:rPr>
          <w:rFonts w:ascii="Arial" w:cs="Arial" w:eastAsia="Arial" w:hAnsi="Arial"/>
          <w:sz w:val="18"/>
          <w:szCs w:val="18"/>
          <w:color w:val="auto"/>
        </w:rPr>
        <w:t>” shall have the meaning set forth in Section 5.</w:t>
      </w:r>
    </w:p>
    <w:p>
      <w:pPr>
        <w:spacing w:after="0" w:line="225" w:lineRule="exact"/>
        <w:rPr>
          <w:rFonts w:ascii="Arial" w:cs="Arial" w:eastAsia="Arial" w:hAnsi="Arial"/>
          <w:sz w:val="18"/>
          <w:szCs w:val="18"/>
          <w:color w:val="010000"/>
        </w:rPr>
      </w:pPr>
    </w:p>
    <w:p>
      <w:pPr>
        <w:ind w:firstLine="656"/>
        <w:spacing w:after="0" w:line="277" w:lineRule="auto"/>
        <w:tabs>
          <w:tab w:leader="none" w:pos="1505"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director or a member of the Board of the Company or any Affiliate who is not an active employee of the Company or any Affiliate.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ind w:left="1360" w:hanging="704"/>
        <w:spacing w:after="0"/>
        <w:tabs>
          <w:tab w:leader="none" w:pos="136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any stock option other than an Incentive Stock Option.</w:t>
      </w:r>
    </w:p>
    <w:p>
      <w:pPr>
        <w:spacing w:after="0" w:line="225" w:lineRule="exact"/>
        <w:rPr>
          <w:rFonts w:ascii="Arial" w:cs="Arial" w:eastAsia="Arial" w:hAnsi="Arial"/>
          <w:sz w:val="18"/>
          <w:szCs w:val="18"/>
          <w:color w:val="010000"/>
        </w:rPr>
      </w:pPr>
    </w:p>
    <w:p>
      <w:pPr>
        <w:ind w:right="20" w:firstLine="656"/>
        <w:spacing w:after="0" w:line="277" w:lineRule="auto"/>
        <w:tabs>
          <w:tab w:leader="none" w:pos="1461"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Other Cash-Based Award</w:t>
      </w:r>
      <w:r>
        <w:rPr>
          <w:rFonts w:ascii="Arial" w:cs="Arial" w:eastAsia="Arial" w:hAnsi="Arial"/>
          <w:sz w:val="18"/>
          <w:szCs w:val="18"/>
          <w:color w:val="auto"/>
        </w:rPr>
        <w:t>” means an Award granted pursuant to Section 12 and payable in cash at such time or times and subject to such terms and conditions as determined by the Committee in its sole discretion.</w:t>
      </w:r>
    </w:p>
    <w:p>
      <w:pPr>
        <w:spacing w:after="0" w:line="170" w:lineRule="exact"/>
        <w:rPr>
          <w:rFonts w:ascii="Arial" w:cs="Arial" w:eastAsia="Arial" w:hAnsi="Arial"/>
          <w:sz w:val="18"/>
          <w:szCs w:val="18"/>
          <w:color w:val="010000"/>
        </w:rPr>
      </w:pPr>
    </w:p>
    <w:p>
      <w:pPr>
        <w:ind w:left="1400" w:hanging="744"/>
        <w:spacing w:after="0"/>
        <w:tabs>
          <w:tab w:leader="none" w:pos="140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Other Termination</w:t>
      </w:r>
      <w:r>
        <w:rPr>
          <w:rFonts w:ascii="Arial" w:cs="Arial" w:eastAsia="Arial" w:hAnsi="Arial"/>
          <w:sz w:val="18"/>
          <w:szCs w:val="18"/>
          <w:color w:val="auto"/>
        </w:rPr>
        <w:t>” has the meaning set forth in Section 6(g)(v).</w:t>
      </w:r>
    </w:p>
    <w:p>
      <w:pPr>
        <w:spacing w:after="0" w:line="225" w:lineRule="exact"/>
        <w:rPr>
          <w:sz w:val="20"/>
          <w:szCs w:val="20"/>
          <w:color w:val="auto"/>
        </w:rPr>
      </w:pPr>
    </w:p>
    <w:p>
      <w:pPr>
        <w:ind w:firstLine="656"/>
        <w:spacing w:after="0" w:line="277" w:lineRule="auto"/>
        <w:tabs>
          <w:tab w:leader="none" w:pos="140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means an Award that is valued in whole or in part by reference to, or is payable in or otherwise based on, Common Stock, including, without limitation, an Award valued by reference to an Affiliate.</w:t>
      </w:r>
    </w:p>
    <w:p>
      <w:pPr>
        <w:spacing w:after="0" w:line="170" w:lineRule="exact"/>
        <w:rPr>
          <w:rFonts w:ascii="Arial" w:cs="Arial" w:eastAsia="Arial" w:hAnsi="Arial"/>
          <w:sz w:val="18"/>
          <w:szCs w:val="18"/>
          <w:color w:val="010000"/>
        </w:rPr>
      </w:pPr>
    </w:p>
    <w:p>
      <w:pPr>
        <w:ind w:left="1400" w:hanging="744"/>
        <w:spacing w:after="0"/>
        <w:tabs>
          <w:tab w:leader="none" w:pos="140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any parent corporation of the Company within the meaning of Section 424(e) of the Code.</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629"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director, officer or employee of, or other individual performing services for, or to whom an offer of employment has been extended by, the Company or any Subsidiary who has been selected by the Committee to participate in the Plan (including a Participant located outside the United States).</w:t>
      </w:r>
    </w:p>
    <w:p>
      <w:pPr>
        <w:spacing w:after="0" w:line="183" w:lineRule="exact"/>
        <w:rPr>
          <w:rFonts w:ascii="Arial" w:cs="Arial" w:eastAsia="Arial" w:hAnsi="Arial"/>
          <w:sz w:val="18"/>
          <w:szCs w:val="18"/>
          <w:color w:val="010000"/>
        </w:rPr>
      </w:pPr>
    </w:p>
    <w:p>
      <w:pPr>
        <w:ind w:left="1540" w:hanging="884"/>
        <w:spacing w:after="0"/>
        <w:tabs>
          <w:tab w:leader="none" w:pos="1540" w:val="left"/>
        </w:tabs>
        <w:numPr>
          <w:ilvl w:val="0"/>
          <w:numId w:val="1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Performance Award</w:t>
      </w:r>
      <w:r>
        <w:rPr>
          <w:rFonts w:ascii="Arial" w:cs="Arial" w:eastAsia="Arial" w:hAnsi="Arial"/>
          <w:sz w:val="17"/>
          <w:szCs w:val="17"/>
          <w:color w:val="auto"/>
        </w:rPr>
        <w:t>” means an Award granted to a Participant pursuant to Section 9, hereof contingent upon achieving certain</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Performance Goals.</w:t>
      </w:r>
    </w:p>
    <w:p>
      <w:pPr>
        <w:spacing w:after="0" w:line="210" w:lineRule="exact"/>
        <w:rPr>
          <w:rFonts w:ascii="Arial" w:cs="Arial" w:eastAsia="Arial" w:hAnsi="Arial"/>
          <w:sz w:val="17"/>
          <w:szCs w:val="17"/>
          <w:color w:val="010000"/>
        </w:rPr>
      </w:pPr>
    </w:p>
    <w:p>
      <w:pPr>
        <w:ind w:left="1440" w:hanging="784"/>
        <w:spacing w:after="0"/>
        <w:tabs>
          <w:tab w:leader="none" w:pos="144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Performance Cycle</w:t>
      </w:r>
      <w:r>
        <w:rPr>
          <w:rFonts w:ascii="Arial" w:cs="Arial" w:eastAsia="Arial" w:hAnsi="Arial"/>
          <w:sz w:val="18"/>
          <w:szCs w:val="18"/>
          <w:color w:val="auto"/>
        </w:rPr>
        <w:t>” shall have the meaning provided in Section 9.</w:t>
      </w:r>
    </w:p>
    <w:p>
      <w:pPr>
        <w:spacing w:after="0" w:line="225" w:lineRule="exact"/>
        <w:rPr>
          <w:rFonts w:ascii="Arial" w:cs="Arial" w:eastAsia="Arial" w:hAnsi="Arial"/>
          <w:sz w:val="18"/>
          <w:szCs w:val="18"/>
          <w:color w:val="010000"/>
        </w:rPr>
      </w:pPr>
    </w:p>
    <w:p>
      <w:pPr>
        <w:ind w:firstLine="656"/>
        <w:spacing w:after="0" w:line="277" w:lineRule="auto"/>
        <w:tabs>
          <w:tab w:leader="none" w:pos="1496"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means goals established by the Committee as contingencies for Awards to vest and/or become exercisable or distributable based on one or more of the performance goals set forth in Section 9.</w:t>
      </w:r>
    </w:p>
    <w:p>
      <w:pPr>
        <w:spacing w:after="0" w:line="170" w:lineRule="exact"/>
        <w:rPr>
          <w:rFonts w:ascii="Arial" w:cs="Arial" w:eastAsia="Arial" w:hAnsi="Arial"/>
          <w:sz w:val="18"/>
          <w:szCs w:val="18"/>
          <w:color w:val="010000"/>
        </w:rPr>
      </w:pPr>
    </w:p>
    <w:p>
      <w:pPr>
        <w:ind w:firstLine="656"/>
        <w:spacing w:after="0" w:line="277" w:lineRule="auto"/>
        <w:tabs>
          <w:tab w:leader="none" w:pos="1739"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firm, joint venture, association, joint-stock company, trust, incorporated organization, governmental or regulatory or other entity.</w:t>
      </w:r>
    </w:p>
    <w:p>
      <w:pPr>
        <w:spacing w:after="0" w:line="170" w:lineRule="exact"/>
        <w:rPr>
          <w:rFonts w:ascii="Arial" w:cs="Arial" w:eastAsia="Arial" w:hAnsi="Arial"/>
          <w:sz w:val="18"/>
          <w:szCs w:val="18"/>
          <w:color w:val="010000"/>
        </w:rPr>
      </w:pPr>
    </w:p>
    <w:p>
      <w:pPr>
        <w:ind w:left="1460" w:hanging="804"/>
        <w:spacing w:after="0"/>
        <w:tabs>
          <w:tab w:leader="none" w:pos="146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has the meaning set forth in the introductory paragraph above.</w:t>
      </w:r>
    </w:p>
    <w:p>
      <w:pPr>
        <w:spacing w:after="0" w:line="225" w:lineRule="exact"/>
        <w:rPr>
          <w:rFonts w:ascii="Arial" w:cs="Arial" w:eastAsia="Arial" w:hAnsi="Arial"/>
          <w:sz w:val="18"/>
          <w:szCs w:val="18"/>
          <w:color w:val="010000"/>
        </w:rPr>
      </w:pPr>
    </w:p>
    <w:p>
      <w:pPr>
        <w:ind w:left="1500" w:hanging="844"/>
        <w:spacing w:after="0"/>
        <w:tabs>
          <w:tab w:leader="none" w:pos="150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has the meaning set forth in Section 25.</w:t>
      </w:r>
    </w:p>
    <w:p>
      <w:pPr>
        <w:spacing w:after="0" w:line="225" w:lineRule="exact"/>
        <w:rPr>
          <w:rFonts w:ascii="Arial" w:cs="Arial" w:eastAsia="Arial" w:hAnsi="Arial"/>
          <w:sz w:val="18"/>
          <w:szCs w:val="18"/>
          <w:color w:val="010000"/>
        </w:rPr>
      </w:pPr>
    </w:p>
    <w:p>
      <w:pPr>
        <w:ind w:firstLine="656"/>
        <w:spacing w:after="0" w:line="277" w:lineRule="auto"/>
        <w:tabs>
          <w:tab w:leader="none" w:pos="157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Registration Date</w:t>
      </w:r>
      <w:r>
        <w:rPr>
          <w:rFonts w:ascii="Arial" w:cs="Arial" w:eastAsia="Arial" w:hAnsi="Arial"/>
          <w:sz w:val="18"/>
          <w:szCs w:val="18"/>
          <w:color w:val="auto"/>
        </w:rPr>
        <w:t>” means the date on which the Company sells its Common Stock in a bona fide, firm commitment underwriting pursuant to a registration statement under the Securities Act.</w:t>
      </w:r>
    </w:p>
    <w:p>
      <w:pPr>
        <w:spacing w:after="0" w:line="170" w:lineRule="exact"/>
        <w:rPr>
          <w:rFonts w:ascii="Arial" w:cs="Arial" w:eastAsia="Arial" w:hAnsi="Arial"/>
          <w:sz w:val="18"/>
          <w:szCs w:val="18"/>
          <w:color w:val="010000"/>
        </w:rPr>
      </w:pPr>
    </w:p>
    <w:p>
      <w:pPr>
        <w:ind w:left="1500" w:hanging="844"/>
        <w:spacing w:after="0"/>
        <w:tabs>
          <w:tab w:leader="none" w:pos="150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of Shares under this Plan that is subject to restrictions under Section 8.</w:t>
      </w:r>
    </w:p>
    <w:p>
      <w:pPr>
        <w:spacing w:after="0" w:line="225" w:lineRule="exact"/>
        <w:rPr>
          <w:rFonts w:ascii="Arial" w:cs="Arial" w:eastAsia="Arial" w:hAnsi="Arial"/>
          <w:sz w:val="18"/>
          <w:szCs w:val="18"/>
          <w:color w:val="010000"/>
        </w:rPr>
      </w:pPr>
    </w:p>
    <w:p>
      <w:pPr>
        <w:ind w:right="20" w:firstLine="656"/>
        <w:spacing w:after="0" w:line="277" w:lineRule="auto"/>
        <w:tabs>
          <w:tab w:leader="none" w:pos="1435"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or “</w:t>
      </w:r>
      <w:r>
        <w:rPr>
          <w:rFonts w:ascii="Arial" w:cs="Arial" w:eastAsia="Arial" w:hAnsi="Arial"/>
          <w:sz w:val="18"/>
          <w:szCs w:val="18"/>
          <w:i w:val="1"/>
          <w:iCs w:val="1"/>
          <w:color w:val="auto"/>
        </w:rPr>
        <w:t>Unit</w:t>
      </w:r>
      <w:r>
        <w:rPr>
          <w:rFonts w:ascii="Arial" w:cs="Arial" w:eastAsia="Arial" w:hAnsi="Arial"/>
          <w:sz w:val="18"/>
          <w:szCs w:val="18"/>
          <w:color w:val="auto"/>
        </w:rPr>
        <w:t>” means an Award of hypothetical Share units under this Plan that are convertible to Shares, or the Fair Market Value thereof, in accordance with Section 8.</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ind w:left="1460" w:hanging="804"/>
        <w:spacing w:after="0"/>
        <w:tabs>
          <w:tab w:leader="none" w:pos="146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Restriction Period</w:t>
      </w:r>
      <w:r>
        <w:rPr>
          <w:rFonts w:ascii="Arial" w:cs="Arial" w:eastAsia="Arial" w:hAnsi="Arial"/>
          <w:sz w:val="18"/>
          <w:szCs w:val="18"/>
          <w:color w:val="auto"/>
        </w:rPr>
        <w:t>” has the meaning set forth in Section 8(f).</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51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Retirement</w:t>
      </w:r>
      <w:r>
        <w:rPr>
          <w:rFonts w:ascii="Arial" w:cs="Arial" w:eastAsia="Arial" w:hAnsi="Arial"/>
          <w:sz w:val="18"/>
          <w:szCs w:val="18"/>
          <w:color w:val="auto"/>
        </w:rPr>
        <w:t>” means, (i) for any non-director, (A) termination of service as a non-director due to his or her retirement after at least 10 years of service of such non-director and (B) attaining at least 55 years of age, and (ii) for any director, termination of service as a director after at least 5 years of Board service of such director.</w:t>
      </w:r>
    </w:p>
    <w:p>
      <w:pPr>
        <w:spacing w:after="0" w:line="183" w:lineRule="exact"/>
        <w:rPr>
          <w:rFonts w:ascii="Arial" w:cs="Arial" w:eastAsia="Arial" w:hAnsi="Arial"/>
          <w:sz w:val="18"/>
          <w:szCs w:val="18"/>
          <w:color w:val="010000"/>
        </w:rPr>
      </w:pPr>
    </w:p>
    <w:p>
      <w:pPr>
        <w:ind w:left="1460" w:hanging="804"/>
        <w:spacing w:after="0"/>
        <w:tabs>
          <w:tab w:leader="none" w:pos="146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Rule 16b-3</w:t>
      </w:r>
      <w:r>
        <w:rPr>
          <w:rFonts w:ascii="Arial" w:cs="Arial" w:eastAsia="Arial" w:hAnsi="Arial"/>
          <w:sz w:val="18"/>
          <w:szCs w:val="18"/>
          <w:color w:val="auto"/>
        </w:rPr>
        <w:t>” means Rule 16b-3 under Section 16(b) of the Exchange Act as then in effect or any successor provision.</w:t>
      </w:r>
    </w:p>
    <w:p>
      <w:pPr>
        <w:spacing w:after="0" w:line="225" w:lineRule="exact"/>
        <w:rPr>
          <w:rFonts w:ascii="Arial" w:cs="Arial" w:eastAsia="Arial" w:hAnsi="Arial"/>
          <w:sz w:val="18"/>
          <w:szCs w:val="18"/>
          <w:color w:val="010000"/>
        </w:rPr>
      </w:pPr>
    </w:p>
    <w:p>
      <w:pPr>
        <w:jc w:val="both"/>
        <w:ind w:firstLine="656"/>
        <w:spacing w:after="0" w:line="259" w:lineRule="auto"/>
        <w:tabs>
          <w:tab w:leader="none" w:pos="1519"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all rules and regulations promulgated thereunder. Reference to a 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86" w:lineRule="exact"/>
        <w:rPr>
          <w:rFonts w:ascii="Arial" w:cs="Arial" w:eastAsia="Arial" w:hAnsi="Arial"/>
          <w:sz w:val="18"/>
          <w:szCs w:val="18"/>
          <w:color w:val="010000"/>
        </w:rPr>
      </w:pPr>
    </w:p>
    <w:p>
      <w:pPr>
        <w:ind w:left="1500" w:hanging="844"/>
        <w:spacing w:after="0"/>
        <w:tabs>
          <w:tab w:leader="none" w:pos="150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shall have the meaning set forth in Section 4(a).</w:t>
      </w:r>
    </w:p>
    <w:p>
      <w:pPr>
        <w:spacing w:after="0" w:line="225" w:lineRule="exact"/>
        <w:rPr>
          <w:rFonts w:ascii="Arial" w:cs="Arial" w:eastAsia="Arial" w:hAnsi="Arial"/>
          <w:sz w:val="18"/>
          <w:szCs w:val="18"/>
          <w:color w:val="010000"/>
        </w:rPr>
      </w:pPr>
    </w:p>
    <w:p>
      <w:pPr>
        <w:ind w:left="1520" w:hanging="864"/>
        <w:spacing w:after="0"/>
        <w:tabs>
          <w:tab w:leader="none" w:pos="152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i w:val="1"/>
          <w:iCs w:val="1"/>
          <w:color w:val="auto"/>
        </w:rPr>
        <w:t>SAR</w:t>
      </w:r>
      <w:r>
        <w:rPr>
          <w:rFonts w:ascii="Arial" w:cs="Arial" w:eastAsia="Arial" w:hAnsi="Arial"/>
          <w:sz w:val="18"/>
          <w:szCs w:val="18"/>
          <w:color w:val="auto"/>
        </w:rPr>
        <w:t>” shall mean the right pursuant to an Award granted under Section 7.</w:t>
      </w:r>
    </w:p>
    <w:p>
      <w:pPr>
        <w:spacing w:after="0" w:line="225" w:lineRule="exact"/>
        <w:rPr>
          <w:rFonts w:ascii="Arial" w:cs="Arial" w:eastAsia="Arial" w:hAnsi="Arial"/>
          <w:sz w:val="18"/>
          <w:szCs w:val="18"/>
          <w:color w:val="010000"/>
        </w:rPr>
      </w:pPr>
    </w:p>
    <w:p>
      <w:pPr>
        <w:ind w:left="1740" w:hanging="1084"/>
        <w:spacing w:after="0"/>
        <w:tabs>
          <w:tab w:leader="none" w:pos="1740" w:val="left"/>
        </w:tabs>
        <w:numPr>
          <w:ilvl w:val="1"/>
          <w:numId w:val="1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Stock Option</w:t>
      </w:r>
      <w:r>
        <w:rPr>
          <w:rFonts w:ascii="Arial" w:cs="Arial" w:eastAsia="Arial" w:hAnsi="Arial"/>
          <w:sz w:val="17"/>
          <w:szCs w:val="17"/>
          <w:color w:val="auto"/>
        </w:rPr>
        <w:t>” or “</w:t>
      </w:r>
      <w:r>
        <w:rPr>
          <w:rFonts w:ascii="Arial" w:cs="Arial" w:eastAsia="Arial" w:hAnsi="Arial"/>
          <w:sz w:val="17"/>
          <w:szCs w:val="17"/>
          <w:i w:val="1"/>
          <w:iCs w:val="1"/>
          <w:color w:val="auto"/>
        </w:rPr>
        <w:t>Option</w:t>
      </w:r>
      <w:r>
        <w:rPr>
          <w:rFonts w:ascii="Arial" w:cs="Arial" w:eastAsia="Arial" w:hAnsi="Arial"/>
          <w:sz w:val="17"/>
          <w:szCs w:val="17"/>
          <w:color w:val="auto"/>
        </w:rPr>
        <w:t>” means any option to purchase shares of Common Stock granted to Participants granted pursuant to</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Section 6.</w:t>
      </w:r>
    </w:p>
    <w:p>
      <w:pPr>
        <w:spacing w:after="0" w:line="210" w:lineRule="exact"/>
        <w:rPr>
          <w:rFonts w:ascii="Arial" w:cs="Arial" w:eastAsia="Arial" w:hAnsi="Arial"/>
          <w:sz w:val="17"/>
          <w:szCs w:val="17"/>
          <w:color w:val="010000"/>
        </w:rPr>
      </w:pPr>
    </w:p>
    <w:p>
      <w:pPr>
        <w:jc w:val="both"/>
        <w:ind w:right="20" w:firstLine="656"/>
        <w:spacing w:after="0" w:line="263" w:lineRule="auto"/>
        <w:tabs>
          <w:tab w:leader="none" w:pos="1502"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 corporation or other entity of which outstanding shares or ownership interests representing 50% or more of the combined voting power of such corporation or other entity entitled to elect the management thereof, or such lesser percentage as may be approved by the Committee, are owned directly or indirectly by the Company.</w:t>
      </w:r>
    </w:p>
    <w:p>
      <w:pPr>
        <w:spacing w:after="0" w:line="183" w:lineRule="exact"/>
        <w:rPr>
          <w:rFonts w:ascii="Arial" w:cs="Arial" w:eastAsia="Arial" w:hAnsi="Arial"/>
          <w:sz w:val="18"/>
          <w:szCs w:val="18"/>
          <w:color w:val="010000"/>
        </w:rPr>
      </w:pPr>
    </w:p>
    <w:p>
      <w:pPr>
        <w:ind w:left="1500" w:hanging="844"/>
        <w:spacing w:after="0"/>
        <w:tabs>
          <w:tab w:leader="none" w:pos="150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Substitute Awards</w:t>
      </w:r>
      <w:r>
        <w:rPr>
          <w:rFonts w:ascii="Arial" w:cs="Arial" w:eastAsia="Arial" w:hAnsi="Arial"/>
          <w:sz w:val="18"/>
          <w:szCs w:val="18"/>
          <w:color w:val="auto"/>
        </w:rPr>
        <w:t>” shall have the meaning set forth in Section 4(a).</w:t>
      </w:r>
    </w:p>
    <w:p>
      <w:pPr>
        <w:spacing w:after="0" w:line="225" w:lineRule="exact"/>
        <w:rPr>
          <w:rFonts w:ascii="Arial" w:cs="Arial" w:eastAsia="Arial" w:hAnsi="Arial"/>
          <w:sz w:val="18"/>
          <w:szCs w:val="18"/>
          <w:color w:val="010000"/>
        </w:rPr>
      </w:pPr>
    </w:p>
    <w:p>
      <w:pPr>
        <w:ind w:left="1500" w:hanging="844"/>
        <w:spacing w:after="0"/>
        <w:tabs>
          <w:tab w:leader="none" w:pos="1500" w:val="left"/>
        </w:tabs>
        <w:numPr>
          <w:ilvl w:val="1"/>
          <w:numId w:val="1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Termination</w:t>
      </w:r>
      <w:r>
        <w:rPr>
          <w:rFonts w:ascii="Arial" w:cs="Arial" w:eastAsia="Arial" w:hAnsi="Arial"/>
          <w:sz w:val="17"/>
          <w:szCs w:val="17"/>
          <w:color w:val="auto"/>
        </w:rPr>
        <w:t>” means a Termination of Consultancy, Termination of Directorship or Termination of Employment, as applicable.</w:t>
      </w:r>
    </w:p>
    <w:p>
      <w:pPr>
        <w:spacing w:after="0" w:line="236" w:lineRule="exact"/>
        <w:rPr>
          <w:rFonts w:ascii="Arial" w:cs="Arial" w:eastAsia="Arial" w:hAnsi="Arial"/>
          <w:sz w:val="17"/>
          <w:szCs w:val="17"/>
          <w:color w:val="010000"/>
        </w:rPr>
      </w:pPr>
    </w:p>
    <w:p>
      <w:pPr>
        <w:ind w:left="1620" w:hanging="964"/>
        <w:spacing w:after="0"/>
        <w:tabs>
          <w:tab w:leader="none" w:pos="1620" w:val="left"/>
        </w:tabs>
        <w:numPr>
          <w:ilvl w:val="1"/>
          <w:numId w:val="1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Termination of Consultancy</w:t>
      </w:r>
      <w:r>
        <w:rPr>
          <w:rFonts w:ascii="Arial" w:cs="Arial" w:eastAsia="Arial" w:hAnsi="Arial"/>
          <w:sz w:val="17"/>
          <w:szCs w:val="17"/>
          <w:color w:val="auto"/>
        </w:rPr>
        <w:t>” means: (i) that the Consultant is no longer acting as a consultant to the Company or an Affiliate; or</w:t>
      </w:r>
    </w:p>
    <w:p>
      <w:pPr>
        <w:spacing w:after="0" w:line="34" w:lineRule="exact"/>
        <w:rPr>
          <w:rFonts w:ascii="Arial" w:cs="Arial" w:eastAsia="Arial" w:hAnsi="Arial"/>
          <w:sz w:val="17"/>
          <w:szCs w:val="17"/>
          <w:color w:val="010000"/>
        </w:rPr>
      </w:pPr>
    </w:p>
    <w:p>
      <w:pPr>
        <w:jc w:val="both"/>
        <w:ind w:firstLine="8"/>
        <w:spacing w:after="0" w:line="269" w:lineRule="auto"/>
        <w:tabs>
          <w:tab w:leader="none" w:pos="279"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when an entity which is retaining a Participant as a Consultant ceases to be an Affiliate unless the Participant otherwise is, or thereupon becomes, a Consultant to the Company or another Affiliate at the time the entity ceases to be an Affiliate. In the event that a Consultant becomes an Eligible Employee or a Non-Employee Director upon the termination of his or her consultancy, unless otherwise determined by the Committee, in its sole discretion, no Termination of Consultancy shall be deemed to occur until such time as such Consultant is no longer a Consultant, an Eligible Employee or a Non-Employee Director. Notwithstanding the foregoing, the Committee may otherwise define Termination of Consultancy in the Grant Agreement or, if no rights of a Participant are reduced, may otherwise define Termination of Consultancy thereafter; provided that, any such change to the definition of the term “Termination of Consultancy” does not subject the applicable Award to Section 409A of the Code.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ind w:firstLine="656"/>
        <w:spacing w:after="0" w:line="259" w:lineRule="auto"/>
        <w:tabs>
          <w:tab w:leader="none" w:pos="1411"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Termination of Directorship</w:t>
      </w:r>
      <w:r>
        <w:rPr>
          <w:rFonts w:ascii="Arial" w:cs="Arial" w:eastAsia="Arial" w:hAnsi="Arial"/>
          <w:sz w:val="18"/>
          <w:szCs w:val="18"/>
          <w:color w:val="auto"/>
        </w:rPr>
        <w:t>” means that the Non-Employee Director has ceased to be a director of the Company; except that if a Non-Employee Director becomes an Eligible Employee or a Consultant upon the termination of his or her directorship, his or her ceasing to be a director of the Company shall not be treated as a Termination of Directorship unless and until the Participant has a Termination of Employment or Termination of Consultancy, as the case may be.</w:t>
      </w:r>
    </w:p>
    <w:p>
      <w:pPr>
        <w:spacing w:after="0" w:line="186" w:lineRule="exact"/>
        <w:rPr>
          <w:rFonts w:ascii="Arial" w:cs="Arial" w:eastAsia="Arial" w:hAnsi="Arial"/>
          <w:sz w:val="18"/>
          <w:szCs w:val="18"/>
          <w:color w:val="010000"/>
        </w:rPr>
      </w:pPr>
    </w:p>
    <w:p>
      <w:pPr>
        <w:jc w:val="both"/>
        <w:ind w:firstLine="656"/>
        <w:spacing w:after="0" w:line="270" w:lineRule="auto"/>
        <w:tabs>
          <w:tab w:leader="none" w:pos="1447" w:val="left"/>
        </w:tabs>
        <w:numPr>
          <w:ilvl w:val="0"/>
          <w:numId w:val="1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Termination of Employment</w:t>
      </w:r>
      <w:r>
        <w:rPr>
          <w:rFonts w:ascii="Arial" w:cs="Arial" w:eastAsia="Arial" w:hAnsi="Arial"/>
          <w:sz w:val="17"/>
          <w:szCs w:val="17"/>
          <w:color w:val="auto"/>
        </w:rPr>
        <w:t>” means: (i) a termination of employment (for reasons other than a military or personal leave of absence granted by the Company) of a Participant from the Company and its Affiliates; or (ii) when an entity which is employing a Participant ceases to be an Affiliate, unless the Participant otherwise is, or thereupon becomes, employed by the Company or another Affiliate at the time the entity ceases to be an Affiliate. In the event that an Eligible Employee becomes a Consultant or a Non-Employee Director upon the termination of his or her employment, unless otherwise determined by the Committee, in its sole discretion, no Termination of Employment shall be deemed to occur until such time as such Eligible Employee is no longer an Eligible Employee, a Consultant or a Non-Employee Director. Notwithstanding the foregoing, the Committee may otherwise define Termination of Employment in the Grant Agreement or, if no rights of a Participant are reduced, may otherwise define Termination of Employment thereafter; provided that, unless otherwise determined by the Committee, any such change to the definition of the term “Termination of Employment” does not subject the applicable Award to Section 409A of the Code.</w:t>
      </w:r>
    </w:p>
    <w:p>
      <w:pPr>
        <w:spacing w:after="0" w:line="180" w:lineRule="exact"/>
        <w:rPr>
          <w:rFonts w:ascii="Arial" w:cs="Arial" w:eastAsia="Arial" w:hAnsi="Arial"/>
          <w:sz w:val="17"/>
          <w:szCs w:val="17"/>
          <w:color w:val="010000"/>
        </w:rPr>
      </w:pPr>
    </w:p>
    <w:p>
      <w:pPr>
        <w:jc w:val="both"/>
        <w:ind w:firstLine="656"/>
        <w:spacing w:after="0" w:line="257" w:lineRule="auto"/>
        <w:tabs>
          <w:tab w:leader="none" w:pos="1557"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Transfer</w:t>
      </w:r>
      <w:r>
        <w:rPr>
          <w:rFonts w:ascii="Arial" w:cs="Arial" w:eastAsia="Arial" w:hAnsi="Arial"/>
          <w:sz w:val="18"/>
          <w:szCs w:val="18"/>
          <w:color w:val="auto"/>
        </w:rPr>
        <w:t>” means: (i) when used as a noun, any direct or indirect transfer, sale, assignment, pledge, hypothecation, encumbrance or other disposition (including the issuance of equity in a Person), whether for value or no value and whether voluntary or involuntary (including by operation of law), and (ii) when used as a verb, to directly or indirectly transfer, sell, assign, pledge, encumber, charge, hypothecate or otherwise dispose of (including the issuance of equity in a Person) whether for value or for no value and whether voluntarily or involuntarily (including by operation of law). “Transferred” and “Transferable” shall have a correlative meaning.</w:t>
      </w:r>
    </w:p>
    <w:p>
      <w:pPr>
        <w:spacing w:after="0" w:line="188" w:lineRule="exact"/>
        <w:rPr>
          <w:sz w:val="20"/>
          <w:szCs w:val="20"/>
          <w:color w:val="auto"/>
        </w:rPr>
      </w:pPr>
    </w:p>
    <w:p>
      <w:pPr>
        <w:ind w:left="1460" w:hanging="804"/>
        <w:spacing w:after="0"/>
        <w:tabs>
          <w:tab w:leader="none" w:pos="1460"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Vesting Period</w:t>
      </w:r>
      <w:r>
        <w:rPr>
          <w:rFonts w:ascii="Arial" w:cs="Arial" w:eastAsia="Arial" w:hAnsi="Arial"/>
          <w:sz w:val="18"/>
          <w:szCs w:val="18"/>
          <w:color w:val="auto"/>
        </w:rPr>
        <w:t>” has the meaning set forth in Section 8(a).</w:t>
      </w:r>
    </w:p>
    <w:p>
      <w:pPr>
        <w:spacing w:after="0" w:line="225" w:lineRule="exact"/>
        <w:rPr>
          <w:rFonts w:ascii="Arial" w:cs="Arial" w:eastAsia="Arial" w:hAnsi="Arial"/>
          <w:sz w:val="18"/>
          <w:szCs w:val="18"/>
          <w:color w:val="010000"/>
        </w:rPr>
      </w:pPr>
    </w:p>
    <w:p>
      <w:pPr>
        <w:ind w:left="680" w:hanging="672"/>
        <w:spacing w:after="0"/>
        <w:tabs>
          <w:tab w:leader="none" w:pos="680" w:val="left"/>
        </w:tabs>
        <w:numPr>
          <w:ilvl w:val="0"/>
          <w:numId w:val="18"/>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Administration.</w:t>
      </w:r>
    </w:p>
    <w:p>
      <w:pPr>
        <w:spacing w:after="0" w:line="225" w:lineRule="exact"/>
        <w:rPr>
          <w:rFonts w:ascii="Arial" w:cs="Arial" w:eastAsia="Arial" w:hAnsi="Arial"/>
          <w:sz w:val="18"/>
          <w:szCs w:val="18"/>
          <w:b w:val="1"/>
          <w:bCs w:val="1"/>
          <w:color w:val="010000"/>
        </w:rPr>
      </w:pPr>
    </w:p>
    <w:p>
      <w:pPr>
        <w:jc w:val="both"/>
        <w:ind w:firstLine="656"/>
        <w:spacing w:after="0" w:line="257" w:lineRule="auto"/>
        <w:tabs>
          <w:tab w:leader="none" w:pos="1513"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The Plan shall be administered, interpreted and construed by the Committee. If it is determined that one or more members of the Committee do not satisfy the requirements set forth in clause (i) or (ii) of the Committee definition herein, actions taken by the Committee prior to such determination shall be valid despite such failure to qualify. In no event, however, shall the Committee amend or modify the distribution terms in any Award or Grant Agreement that has a feature for the deferral of compensation if such modification would result in taxes, additional interest and/or penalties pursuant to Section 409A of the Code.</w:t>
      </w:r>
    </w:p>
    <w:p>
      <w:pPr>
        <w:spacing w:after="0" w:line="187" w:lineRule="exact"/>
        <w:rPr>
          <w:rFonts w:ascii="Arial" w:cs="Arial" w:eastAsia="Arial" w:hAnsi="Arial"/>
          <w:sz w:val="18"/>
          <w:szCs w:val="18"/>
          <w:color w:val="010000"/>
        </w:rPr>
      </w:pPr>
    </w:p>
    <w:p>
      <w:pPr>
        <w:ind w:left="1360" w:hanging="704"/>
        <w:spacing w:after="0"/>
        <w:tabs>
          <w:tab w:leader="none" w:pos="1360"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Subject to the provisions of the Plan, the Committee shall be authorized to:</w:t>
      </w:r>
    </w:p>
    <w:p>
      <w:pPr>
        <w:spacing w:after="0" w:line="225" w:lineRule="exact"/>
        <w:rPr>
          <w:rFonts w:ascii="Arial" w:cs="Arial" w:eastAsia="Arial" w:hAnsi="Arial"/>
          <w:sz w:val="18"/>
          <w:szCs w:val="18"/>
          <w:color w:val="010000"/>
        </w:rPr>
      </w:pPr>
    </w:p>
    <w:p>
      <w:pPr>
        <w:ind w:left="2020" w:hanging="716"/>
        <w:spacing w:after="0"/>
        <w:tabs>
          <w:tab w:leader="none" w:pos="2020" w:val="left"/>
        </w:tabs>
        <w:numPr>
          <w:ilvl w:val="2"/>
          <w:numId w:val="18"/>
        </w:numPr>
        <w:rPr>
          <w:rFonts w:ascii="Arial" w:cs="Arial" w:eastAsia="Arial" w:hAnsi="Arial"/>
          <w:sz w:val="18"/>
          <w:szCs w:val="18"/>
          <w:color w:val="010000"/>
        </w:rPr>
      </w:pPr>
      <w:r>
        <w:rPr>
          <w:rFonts w:ascii="Arial" w:cs="Arial" w:eastAsia="Arial" w:hAnsi="Arial"/>
          <w:sz w:val="18"/>
          <w:szCs w:val="18"/>
          <w:color w:val="auto"/>
        </w:rPr>
        <w:t>select persons to participate in the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ind w:left="660" w:right="20" w:firstLine="644"/>
        <w:spacing w:after="0" w:line="277" w:lineRule="auto"/>
        <w:tabs>
          <w:tab w:leader="none" w:pos="191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determine the form and substance of grants made under the Plan to each Participant, and the conditions and restrictions, if any, subject to which such grants will be made;</w:t>
      </w:r>
    </w:p>
    <w:p>
      <w:pPr>
        <w:spacing w:after="0" w:line="170" w:lineRule="exact"/>
        <w:rPr>
          <w:rFonts w:ascii="Arial" w:cs="Arial" w:eastAsia="Arial" w:hAnsi="Arial"/>
          <w:sz w:val="18"/>
          <w:szCs w:val="18"/>
          <w:color w:val="010000"/>
        </w:rPr>
      </w:pPr>
    </w:p>
    <w:p>
      <w:pPr>
        <w:ind w:left="2080" w:hanging="776"/>
        <w:spacing w:after="0"/>
        <w:tabs>
          <w:tab w:leader="none" w:pos="2080" w:val="left"/>
        </w:tabs>
        <w:numPr>
          <w:ilvl w:val="1"/>
          <w:numId w:val="19"/>
        </w:numPr>
        <w:rPr>
          <w:rFonts w:ascii="Arial" w:cs="Arial" w:eastAsia="Arial" w:hAnsi="Arial"/>
          <w:sz w:val="16"/>
          <w:szCs w:val="16"/>
          <w:color w:val="010000"/>
        </w:rPr>
      </w:pPr>
      <w:r>
        <w:rPr>
          <w:rFonts w:ascii="Arial" w:cs="Arial" w:eastAsia="Arial" w:hAnsi="Arial"/>
          <w:sz w:val="16"/>
          <w:szCs w:val="16"/>
          <w:color w:val="auto"/>
        </w:rPr>
        <w:t>determine the form and substance of the Grant Agreements reflecting the terms and conditions of each grant made under the</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010000"/>
        </w:rPr>
      </w:pPr>
    </w:p>
    <w:p>
      <w:pPr>
        <w:ind w:left="1960" w:hanging="656"/>
        <w:spacing w:after="0"/>
        <w:tabs>
          <w:tab w:leader="none" w:pos="196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certify that the conditions and restrictions applicable to any grant have been met;</w:t>
      </w:r>
    </w:p>
    <w:p>
      <w:pPr>
        <w:spacing w:after="0" w:line="225" w:lineRule="exact"/>
        <w:rPr>
          <w:rFonts w:ascii="Arial" w:cs="Arial" w:eastAsia="Arial" w:hAnsi="Arial"/>
          <w:sz w:val="18"/>
          <w:szCs w:val="18"/>
          <w:color w:val="010000"/>
        </w:rPr>
      </w:pPr>
    </w:p>
    <w:p>
      <w:pPr>
        <w:ind w:left="1960" w:hanging="656"/>
        <w:spacing w:after="0"/>
        <w:tabs>
          <w:tab w:leader="none" w:pos="196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modify the terms of grants made under the Plan;</w:t>
      </w:r>
    </w:p>
    <w:p>
      <w:pPr>
        <w:spacing w:after="0" w:line="225" w:lineRule="exact"/>
        <w:rPr>
          <w:rFonts w:ascii="Arial" w:cs="Arial" w:eastAsia="Arial" w:hAnsi="Arial"/>
          <w:sz w:val="18"/>
          <w:szCs w:val="18"/>
          <w:color w:val="010000"/>
        </w:rPr>
      </w:pPr>
    </w:p>
    <w:p>
      <w:pPr>
        <w:ind w:left="2020" w:hanging="716"/>
        <w:spacing w:after="0"/>
        <w:tabs>
          <w:tab w:leader="none" w:pos="202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interpret and construe the Plan and Grant Agreements entered into under the Plan;</w:t>
      </w:r>
    </w:p>
    <w:p>
      <w:pPr>
        <w:spacing w:after="0" w:line="225" w:lineRule="exact"/>
        <w:rPr>
          <w:rFonts w:ascii="Arial" w:cs="Arial" w:eastAsia="Arial" w:hAnsi="Arial"/>
          <w:sz w:val="18"/>
          <w:szCs w:val="18"/>
          <w:color w:val="010000"/>
        </w:rPr>
      </w:pPr>
    </w:p>
    <w:p>
      <w:pPr>
        <w:ind w:left="660" w:firstLine="644"/>
        <w:spacing w:after="0" w:line="277" w:lineRule="auto"/>
        <w:tabs>
          <w:tab w:leader="none" w:pos="2005"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determine the duration and purposes for leaves of absence which may be granted to a Participant on an individual basis without constituting a termination of employment or services for purposes of the Plan;</w:t>
      </w:r>
    </w:p>
    <w:p>
      <w:pPr>
        <w:spacing w:after="0" w:line="170" w:lineRule="exact"/>
        <w:rPr>
          <w:rFonts w:ascii="Arial" w:cs="Arial" w:eastAsia="Arial" w:hAnsi="Arial"/>
          <w:sz w:val="18"/>
          <w:szCs w:val="18"/>
          <w:color w:val="010000"/>
        </w:rPr>
      </w:pPr>
    </w:p>
    <w:p>
      <w:pPr>
        <w:ind w:left="660" w:firstLine="644"/>
        <w:spacing w:after="0" w:line="277" w:lineRule="auto"/>
        <w:tabs>
          <w:tab w:leader="none" w:pos="2136"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make any adjustments necessary or desirable in connection with grants made under the Plan to eligible Participants located outside the United States;</w:t>
      </w:r>
    </w:p>
    <w:p>
      <w:pPr>
        <w:spacing w:after="0" w:line="170" w:lineRule="exact"/>
        <w:rPr>
          <w:rFonts w:ascii="Arial" w:cs="Arial" w:eastAsia="Arial" w:hAnsi="Arial"/>
          <w:sz w:val="18"/>
          <w:szCs w:val="18"/>
          <w:color w:val="010000"/>
        </w:rPr>
      </w:pPr>
    </w:p>
    <w:p>
      <w:pPr>
        <w:jc w:val="both"/>
        <w:ind w:left="660" w:firstLine="644"/>
        <w:spacing w:after="0" w:line="279" w:lineRule="auto"/>
        <w:tabs>
          <w:tab w:leader="none" w:pos="2099" w:val="left"/>
        </w:tabs>
        <w:numPr>
          <w:ilvl w:val="1"/>
          <w:numId w:val="19"/>
        </w:numPr>
        <w:rPr>
          <w:rFonts w:ascii="Arial" w:cs="Arial" w:eastAsia="Arial" w:hAnsi="Arial"/>
          <w:sz w:val="17"/>
          <w:szCs w:val="17"/>
          <w:color w:val="010000"/>
        </w:rPr>
      </w:pPr>
      <w:r>
        <w:rPr>
          <w:rFonts w:ascii="Arial" w:cs="Arial" w:eastAsia="Arial" w:hAnsi="Arial"/>
          <w:sz w:val="17"/>
          <w:szCs w:val="17"/>
          <w:color w:val="auto"/>
        </w:rPr>
        <w:t>adopt, amend, or rescind rules and regulations for the administration of the Plan, including, but not limited to, correcting any defect or supplying any omission, or reconciling any inconsistency in the Plan or in any Grant Agreement, in the manner and to the extent it shall deem necessary or advisable, including so that the Plan and the operation of the Plan complies with Rule 16b-3, the Code to the extent applicable and other applicable law and make such other determinations for carrying out the Plan as it may deem appropriate; and</w:t>
      </w:r>
    </w:p>
    <w:p>
      <w:pPr>
        <w:spacing w:after="0" w:line="171" w:lineRule="exact"/>
        <w:rPr>
          <w:rFonts w:ascii="Arial" w:cs="Arial" w:eastAsia="Arial" w:hAnsi="Arial"/>
          <w:sz w:val="17"/>
          <w:szCs w:val="17"/>
          <w:color w:val="010000"/>
        </w:rPr>
      </w:pPr>
    </w:p>
    <w:p>
      <w:pPr>
        <w:ind w:left="660" w:firstLine="644"/>
        <w:spacing w:after="0" w:line="277" w:lineRule="auto"/>
        <w:tabs>
          <w:tab w:leader="none" w:pos="2026"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exercise such powers and perform such acts as are deemed necessary or advisable to promote the best interests of the Company with respect to the Plan.</w:t>
      </w:r>
    </w:p>
    <w:p>
      <w:pPr>
        <w:spacing w:after="0" w:line="170" w:lineRule="exact"/>
        <w:rPr>
          <w:rFonts w:ascii="Arial" w:cs="Arial" w:eastAsia="Arial" w:hAnsi="Arial"/>
          <w:sz w:val="18"/>
          <w:szCs w:val="18"/>
          <w:color w:val="010000"/>
        </w:rPr>
      </w:pPr>
    </w:p>
    <w:p>
      <w:pPr>
        <w:jc w:val="both"/>
        <w:ind w:firstLine="656"/>
        <w:spacing w:after="0" w:line="269" w:lineRule="auto"/>
        <w:tabs>
          <w:tab w:leader="none" w:pos="1558" w:val="left"/>
        </w:tabs>
        <w:numPr>
          <w:ilvl w:val="0"/>
          <w:numId w:val="20"/>
        </w:numPr>
        <w:rPr>
          <w:rFonts w:ascii="Arial" w:cs="Arial" w:eastAsia="Arial" w:hAnsi="Arial"/>
          <w:sz w:val="17"/>
          <w:szCs w:val="17"/>
          <w:color w:val="010000"/>
        </w:rPr>
      </w:pPr>
      <w:r>
        <w:rPr>
          <w:rFonts w:ascii="Arial" w:cs="Arial" w:eastAsia="Arial" w:hAnsi="Arial"/>
          <w:sz w:val="17"/>
          <w:szCs w:val="17"/>
          <w:color w:val="auto"/>
        </w:rPr>
        <w:t>Notwithstanding the foregoing, the Committee shall not take any of the following actions without shareholder approval, except as provided in Section 20: (i) reduce the exercise price following the grant of an Option or SAR; (ii) exchange an Option or SAR which has an exercise price that is greater than the Fair Market Value of a Share for cash or Shares or (iii) cancel an Option or SAR in exchange for a replacement option or another Award with a lower exercise price. Decisions of the Committee on all matters relating to the Plan, any Award granted under the Plan and any Grant Agreement shall be in the Committee’s sole discretion and shall be conclusive and binding on the Company, all Participants and all other parties, unless an arbitration or other provision is expressly provided in a Participant’s Grant Agreement. The validity, construction, and effect of the Plan and any rules and regulations relating to the Plan shall be determined in accordance with applicable federal and state laws and rules and regulations promulgated pursuant thereto. No member of the Committee and no officer of the Company shall be liable for any action taken or omitted to be taken by such member, by any other member of the Committee or by any officer of the Company in connection with the performance of duties under the Plan, except for such person’s own willful misconduct or as expressly provided by statute.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ind w:firstLine="656"/>
        <w:spacing w:after="0" w:line="263" w:lineRule="auto"/>
        <w:tabs>
          <w:tab w:leader="none" w:pos="1321"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The expenses of the Plan shall be borne by the Company. The Plan shall not be required to establish any special or separate fund or make any other segregation of assets to assume the payment of any Award under the Plan, and rights to the payment of such Awards shall be no greater than the rights of the Company’s general creditors.</w:t>
      </w:r>
    </w:p>
    <w:p>
      <w:pPr>
        <w:spacing w:after="0" w:line="183" w:lineRule="exact"/>
        <w:rPr>
          <w:rFonts w:ascii="Arial" w:cs="Arial" w:eastAsia="Arial" w:hAnsi="Arial"/>
          <w:sz w:val="18"/>
          <w:szCs w:val="18"/>
          <w:color w:val="010000"/>
        </w:rPr>
      </w:pPr>
    </w:p>
    <w:p>
      <w:pPr>
        <w:ind w:left="680" w:hanging="672"/>
        <w:spacing w:after="0"/>
        <w:tabs>
          <w:tab w:leader="none" w:pos="680" w:val="left"/>
        </w:tabs>
        <w:numPr>
          <w:ilvl w:val="0"/>
          <w:numId w:val="22"/>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Shares Available for the Plan.</w:t>
      </w:r>
    </w:p>
    <w:p>
      <w:pPr>
        <w:spacing w:after="0" w:line="225" w:lineRule="exact"/>
        <w:rPr>
          <w:rFonts w:ascii="Arial" w:cs="Arial" w:eastAsia="Arial" w:hAnsi="Arial"/>
          <w:sz w:val="18"/>
          <w:szCs w:val="18"/>
          <w:b w:val="1"/>
          <w:bCs w:val="1"/>
          <w:color w:val="010000"/>
        </w:rPr>
      </w:pPr>
    </w:p>
    <w:p>
      <w:pPr>
        <w:jc w:val="both"/>
        <w:ind w:firstLine="656"/>
        <w:spacing w:after="0" w:line="269" w:lineRule="auto"/>
        <w:tabs>
          <w:tab w:leader="none" w:pos="1491" w:val="left"/>
        </w:tabs>
        <w:numPr>
          <w:ilvl w:val="1"/>
          <w:numId w:val="22"/>
        </w:numPr>
        <w:rPr>
          <w:rFonts w:ascii="Arial" w:cs="Arial" w:eastAsia="Arial" w:hAnsi="Arial"/>
          <w:sz w:val="17"/>
          <w:szCs w:val="17"/>
          <w:color w:val="010000"/>
        </w:rPr>
      </w:pPr>
      <w:r>
        <w:rPr>
          <w:rFonts w:ascii="Arial" w:cs="Arial" w:eastAsia="Arial" w:hAnsi="Arial"/>
          <w:sz w:val="17"/>
          <w:szCs w:val="17"/>
          <w:color w:val="auto"/>
        </w:rPr>
        <w:t>Subject to adjustments as provided in Section 20, an aggregate of 4,500,000 shares of Common Stock (the “</w:t>
      </w:r>
      <w:r>
        <w:rPr>
          <w:rFonts w:ascii="Arial" w:cs="Arial" w:eastAsia="Arial" w:hAnsi="Arial"/>
          <w:sz w:val="17"/>
          <w:szCs w:val="17"/>
          <w:i w:val="1"/>
          <w:iCs w:val="1"/>
          <w:color w:val="auto"/>
        </w:rPr>
        <w:t>Shares</w:t>
      </w:r>
      <w:r>
        <w:rPr>
          <w:rFonts w:ascii="Arial" w:cs="Arial" w:eastAsia="Arial" w:hAnsi="Arial"/>
          <w:sz w:val="17"/>
          <w:szCs w:val="17"/>
          <w:color w:val="auto"/>
        </w:rPr>
        <w:t>”) may be issued pursuant to the Plan. Such Shares may be in whole or in part authorized and unissued or held by the Company as treasury shares. If any grant under the Plan expires or terminates unexercised, becomes unexercisable or is forfeited as to any Shares, then such unpurchased or forfeited Shares shall thereafter be available for further grants under the Plan unless, in the case of Options granted under the Plan, related SARs are exercised, it being understood that Shares with respect to an Award (or otherwise) that are used to satisfy the exercise price with respect to Options or SARs or tax withholding with respect to an Award shall not be available for further grants under the Plan. Any Award under the Plan settled in cash shall not be counted against the foregoing maximum share limitations. The maximum number of shares with respect to which Incentive Stock Options may be granted shall be 500,000. Shares issued under Awards granted in assumption, substitution or exchange for previously granted awards of a company acquired by the Company (“</w:t>
      </w:r>
      <w:r>
        <w:rPr>
          <w:rFonts w:ascii="Arial" w:cs="Arial" w:eastAsia="Arial" w:hAnsi="Arial"/>
          <w:sz w:val="17"/>
          <w:szCs w:val="17"/>
          <w:i w:val="1"/>
          <w:iCs w:val="1"/>
          <w:color w:val="auto"/>
        </w:rPr>
        <w:t>Substitute Awards</w:t>
      </w:r>
      <w:r>
        <w:rPr>
          <w:rFonts w:ascii="Arial" w:cs="Arial" w:eastAsia="Arial" w:hAnsi="Arial"/>
          <w:sz w:val="17"/>
          <w:szCs w:val="17"/>
          <w:color w:val="auto"/>
        </w:rPr>
        <w:t>”) shall not reduce Shares available under Plan. Available shares under a stockholder approved plan of an acquired company (as appropriately adjusted to reflect such acquisition) may be used for Awards under this Plan and shall not reduce the number of Shares available under this Plan, except as required by the rules of any applicable stock exchange.</w:t>
      </w:r>
    </w:p>
    <w:p>
      <w:pPr>
        <w:spacing w:after="0" w:line="181" w:lineRule="exact"/>
        <w:rPr>
          <w:rFonts w:ascii="Arial" w:cs="Arial" w:eastAsia="Arial" w:hAnsi="Arial"/>
          <w:sz w:val="17"/>
          <w:szCs w:val="17"/>
          <w:color w:val="010000"/>
        </w:rPr>
      </w:pPr>
    </w:p>
    <w:p>
      <w:pPr>
        <w:ind w:left="1320" w:hanging="664"/>
        <w:spacing w:after="0"/>
        <w:tabs>
          <w:tab w:leader="none" w:pos="1320" w:val="left"/>
        </w:tabs>
        <w:numPr>
          <w:ilvl w:val="1"/>
          <w:numId w:val="22"/>
        </w:numPr>
        <w:rPr>
          <w:rFonts w:ascii="Arial" w:cs="Arial" w:eastAsia="Arial" w:hAnsi="Arial"/>
          <w:sz w:val="18"/>
          <w:szCs w:val="18"/>
          <w:color w:val="010000"/>
        </w:rPr>
      </w:pPr>
      <w:r>
        <w:rPr>
          <w:rFonts w:ascii="Arial" w:cs="Arial" w:eastAsia="Arial" w:hAnsi="Arial"/>
          <w:sz w:val="18"/>
          <w:szCs w:val="18"/>
          <w:color w:val="auto"/>
        </w:rPr>
        <w:t>The following individual Participant limitations shall apply:</w:t>
      </w:r>
    </w:p>
    <w:p>
      <w:pPr>
        <w:spacing w:after="0" w:line="225" w:lineRule="exact"/>
        <w:rPr>
          <w:rFonts w:ascii="Arial" w:cs="Arial" w:eastAsia="Arial" w:hAnsi="Arial"/>
          <w:sz w:val="18"/>
          <w:szCs w:val="18"/>
          <w:color w:val="010000"/>
        </w:rPr>
      </w:pPr>
    </w:p>
    <w:p>
      <w:pPr>
        <w:jc w:val="both"/>
        <w:ind w:left="660" w:firstLine="644"/>
        <w:spacing w:after="0" w:line="263" w:lineRule="auto"/>
        <w:tabs>
          <w:tab w:leader="none" w:pos="2099" w:val="left"/>
        </w:tabs>
        <w:numPr>
          <w:ilvl w:val="2"/>
          <w:numId w:val="22"/>
        </w:numPr>
        <w:rPr>
          <w:rFonts w:ascii="Arial" w:cs="Arial" w:eastAsia="Arial" w:hAnsi="Arial"/>
          <w:sz w:val="18"/>
          <w:szCs w:val="18"/>
          <w:color w:val="010000"/>
        </w:rPr>
      </w:pPr>
      <w:r>
        <w:rPr>
          <w:rFonts w:ascii="Arial" w:cs="Arial" w:eastAsia="Arial" w:hAnsi="Arial"/>
          <w:sz w:val="18"/>
          <w:szCs w:val="18"/>
          <w:color w:val="auto"/>
        </w:rPr>
        <w:t>The maximum number of shares of Common Stock subject to Awards other than Performance Awards which may be granted under this Plan during any fiscal year of the Company to each Eligible Employee or Consultant shall be 500,000 shares in the aggregate (which shall be subject to any further increase or decrease pursuant to Section 20).</w:t>
      </w:r>
    </w:p>
    <w:p>
      <w:pPr>
        <w:spacing w:after="0" w:line="183" w:lineRule="exact"/>
        <w:rPr>
          <w:rFonts w:ascii="Arial" w:cs="Arial" w:eastAsia="Arial" w:hAnsi="Arial"/>
          <w:sz w:val="18"/>
          <w:szCs w:val="18"/>
          <w:color w:val="010000"/>
        </w:rPr>
      </w:pPr>
    </w:p>
    <w:p>
      <w:pPr>
        <w:jc w:val="both"/>
        <w:ind w:left="660" w:firstLine="644"/>
        <w:spacing w:after="0" w:line="263" w:lineRule="auto"/>
        <w:tabs>
          <w:tab w:leader="none" w:pos="2230" w:val="left"/>
        </w:tabs>
        <w:numPr>
          <w:ilvl w:val="2"/>
          <w:numId w:val="22"/>
        </w:numPr>
        <w:rPr>
          <w:rFonts w:ascii="Arial" w:cs="Arial" w:eastAsia="Arial" w:hAnsi="Arial"/>
          <w:sz w:val="18"/>
          <w:szCs w:val="18"/>
          <w:color w:val="010000"/>
        </w:rPr>
      </w:pPr>
      <w:r>
        <w:rPr>
          <w:rFonts w:ascii="Arial" w:cs="Arial" w:eastAsia="Arial" w:hAnsi="Arial"/>
          <w:sz w:val="18"/>
          <w:szCs w:val="18"/>
          <w:color w:val="auto"/>
        </w:rPr>
        <w:t>The maximum number of shares of Common Stock subject to Performance Awards which may be granted under this Plan during any fiscal year of the Company to each Eligible Employee or Consultant shall be 500,000 shares in the aggregate (which shall be subject to any further increase or decrease pursuant to Section 20).</w:t>
      </w:r>
    </w:p>
    <w:p>
      <w:pPr>
        <w:spacing w:after="0" w:line="183" w:lineRule="exact"/>
        <w:rPr>
          <w:rFonts w:ascii="Arial" w:cs="Arial" w:eastAsia="Arial" w:hAnsi="Arial"/>
          <w:sz w:val="18"/>
          <w:szCs w:val="18"/>
          <w:color w:val="010000"/>
        </w:rPr>
      </w:pPr>
    </w:p>
    <w:p>
      <w:pPr>
        <w:jc w:val="both"/>
        <w:ind w:left="660" w:firstLine="644"/>
        <w:spacing w:after="0" w:line="301" w:lineRule="auto"/>
        <w:tabs>
          <w:tab w:leader="none" w:pos="2253" w:val="left"/>
        </w:tabs>
        <w:numPr>
          <w:ilvl w:val="2"/>
          <w:numId w:val="22"/>
        </w:numPr>
        <w:rPr>
          <w:rFonts w:ascii="Arial" w:cs="Arial" w:eastAsia="Arial" w:hAnsi="Arial"/>
          <w:sz w:val="16"/>
          <w:szCs w:val="16"/>
          <w:color w:val="010000"/>
        </w:rPr>
      </w:pPr>
      <w:r>
        <w:rPr>
          <w:rFonts w:ascii="Arial" w:cs="Arial" w:eastAsia="Arial" w:hAnsi="Arial"/>
          <w:sz w:val="16"/>
          <w:szCs w:val="16"/>
          <w:color w:val="auto"/>
        </w:rPr>
        <w:t>The maximum value of shares of Common Stock subject to any Awards which may be granted under this Plan during any fiscal year of the Company to each Non-Employee Director shall be $500,000 in the aggregate (based on the grant value of the Common Shares under any Awards, as applicable), and when combined with cash compensation awarded to each Non-Employee Director for a fiscal year, the maximum amount of total annual compensation paid to each Non-Employee Director for a fiscal year shall not exceed $750,000.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ind w:left="660" w:firstLine="644"/>
        <w:spacing w:after="0" w:line="277" w:lineRule="auto"/>
        <w:tabs>
          <w:tab w:leader="none" w:pos="2107" w:val="left"/>
        </w:tabs>
        <w:numPr>
          <w:ilvl w:val="1"/>
          <w:numId w:val="23"/>
        </w:numPr>
        <w:rPr>
          <w:rFonts w:ascii="Arial" w:cs="Arial" w:eastAsia="Arial" w:hAnsi="Arial"/>
          <w:sz w:val="18"/>
          <w:szCs w:val="18"/>
          <w:color w:val="010000"/>
        </w:rPr>
      </w:pPr>
      <w:r>
        <w:rPr>
          <w:rFonts w:ascii="Arial" w:cs="Arial" w:eastAsia="Arial" w:hAnsi="Arial"/>
          <w:sz w:val="18"/>
          <w:szCs w:val="18"/>
          <w:color w:val="auto"/>
        </w:rPr>
        <w:t>The maximum value of a cash payment made under Performance Awards which may be granted under the Plan with respect to any fiscal year of the Company to each Eligible Employee or Consultant shall be $5,000,000 in the aggregate.</w:t>
      </w:r>
    </w:p>
    <w:p>
      <w:pPr>
        <w:spacing w:after="0" w:line="170" w:lineRule="exact"/>
        <w:rPr>
          <w:rFonts w:ascii="Arial" w:cs="Arial" w:eastAsia="Arial" w:hAnsi="Arial"/>
          <w:sz w:val="18"/>
          <w:szCs w:val="18"/>
          <w:color w:val="010000"/>
        </w:rPr>
      </w:pPr>
    </w:p>
    <w:p>
      <w:pPr>
        <w:jc w:val="both"/>
        <w:ind w:left="660" w:firstLine="644"/>
        <w:spacing w:after="0" w:line="296" w:lineRule="auto"/>
        <w:tabs>
          <w:tab w:leader="none" w:pos="2094" w:val="left"/>
        </w:tabs>
        <w:numPr>
          <w:ilvl w:val="1"/>
          <w:numId w:val="23"/>
        </w:numPr>
        <w:rPr>
          <w:rFonts w:ascii="Arial" w:cs="Arial" w:eastAsia="Arial" w:hAnsi="Arial"/>
          <w:sz w:val="16"/>
          <w:szCs w:val="16"/>
          <w:color w:val="010000"/>
        </w:rPr>
      </w:pPr>
      <w:r>
        <w:rPr>
          <w:rFonts w:ascii="Arial" w:cs="Arial" w:eastAsia="Arial" w:hAnsi="Arial"/>
          <w:sz w:val="16"/>
          <w:szCs w:val="16"/>
          <w:color w:val="auto"/>
        </w:rPr>
        <w:t>The individual Participant limitations set forth in this Section 4(b) (other than paragraph (iv) above) shall be cumulative with respect to Eligible Employees and Consultants; that is, to the extent that shares of Common Stock or cash amounts for or under which Awards are permitted to be granted to an Eligible Employee or a Consultant during a fiscal year are not covered by or made under an Award, as applicable, to such Eligible Employee or Consultant in a fiscal year, the number of shares of Common Stock or cash amounts available for or under Awards to such Eligible Employee or Consultant shall automatically increase in the subsequent fiscal years during the term of the Plan until used.</w:t>
      </w:r>
    </w:p>
    <w:p>
      <w:pPr>
        <w:spacing w:after="0" w:line="161" w:lineRule="exact"/>
        <w:rPr>
          <w:rFonts w:ascii="Arial" w:cs="Arial" w:eastAsia="Arial" w:hAnsi="Arial"/>
          <w:sz w:val="16"/>
          <w:szCs w:val="16"/>
          <w:color w:val="010000"/>
        </w:rPr>
      </w:pPr>
    </w:p>
    <w:p>
      <w:pPr>
        <w:ind w:left="2220" w:hanging="916"/>
        <w:spacing w:after="0"/>
        <w:tabs>
          <w:tab w:leader="none" w:pos="2220" w:val="left"/>
        </w:tabs>
        <w:numPr>
          <w:ilvl w:val="1"/>
          <w:numId w:val="23"/>
        </w:numPr>
        <w:rPr>
          <w:rFonts w:ascii="Arial" w:cs="Arial" w:eastAsia="Arial" w:hAnsi="Arial"/>
          <w:sz w:val="16"/>
          <w:szCs w:val="16"/>
          <w:color w:val="010000"/>
        </w:rPr>
      </w:pPr>
      <w:r>
        <w:rPr>
          <w:rFonts w:ascii="Arial" w:cs="Arial" w:eastAsia="Arial" w:hAnsi="Arial"/>
          <w:sz w:val="16"/>
          <w:szCs w:val="16"/>
          <w:color w:val="auto"/>
        </w:rPr>
        <w:t>The Committee may apply the foregoing dollar limitations specified in paragraph (iv) above with respect to paragraphs (i),</w:t>
      </w:r>
    </w:p>
    <w:p>
      <w:pPr>
        <w:spacing w:after="0" w:line="46" w:lineRule="exact"/>
        <w:rPr>
          <w:rFonts w:ascii="Arial" w:cs="Arial" w:eastAsia="Arial" w:hAnsi="Arial"/>
          <w:sz w:val="16"/>
          <w:szCs w:val="16"/>
          <w:color w:val="010000"/>
        </w:rPr>
      </w:pPr>
    </w:p>
    <w:p>
      <w:pPr>
        <w:ind w:left="660" w:hanging="4"/>
        <w:spacing w:after="0" w:line="260" w:lineRule="auto"/>
        <w:tabs>
          <w:tab w:leader="none" w:pos="92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 (iii) above as applicable and in the event the date of grant value of the number of shares specified such paragraphs (i), (ii) or (iii) is less than the applicable dollar limitations specified in such paragraph (iv).</w:t>
      </w:r>
    </w:p>
    <w:p>
      <w:pPr>
        <w:spacing w:after="0" w:line="185" w:lineRule="exact"/>
        <w:rPr>
          <w:sz w:val="20"/>
          <w:szCs w:val="20"/>
          <w:color w:val="auto"/>
        </w:rPr>
      </w:pPr>
    </w:p>
    <w:p>
      <w:pPr>
        <w:jc w:val="both"/>
        <w:ind w:firstLine="656"/>
        <w:spacing w:after="0" w:line="259" w:lineRule="auto"/>
        <w:tabs>
          <w:tab w:leader="none" w:pos="1369" w:val="left"/>
        </w:tabs>
        <w:numPr>
          <w:ilvl w:val="1"/>
          <w:numId w:val="25"/>
        </w:numPr>
        <w:rPr>
          <w:rFonts w:ascii="Arial" w:cs="Arial" w:eastAsia="Arial" w:hAnsi="Arial"/>
          <w:sz w:val="18"/>
          <w:szCs w:val="18"/>
          <w:color w:val="010000"/>
        </w:rPr>
      </w:pPr>
      <w:r>
        <w:rPr>
          <w:rFonts w:ascii="Arial" w:cs="Arial" w:eastAsia="Arial" w:hAnsi="Arial"/>
          <w:sz w:val="18"/>
          <w:szCs w:val="18"/>
          <w:color w:val="auto"/>
        </w:rPr>
        <w:t>Without limiting the generality of the foregoing provisions of this Section 4 or any other section of this Plan, the Committee may, at any time or from time to time, and on such terms and conditions (that are consistent with and not in contravention of the other provisions of this Plan) as the Committee may determine, enter into Grant Agreements (or take other actions with respect to the Awards) for new Awards containing terms (including, without limitation, exercise prices) more (or less) favorable than the then-outstanding Awards.</w:t>
      </w:r>
    </w:p>
    <w:p>
      <w:pPr>
        <w:spacing w:after="0" w:line="186" w:lineRule="exact"/>
        <w:rPr>
          <w:rFonts w:ascii="Arial" w:cs="Arial" w:eastAsia="Arial" w:hAnsi="Arial"/>
          <w:sz w:val="18"/>
          <w:szCs w:val="18"/>
          <w:color w:val="010000"/>
        </w:rPr>
      </w:pPr>
    </w:p>
    <w:p>
      <w:pPr>
        <w:ind w:left="680" w:hanging="672"/>
        <w:spacing w:after="0"/>
        <w:tabs>
          <w:tab w:leader="none" w:pos="680" w:val="left"/>
        </w:tabs>
        <w:numPr>
          <w:ilvl w:val="0"/>
          <w:numId w:val="26"/>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Participation.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Participation in the Plan shall be limited to the Participants. Nothing in the Plan or in any Grant Agreement shall confer any right on a Participant to continue in the employ of the Company or any Affiliate as a director, officer or employee of or in the performance of services therefor or shall interfere in any way with the right of the Company or an Affiliate to terminate the employment or performance of services or to reduce the compensation or responsibilities of a Participant at any time. By accepting any Award under the Plan, each Participant and each person claiming under or through him or her shall be conclusively deemed to have indicated his or her acceptance and ratification of, and consent to, any action taken under the Plan by the Company, the Board or the Committee.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Awards may be granted to such persons and for such number of Shares as the Committee shall determine, subject to the limitations contained herein (such individuals to whom grants are made being sometimes herein called “optionees” or “grantees,” as the case may be). Determinations made by the Committee under the Plan need not be uniform and may be made selectively among eligible individuals under the Plan, whether or not such individuals are similarly situated. A grant of any type made hereunder in any one year to an eligible Participant shall neither guarantee nor preclude a further grant of that or any other type to such Participant in that year or subsequent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ind w:firstLine="648"/>
        <w:spacing w:after="0" w:line="291" w:lineRule="auto"/>
        <w:rPr>
          <w:sz w:val="20"/>
          <w:szCs w:val="20"/>
          <w:color w:val="auto"/>
        </w:rPr>
      </w:pPr>
      <w:r>
        <w:rPr>
          <w:rFonts w:ascii="Arial" w:cs="Arial" w:eastAsia="Arial" w:hAnsi="Arial"/>
          <w:sz w:val="16"/>
          <w:szCs w:val="16"/>
          <w:color w:val="auto"/>
        </w:rPr>
        <w:t>Except for maximum aggregate Awards of 5% of the aggregate Shares authorized by Section 4, and subject to the circumstances described herein under which accelerated vesting may occur, if the vesting condition for any Award (excluding any Award granted to a Non-Employee Director), relates</w:t>
      </w:r>
    </w:p>
    <w:p>
      <w:pPr>
        <w:jc w:val="both"/>
        <w:ind w:firstLine="8"/>
        <w:spacing w:after="0" w:line="253" w:lineRule="auto"/>
        <w:tabs>
          <w:tab w:leader="none" w:pos="2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exclusively to the passage of time and continued employment, such time period shall not be less than (i) 36 months, with 33 1/3% of the Award vesting every 12 months with respect to any Full Value Award, and (ii) 1 year with respect to any other Award, and (b) to the attainment of specified Performance Goals, such Award (whether a Full Value Award or otherwise) shall vest over a Performance Cycle of not less than 1 year (the “</w:t>
      </w:r>
      <w:r>
        <w:rPr>
          <w:rFonts w:ascii="Arial" w:cs="Arial" w:eastAsia="Arial" w:hAnsi="Arial"/>
          <w:sz w:val="18"/>
          <w:szCs w:val="18"/>
          <w:i w:val="1"/>
          <w:iCs w:val="1"/>
          <w:color w:val="auto"/>
        </w:rPr>
        <w:t>Minimum Vesting</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w:t>
      </w:r>
      <w:r>
        <w:rPr>
          <w:rFonts w:ascii="Arial" w:cs="Arial" w:eastAsia="Arial" w:hAnsi="Arial"/>
          <w:sz w:val="18"/>
          <w:szCs w:val="18"/>
          <w:color w:val="auto"/>
        </w:rPr>
        <w:t>”).</w:t>
      </w:r>
    </w:p>
    <w:p>
      <w:pPr>
        <w:spacing w:after="0" w:line="193" w:lineRule="exact"/>
        <w:rPr>
          <w:sz w:val="20"/>
          <w:szCs w:val="20"/>
          <w:color w:val="auto"/>
        </w:rPr>
      </w:pPr>
    </w:p>
    <w:p>
      <w:pPr>
        <w:ind w:left="680" w:hanging="672"/>
        <w:spacing w:after="0"/>
        <w:tabs>
          <w:tab w:leader="none" w:pos="680" w:val="left"/>
        </w:tabs>
        <w:numPr>
          <w:ilvl w:val="0"/>
          <w:numId w:val="28"/>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Incentive and Non-qualified Options.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Committee may from time to time grant to eligible Participants Incentive Stock Options, Non-qualified Stock Options, or any combination thereof; provided that, the Committee may grant Incentive Stock Options only to eligible employees of the Company or its Subsidiaries (as Subsidiaries may be further defined for this purpose in Section 424(f) of the Code or any successor thereto). The Options granted under the Plan shall be evidenced by a Grant Agreement and shall take such form as the Committee shall determine, subject to the terms and conditions of the Plan.</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It is the Company’s intent that Non-qualified Stock Options granted under the Plan not be classified as Incentive Stock Options, that Incentive Stock Options be consistent with and contain or be deemed to contain all provisions required under Section 422 of the Code and any successor thereto, and that any ambiguities in construction be interpreted and construed in order to effectuate such intent. If an Incentive Stock Option granted under the Plan does not qualify as such for any reason, then to the extent of such non-qualification, the Stock Option represented thereby shall be regarded as a Non-qualified Stock Option duly granted under the Plan; provided that, such Stock Option otherwise meets the Plan’s requirements for Non-qualified Stock Options.</w:t>
      </w:r>
    </w:p>
    <w:p>
      <w:pPr>
        <w:spacing w:after="0" w:line="161" w:lineRule="exact"/>
        <w:rPr>
          <w:sz w:val="20"/>
          <w:szCs w:val="20"/>
          <w:color w:val="auto"/>
        </w:rPr>
      </w:pPr>
    </w:p>
    <w:p>
      <w:pPr>
        <w:jc w:val="both"/>
        <w:ind w:firstLine="656"/>
        <w:spacing w:after="0" w:line="291" w:lineRule="auto"/>
        <w:tabs>
          <w:tab w:leader="none" w:pos="1401" w:val="left"/>
        </w:tabs>
        <w:numPr>
          <w:ilvl w:val="0"/>
          <w:numId w:val="29"/>
        </w:numPr>
        <w:rPr>
          <w:rFonts w:ascii="Arial" w:cs="Arial" w:eastAsia="Arial" w:hAnsi="Arial"/>
          <w:sz w:val="16"/>
          <w:szCs w:val="16"/>
          <w:color w:val="010000"/>
        </w:rPr>
      </w:pPr>
      <w:r>
        <w:rPr>
          <w:rFonts w:ascii="Arial" w:cs="Arial" w:eastAsia="Arial" w:hAnsi="Arial"/>
          <w:sz w:val="16"/>
          <w:szCs w:val="16"/>
          <w:i w:val="1"/>
          <w:iCs w:val="1"/>
          <w:color w:val="auto"/>
        </w:rPr>
        <w:t>Price</w:t>
      </w:r>
      <w:r>
        <w:rPr>
          <w:rFonts w:ascii="Arial" w:cs="Arial" w:eastAsia="Arial" w:hAnsi="Arial"/>
          <w:sz w:val="16"/>
          <w:szCs w:val="16"/>
          <w:color w:val="auto"/>
        </w:rPr>
        <w:t>. The price per Share deliverable upon the exercise of each Option shall be established by the Committee, except that in the case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 of any Option, such price may not be less than 100% of the Fair Market Value of a share of Common Stock as of the date of grant of the Option except for Substitute Awards, which shall have the exercise price as determined by the Committee; provided that, such exercise price does not cause the Substitute Award to become subject to Section 409A of the Code and the Committee takes into consideration any third-party voting guidelines. In the case of the grant of any Incentive Stock Option to an employee who, at the time of the grant, owns more than 10% of the total combined voting power of all classes of stock of the Company or any of its Subsidiaries, the exercise price may not be less than 110% of the Fair Market Value of a share of Common Stock as of the date of grant of the Option, in each case unless otherwise permitted by Section 422 of the Code or any successor thereto.</w:t>
      </w:r>
    </w:p>
    <w:p>
      <w:pPr>
        <w:spacing w:after="0" w:line="166" w:lineRule="exact"/>
        <w:rPr>
          <w:rFonts w:ascii="Arial" w:cs="Arial" w:eastAsia="Arial" w:hAnsi="Arial"/>
          <w:sz w:val="16"/>
          <w:szCs w:val="16"/>
          <w:color w:val="010000"/>
        </w:rPr>
      </w:pPr>
    </w:p>
    <w:p>
      <w:pPr>
        <w:jc w:val="both"/>
        <w:ind w:firstLine="656"/>
        <w:spacing w:after="0" w:line="273" w:lineRule="auto"/>
        <w:tabs>
          <w:tab w:leader="none" w:pos="1600" w:val="left"/>
        </w:tabs>
        <w:numPr>
          <w:ilvl w:val="0"/>
          <w:numId w:val="29"/>
        </w:numPr>
        <w:rPr>
          <w:rFonts w:ascii="Arial" w:cs="Arial" w:eastAsia="Arial" w:hAnsi="Arial"/>
          <w:sz w:val="17"/>
          <w:szCs w:val="17"/>
          <w:color w:val="010000"/>
        </w:rPr>
      </w:pPr>
      <w:r>
        <w:rPr>
          <w:rFonts w:ascii="Arial" w:cs="Arial" w:eastAsia="Arial" w:hAnsi="Arial"/>
          <w:sz w:val="17"/>
          <w:szCs w:val="17"/>
          <w:i w:val="1"/>
          <w:iCs w:val="1"/>
          <w:color w:val="auto"/>
        </w:rPr>
        <w:t>Payment</w:t>
      </w:r>
      <w:r>
        <w:rPr>
          <w:rFonts w:ascii="Arial" w:cs="Arial" w:eastAsia="Arial" w:hAnsi="Arial"/>
          <w:sz w:val="17"/>
          <w:szCs w:val="17"/>
          <w:color w:val="auto"/>
        </w:rPr>
        <w:t>. Options may be exercised, in whole or in part, upon payment of the exercise price of the Shares to be acquired. Unless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determined by the Committee, payment shall be made (i) in cash (including check, bank draft, money order or wire transfer of immediately available funds), (ii) by delivery of outstanding shares of Common Stock with a Fair Market Value on the date of exercise equal to the aggregate exercise price payable with respect to the Options’ exercise, (iii) by means of any cashless exercise procedures approved by the Committee and as may be in effect on the date of exercise, (iv) by withholding shares of Common Stock otherwise deliverable upon exercise of the Option having a Fair Market Value equal to the exercise price or (v) by any combination of the foregoing.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ind w:firstLine="648"/>
        <w:spacing w:after="0" w:line="287" w:lineRule="auto"/>
        <w:rPr>
          <w:sz w:val="20"/>
          <w:szCs w:val="20"/>
          <w:color w:val="auto"/>
        </w:rPr>
      </w:pPr>
      <w:r>
        <w:rPr>
          <w:rFonts w:ascii="Arial" w:cs="Arial" w:eastAsia="Arial" w:hAnsi="Arial"/>
          <w:sz w:val="16"/>
          <w:szCs w:val="16"/>
          <w:color w:val="auto"/>
        </w:rPr>
        <w:t>In the event a grantee is permitted to, and elects to pay the exercise price payable with respect to an Option pursuant to clause (ii) above, (A) only a whole number of share(s) of Common Stock (and not fractional shares of Common Stock) may be tendered in payment, (B) such grantee must present evidence acceptable to the Company that he or she has owned any such shares of Common Stock tendered in payment of the exercise price (and that such tendered shares of Common Stock are not subject to any substantial risk of forfeiture), and (C) Common Stock must be delivered to the Company. Delivery for this purpose may, at the election of the grantee, be made either by (x) physical delivery of the certificate(s) for all such shares of Common Stock tendered in payment of the exercise price, accompanied by duly executed instruments of transfer in a form acceptable to the Company, (y) direction to the grantee’s broker to transfer, by book entry, such shares of Common Stock from a brokerage account of the grantee to a brokerage account specified by the Company, or (z) the attestation of the grantee’s shares of Common Stock. When payment of the exercise price is made by delivery of Common Stock, the difference, if any, between the aggregate exercise price payable with respect to the Option being exercised and the Fair Market Value of the shares of Common Stock tendered in payment (plus any applicable taxes) shall be paid in cash. No grantee may tender shares of Common Stock having a Fair Market Value exceeding the aggregate exercise price payable with respect to the Option being exercised (plus any applicable taxes).</w:t>
      </w:r>
    </w:p>
    <w:p>
      <w:pPr>
        <w:spacing w:after="0" w:line="172" w:lineRule="exact"/>
        <w:rPr>
          <w:sz w:val="20"/>
          <w:szCs w:val="20"/>
          <w:color w:val="auto"/>
        </w:rPr>
      </w:pPr>
    </w:p>
    <w:p>
      <w:pPr>
        <w:jc w:val="both"/>
        <w:ind w:firstLine="656"/>
        <w:spacing w:after="0" w:line="268" w:lineRule="auto"/>
        <w:tabs>
          <w:tab w:leader="none" w:pos="1468" w:val="left"/>
        </w:tabs>
        <w:numPr>
          <w:ilvl w:val="0"/>
          <w:numId w:val="30"/>
        </w:numPr>
        <w:rPr>
          <w:rFonts w:ascii="Arial" w:cs="Arial" w:eastAsia="Arial" w:hAnsi="Arial"/>
          <w:sz w:val="17"/>
          <w:szCs w:val="17"/>
          <w:color w:val="010000"/>
        </w:rPr>
      </w:pPr>
      <w:r>
        <w:rPr>
          <w:rFonts w:ascii="Arial" w:cs="Arial" w:eastAsia="Arial" w:hAnsi="Arial"/>
          <w:sz w:val="17"/>
          <w:szCs w:val="17"/>
          <w:i w:val="1"/>
          <w:iCs w:val="1"/>
          <w:color w:val="auto"/>
        </w:rPr>
        <w:t>Terms of Options</w:t>
      </w:r>
      <w:r>
        <w:rPr>
          <w:rFonts w:ascii="Arial" w:cs="Arial" w:eastAsia="Arial" w:hAnsi="Arial"/>
          <w:sz w:val="17"/>
          <w:szCs w:val="17"/>
          <w:color w:val="auto"/>
        </w:rPr>
        <w:t>. The term during which each Option may be exercised shall be determined by the Committee, but if required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Code, no Option shall be exercisable in whole or in part more than 10 years from the date it is granted, and no Incentive Stock Option granted to an employee who at the time of the grant owns more than 10% of the total combined voting power of all classes of stock of the Company or any of its Subsidiaries shall be exercisable more than 5 years from the date it is granted. All rights to purchase Shares pursuant to an Option shall, unless sooner terminated, expire on the date designated by the Committee. Subject to the terms of the Plan, the Committee shall determine the date on which each Option shall become exercisable and may provide that an Option shall become exercisable in installments. The Committee may provide that upon the last day of the term of an Option whose exercise price is less than the fair market value of the underlying Share on such date, such Option may be automatically exercised and the Participant shall receive a number of Shares equal in value to the excess of the fair market value of a Share over the exercise price of such Option, less any applicable withholding taxes. The Shares constituting each installment may be purchased in whole or in part at any time after such installment becomes exercisable, subject to such minimum exercise requirements as may be designated by the Committee. Prior to the exercise of an Option and delivery of the Shares represented thereby, the optionee shall have no rights as a shareholder with respect to any Shares covered by such outstanding Option (including any dividend or voting rights). If an Option (other than an Incentive Stock Option) expires on a day that the Participant cannot exercise the Option because such an exercise would violate an applicable federal, state, local, or foreign law, the expiration date shall be tolled, at the discretion of the Committee, to the date no later than 30 days after the date the exercise of such Option would no longer violate an applicable Federal, state, local, and foreign laws, to the extent allowed under Section 409A of the Code.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both"/>
        <w:ind w:firstLine="656"/>
        <w:spacing w:after="0" w:line="263" w:lineRule="auto"/>
        <w:tabs>
          <w:tab w:leader="none" w:pos="1397" w:val="left"/>
        </w:tabs>
        <w:numPr>
          <w:ilvl w:val="0"/>
          <w:numId w:val="31"/>
        </w:numPr>
        <w:rPr>
          <w:rFonts w:ascii="Arial" w:cs="Arial" w:eastAsia="Arial" w:hAnsi="Arial"/>
          <w:sz w:val="18"/>
          <w:szCs w:val="18"/>
          <w:color w:val="010000"/>
        </w:rPr>
      </w:pPr>
      <w:r>
        <w:rPr>
          <w:rFonts w:ascii="Arial" w:cs="Arial" w:eastAsia="Arial" w:hAnsi="Arial"/>
          <w:sz w:val="18"/>
          <w:szCs w:val="18"/>
          <w:i w:val="1"/>
          <w:iCs w:val="1"/>
          <w:color w:val="auto"/>
        </w:rPr>
        <w:t>Limitations on Grants</w:t>
      </w:r>
      <w:r>
        <w:rPr>
          <w:rFonts w:ascii="Arial" w:cs="Arial" w:eastAsia="Arial" w:hAnsi="Arial"/>
          <w:sz w:val="18"/>
          <w:szCs w:val="18"/>
          <w:color w:val="auto"/>
        </w:rPr>
        <w:t>. If required by the Code, the aggregate Fair Market Value (determined as of the grant date) of Shares for which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is exercisable for the first time during any calendar year under all equity incentive plans of the Company and its Subsidiaries (as defined in Section 422 of the Code or any successor thereto) may not exceed $100,000.</w:t>
      </w:r>
    </w:p>
    <w:p>
      <w:pPr>
        <w:spacing w:after="0" w:line="183" w:lineRule="exact"/>
        <w:rPr>
          <w:rFonts w:ascii="Arial" w:cs="Arial" w:eastAsia="Arial" w:hAnsi="Arial"/>
          <w:sz w:val="18"/>
          <w:szCs w:val="18"/>
          <w:color w:val="010000"/>
        </w:rPr>
      </w:pPr>
    </w:p>
    <w:p>
      <w:pPr>
        <w:jc w:val="both"/>
        <w:ind w:firstLine="656"/>
        <w:spacing w:after="0" w:line="253" w:lineRule="auto"/>
        <w:tabs>
          <w:tab w:leader="none" w:pos="1671" w:val="left"/>
        </w:tabs>
        <w:numPr>
          <w:ilvl w:val="0"/>
          <w:numId w:val="31"/>
        </w:numPr>
        <w:rPr>
          <w:rFonts w:ascii="Arial" w:cs="Arial" w:eastAsia="Arial" w:hAnsi="Arial"/>
          <w:sz w:val="18"/>
          <w:szCs w:val="18"/>
          <w:color w:val="010000"/>
        </w:rPr>
      </w:pPr>
      <w:r>
        <w:rPr>
          <w:rFonts w:ascii="Arial" w:cs="Arial" w:eastAsia="Arial" w:hAnsi="Arial"/>
          <w:sz w:val="18"/>
          <w:szCs w:val="18"/>
          <w:i w:val="1"/>
          <w:iCs w:val="1"/>
          <w:color w:val="auto"/>
        </w:rPr>
        <w:t>Non-Transferability</w:t>
      </w:r>
      <w:r>
        <w:rPr>
          <w:rFonts w:ascii="Arial" w:cs="Arial" w:eastAsia="Arial" w:hAnsi="Arial"/>
          <w:sz w:val="18"/>
          <w:szCs w:val="18"/>
          <w:color w:val="auto"/>
        </w:rPr>
        <w:t>. No Stock Option shall be Transferable by the Participant other than by will or by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all Stock Options shall be exercisable, during the Participant’s lifetime, only by the Participant. Notwithstanding the foregoing, the Committee may determine, in its sole discretion, at the time of grant or thereafter that a Non-qualified Stock Option that is otherwise not Transferable pursuant to this Section 6(e) is Transferable to a Family Member in whole or in part and in such circumstances, and under such conditions, as specified by the Committee. A Non-qualified Stock Option that is Transferred to a Family Member pursuant to the preceding sentence (i) may not be subsequently Transferred other than by will or by the laws of descent and distribution and (ii) remains subject to the terms of this Plan and the applicable Grant Agreement. Any shares of Common Stock acquired upon the exercise of a Non-qualified Stock Option by a permissible transferee of a Non-qualified Stock Option or a permissible transferee pursuant to a Transfer after the exercise of the Non-qualified Stock Option shall be subject to the terms of this Plan and the applicable Grant Agreement.</w:t>
      </w:r>
    </w:p>
    <w:p>
      <w:pPr>
        <w:spacing w:after="0" w:line="196" w:lineRule="exact"/>
        <w:rPr>
          <w:rFonts w:ascii="Arial" w:cs="Arial" w:eastAsia="Arial" w:hAnsi="Arial"/>
          <w:sz w:val="18"/>
          <w:szCs w:val="18"/>
          <w:color w:val="010000"/>
        </w:rPr>
      </w:pPr>
    </w:p>
    <w:p>
      <w:pPr>
        <w:jc w:val="both"/>
        <w:ind w:firstLine="656"/>
        <w:spacing w:after="0" w:line="296" w:lineRule="auto"/>
        <w:tabs>
          <w:tab w:leader="none" w:pos="1449" w:val="left"/>
        </w:tabs>
        <w:numPr>
          <w:ilvl w:val="0"/>
          <w:numId w:val="31"/>
        </w:numPr>
        <w:rPr>
          <w:rFonts w:ascii="Arial" w:cs="Arial" w:eastAsia="Arial" w:hAnsi="Arial"/>
          <w:sz w:val="16"/>
          <w:szCs w:val="16"/>
          <w:color w:val="010000"/>
        </w:rPr>
      </w:pPr>
      <w:r>
        <w:rPr>
          <w:rFonts w:ascii="Arial" w:cs="Arial" w:eastAsia="Arial" w:hAnsi="Arial"/>
          <w:sz w:val="16"/>
          <w:szCs w:val="16"/>
          <w:i w:val="1"/>
          <w:iCs w:val="1"/>
          <w:color w:val="auto"/>
        </w:rPr>
        <w:t>Other Terms and Conditions</w:t>
      </w:r>
      <w:r>
        <w:rPr>
          <w:rFonts w:ascii="Arial" w:cs="Arial" w:eastAsia="Arial" w:hAnsi="Arial"/>
          <w:sz w:val="16"/>
          <w:szCs w:val="16"/>
          <w:color w:val="auto"/>
        </w:rPr>
        <w:t>. The Committee may include a provision in a Grant Agreement providing for the automatic exercise of a</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Stock Option on a cashless basis on the last day of the term of such Option if the Participant has failed to exercise the Non-qualified Stock Option as of such date, with respect to which the Fair Market Value of the shares of Common Stock underlying the Non-qualified Stock Option exceeds the exercise price of such Non-qualified Stock Option on the date of expiration of such Option, subject to Section 14. Stock Options may contain such other provisions, which shall not be inconsistent with any of the terms of the Plan, as the Committee shall deem appropriate.</w:t>
      </w:r>
    </w:p>
    <w:p>
      <w:pPr>
        <w:spacing w:after="0" w:line="161" w:lineRule="exact"/>
        <w:rPr>
          <w:rFonts w:ascii="Arial" w:cs="Arial" w:eastAsia="Arial" w:hAnsi="Arial"/>
          <w:sz w:val="16"/>
          <w:szCs w:val="16"/>
          <w:color w:val="010000"/>
        </w:rPr>
      </w:pPr>
    </w:p>
    <w:p>
      <w:pPr>
        <w:ind w:left="1400" w:hanging="744"/>
        <w:spacing w:after="0"/>
        <w:tabs>
          <w:tab w:leader="none" w:pos="1400" w:val="left"/>
        </w:tabs>
        <w:numPr>
          <w:ilvl w:val="0"/>
          <w:numId w:val="31"/>
        </w:numPr>
        <w:rPr>
          <w:rFonts w:ascii="Arial" w:cs="Arial" w:eastAsia="Arial" w:hAnsi="Arial"/>
          <w:sz w:val="18"/>
          <w:szCs w:val="18"/>
          <w:color w:val="010000"/>
        </w:rPr>
      </w:pPr>
      <w:r>
        <w:rPr>
          <w:rFonts w:ascii="Arial" w:cs="Arial" w:eastAsia="Arial" w:hAnsi="Arial"/>
          <w:sz w:val="18"/>
          <w:szCs w:val="18"/>
          <w:i w:val="1"/>
          <w:iCs w:val="1"/>
          <w:color w:val="auto"/>
        </w:rPr>
        <w:t>Termination; Forfeiture</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60" w:firstLine="644"/>
        <w:spacing w:after="0" w:line="259" w:lineRule="auto"/>
        <w:tabs>
          <w:tab w:leader="none" w:pos="2288" w:val="left"/>
        </w:tabs>
        <w:numPr>
          <w:ilvl w:val="1"/>
          <w:numId w:val="31"/>
        </w:numPr>
        <w:rPr>
          <w:rFonts w:ascii="Arial" w:cs="Arial" w:eastAsia="Arial" w:hAnsi="Arial"/>
          <w:sz w:val="18"/>
          <w:szCs w:val="18"/>
          <w:color w:val="010000"/>
        </w:rPr>
      </w:pPr>
      <w:r>
        <w:rPr>
          <w:rFonts w:ascii="Arial" w:cs="Arial" w:eastAsia="Arial" w:hAnsi="Arial"/>
          <w:sz w:val="18"/>
          <w:szCs w:val="18"/>
          <w:i w:val="1"/>
          <w:iCs w:val="1"/>
          <w:color w:val="auto"/>
        </w:rPr>
        <w:t>Death</w:t>
      </w:r>
      <w:r>
        <w:rPr>
          <w:rFonts w:ascii="Arial" w:cs="Arial" w:eastAsia="Arial" w:hAnsi="Arial"/>
          <w:sz w:val="18"/>
          <w:szCs w:val="18"/>
          <w:color w:val="auto"/>
        </w:rPr>
        <w:t>. Unless otherwise provided in a Participant’s Grant Agreement, if a Participant ceases to be a director, officer 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of, or to perform other services for, the Company or any Affiliate due to his or her death, all of the Participant’s Awards shall become fully vested and all of the Participant’s Options shall become exercisable and shall remain so for a period of 1 year from the date of such death, but in no event after the expiration date of the Options.</w:t>
      </w:r>
    </w:p>
    <w:p>
      <w:pPr>
        <w:spacing w:after="0" w:line="186" w:lineRule="exact"/>
        <w:rPr>
          <w:rFonts w:ascii="Arial" w:cs="Arial" w:eastAsia="Arial" w:hAnsi="Arial"/>
          <w:sz w:val="18"/>
          <w:szCs w:val="18"/>
          <w:color w:val="010000"/>
        </w:rPr>
      </w:pPr>
    </w:p>
    <w:p>
      <w:pPr>
        <w:jc w:val="both"/>
        <w:ind w:left="660" w:firstLine="644"/>
        <w:spacing w:after="0" w:line="253" w:lineRule="auto"/>
        <w:tabs>
          <w:tab w:leader="none" w:pos="2068" w:val="left"/>
        </w:tabs>
        <w:numPr>
          <w:ilvl w:val="1"/>
          <w:numId w:val="31"/>
        </w:numPr>
        <w:rPr>
          <w:rFonts w:ascii="Arial" w:cs="Arial" w:eastAsia="Arial" w:hAnsi="Arial"/>
          <w:sz w:val="18"/>
          <w:szCs w:val="18"/>
          <w:color w:val="010000"/>
        </w:rPr>
      </w:pPr>
      <w:r>
        <w:rPr>
          <w:rFonts w:ascii="Arial" w:cs="Arial" w:eastAsia="Arial" w:hAnsi="Arial"/>
          <w:sz w:val="18"/>
          <w:szCs w:val="18"/>
          <w:i w:val="1"/>
          <w:iCs w:val="1"/>
          <w:color w:val="auto"/>
        </w:rPr>
        <w:t>Disability</w:t>
      </w:r>
      <w:r>
        <w:rPr>
          <w:rFonts w:ascii="Arial" w:cs="Arial" w:eastAsia="Arial" w:hAnsi="Arial"/>
          <w:sz w:val="18"/>
          <w:szCs w:val="18"/>
          <w:color w:val="auto"/>
        </w:rPr>
        <w:t>. Unless otherwise provided in a Participant’s Grant Agreement (including as a result of a condition in such Grant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that provides for vesting of the Participant’s Awards or exercisability of the Participant’s Options upon the occurrence of a disability, as defined pursuant to such Grant Agreement), if a Participant ceases to be a director, officer or employee of, or to perform other services for, the Company or any Affiliate due to Disability, all of the Participant’s Awards shall become fully vested and all of the Participant’s Options shall become exercisable and shall remain so for a period of 1 year from the date thereof, but in no event after the expiration date of the Options. Notwithstanding the foregoing, if the Disability giving rise to the termination of employment is not within the meaning of Section 22(e)(3) of the Code or any successor thereto, Incentive Stock Options not exercised by such Participant within 90 days after the date of termination of employment will cease to qualify as Incentive Stock Options and will be treated as Non-qualified Stock Options under the Plan if required to be so treated under the Code.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ind w:firstLine="644"/>
        <w:spacing w:after="0" w:line="287" w:lineRule="auto"/>
        <w:tabs>
          <w:tab w:leader="none" w:pos="1188" w:val="left"/>
        </w:tabs>
        <w:numPr>
          <w:ilvl w:val="0"/>
          <w:numId w:val="32"/>
        </w:numPr>
        <w:rPr>
          <w:rFonts w:ascii="Arial" w:cs="Arial" w:eastAsia="Arial" w:hAnsi="Arial"/>
          <w:sz w:val="16"/>
          <w:szCs w:val="16"/>
          <w:color w:val="010000"/>
        </w:rPr>
      </w:pPr>
      <w:r>
        <w:rPr>
          <w:rFonts w:ascii="Arial" w:cs="Arial" w:eastAsia="Arial" w:hAnsi="Arial"/>
          <w:sz w:val="16"/>
          <w:szCs w:val="16"/>
          <w:i w:val="1"/>
          <w:iCs w:val="1"/>
          <w:color w:val="auto"/>
        </w:rPr>
        <w:t>Retirement</w:t>
      </w:r>
      <w:r>
        <w:rPr>
          <w:rFonts w:ascii="Arial" w:cs="Arial" w:eastAsia="Arial" w:hAnsi="Arial"/>
          <w:sz w:val="16"/>
          <w:szCs w:val="16"/>
          <w:color w:val="auto"/>
        </w:rPr>
        <w:t>. Unless otherwise provided in a Participant’s Grant Agreement, if a Participant ceases to be an officer or employee of,</w:t>
      </w:r>
      <w:r>
        <w:rPr>
          <w:rFonts w:ascii="Arial" w:cs="Arial" w:eastAsia="Arial" w:hAnsi="Arial"/>
          <w:sz w:val="16"/>
          <w:szCs w:val="16"/>
          <w:i w:val="1"/>
          <w:iCs w:val="1"/>
          <w:color w:val="auto"/>
        </w:rPr>
        <w:t xml:space="preserve"> </w:t>
      </w:r>
      <w:r>
        <w:rPr>
          <w:rFonts w:ascii="Arial" w:cs="Arial" w:eastAsia="Arial" w:hAnsi="Arial"/>
          <w:sz w:val="16"/>
          <w:szCs w:val="16"/>
          <w:color w:val="auto"/>
        </w:rPr>
        <w:t>or to perform other services for, the Company or any Affiliate upon the occurrence of his or her Retirement, the unvested portion of the Participant’s Awards (or, with respect to the Participant’s Options, the unexercisable portion thereof) as of the date of Retirement shall continue to vest (or, with respect to the Participant’s Options, become exercisable); provided that such Retirement occurs more than 12 months following the date of grant. In the event such Retirement occurs prior to the 12-month anniversary of the date of grant, (A) all of the Participant’s Awards that were not fully vested (or, with respect to the Participant’s Options, exercisable) on the date of Retirement shall be forfeited immediately upon such Retirement and (B) all of the Participant’s Options that were exercisable on the date of Retirement shall remain exercisable for, and shall otherwise terminate and thereafter be forfeited at the end of, a period of 12 months after the date of Retirement, but in no event after the expiration date of the Options. Notwithstanding anything to the contrary in this Section 6(g)(iii), (x) upon Retirement, a Participant’s Awards may become fully vested (and, with respect to the Participant’s Options, exercisable) in the discretion of the Committee and (y) Incentive Stock Options not exercised by such Participant within 90 days after Retirement will cease to qualify as Incentive Stock Options and will be treated as Non-qualified Stock Options under the Plan if required to be so treated under the Code.</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provided in a Participant’s Grant Agreement, if a Participant ceases to be a director of the Company or any Affiliate upon the occurrence of his or her Retirement, all of the Participant’s Awards shall become fully vested and all of the Participant’s Options shall become exercisable and shall remain so for a period of 12 months after the date of Retirement, but in no event after the expiration date of the Options.</w:t>
      </w:r>
    </w:p>
    <w:p>
      <w:pPr>
        <w:spacing w:after="0" w:line="187" w:lineRule="exact"/>
        <w:rPr>
          <w:sz w:val="20"/>
          <w:szCs w:val="20"/>
          <w:color w:val="auto"/>
        </w:rPr>
      </w:pPr>
    </w:p>
    <w:p>
      <w:pPr>
        <w:jc w:val="both"/>
        <w:ind w:firstLine="644"/>
        <w:spacing w:after="0" w:line="257" w:lineRule="auto"/>
        <w:tabs>
          <w:tab w:leader="none" w:pos="1178" w:val="left"/>
        </w:tabs>
        <w:numPr>
          <w:ilvl w:val="0"/>
          <w:numId w:val="33"/>
        </w:numPr>
        <w:rPr>
          <w:rFonts w:ascii="Arial" w:cs="Arial" w:eastAsia="Arial" w:hAnsi="Arial"/>
          <w:sz w:val="18"/>
          <w:szCs w:val="18"/>
          <w:color w:val="010000"/>
        </w:rPr>
      </w:pPr>
      <w:r>
        <w:rPr>
          <w:rFonts w:ascii="Arial" w:cs="Arial" w:eastAsia="Arial" w:hAnsi="Arial"/>
          <w:sz w:val="18"/>
          <w:szCs w:val="18"/>
          <w:i w:val="1"/>
          <w:iCs w:val="1"/>
          <w:color w:val="auto"/>
        </w:rPr>
        <w:t>Discharge for Cause</w:t>
      </w:r>
      <w:r>
        <w:rPr>
          <w:rFonts w:ascii="Arial" w:cs="Arial" w:eastAsia="Arial" w:hAnsi="Arial"/>
          <w:sz w:val="18"/>
          <w:szCs w:val="18"/>
          <w:color w:val="auto"/>
        </w:rPr>
        <w:t>. If a Participant ceases to be a director, officer or employee of, or to perform other services for,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any Affiliate due to Cause (or at a time when such employment or services were, or would have been, terminable for Cause), or if a Participant does not become a director, officer or employee of, or does not begin performing other services for, the Company or any Affiliate for any reason, all of the Participant’s Awards shall be forfeited immediately and all of the Participant’s Options shall expire and be forfeited immediately, whether or not then exercisable, upon such cessation or non-commencement.</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8" w:name="page19"/>
    <w:bookmarkEnd w:id="18"/>
    <w:p>
      <w:pPr>
        <w:jc w:val="both"/>
        <w:ind w:left="660" w:firstLine="644"/>
        <w:spacing w:after="0" w:line="271" w:lineRule="auto"/>
        <w:tabs>
          <w:tab w:leader="none" w:pos="1788" w:val="left"/>
        </w:tabs>
        <w:numPr>
          <w:ilvl w:val="0"/>
          <w:numId w:val="34"/>
        </w:numPr>
        <w:rPr>
          <w:rFonts w:ascii="Arial" w:cs="Arial" w:eastAsia="Arial" w:hAnsi="Arial"/>
          <w:sz w:val="17"/>
          <w:szCs w:val="17"/>
          <w:color w:val="010000"/>
        </w:rPr>
      </w:pPr>
      <w:r>
        <w:rPr>
          <w:rFonts w:ascii="Arial" w:cs="Arial" w:eastAsia="Arial" w:hAnsi="Arial"/>
          <w:sz w:val="17"/>
          <w:szCs w:val="17"/>
          <w:i w:val="1"/>
          <w:iCs w:val="1"/>
          <w:color w:val="auto"/>
        </w:rPr>
        <w:t>Other Termination</w:t>
      </w:r>
      <w:r>
        <w:rPr>
          <w:rFonts w:ascii="Arial" w:cs="Arial" w:eastAsia="Arial" w:hAnsi="Arial"/>
          <w:sz w:val="17"/>
          <w:szCs w:val="17"/>
          <w:color w:val="auto"/>
        </w:rPr>
        <w:t>. Unless otherwise provided in a Participant’s Grant Agreement and subject to Section 20(c), if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ceases to be a director, officer or employee of, or to otherwise perform services for, the Company or any Affiliate for any reason other than death, Disability, Retirement or Cause hereunder (each such termination referred to as an “</w:t>
      </w:r>
      <w:r>
        <w:rPr>
          <w:rFonts w:ascii="Arial" w:cs="Arial" w:eastAsia="Arial" w:hAnsi="Arial"/>
          <w:sz w:val="17"/>
          <w:szCs w:val="17"/>
          <w:i w:val="1"/>
          <w:iCs w:val="1"/>
          <w:color w:val="auto"/>
        </w:rPr>
        <w:t>Other Termination</w:t>
      </w:r>
      <w:r>
        <w:rPr>
          <w:rFonts w:ascii="Arial" w:cs="Arial" w:eastAsia="Arial" w:hAnsi="Arial"/>
          <w:sz w:val="17"/>
          <w:szCs w:val="17"/>
          <w:color w:val="auto"/>
        </w:rPr>
        <w:t>”), (A) all of the Participant’s Options that were exercisable on the date of such cessation shall remain exercisable for, and shall otherwise terminate and thereafter be forfeited at the end of, a period of 90 days after the date of such cessation, but in no event after the expiration date of the Options, and (B) all of the Participant’s Awards that were not fully vested (or, with respect to the Participant’s Options, exercisable) on the date of such cessation shall be forfeited immediately upon such cessation. For the avoidance of doubt, an Other Termination with recall rights shall be considered an Other Termination to which this Section 6(g)(v) applies.</w:t>
      </w:r>
    </w:p>
    <w:p>
      <w:pPr>
        <w:spacing w:after="0" w:line="17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For purposes of the preceding paragraphs (i) – (v), references to Affiliates shall, to the extent required under Section 422 of the Code and related guidance, be substituted with references to Subsidiaries with respect to Awards of Incentive Stock Options.</w:t>
      </w:r>
    </w:p>
    <w:p>
      <w:pPr>
        <w:spacing w:after="0" w:line="170"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Stock Appreciation Rights.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have the authority to grant SARs under this Plan, either alone or to any optionee in tandem with Options (either at the time of grant of the related Option or thereafter by amendment to an outstanding Option). Subject to the terms of the Plan, SARs shall be subject to such terms and conditions as the Committee may specify.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exercise price of an SAR must equal or exceed the Fair Market Value of a share of Common Stock on the date of grant of the SAR except for Substitute Awards, which shall have the exercise price as determined by the Committee provided that such exercise price does not cause the Substitute Award to become subject to Section 409A of the Code and the Committee takes into consideration any third-party voting guidelines. Prior to the exercise of the SAR and delivery of the Shares represented thereby, the Participant shall have no rights as a shareholder with respect to Shares covered by such outstanding SAR (including any dividend or voting rights).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SARs granted in tandem with Options shall be exercisable only when, to the extent and on the conditions that any related Option is exercisable. The exercise of an Option shall result in an immediate forfeiture of any related SAR to the extent the Option is exercised, and the exercise of an SAR shall cause an immediate forfeiture of any related Option to the extent the SAR is exercised.</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Upon the exercise of an SAR, the Participant shall be entitled to a distribution from the Company in an amount equal to the difference between the Fair Market Value of a share of Common Stock on the date of exercise and the exercise price of the SAR or, in the case of SARs granted in tandem with Options, any Option to which the SAR is related, multiplied by the number of Shares as to which the SAR is exercised. Such distribution shall be in cash and/or Shares having a Fair Market Value equal to such amount, or any combination thereof as chosen by the Committee.</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All SARs will be exercised automatically on the last day prior to the expiration date of the SAR or, in the case of SARs granted in tandem with Options, any related Option, so long as the Fair Market Value of a share of Common Stock on that date exceeds the exercise price of the SAR or any related Option, as applicable. An SAR granted in tandem with Options shall expire at the same time as any related Option expires and shall be transferable only when, and under the same conditions as, any related Option is transferable. Unless otherwise determined by a Participant’s Grant Agreement, each SAR shall be subject to the termination and forfeiture provisions as set forth in Section 6(g).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440" w:hanging="432"/>
        <w:spacing w:after="0"/>
        <w:tabs>
          <w:tab w:leader="none" w:pos="440" w:val="left"/>
        </w:tabs>
        <w:numPr>
          <w:ilvl w:val="0"/>
          <w:numId w:val="36"/>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Restricted Stock; Restricted Stock Units.</w:t>
      </w:r>
    </w:p>
    <w:p>
      <w:pPr>
        <w:spacing w:after="0" w:line="225" w:lineRule="exact"/>
        <w:rPr>
          <w:rFonts w:ascii="Arial" w:cs="Arial" w:eastAsia="Arial" w:hAnsi="Arial"/>
          <w:sz w:val="18"/>
          <w:szCs w:val="18"/>
          <w:b w:val="1"/>
          <w:bCs w:val="1"/>
          <w:color w:val="010000"/>
        </w:rPr>
      </w:pPr>
    </w:p>
    <w:p>
      <w:pPr>
        <w:jc w:val="both"/>
        <w:ind w:firstLine="656"/>
        <w:spacing w:after="0" w:line="301" w:lineRule="auto"/>
        <w:tabs>
          <w:tab w:leader="none" w:pos="1118" w:val="left"/>
        </w:tabs>
        <w:numPr>
          <w:ilvl w:val="1"/>
          <w:numId w:val="36"/>
        </w:numPr>
        <w:rPr>
          <w:rFonts w:ascii="Arial" w:cs="Arial" w:eastAsia="Arial" w:hAnsi="Arial"/>
          <w:sz w:val="16"/>
          <w:szCs w:val="16"/>
          <w:color w:val="010000"/>
        </w:rPr>
      </w:pPr>
      <w:r>
        <w:rPr>
          <w:rFonts w:ascii="Arial" w:cs="Arial" w:eastAsia="Arial" w:hAnsi="Arial"/>
          <w:sz w:val="16"/>
          <w:szCs w:val="16"/>
          <w:color w:val="auto"/>
        </w:rPr>
        <w:t>The Committee may at any time and from time to time grant Shares of Restricted Stock or Restricted Stock Units under the Plan to such Participants and in such amounts as it determines. Each Restricted Stock Unit shall be equivalent in value to one share of Common Stock and shall entitle the Participant to receive from the Company at the end of the vesting period (the “</w:t>
      </w:r>
      <w:r>
        <w:rPr>
          <w:rFonts w:ascii="Arial" w:cs="Arial" w:eastAsia="Arial" w:hAnsi="Arial"/>
          <w:sz w:val="16"/>
          <w:szCs w:val="16"/>
          <w:i w:val="1"/>
          <w:iCs w:val="1"/>
          <w:color w:val="auto"/>
        </w:rPr>
        <w:t>Vesting Period</w:t>
      </w:r>
      <w:r>
        <w:rPr>
          <w:rFonts w:ascii="Arial" w:cs="Arial" w:eastAsia="Arial" w:hAnsi="Arial"/>
          <w:sz w:val="16"/>
          <w:szCs w:val="16"/>
          <w:color w:val="auto"/>
        </w:rPr>
        <w:t>”) applicable to such unit one share of Common Stock or the Fair Market Value thereof, unless the Participant has elected at a time that complies with Section 409A of the Code to defer the receipt thereof.</w:t>
      </w:r>
    </w:p>
    <w:p>
      <w:pPr>
        <w:spacing w:after="0" w:line="157" w:lineRule="exact"/>
        <w:rPr>
          <w:rFonts w:ascii="Arial" w:cs="Arial" w:eastAsia="Arial" w:hAnsi="Arial"/>
          <w:sz w:val="16"/>
          <w:szCs w:val="16"/>
          <w:color w:val="010000"/>
        </w:rPr>
      </w:pPr>
    </w:p>
    <w:p>
      <w:pPr>
        <w:jc w:val="both"/>
        <w:ind w:right="20" w:firstLine="656"/>
        <w:spacing w:after="0" w:line="286" w:lineRule="auto"/>
        <w:tabs>
          <w:tab w:leader="none" w:pos="1128" w:val="left"/>
        </w:tabs>
        <w:numPr>
          <w:ilvl w:val="1"/>
          <w:numId w:val="36"/>
        </w:numPr>
        <w:rPr>
          <w:rFonts w:ascii="Arial" w:cs="Arial" w:eastAsia="Arial" w:hAnsi="Arial"/>
          <w:sz w:val="17"/>
          <w:szCs w:val="17"/>
          <w:color w:val="010000"/>
        </w:rPr>
      </w:pPr>
      <w:r>
        <w:rPr>
          <w:rFonts w:ascii="Arial" w:cs="Arial" w:eastAsia="Arial" w:hAnsi="Arial"/>
          <w:sz w:val="17"/>
          <w:szCs w:val="17"/>
          <w:color w:val="auto"/>
        </w:rPr>
        <w:t>Each grant of Restricted Stock Units or Shares of Restricted Stock shall be evidenced by a Grant Agreement which shall specify the applicable restrictions on such Units or Shares, the duration of such restrictions, and, subject to compliance with the Minimum Vesting Requirement, the time or times at which such restrictions shall lapse with respect to all or a specified number of Shares that are part of the grant.</w:t>
      </w:r>
    </w:p>
    <w:p>
      <w:pPr>
        <w:spacing w:after="0" w:line="165" w:lineRule="exact"/>
        <w:rPr>
          <w:rFonts w:ascii="Arial" w:cs="Arial" w:eastAsia="Arial" w:hAnsi="Arial"/>
          <w:sz w:val="17"/>
          <w:szCs w:val="17"/>
          <w:color w:val="010000"/>
        </w:rPr>
      </w:pPr>
    </w:p>
    <w:p>
      <w:pPr>
        <w:jc w:val="both"/>
        <w:ind w:firstLine="656"/>
        <w:spacing w:after="0" w:line="279" w:lineRule="auto"/>
        <w:tabs>
          <w:tab w:leader="none" w:pos="1118" w:val="left"/>
        </w:tabs>
        <w:numPr>
          <w:ilvl w:val="1"/>
          <w:numId w:val="36"/>
        </w:numPr>
        <w:rPr>
          <w:rFonts w:ascii="Arial" w:cs="Arial" w:eastAsia="Arial" w:hAnsi="Arial"/>
          <w:sz w:val="17"/>
          <w:szCs w:val="17"/>
          <w:color w:val="010000"/>
        </w:rPr>
      </w:pPr>
      <w:r>
        <w:rPr>
          <w:rFonts w:ascii="Arial" w:cs="Arial" w:eastAsia="Arial" w:hAnsi="Arial"/>
          <w:sz w:val="17"/>
          <w:szCs w:val="17"/>
          <w:color w:val="auto"/>
        </w:rPr>
        <w:t>Except as otherwise provided in any Grant Agreement, the grant of the Restricted Stock shall be granted without payment of cash or consideration to the Company. Unless otherwise determined by the Committee, certificates representing Shares of Restricted Stock granted under the Plan will be held in escrow by the Company on the Participant’s behalf during any period of restriction thereon and will bear an appropriate legend specifying the applicable restrictions thereon, and the Participant will be required to execute a blank stock power therefor.</w:t>
      </w:r>
    </w:p>
    <w:p>
      <w:pPr>
        <w:spacing w:after="0" w:line="171" w:lineRule="exact"/>
        <w:rPr>
          <w:rFonts w:ascii="Arial" w:cs="Arial" w:eastAsia="Arial" w:hAnsi="Arial"/>
          <w:sz w:val="17"/>
          <w:szCs w:val="17"/>
          <w:color w:val="010000"/>
        </w:rPr>
      </w:pPr>
    </w:p>
    <w:p>
      <w:pPr>
        <w:jc w:val="both"/>
        <w:ind w:firstLine="656"/>
        <w:spacing w:after="0" w:line="254" w:lineRule="auto"/>
        <w:tabs>
          <w:tab w:leader="none" w:pos="1128"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If the grant of Restricted Stock Units or Restricted Stock or the lapse of restrictions is based on the attainment of Performance Goals, the Committee shall establish the Performance Goals and the applicable vesting percentage of the Restricted Stock or Restricted Stock Units applicable to each Participant or class of Participants in writing prior to the beginning of the applicable fiscal year or at such later date as otherwise determined by the Committee and while the outcome of the Performance Goals are substantially uncertain. The Committee may adjust, in whole or in part, any Performance Goals (including any performance metrics, formulas, performance-based measures or the targeted achievement levels (including any minimum or maximum achievement levels)) relating to such Performance Goals, as the Committee may deem appropriate and equitable and to avoid undue harm or enrichment to account for any changes in financial reporting, any non-recurring, infrequent or unusual events any other events, as reasonably determined by the Committee.</w:t>
      </w:r>
    </w:p>
    <w:p>
      <w:pPr>
        <w:spacing w:after="0" w:line="191" w:lineRule="exact"/>
        <w:rPr>
          <w:rFonts w:ascii="Arial" w:cs="Arial" w:eastAsia="Arial" w:hAnsi="Arial"/>
          <w:sz w:val="18"/>
          <w:szCs w:val="18"/>
          <w:color w:val="010000"/>
        </w:rPr>
      </w:pPr>
    </w:p>
    <w:p>
      <w:pPr>
        <w:jc w:val="both"/>
        <w:ind w:firstLine="656"/>
        <w:spacing w:after="0" w:line="259" w:lineRule="auto"/>
        <w:tabs>
          <w:tab w:leader="none" w:pos="1118"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Restricted Stock Units may be granted without payment of cash or consideration to the Company. Except as otherwise provided in any Grant Agreement, on the date the Restricted Stock Units become fully vested and nonforfeitable, the Participant shall receive stock certificates evidencing the conversion of Restricted Stock Units into shares of Common Stock or, at the discretion of the Committee, a cash payment representing the Fair Market Value of the underlying shares in lieu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56"/>
        <w:spacing w:after="0" w:line="255" w:lineRule="auto"/>
        <w:tabs>
          <w:tab w:leader="none" w:pos="1098" w:val="left"/>
        </w:tabs>
        <w:numPr>
          <w:ilvl w:val="1"/>
          <w:numId w:val="37"/>
        </w:numPr>
        <w:rPr>
          <w:rFonts w:ascii="Arial" w:cs="Arial" w:eastAsia="Arial" w:hAnsi="Arial"/>
          <w:sz w:val="18"/>
          <w:szCs w:val="18"/>
          <w:color w:val="010000"/>
        </w:rPr>
      </w:pPr>
      <w:r>
        <w:rPr>
          <w:rFonts w:ascii="Arial" w:cs="Arial" w:eastAsia="Arial" w:hAnsi="Arial"/>
          <w:sz w:val="18"/>
          <w:szCs w:val="18"/>
          <w:color w:val="auto"/>
        </w:rPr>
        <w:t>The Participant shall not be permitted to Transfer shares of Restricted Stock awarded under this Plan during the period or periods set by the Committee (the “</w:t>
      </w:r>
      <w:r>
        <w:rPr>
          <w:rFonts w:ascii="Arial" w:cs="Arial" w:eastAsia="Arial" w:hAnsi="Arial"/>
          <w:sz w:val="18"/>
          <w:szCs w:val="18"/>
          <w:i w:val="1"/>
          <w:iCs w:val="1"/>
          <w:color w:val="auto"/>
        </w:rPr>
        <w:t>Restriction Period</w:t>
      </w:r>
      <w:r>
        <w:rPr>
          <w:rFonts w:ascii="Arial" w:cs="Arial" w:eastAsia="Arial" w:hAnsi="Arial"/>
          <w:sz w:val="18"/>
          <w:szCs w:val="18"/>
          <w:color w:val="auto"/>
        </w:rPr>
        <w:t>”) commencing on the date of such Award, as set forth in the Restricted Stock Grant Agreement and such agreement shall set forth a vesting schedule and any events which would accelerate vesting of the shares of Restricted Stock. Within these limits, based on service, attainment of Performance Goals pursuant to Section 8(d) and/or such other factors or criteria as the Committee may determine in its sole discretion, the Committee may condition the grant or provide for the lapse of such restrictions in installments in whole or in part, or may accelerate the vesting of all or any part of any Restricted Stock Award.</w:t>
      </w:r>
    </w:p>
    <w:p>
      <w:pPr>
        <w:spacing w:after="0" w:line="192" w:lineRule="exact"/>
        <w:rPr>
          <w:rFonts w:ascii="Arial" w:cs="Arial" w:eastAsia="Arial" w:hAnsi="Arial"/>
          <w:sz w:val="18"/>
          <w:szCs w:val="18"/>
          <w:color w:val="010000"/>
        </w:rPr>
      </w:pPr>
    </w:p>
    <w:p>
      <w:pPr>
        <w:jc w:val="both"/>
        <w:ind w:firstLine="656"/>
        <w:spacing w:after="0" w:line="288" w:lineRule="auto"/>
        <w:tabs>
          <w:tab w:leader="none" w:pos="1128" w:val="left"/>
        </w:tabs>
        <w:numPr>
          <w:ilvl w:val="1"/>
          <w:numId w:val="37"/>
        </w:numPr>
        <w:rPr>
          <w:rFonts w:ascii="Arial" w:cs="Arial" w:eastAsia="Arial" w:hAnsi="Arial"/>
          <w:sz w:val="16"/>
          <w:szCs w:val="16"/>
          <w:color w:val="010000"/>
        </w:rPr>
      </w:pPr>
      <w:r>
        <w:rPr>
          <w:rFonts w:ascii="Arial" w:cs="Arial" w:eastAsia="Arial" w:hAnsi="Arial"/>
          <w:sz w:val="16"/>
          <w:szCs w:val="16"/>
          <w:color w:val="auto"/>
        </w:rPr>
        <w:t>Except as otherwise provided in Section 8(d) or in any Grant Agreement, with respect to Shares of Restricted Stock, during such period of restriction the Participant shall have all of the rights of a holder of Common Stock, including but not limited to the rights to receive dividends and to vote, and any stock or other securities received as a distribution with respect to such Participant’s Shares of Restricted Stock shall be subject to the same restrictions as then in effect for the Shares of Restricted Stock; provided that, any dividends on Shares of Restricted Stock that vest based upon the satisfaction of any performance conditions shall be accumulated and paid at the time the underlying performance conditions are satisfied. Except as otherwise provided in any Grant Agreement, with respect to the Restricted Stock Units, during such period of restriction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underlying each Restricted Stock Unit at the end of the Vesting Period, unless such Restricted Stock Units are converted into Deferred Stock Units, in which case such accumulated dividends or distributions shall be paid by the Company to the Participant at such time as the Deferred Stock Units are converted into shares of Common Stock.</w:t>
      </w:r>
    </w:p>
    <w:p>
      <w:pPr>
        <w:spacing w:after="0" w:line="168" w:lineRule="exact"/>
        <w:rPr>
          <w:rFonts w:ascii="Arial" w:cs="Arial" w:eastAsia="Arial" w:hAnsi="Arial"/>
          <w:sz w:val="16"/>
          <w:szCs w:val="16"/>
          <w:color w:val="010000"/>
        </w:rPr>
      </w:pPr>
    </w:p>
    <w:p>
      <w:pPr>
        <w:ind w:firstLine="656"/>
        <w:spacing w:after="0" w:line="277" w:lineRule="auto"/>
        <w:tabs>
          <w:tab w:leader="none" w:pos="1128" w:val="left"/>
        </w:tabs>
        <w:numPr>
          <w:ilvl w:val="1"/>
          <w:numId w:val="37"/>
        </w:numPr>
        <w:rPr>
          <w:rFonts w:ascii="Arial" w:cs="Arial" w:eastAsia="Arial" w:hAnsi="Arial"/>
          <w:sz w:val="18"/>
          <w:szCs w:val="18"/>
          <w:color w:val="010000"/>
        </w:rPr>
      </w:pPr>
      <w:r>
        <w:rPr>
          <w:rFonts w:ascii="Arial" w:cs="Arial" w:eastAsia="Arial" w:hAnsi="Arial"/>
          <w:sz w:val="18"/>
          <w:szCs w:val="18"/>
          <w:color w:val="auto"/>
        </w:rPr>
        <w:t>Unless otherwise provided in a Participant’s Grant Agreement, each Award of Restricted Stock or Restricted Stock Units shall be subject to the termination and forfeiture provisions as set forth in Section 6(g).</w:t>
      </w:r>
    </w:p>
    <w:p>
      <w:pPr>
        <w:spacing w:after="0" w:line="170" w:lineRule="exact"/>
        <w:rPr>
          <w:rFonts w:ascii="Arial" w:cs="Arial" w:eastAsia="Arial" w:hAnsi="Arial"/>
          <w:sz w:val="18"/>
          <w:szCs w:val="18"/>
          <w:color w:val="010000"/>
        </w:rPr>
      </w:pPr>
    </w:p>
    <w:p>
      <w:pPr>
        <w:ind w:left="440" w:hanging="432"/>
        <w:spacing w:after="0"/>
        <w:tabs>
          <w:tab w:leader="none" w:pos="440" w:val="left"/>
        </w:tabs>
        <w:numPr>
          <w:ilvl w:val="0"/>
          <w:numId w:val="38"/>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Performance Awards.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Performance Awards may be granted to Participants at any time and from time to time as determined by the Committee. The Committee shall determine the size and composition of Performance Awards granted to a Participant and the appropriate period over which performance is to be measured (a “</w:t>
      </w:r>
      <w:r>
        <w:rPr>
          <w:rFonts w:ascii="Arial" w:cs="Arial" w:eastAsia="Arial" w:hAnsi="Arial"/>
          <w:sz w:val="18"/>
          <w:szCs w:val="18"/>
          <w:i w:val="1"/>
          <w:iCs w:val="1"/>
          <w:color w:val="auto"/>
        </w:rPr>
        <w:t>Performance Cycle</w:t>
      </w:r>
      <w:r>
        <w:rPr>
          <w:rFonts w:ascii="Arial" w:cs="Arial" w:eastAsia="Arial" w:hAnsi="Arial"/>
          <w:sz w:val="18"/>
          <w:szCs w:val="18"/>
          <w:color w:val="auto"/>
        </w:rPr>
        <w:t>”), subject to compliance with the Minimum Vesting Requirement. Performance Awards may include (i) specific dollar-value target awards, (ii) performance units, and/or (iii) performance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85" w:lineRule="auto"/>
        <w:rPr>
          <w:sz w:val="20"/>
          <w:szCs w:val="20"/>
          <w:color w:val="auto"/>
        </w:rPr>
      </w:pPr>
      <w:r>
        <w:rPr>
          <w:rFonts w:ascii="Arial" w:cs="Arial" w:eastAsia="Arial" w:hAnsi="Arial"/>
          <w:sz w:val="16"/>
          <w:szCs w:val="16"/>
          <w:color w:val="auto"/>
        </w:rPr>
        <w:t>The value of each Performance Award may be fixed or it may be permitted to fluctuate based on a performance factor (e.g., return on equity) selected by the Committee, including but not limited to, any one or more of the following performance factors: return on equity; earnings per share; return on gross or net assets; return on gross or net revenue; pre- or after-tax net income; earnings before interest, taxes, depreciation and amortization; operating income; revenue growth; consolidated pre-tax earnings; net or gross revenues; net earnings; earnings before interest and taxes; cash flow; earnings per share; fleet in-market availability; safety criteria; environmental criteria; revenue growth; cash flow from operations; diluted or basic; return on sales; earnings per share from continuing operations, diluted or basic; earnings from continuing operations; net asset turnover; capital expenditures; income before income taxes; gross or operating margin; return on total assets; return on invested capital; return on investment; return on revenue; market share; economic value added; cost of capital; expense reduction levels; stock price; productivity; customer satisfaction; employee satisfaction; and total shareholder return for the applicable Performance Cycle, all as computed in accordance with Generally Accepted Accounting Principles (if relevant) as in effect from time to time and as applied by the Company in the preparation of its financial statements and subject to such other special rules and conditions as the Compensation Committee may establish in a timely manner and in any event while the outcome is substantially uncertain. These performance factors may be absolute or relative (to prior performance of the Company or to the performance of one or more other entities or external indices) and may be expressed in terms of a progression within a specified range. The foregoing criteria shall have any reasonable definitions that the Committee may specify, which may include or exclude any or all of the following items, as the Committee may specify: extraordinary, unusual or non-recurring items; effects of accounting changes; effects of currency fluctuations; effects of financing activities (e.g., effect on earnings per share of issuing convertible debt securities); expenses for restructuring, productivity initiatives or new business initiatives; non-operating items; acquisition expenses; and effects of divestitures.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shall establish Performance Goals and objectives for each Performance Cycle on the basis of such criteria and objectives as the Committee may select from time to time, including, without limitation, the performance of the Participant, the Company, one or more of its Subsidiaries or divisions or any combination of the foregoing. During any Performance Cycle, the Committee shall have the authority to adjust the Performance Goals and objectives for such cycle for such reasons as it deems equitable.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determine the portion of each Performance Award that is earned by a Participant on the basis of the Company’s performance over the Performance Cycle in relation to the Performance Goals for such cycle. The earned portion of a Performance Award may be paid out in Shares, other Company securities or any combination thereof, as the Committee may determine.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Participant must be a director, officer or employee of, or otherwise perform services for, the Company or its Subsidiaries at the end of the Performance Cycle in order to be entitled to payment of a Performance Award issued in respect of such cycle; provided, however, unless otherwise provided in a Participant’s Grant Agreement, each Performance Award shall be subject to the termination and forfeiture provisions as set forth in Section 6(g).</w:t>
      </w:r>
    </w:p>
    <w:p>
      <w:pPr>
        <w:spacing w:after="0" w:line="187"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Deferred Stock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Stock Units (a) may be granted to Participants at any time and from time to time as determined by the Committee, and (b) shall be issued to Participants who elected prior to the date the Restricted Stock Units were granted to defer delivery of shares of Common Stock that would otherwise be due by virtue of the lapse or waiver of the vesting requirements of their Restricted Stock Units. All elections with respect to Deferred Stock Units shall be made in accordance with the election and distribution timing rules in Section 409A of the Code.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91" w:lineRule="auto"/>
        <w:rPr>
          <w:sz w:val="20"/>
          <w:szCs w:val="20"/>
          <w:color w:val="auto"/>
        </w:rPr>
      </w:pPr>
      <w:r>
        <w:rPr>
          <w:rFonts w:ascii="Arial" w:cs="Arial" w:eastAsia="Arial" w:hAnsi="Arial"/>
          <w:sz w:val="16"/>
          <w:szCs w:val="16"/>
          <w:color w:val="auto"/>
        </w:rPr>
        <w:t>Except as otherwise provided in any Grant Agreement, Deferred Stock Units shall be granted without payment of cash or other consideration to the Company but in consideration of services performed for or for the benefit of the Company or any Subsidiary by such Participant. Payment of the value of Deferred Stock Units shall be made by the Company in shares of Common Stock; provided that, the Participant shall receive a number of shares of Common Stock equal to the number of matured or earned Deferred Stock Units. Upon payment in respect of a Deferred Stock Unit, such unit shall be terminated and thereafter forfeited. Payments in respect of Deferred Stock Units shall be made only at the end of the Deferral Period applicable to such units, the duration of which Deferral Period shall be determined by the Committee at the time of grant of such Deferred Stock Units and set forth in the applicable Grant Agreement (or by the Participant in the case of an election to defer the receipt of Common Stock beyond the Vesting Period).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provided in any Grant Agreement, during such Deferral Period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of Common Stock underlying each Deferred Stock Unit at the end of the Deferral Period when such Deferred Stock Units are converted into shares of Common Stock.</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provided in the Participant’s Grant Agreement or related election form, if a Participant dies while serving as a director, officer or employee of the Company or its Subsidiary prior to the end of the Deferral Period, the Participant shall receive payment in respect to such Participant’s Deferred Stock Units which would have matured or been earned at the end of such Deferral Period as if the applicable Deferral Period had ended as of the date of such Participant’s death.</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provided in a Participant’s Grant Agreement or related election form, if a Participant ceases to be a director, officer or employee of, or to otherwise perform services for, the Company or its Subsidiaries upon his or her Disability or Retirement prior to the end of the Deferral Period, the Participant shall receive payment in respect of such Participant’s Deferred Stock Units at the end of such Deferral Period.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provided in the Participant’s Grant Agreement or related election form, at such time as a Participant ceases to be, or in the event a Participant does not become, a director, officer or employee of, or otherwise performing services for, the Company or its Subsidiaries for any reason other than Disability, Retirement or death, such Participant shall immediately forfeit any unvested Deferred Stock Units which would have matured or been earned at the end of such Deferral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480" w:hanging="472"/>
        <w:spacing w:after="0"/>
        <w:tabs>
          <w:tab w:leader="none" w:pos="480" w:val="left"/>
        </w:tabs>
        <w:numPr>
          <w:ilvl w:val="0"/>
          <w:numId w:val="40"/>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Other Stock-Based Awards.</w:t>
      </w:r>
    </w:p>
    <w:p>
      <w:pPr>
        <w:spacing w:after="0" w:line="225" w:lineRule="exact"/>
        <w:rPr>
          <w:rFonts w:ascii="Arial" w:cs="Arial" w:eastAsia="Arial" w:hAnsi="Arial"/>
          <w:sz w:val="18"/>
          <w:szCs w:val="18"/>
          <w:b w:val="1"/>
          <w:bCs w:val="1"/>
          <w:color w:val="010000"/>
        </w:rPr>
      </w:pPr>
    </w:p>
    <w:p>
      <w:pPr>
        <w:jc w:val="both"/>
        <w:ind w:firstLine="656"/>
        <w:spacing w:after="0" w:line="268" w:lineRule="auto"/>
        <w:tabs>
          <w:tab w:leader="none" w:pos="1118" w:val="left"/>
        </w:tabs>
        <w:numPr>
          <w:ilvl w:val="1"/>
          <w:numId w:val="40"/>
        </w:numPr>
        <w:rPr>
          <w:rFonts w:ascii="Arial" w:cs="Arial" w:eastAsia="Arial" w:hAnsi="Arial"/>
          <w:sz w:val="17"/>
          <w:szCs w:val="17"/>
          <w:color w:val="010000"/>
        </w:rPr>
      </w:pPr>
      <w:r>
        <w:rPr>
          <w:rFonts w:ascii="Arial" w:cs="Arial" w:eastAsia="Arial" w:hAnsi="Arial"/>
          <w:sz w:val="17"/>
          <w:szCs w:val="17"/>
          <w:i w:val="1"/>
          <w:iCs w:val="1"/>
          <w:color w:val="auto"/>
        </w:rPr>
        <w:t>Generally</w:t>
      </w:r>
      <w:r>
        <w:rPr>
          <w:rFonts w:ascii="Arial" w:cs="Arial" w:eastAsia="Arial" w:hAnsi="Arial"/>
          <w:sz w:val="17"/>
          <w:szCs w:val="17"/>
          <w:color w:val="auto"/>
        </w:rPr>
        <w:t>. The Committee is authorized to grant to Participants Other Stock-Based Awards that are payable in, valued in whole or in part by</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to, or otherwise based on or related to shares of Common Stock, including but not limited to, shares of Common Stock awarded purely as a bonus and not subject to any restrictions or conditions, shares of Common Stock in payment of the amounts due under an incentive or performance plan sponsored or maintained by the Company or an Affiliate, stock equivalent units, and Awards valued by reference to book value of shares of Common Stock. Other Stock-Based Awards may be granted either alone or in addition to or in tandem with other Awards granted under the Plan. Subject to the provisions of this Plan, the Committee shall have authority to determine the Participants,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Cycle. The Committee may condition the grant or vesting of Other Stock-Based Awards upon the attainment of specified Performance Goals as the Committee may determine, in its sole discretion; provided that, the Committee shall establish the Performance Goals for the grant or vesting of such Other Stock-Based Awards based on a Performance Cycle applicable to each Participant or class of Participants in writing prior to the beginning of the applicable Performance Cycle or at such later date as otherwise determined by the Committee and while the outcome of the Performance Goals are substantially uncertain. The Committee may adjust, in whole or in part, any Performance Goals (including any performance metrics, formulas, performance-based measures or the targeted achievement levels (including any minimum or maximum achievement levels)) relating to such Performance Goals, as the Committee may deem appropriate and equitable and to avoid undue harm or enrichment to account for any changes in financial reporting, any non-recurring, infrequent or unusual events any other events, as reasonably determined by the Committee.</w:t>
      </w:r>
    </w:p>
    <w:p>
      <w:pPr>
        <w:spacing w:after="0" w:line="179" w:lineRule="exact"/>
        <w:rPr>
          <w:rFonts w:ascii="Arial" w:cs="Arial" w:eastAsia="Arial" w:hAnsi="Arial"/>
          <w:sz w:val="17"/>
          <w:szCs w:val="17"/>
          <w:color w:val="010000"/>
        </w:rPr>
      </w:pPr>
    </w:p>
    <w:p>
      <w:pPr>
        <w:ind w:left="1120" w:hanging="464"/>
        <w:spacing w:after="0"/>
        <w:tabs>
          <w:tab w:leader="none" w:pos="1120" w:val="left"/>
        </w:tabs>
        <w:numPr>
          <w:ilvl w:val="1"/>
          <w:numId w:val="40"/>
        </w:numPr>
        <w:rPr>
          <w:rFonts w:ascii="Arial" w:cs="Arial" w:eastAsia="Arial" w:hAnsi="Arial"/>
          <w:sz w:val="16"/>
          <w:szCs w:val="16"/>
          <w:color w:val="010000"/>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Other Stock-Based Awards made pursuant to this Section 11 shall be subject to the following terms and conditions:</w:t>
      </w:r>
    </w:p>
    <w:p>
      <w:pPr>
        <w:spacing w:after="0" w:line="248" w:lineRule="exact"/>
        <w:rPr>
          <w:rFonts w:ascii="Arial" w:cs="Arial" w:eastAsia="Arial" w:hAnsi="Arial"/>
          <w:sz w:val="16"/>
          <w:szCs w:val="16"/>
          <w:color w:val="010000"/>
        </w:rPr>
      </w:pPr>
    </w:p>
    <w:p>
      <w:pPr>
        <w:jc w:val="both"/>
        <w:ind w:left="660" w:firstLine="644"/>
        <w:spacing w:after="0" w:line="263" w:lineRule="auto"/>
        <w:tabs>
          <w:tab w:leader="none" w:pos="1793" w:val="left"/>
        </w:tabs>
        <w:numPr>
          <w:ilvl w:val="2"/>
          <w:numId w:val="40"/>
        </w:numPr>
        <w:rPr>
          <w:rFonts w:ascii="Arial" w:cs="Arial" w:eastAsia="Arial" w:hAnsi="Arial"/>
          <w:sz w:val="18"/>
          <w:szCs w:val="18"/>
          <w:color w:val="010000"/>
        </w:rPr>
      </w:pPr>
      <w:r>
        <w:rPr>
          <w:rFonts w:ascii="Arial" w:cs="Arial" w:eastAsia="Arial" w:hAnsi="Arial"/>
          <w:sz w:val="18"/>
          <w:szCs w:val="18"/>
          <w:i w:val="1"/>
          <w:iCs w:val="1"/>
          <w:color w:val="auto"/>
        </w:rPr>
        <w:t>Non-Transferability</w:t>
      </w:r>
      <w:r>
        <w:rPr>
          <w:rFonts w:ascii="Arial" w:cs="Arial" w:eastAsia="Arial" w:hAnsi="Arial"/>
          <w:sz w:val="18"/>
          <w:szCs w:val="18"/>
          <w:color w:val="auto"/>
        </w:rPr>
        <w:t>. Subject to the applicable provisions of the Grant Agreement and this Plan, shares of Common Stock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Awards made under this Section 11 may not be Transferred prior to the date on which the shares are issued, or, if later, the date on which any applicable restriction, performance or deferral period lapses.</w:t>
      </w:r>
    </w:p>
    <w:p>
      <w:pPr>
        <w:spacing w:after="0" w:line="183" w:lineRule="exact"/>
        <w:rPr>
          <w:rFonts w:ascii="Arial" w:cs="Arial" w:eastAsia="Arial" w:hAnsi="Arial"/>
          <w:sz w:val="18"/>
          <w:szCs w:val="18"/>
          <w:color w:val="010000"/>
        </w:rPr>
      </w:pPr>
    </w:p>
    <w:p>
      <w:pPr>
        <w:jc w:val="both"/>
        <w:ind w:left="660" w:firstLine="644"/>
        <w:spacing w:after="0" w:line="259" w:lineRule="auto"/>
        <w:tabs>
          <w:tab w:leader="none" w:pos="1820" w:val="left"/>
        </w:tabs>
        <w:numPr>
          <w:ilvl w:val="2"/>
          <w:numId w:val="40"/>
        </w:numPr>
        <w:rPr>
          <w:rFonts w:ascii="Arial" w:cs="Arial" w:eastAsia="Arial" w:hAnsi="Arial"/>
          <w:sz w:val="18"/>
          <w:szCs w:val="18"/>
          <w:color w:val="010000"/>
        </w:rPr>
      </w:pPr>
      <w:r>
        <w:rPr>
          <w:rFonts w:ascii="Arial" w:cs="Arial" w:eastAsia="Arial" w:hAnsi="Arial"/>
          <w:sz w:val="18"/>
          <w:szCs w:val="18"/>
          <w:i w:val="1"/>
          <w:iCs w:val="1"/>
          <w:color w:val="auto"/>
        </w:rPr>
        <w:t>Dividends</w:t>
      </w:r>
      <w:r>
        <w:rPr>
          <w:rFonts w:ascii="Arial" w:cs="Arial" w:eastAsia="Arial" w:hAnsi="Arial"/>
          <w:sz w:val="18"/>
          <w:szCs w:val="18"/>
          <w:color w:val="auto"/>
        </w:rPr>
        <w:t>. Unless otherwise determined by the Committee at the time of Award, subject to the provisions of the Grant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this Plan, the recipient of an Award under this Section 11 shall not be entitled to receive, currently or on a deferred basis, dividends or dividend equivalents with respect to the number of shares of Common Stock covered by the Award, as determined at the time of the Award by the Committee, in its sole discretion.</w:t>
      </w:r>
    </w:p>
    <w:p>
      <w:pPr>
        <w:spacing w:after="0" w:line="186" w:lineRule="exact"/>
        <w:rPr>
          <w:rFonts w:ascii="Arial" w:cs="Arial" w:eastAsia="Arial" w:hAnsi="Arial"/>
          <w:sz w:val="18"/>
          <w:szCs w:val="18"/>
          <w:color w:val="010000"/>
        </w:rPr>
      </w:pPr>
    </w:p>
    <w:p>
      <w:pPr>
        <w:ind w:left="660" w:firstLine="644"/>
        <w:spacing w:after="0" w:line="277" w:lineRule="auto"/>
        <w:tabs>
          <w:tab w:leader="none" w:pos="1848" w:val="left"/>
        </w:tabs>
        <w:numPr>
          <w:ilvl w:val="2"/>
          <w:numId w:val="40"/>
        </w:numPr>
        <w:rPr>
          <w:rFonts w:ascii="Arial" w:cs="Arial" w:eastAsia="Arial" w:hAnsi="Arial"/>
          <w:sz w:val="18"/>
          <w:szCs w:val="18"/>
          <w:color w:val="010000"/>
        </w:rPr>
      </w:pPr>
      <w:r>
        <w:rPr>
          <w:rFonts w:ascii="Arial" w:cs="Arial" w:eastAsia="Arial" w:hAnsi="Arial"/>
          <w:sz w:val="18"/>
          <w:szCs w:val="18"/>
          <w:i w:val="1"/>
          <w:iCs w:val="1"/>
          <w:color w:val="auto"/>
        </w:rPr>
        <w:t>Vesting</w:t>
      </w:r>
      <w:r>
        <w:rPr>
          <w:rFonts w:ascii="Arial" w:cs="Arial" w:eastAsia="Arial" w:hAnsi="Arial"/>
          <w:sz w:val="18"/>
          <w:szCs w:val="18"/>
          <w:color w:val="auto"/>
        </w:rPr>
        <w:t>. Any Award under this Section 11 and any Common Stock covered by any such Award shall vest or be forfeited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so provided in the Grant Agreement, as determined by the Committee, in its sole discretion.</w:t>
      </w:r>
    </w:p>
    <w:p>
      <w:pPr>
        <w:spacing w:after="0" w:line="170" w:lineRule="exact"/>
        <w:rPr>
          <w:rFonts w:ascii="Arial" w:cs="Arial" w:eastAsia="Arial" w:hAnsi="Arial"/>
          <w:sz w:val="18"/>
          <w:szCs w:val="18"/>
          <w:color w:val="010000"/>
        </w:rPr>
      </w:pPr>
    </w:p>
    <w:p>
      <w:pPr>
        <w:ind w:left="660" w:firstLine="644"/>
        <w:spacing w:after="0" w:line="342" w:lineRule="auto"/>
        <w:tabs>
          <w:tab w:leader="none" w:pos="1838" w:val="left"/>
        </w:tabs>
        <w:numPr>
          <w:ilvl w:val="2"/>
          <w:numId w:val="40"/>
        </w:numPr>
        <w:rPr>
          <w:rFonts w:ascii="Arial" w:cs="Arial" w:eastAsia="Arial" w:hAnsi="Arial"/>
          <w:sz w:val="16"/>
          <w:szCs w:val="16"/>
          <w:color w:val="010000"/>
        </w:rPr>
      </w:pPr>
      <w:r>
        <w:rPr>
          <w:rFonts w:ascii="Arial" w:cs="Arial" w:eastAsia="Arial" w:hAnsi="Arial"/>
          <w:sz w:val="16"/>
          <w:szCs w:val="16"/>
          <w:i w:val="1"/>
          <w:iCs w:val="1"/>
          <w:color w:val="auto"/>
        </w:rPr>
        <w:t>Price</w:t>
      </w:r>
      <w:r>
        <w:rPr>
          <w:rFonts w:ascii="Arial" w:cs="Arial" w:eastAsia="Arial" w:hAnsi="Arial"/>
          <w:sz w:val="16"/>
          <w:szCs w:val="16"/>
          <w:color w:val="auto"/>
        </w:rPr>
        <w:t>. Common Stock issued on a bonus basis under this Section 11 may be issued for no cash consideration;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pursuant to a purchase right awarded under this Section 11 shall be priced, as determined by the Committee in its sole discretion.</w:t>
      </w:r>
    </w:p>
    <w:p>
      <w:pPr>
        <w:spacing w:after="0" w:line="123" w:lineRule="exact"/>
        <w:rPr>
          <w:rFonts w:ascii="Arial" w:cs="Arial" w:eastAsia="Arial" w:hAnsi="Arial"/>
          <w:sz w:val="16"/>
          <w:szCs w:val="16"/>
          <w:color w:val="010000"/>
        </w:rPr>
      </w:pPr>
    </w:p>
    <w:p>
      <w:pPr>
        <w:ind w:left="480" w:hanging="472"/>
        <w:spacing w:after="0"/>
        <w:tabs>
          <w:tab w:leader="none" w:pos="480" w:val="left"/>
        </w:tabs>
        <w:numPr>
          <w:ilvl w:val="0"/>
          <w:numId w:val="40"/>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Other Cash Based Awards.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Committee may from time to time grant Other Cash-Based Awards to Participants in such amounts, on such terms and conditions, and for such consideration, including no consideration or such minimum consideration as may be required by applicable law, as it shall determine in its sole discretion. Other Cash-Based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firstLine="648"/>
        <w:spacing w:after="0" w:line="277" w:lineRule="auto"/>
        <w:rPr>
          <w:sz w:val="20"/>
          <w:szCs w:val="20"/>
          <w:color w:val="auto"/>
        </w:rPr>
      </w:pPr>
      <w:r>
        <w:rPr>
          <w:rFonts w:ascii="Arial" w:cs="Arial" w:eastAsia="Arial" w:hAnsi="Arial"/>
          <w:sz w:val="18"/>
          <w:szCs w:val="18"/>
          <w:color w:val="auto"/>
        </w:rPr>
        <w:t>The grant of an Other Cash-Based Award shall not require a segregation of any of the Company’s assets for satisfaction of the Company’s payment obligation thereunder.</w:t>
      </w:r>
    </w:p>
    <w:p>
      <w:pPr>
        <w:spacing w:after="0" w:line="17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Grant of Dividend Equivalent Rights.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may include in a Participant’s Grant Agreement a dividend equivalent right entitling the grantee to receive amounts equal to all or any portion of the dividends that would be paid on the shares of Common Stock covered by such Award if such Shares had been delivered pursuant to such Award. In the event such a provision is included in a Grant Agreement, the Committee shall determine whether such payments shall be made in cash, in shares of Common Stock or in another form, the time or times at which they shall be made, and such other terms and conditions as the Committee shall deem appropriate. Any dividend equivalent rights that may be granted on account of Awards that vest based upon the satisfaction of any performance conditions may only be paid if the underlying performance conditions of the Award are satisfied.</w:t>
      </w:r>
    </w:p>
    <w:p>
      <w:pPr>
        <w:spacing w:after="0" w:line="17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Withholding Taxes.</w:t>
      </w:r>
    </w:p>
    <w:p>
      <w:pPr>
        <w:spacing w:after="0" w:line="225" w:lineRule="exact"/>
        <w:rPr>
          <w:rFonts w:ascii="Arial" w:cs="Arial" w:eastAsia="Arial" w:hAnsi="Arial"/>
          <w:sz w:val="18"/>
          <w:szCs w:val="18"/>
          <w:b w:val="1"/>
          <w:bCs w:val="1"/>
          <w:color w:val="010000"/>
        </w:rPr>
      </w:pPr>
    </w:p>
    <w:p>
      <w:pPr>
        <w:jc w:val="both"/>
        <w:ind w:firstLine="656"/>
        <w:spacing w:after="0" w:line="290" w:lineRule="auto"/>
        <w:tabs>
          <w:tab w:leader="none" w:pos="1118" w:val="left"/>
        </w:tabs>
        <w:numPr>
          <w:ilvl w:val="1"/>
          <w:numId w:val="42"/>
        </w:numPr>
        <w:rPr>
          <w:rFonts w:ascii="Arial" w:cs="Arial" w:eastAsia="Arial" w:hAnsi="Arial"/>
          <w:sz w:val="16"/>
          <w:szCs w:val="16"/>
          <w:color w:val="010000"/>
        </w:rPr>
      </w:pPr>
      <w:r>
        <w:rPr>
          <w:rFonts w:ascii="Arial" w:cs="Arial" w:eastAsia="Arial" w:hAnsi="Arial"/>
          <w:sz w:val="16"/>
          <w:szCs w:val="16"/>
          <w:i w:val="1"/>
          <w:iCs w:val="1"/>
          <w:color w:val="auto"/>
        </w:rPr>
        <w:t>Withholding Obligations</w:t>
      </w:r>
      <w:r>
        <w:rPr>
          <w:rFonts w:ascii="Arial" w:cs="Arial" w:eastAsia="Arial" w:hAnsi="Arial"/>
          <w:sz w:val="16"/>
          <w:szCs w:val="16"/>
          <w:color w:val="auto"/>
        </w:rPr>
        <w:t>. Unless otherwise determined by the Committee, a Participant may (i) pay cash (including by check, bank draft,</w:t>
      </w:r>
      <w:r>
        <w:rPr>
          <w:rFonts w:ascii="Arial" w:cs="Arial" w:eastAsia="Arial" w:hAnsi="Arial"/>
          <w:sz w:val="16"/>
          <w:szCs w:val="16"/>
          <w:i w:val="1"/>
          <w:iCs w:val="1"/>
          <w:color w:val="auto"/>
        </w:rPr>
        <w:t xml:space="preserve"> </w:t>
      </w:r>
      <w:r>
        <w:rPr>
          <w:rFonts w:ascii="Arial" w:cs="Arial" w:eastAsia="Arial" w:hAnsi="Arial"/>
          <w:sz w:val="16"/>
          <w:szCs w:val="16"/>
          <w:color w:val="auto"/>
        </w:rPr>
        <w:t>money order or wire transfer of immediately available funds), (ii) deliver shares of Common Stock (or have the Company withhold Shares acquired upon exercise of an Option or SAR or deliverable upon grant or vesting of Restricted Stock or vesting of Restricted Stock Units or Performance Awards or Deferred Stock Units or the receipt of Common Stock, as the case may be) or (iii) a combination of the foregoing, to satisfy, in whole or in part, the amount the Company is required to withhold for taxes in connection therewith. The fair market value of the shares to be withheld or delivered will be the Fair Market Value as of the date the amount of tax to be withheld is determined. In the event a Participant delivers or has the Company withhold shares of Common Stock pursuant to this Section 14(a), such delivery or withholding must be made subject to the conditions and pursuant to the procedures set forth in Section 6(b) with respect to the delivery or withholding of Common Stock in payment of the exercise price of Options.</w:t>
      </w:r>
    </w:p>
    <w:p>
      <w:pPr>
        <w:spacing w:after="0" w:line="165" w:lineRule="exact"/>
        <w:rPr>
          <w:rFonts w:ascii="Arial" w:cs="Arial" w:eastAsia="Arial" w:hAnsi="Arial"/>
          <w:sz w:val="16"/>
          <w:szCs w:val="16"/>
          <w:color w:val="010000"/>
        </w:rPr>
      </w:pPr>
    </w:p>
    <w:p>
      <w:pPr>
        <w:jc w:val="both"/>
        <w:ind w:firstLine="656"/>
        <w:spacing w:after="0" w:line="291" w:lineRule="auto"/>
        <w:tabs>
          <w:tab w:leader="none" w:pos="1128" w:val="left"/>
        </w:tabs>
        <w:numPr>
          <w:ilvl w:val="1"/>
          <w:numId w:val="42"/>
        </w:numPr>
        <w:rPr>
          <w:rFonts w:ascii="Arial" w:cs="Arial" w:eastAsia="Arial" w:hAnsi="Arial"/>
          <w:sz w:val="16"/>
          <w:szCs w:val="16"/>
          <w:color w:val="010000"/>
        </w:rPr>
      </w:pPr>
      <w:r>
        <w:rPr>
          <w:rFonts w:ascii="Arial" w:cs="Arial" w:eastAsia="Arial" w:hAnsi="Arial"/>
          <w:sz w:val="16"/>
          <w:szCs w:val="16"/>
          <w:i w:val="1"/>
          <w:iCs w:val="1"/>
          <w:color w:val="auto"/>
        </w:rPr>
        <w:t>Company Requirement</w:t>
      </w:r>
      <w:r>
        <w:rPr>
          <w:rFonts w:ascii="Arial" w:cs="Arial" w:eastAsia="Arial" w:hAnsi="Arial"/>
          <w:sz w:val="16"/>
          <w:szCs w:val="16"/>
          <w:color w:val="auto"/>
        </w:rPr>
        <w:t>. The Company may require, as a condition to any grant or exercise under the Plan or to the delivery of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for Shares issued hereunder, that the grantee make provision for the payment to the Company, either pursuant to Section 14(a) or this Section 14(b), of federal, state or local taxes of any kind required by law to be withheld with respect to any grant, delivery or vesting of Shares. The Company, to the extent permitted or required by law, shall have the right to deduct from any payment of any kind (including salary or bonus) otherwise due to a grantee, an amount equal to any federal, state or local taxes of any kind required by law to be withheld with respect to any grant or delivery of Shares under the Plan. The Company shall in no event be liable for any taxes whatsoever (including, without limitation, taxes under Section 409A of the Code) associated with the grant, vesting, exercise, or settlement of any Award granted pursuant to this Plan, other than the Company’s share of any payroll taxes.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460" w:hanging="452"/>
        <w:spacing w:after="0"/>
        <w:tabs>
          <w:tab w:leader="none" w:pos="460" w:val="left"/>
        </w:tabs>
        <w:numPr>
          <w:ilvl w:val="0"/>
          <w:numId w:val="43"/>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Grant Agreement; Vesting.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Each employee to whom an Award is made under the Plan shall enter into a Grant Agreement with the Company that shall contain such provisions, including without limitation vesting requirements, consistent with the provisions of the Plan, as may be approved by the Committee. Unless the Committee determines otherwise and except as otherwise provided herein in connection with a Change in Control or certain occurrences of Termination, no Award under this Plan may be exercised, and no restrictions relating thereto may lapse, within 6 months of the date such Award is made.</w:t>
      </w:r>
    </w:p>
    <w:p>
      <w:pPr>
        <w:spacing w:after="0" w:line="157"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Transferability.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No Award granted under the Plan shall be transferable by a Participant other than (a) by will or the laws of descent and distribution, (b) to a Participant’s Family Member by gift or a qualified domestic relations order as defined by the Code or (c) to a charitable organization, but in each case only with Committee approval or as provided in a Grant Agreement. Unless otherwise provided in any Grant Agreement, an option, SAR or Performance Award may be exercised only by the optionee or grantee thereof; by his or her Family Member if such person has acquired the Option, SAR or Performance Award by gift or qualified domestic relations order; by the executor or administrator of the estate of any of the foregoing or any person to whom the Option is transferred by will or the laws of descent and distribution; or by the guardian or legal representative of any of the foregoing; provided that, Incentive Stock Options may be exercised by any Family Member, guardian or legal representative only if permitted by the Code and any regulations thereunder. All provisions of this Plan shall in any event continue to apply to any Award granted under the Plan and transferred as permitted by this Section 16, and any transferee of any such Award shall be bound by all provisions of this Plan as and to the same extent as the applicable original grantee.</w:t>
      </w:r>
    </w:p>
    <w:p>
      <w:pPr>
        <w:spacing w:after="0" w:line="166" w:lineRule="exact"/>
        <w:rPr>
          <w:sz w:val="20"/>
          <w:szCs w:val="20"/>
          <w:color w:val="auto"/>
        </w:rPr>
      </w:pPr>
    </w:p>
    <w:p>
      <w:pPr>
        <w:ind w:left="480" w:hanging="472"/>
        <w:spacing w:after="0"/>
        <w:tabs>
          <w:tab w:leader="none" w:pos="480" w:val="left"/>
        </w:tabs>
        <w:numPr>
          <w:ilvl w:val="0"/>
          <w:numId w:val="45"/>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Listing, Registration and Qualification.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Committee determines that the listing, registration or qualification upon any securities exchange or under any law of Shares subject to any Award is necessary or desirable as a condition of, or in connection with, the granting of same or the issue or purchase of Shares thereunder, no such option or SAR may be exercised in whole or in part, no such Performance Award, Restricted Stock Unit or Deferred Stock Unit may be paid out, and no Shares may be issued, unless such listing, registration or qualification is effected free of any conditions not acceptable to the Committee.</w:t>
      </w:r>
    </w:p>
    <w:p>
      <w:pPr>
        <w:spacing w:after="0" w:line="171"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Lock-Up Period.</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condition to the grant of an Award, if requested by the Company and the lead underwriter of any public offering of the Common Stock (the “</w:t>
      </w:r>
      <w:r>
        <w:rPr>
          <w:rFonts w:ascii="Arial" w:cs="Arial" w:eastAsia="Arial" w:hAnsi="Arial"/>
          <w:sz w:val="17"/>
          <w:szCs w:val="17"/>
          <w:i w:val="1"/>
          <w:iCs w:val="1"/>
          <w:color w:val="auto"/>
        </w:rPr>
        <w:t>Lead Underwriter</w:t>
      </w:r>
      <w:r>
        <w:rPr>
          <w:rFonts w:ascii="Arial" w:cs="Arial" w:eastAsia="Arial" w:hAnsi="Arial"/>
          <w:sz w:val="17"/>
          <w:szCs w:val="17"/>
          <w:color w:val="auto"/>
        </w:rPr>
        <w:t>”), a Participant shall irrevocably agree not to sell, contract to sell, grant any option to purchase, transfer the economic risk of ownership in, make any short sale of, pledge or otherwise transfer or dispose of, any interest in any Common Stock or any securities convertible into, derivative of, or exchangeable or exercisable for, or any other rights to purchase or acquire Common Stock (except Common Stock included in such public offering or acquired on the public market after such offering) during such period of time following the effective date of a registration statement of the Company filed under the Securities Act that the Lead Underwriter shall specify (the “</w:t>
      </w:r>
      <w:r>
        <w:rPr>
          <w:rFonts w:ascii="Arial" w:cs="Arial" w:eastAsia="Arial" w:hAnsi="Arial"/>
          <w:sz w:val="17"/>
          <w:szCs w:val="17"/>
          <w:i w:val="1"/>
          <w:iCs w:val="1"/>
          <w:color w:val="auto"/>
        </w:rPr>
        <w:t>Lock-Up Period</w:t>
      </w:r>
      <w:r>
        <w:rPr>
          <w:rFonts w:ascii="Arial" w:cs="Arial" w:eastAsia="Arial" w:hAnsi="Arial"/>
          <w:sz w:val="17"/>
          <w:szCs w:val="17"/>
          <w:color w:val="auto"/>
        </w:rPr>
        <w:t>”). The Participant shall further agree to sign such documents as may be requested by the Lead Underwriter to effect the foregoing and agree that the Company may impose stop-transfer instructions with respect to Common Stock acquired pursuant to an Award until the end of such Lock-Up Period.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480" w:hanging="472"/>
        <w:spacing w:after="0"/>
        <w:tabs>
          <w:tab w:leader="none" w:pos="480" w:val="left"/>
        </w:tabs>
        <w:numPr>
          <w:ilvl w:val="0"/>
          <w:numId w:val="47"/>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Transfer of Employee.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transfer of an employee from the Company to an Affiliate, from any Affiliate to the Company, or from one Affiliate to another Affiliate shall not be considered a Termination of Employment; nor shall it be considered a Termination of Employment if an employee is placed on military or sick leave or such other leave of absence which is considered by the Committee as continuing intact the employment relationship.</w:t>
      </w:r>
    </w:p>
    <w:p>
      <w:pPr>
        <w:spacing w:after="0" w:line="165" w:lineRule="exact"/>
        <w:rPr>
          <w:sz w:val="20"/>
          <w:szCs w:val="20"/>
          <w:color w:val="auto"/>
        </w:rPr>
      </w:pPr>
    </w:p>
    <w:p>
      <w:pPr>
        <w:ind w:left="480" w:hanging="472"/>
        <w:spacing w:after="0"/>
        <w:tabs>
          <w:tab w:leader="none" w:pos="480" w:val="left"/>
        </w:tabs>
        <w:numPr>
          <w:ilvl w:val="0"/>
          <w:numId w:val="48"/>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Adjustments.</w:t>
      </w:r>
    </w:p>
    <w:p>
      <w:pPr>
        <w:spacing w:after="0" w:line="225" w:lineRule="exact"/>
        <w:rPr>
          <w:rFonts w:ascii="Arial" w:cs="Arial" w:eastAsia="Arial" w:hAnsi="Arial"/>
          <w:sz w:val="18"/>
          <w:szCs w:val="18"/>
          <w:b w:val="1"/>
          <w:bCs w:val="1"/>
          <w:color w:val="010000"/>
        </w:rPr>
      </w:pPr>
    </w:p>
    <w:p>
      <w:pPr>
        <w:jc w:val="both"/>
        <w:ind w:firstLine="656"/>
        <w:spacing w:after="0" w:line="253" w:lineRule="auto"/>
        <w:tabs>
          <w:tab w:leader="none" w:pos="1118"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In the event of any reorganization, recapitalization, stock split, reverse stock split, special cash dividend, stock dividend, combination of shares, merger, consolidation, distribution of assets, or any other change in the corporate structure or event that affects the shares of the Company such that an adjustment is appropriate in order to prevent dilution or enlargement of the rights of Participants under the Plan, the Committee shall make such equitable adjustments in any or all of the following in order to prevent such dilution or enlargement of rights: (i) the number and kind of Shares or other property available for issuance under the Plan (including, without limitation, the total number of Shares available for issuance under the Plan pursuant to Section 4), (ii) the number and kind of Awards or other property covered by Awards previously made under the Plan, and (iii) the exercise price of outstanding Options and SARs. Any such adjustment shall be final, conclusive and binding for all purposes of the Plan. In the event of any merger, consolidation or other reorganization in which the Company is not the surviving or continuing corporation or in which a Change in Control is to occur, all of the Company’s obligations regarding any Awards that were granted hereunder and that are outstanding on the date of such event shall, on such terms as may be approved by the Committee prior to such event, be assumed by the surviving or continuing corporation or canceled in exchange for property (including cash).</w:t>
      </w:r>
    </w:p>
    <w:p>
      <w:pPr>
        <w:spacing w:after="0" w:line="191" w:lineRule="exact"/>
        <w:rPr>
          <w:rFonts w:ascii="Arial" w:cs="Arial" w:eastAsia="Arial" w:hAnsi="Arial"/>
          <w:sz w:val="18"/>
          <w:szCs w:val="18"/>
          <w:color w:val="010000"/>
        </w:rPr>
      </w:pPr>
    </w:p>
    <w:p>
      <w:pPr>
        <w:jc w:val="both"/>
        <w:ind w:firstLine="656"/>
        <w:spacing w:after="0" w:line="290" w:lineRule="auto"/>
        <w:tabs>
          <w:tab w:leader="none" w:pos="1128" w:val="left"/>
        </w:tabs>
        <w:numPr>
          <w:ilvl w:val="1"/>
          <w:numId w:val="48"/>
        </w:numPr>
        <w:rPr>
          <w:rFonts w:ascii="Arial" w:cs="Arial" w:eastAsia="Arial" w:hAnsi="Arial"/>
          <w:sz w:val="16"/>
          <w:szCs w:val="16"/>
          <w:color w:val="010000"/>
        </w:rPr>
      </w:pPr>
      <w:r>
        <w:rPr>
          <w:rFonts w:ascii="Arial" w:cs="Arial" w:eastAsia="Arial" w:hAnsi="Arial"/>
          <w:sz w:val="16"/>
          <w:szCs w:val="16"/>
          <w:color w:val="auto"/>
        </w:rPr>
        <w:t>Without limitation of the foregoing, in connection with any transaction of the type specified by Section 2(e)(iii) in the definition of a Change in Control, the Committee may (i) cancel any or all outstanding Options under the Plan in consideration for payment to the holders thereof of an amount equal to the portion of the consideration, if any, that would have been payable to such holders pursuant to such transaction if their Options had been fully exercised immediately prior to such transaction, less the aggregate exercise price that would have been payable therefor, or (ii) if the amount that would have been payable to the Option holders pursuant to such transaction if their Options had been fully exercised immediately prior thereto would be equal to or less than the aggregate exercise price that would have been payable therefor, cancel any or all such Options for no consideration or payment of any kind. Payment of any amount payable pursuant to the preceding sentence may be made in cash or, in the event that the consideration to be received in such transaction includes securities or other property, in cash and/or securities or other property in the Committee’s discretion.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56"/>
        <w:spacing w:after="0" w:line="254" w:lineRule="auto"/>
        <w:tabs>
          <w:tab w:leader="none" w:pos="1118" w:val="left"/>
        </w:tabs>
        <w:numPr>
          <w:ilvl w:val="1"/>
          <w:numId w:val="49"/>
        </w:numPr>
        <w:rPr>
          <w:rFonts w:ascii="Arial" w:cs="Arial" w:eastAsia="Arial" w:hAnsi="Arial"/>
          <w:sz w:val="18"/>
          <w:szCs w:val="18"/>
          <w:color w:val="010000"/>
        </w:rPr>
      </w:pPr>
      <w:r>
        <w:rPr>
          <w:rFonts w:ascii="Arial" w:cs="Arial" w:eastAsia="Arial" w:hAnsi="Arial"/>
          <w:sz w:val="18"/>
          <w:szCs w:val="18"/>
          <w:i w:val="1"/>
          <w:iCs w:val="1"/>
          <w:color w:val="auto"/>
        </w:rPr>
        <w:t>Change in Control</w:t>
      </w:r>
      <w:r>
        <w:rPr>
          <w:rFonts w:ascii="Arial" w:cs="Arial" w:eastAsia="Arial" w:hAnsi="Arial"/>
          <w:sz w:val="18"/>
          <w:szCs w:val="18"/>
          <w:color w:val="auto"/>
        </w:rPr>
        <w:t>. Unless otherwise provided in a Participant’s Grant Agreement, (i) upon a Participant’s Termination by the Company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reason other than Cause in connection with a Change in Control, all of the Participant’s Awards shall become fully vested upon the later of such Change in Control or such Termination (and, with respect to the Participant’s Options, exercisable upon the later of such Change in Control or such Termination and shall remain so until the expiration date of the Options); provided that in such event, the Committee shall determine the level at which a Participant’s Performance Award shall become vested, and (ii) the Participant’s Termination may be treated as being in connection with a Change in Control only if such Termination occurs during the period beginning 6 months prior to the Change in Control and ending 12 months following the Change in Control.</w:t>
      </w:r>
    </w:p>
    <w:p>
      <w:pPr>
        <w:spacing w:after="0" w:line="194" w:lineRule="exact"/>
        <w:rPr>
          <w:rFonts w:ascii="Arial" w:cs="Arial" w:eastAsia="Arial" w:hAnsi="Arial"/>
          <w:sz w:val="18"/>
          <w:szCs w:val="18"/>
          <w:color w:val="010000"/>
        </w:rPr>
      </w:pPr>
    </w:p>
    <w:p>
      <w:pPr>
        <w:jc w:val="both"/>
        <w:ind w:firstLine="656"/>
        <w:spacing w:after="0" w:line="311" w:lineRule="auto"/>
        <w:tabs>
          <w:tab w:leader="none" w:pos="1128" w:val="left"/>
        </w:tabs>
        <w:numPr>
          <w:ilvl w:val="1"/>
          <w:numId w:val="49"/>
        </w:numPr>
        <w:rPr>
          <w:rFonts w:ascii="Arial" w:cs="Arial" w:eastAsia="Arial" w:hAnsi="Arial"/>
          <w:sz w:val="16"/>
          <w:szCs w:val="16"/>
          <w:color w:val="010000"/>
        </w:rPr>
      </w:pPr>
      <w:r>
        <w:rPr>
          <w:rFonts w:ascii="Arial" w:cs="Arial" w:eastAsia="Arial" w:hAnsi="Arial"/>
          <w:sz w:val="16"/>
          <w:szCs w:val="16"/>
          <w:i w:val="1"/>
          <w:iCs w:val="1"/>
          <w:color w:val="auto"/>
        </w:rPr>
        <w:t>Clawback</w:t>
      </w:r>
      <w:r>
        <w:rPr>
          <w:rFonts w:ascii="Arial" w:cs="Arial" w:eastAsia="Arial" w:hAnsi="Arial"/>
          <w:sz w:val="16"/>
          <w:szCs w:val="16"/>
          <w:color w:val="auto"/>
        </w:rPr>
        <w:t>. If the Company is required to prepare an accounting restatement due to the material noncompliance of the Company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requirement under the securities laws, then any Participant who has been paid an Award under this Plan based upon or affected by the restated financial report shall be required, at the discretion of the Board, to reimburse the Company for all or any portion of such Award.</w:t>
      </w:r>
    </w:p>
    <w:p>
      <w:pPr>
        <w:spacing w:after="0" w:line="148" w:lineRule="exact"/>
        <w:rPr>
          <w:rFonts w:ascii="Arial" w:cs="Arial" w:eastAsia="Arial" w:hAnsi="Arial"/>
          <w:sz w:val="16"/>
          <w:szCs w:val="16"/>
          <w:color w:val="010000"/>
        </w:rPr>
      </w:pPr>
    </w:p>
    <w:p>
      <w:pPr>
        <w:ind w:left="480" w:hanging="472"/>
        <w:spacing w:after="0"/>
        <w:tabs>
          <w:tab w:leader="none" w:pos="480" w:val="left"/>
        </w:tabs>
        <w:numPr>
          <w:ilvl w:val="0"/>
          <w:numId w:val="50"/>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Amendment and Termination of the Plan.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Board or the Committee, without approval of the shareholders, may amend or terminate the Plan at any time, except that no amendment shall become effective without prior approval of the shareholders of the Company if (a) shareholder approval would be required by applicable law or regulations, including if required by any listing requirement of the principal stock exchange or national market on which the Common Stock is then listed, (b) such amendment would remove from the Plan a provision which, without giving effect to such amendment, is subject to shareholder approval, or (c) such amendment would directly or indirectly increase the Share limits set forth in Section 4.</w:t>
      </w:r>
    </w:p>
    <w:p>
      <w:pPr>
        <w:spacing w:after="0" w:line="176" w:lineRule="exact"/>
        <w:rPr>
          <w:sz w:val="20"/>
          <w:szCs w:val="20"/>
          <w:color w:val="auto"/>
        </w:rPr>
      </w:pPr>
    </w:p>
    <w:p>
      <w:pPr>
        <w:ind w:left="480" w:hanging="472"/>
        <w:spacing w:after="0"/>
        <w:tabs>
          <w:tab w:leader="none" w:pos="480" w:val="left"/>
        </w:tabs>
        <w:numPr>
          <w:ilvl w:val="0"/>
          <w:numId w:val="51"/>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Amendment or Substitution of Awards under the Plan.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terms of any outstanding Award under the Plan may be amended from time to time by the Committee in any manner that it deems appropriate (including, but not limited to, acceleration of the date of exercise of any Award and/or payments thereunder or of the date of lapse of restrictions on Shares); provided that, except as otherwise provided in Section 20, no such amendment shall adversely affect in a material manner any right of a Participant under the Award without his or her written consent, and provided further that, the Committee shall not reduce the exercise price of any Options or SARs awarded under the Plan without approval of the shareholders of the Company. The Committee may, in its discretion, permit holders of Awards under the Plan to surrender outstanding Awards in order to exercise or realize rights under other awards, or in exchange for the grant of new awards, or require holders of Awards to surrender outstanding Awards as a condition precedent to the grant of new awards under the Plan. Notwithstanding the foregoing, the Committee shall not take any of the following actions without shareholder approval, except as provided in Section 20: (a) reduce the exercise price following the grant of an Option or SAR; (b) exchange an Option or SAR which has an exercise price that is greater than the Fair Market Value of a Share for cash or Shares or (c) cancel an Option or SAR in exchange for a replacement Option or another Award with a lower exercise price. Notwithstanding anything to the contrary in this Plan, in no event shall the Committee amend or modify the distribution terms in any Award or Grant Agreement that has a feature for the deferral of compensation if such amendment would result in taxes, additional interest and/or penalties pursuant to Section 409A of the Code.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480" w:hanging="472"/>
        <w:spacing w:after="0"/>
        <w:tabs>
          <w:tab w:leader="none" w:pos="480" w:val="left"/>
        </w:tabs>
        <w:numPr>
          <w:ilvl w:val="0"/>
          <w:numId w:val="52"/>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Termination Date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date of the most recent amendment and restatement of the Plan is February 19, 2021 (the “</w:t>
      </w:r>
      <w:r>
        <w:rPr>
          <w:rFonts w:ascii="Arial" w:cs="Arial" w:eastAsia="Arial" w:hAnsi="Arial"/>
          <w:sz w:val="17"/>
          <w:szCs w:val="17"/>
          <w:i w:val="1"/>
          <w:iCs w:val="1"/>
          <w:color w:val="auto"/>
        </w:rPr>
        <w:t>Effective Date</w:t>
      </w:r>
      <w:r>
        <w:rPr>
          <w:rFonts w:ascii="Arial" w:cs="Arial" w:eastAsia="Arial" w:hAnsi="Arial"/>
          <w:sz w:val="17"/>
          <w:szCs w:val="17"/>
          <w:color w:val="auto"/>
        </w:rPr>
        <w:t>”). The Plan is the successor to that certain version thereof that became effective on May 14, 2015, and any predecessor versions thereof (collectively, the “</w:t>
      </w:r>
      <w:r>
        <w:rPr>
          <w:rFonts w:ascii="Arial" w:cs="Arial" w:eastAsia="Arial" w:hAnsi="Arial"/>
          <w:sz w:val="17"/>
          <w:szCs w:val="17"/>
          <w:i w:val="1"/>
          <w:iCs w:val="1"/>
          <w:color w:val="auto"/>
        </w:rPr>
        <w:t>Prior Plan</w:t>
      </w:r>
      <w:r>
        <w:rPr>
          <w:rFonts w:ascii="Arial" w:cs="Arial" w:eastAsia="Arial" w:hAnsi="Arial"/>
          <w:sz w:val="17"/>
          <w:szCs w:val="17"/>
          <w:color w:val="auto"/>
        </w:rPr>
        <w:t>”), it being understood that the provisions of the Prior Plan shall remain in effect for an Award granted thereunder to the extent necessary (e.g., to the extent Section 162(m) of the Code applies to such Award, etc.). Unless previously terminated upon the adoption of a resolution of the Board terminating the Plan, the Plan shall terminate on the tenth anniversary of the Effective Date; provided that, the requisite stockholder approval of the Plan is obtained in connection with the Company’s annual meeting of stockholders, it being understood that in the event such stockholder approval is not obtained, the Prior Plan shall remain in effect and this most recent amendment and restatement of the Plan shall be null and void for all purposes. No termination of the Plan shall materially and adversely affect any of the rights or obligations of any person, without his or her written consent, under any Award or other incentives theretofore granted under the Plan.</w:t>
      </w:r>
    </w:p>
    <w:p>
      <w:pPr>
        <w:spacing w:after="0" w:line="181" w:lineRule="exact"/>
        <w:rPr>
          <w:sz w:val="20"/>
          <w:szCs w:val="20"/>
          <w:color w:val="auto"/>
        </w:rPr>
      </w:pPr>
    </w:p>
    <w:p>
      <w:pPr>
        <w:ind w:left="480" w:hanging="472"/>
        <w:spacing w:after="0"/>
        <w:tabs>
          <w:tab w:leader="none" w:pos="480" w:val="left"/>
        </w:tabs>
        <w:numPr>
          <w:ilvl w:val="0"/>
          <w:numId w:val="53"/>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Severability.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Whenever possible, each provision of the Plan shall be interpreted and construed in such manner as to be effective and valid under applicable law, but if any provision of the Plan is held to be prohibited by or invalid under applicable law, such provision shall be ineffective only to the extent of such prohibition or invalidity, without invalidating the remainder of the Plan.</w:t>
      </w:r>
    </w:p>
    <w:p>
      <w:pPr>
        <w:spacing w:after="0" w:line="184" w:lineRule="exact"/>
        <w:rPr>
          <w:sz w:val="20"/>
          <w:szCs w:val="20"/>
          <w:color w:val="auto"/>
        </w:rPr>
      </w:pPr>
    </w:p>
    <w:p>
      <w:pPr>
        <w:ind w:left="480" w:hanging="472"/>
        <w:spacing w:after="0"/>
        <w:tabs>
          <w:tab w:leader="none" w:pos="480" w:val="left"/>
        </w:tabs>
        <w:numPr>
          <w:ilvl w:val="0"/>
          <w:numId w:val="54"/>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Jurisdiction; Waiver of a Jury Trial.</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Any suit, action or proceeding with respect to this Plan or any Grant Agreement, or any judgment entered by any court of competent jurisdiction in respect of any thereof, shall be resolved only in the courts of the State of Delaware or the United States District Court for the District of Delaware and the appellate courts having jurisdiction of appeals in such courts. In that context, and without limiting the generality of the foregoing, the Company and each Participant shall irrevocably and unconditionally (a) submit in any proceeding relating to this Plan or any Grant Agreement, or for the recognition and enforcement of any judgment in respect thereof (a “</w:t>
      </w:r>
      <w:r>
        <w:rPr>
          <w:rFonts w:ascii="Arial" w:cs="Arial" w:eastAsia="Arial" w:hAnsi="Arial"/>
          <w:sz w:val="16"/>
          <w:szCs w:val="16"/>
          <w:i w:val="1"/>
          <w:iCs w:val="1"/>
          <w:color w:val="auto"/>
        </w:rPr>
        <w:t>Proceeding</w:t>
      </w:r>
      <w:r>
        <w:rPr>
          <w:rFonts w:ascii="Arial" w:cs="Arial" w:eastAsia="Arial" w:hAnsi="Arial"/>
          <w:sz w:val="16"/>
          <w:szCs w:val="16"/>
          <w:color w:val="auto"/>
        </w:rPr>
        <w:t>”), to the exclusive jurisdiction of the courts of the State of Delaware, the court of the United States of America for the District of Delaware, and appellate courts having jurisdiction of appeals from any of the foregoing, and agree that all claims in respect of any such Proceeding shall be heard and determined in such Delaware State court or, to the extent permitted by law, in such federal court,</w:t>
      </w:r>
    </w:p>
    <w:p>
      <w:pPr>
        <w:spacing w:after="0" w:line="2" w:lineRule="exact"/>
        <w:rPr>
          <w:sz w:val="20"/>
          <w:szCs w:val="20"/>
          <w:color w:val="auto"/>
        </w:rPr>
      </w:pPr>
    </w:p>
    <w:p>
      <w:pPr>
        <w:jc w:val="both"/>
        <w:ind w:firstLine="8"/>
        <w:spacing w:after="0" w:line="281" w:lineRule="auto"/>
        <w:tabs>
          <w:tab w:leader="none" w:pos="257"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consent that any such Proceeding may and shall be brought in such courts and waives any objection that the Company and each Participant may now or thereafter have to the venue or jurisdiction of any such Proceeding in any such court or that such Proceeding was brought in an inconvenient court and agree not to plead or claim the same, (c) waive all right to trial by jury in any Proceeding (whether based on contract, tort or otherwise) arising out of or relating to this Plan or any Grant Agreement, (d) agree that service of process in any such Proceeding may be effected by mailing a copy of such process by registered or certified mail (or any substantially similar form of mail), postage prepaid, to such party, in the case of a Participant, at the Participant’s address shown in the books and records of the Company or, in the case of the Company, at the Company’s principal offices, attention General Counsel, and</w:t>
      </w:r>
    </w:p>
    <w:p>
      <w:pPr>
        <w:spacing w:after="0" w:line="3" w:lineRule="exact"/>
        <w:rPr>
          <w:rFonts w:ascii="Arial" w:cs="Arial" w:eastAsia="Arial" w:hAnsi="Arial"/>
          <w:sz w:val="16"/>
          <w:szCs w:val="16"/>
          <w:color w:val="auto"/>
        </w:rPr>
      </w:pPr>
    </w:p>
    <w:p>
      <w:pPr>
        <w:ind w:firstLine="8"/>
        <w:spacing w:after="0" w:line="260" w:lineRule="auto"/>
        <w:tabs>
          <w:tab w:leader="none" w:pos="2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agree that nothing in the Plan or a Grant Agreement shall affect the right to effect service of process in any other manner permitted by the laws of the State of Delaware.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left="480" w:hanging="472"/>
        <w:spacing w:after="0"/>
        <w:tabs>
          <w:tab w:leader="none" w:pos="480" w:val="left"/>
        </w:tabs>
        <w:numPr>
          <w:ilvl w:val="0"/>
          <w:numId w:val="57"/>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Plan shall be governed by the corporate laws of the State of Delaware, without giving effect to any choice of law provisions that might otherwise refer construction or interpretation of the Plan to the substantive law of another jurisdiction.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as of February 19, 2021)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o"/>
      <w:numFmt w:val="bullet"/>
      <w:start w:val="1"/>
    </w:lvl>
  </w:abstractNum>
  <w:abstractNum w:abstractNumId="1">
    <w:nsid w:val="3A95F874"/>
    <w:multiLevelType w:val="hybridMultilevel"/>
    <w:lvl w:ilvl="0">
      <w:lvlJc w:val="left"/>
      <w:lvlText w:val="(%1)"/>
      <w:numFmt w:val="lowerLetter"/>
      <w:start w:val="4"/>
    </w:lvl>
  </w:abstractNum>
  <w:abstractNum w:abstractNumId="2">
    <w:nsid w:val="8138641"/>
    <w:multiLevelType w:val="hybridMultilevel"/>
    <w:lvl w:ilvl="0">
      <w:lvlJc w:val="left"/>
      <w:lvlText w:val="%1"/>
      <w:numFmt w:val="decimal"/>
      <w:start w:val="104"/>
    </w:lvl>
    <w:lvl w:ilvl="1">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2"/>
    </w:lvl>
    <w:lvl w:ilvl="1">
      <w:lvlJc w:val="left"/>
      <w:lvlText w:val="(%2)"/>
      <w:numFmt w:val="lowerLetter"/>
      <w:start w:val="1"/>
    </w:lvl>
  </w:abstractNum>
  <w:abstractNum w:abstractNumId="5">
    <w:nsid w:val="737B8DDC"/>
    <w:multiLevelType w:val="hybridMultilevel"/>
    <w:lvl w:ilvl="0">
      <w:lvlJc w:val="left"/>
      <w:lvlText w:val="(%1)"/>
      <w:numFmt w:val="lowerLetter"/>
      <w:start w:val="4"/>
    </w:lvl>
    <w:lvl w:ilvl="1">
      <w:lvlJc w:val="left"/>
      <w:lvlText w:val="(%2)"/>
      <w:numFmt w:val="lowerRoman"/>
      <w:start w:val="1"/>
    </w:lvl>
  </w:abstractNum>
  <w:abstractNum w:abstractNumId="6">
    <w:nsid w:val="6CEAF087"/>
    <w:multiLevelType w:val="hybridMultilevel"/>
    <w:lvl w:ilvl="0">
      <w:lvlJc w:val="left"/>
      <w:lvlText w:val="(%1)"/>
      <w:numFmt w:val="lowerLetter"/>
      <w:start w:val="5"/>
    </w:lvl>
    <w:lvl w:ilvl="1">
      <w:lvlJc w:val="left"/>
      <w:lvlText w:val="(%2)"/>
      <w:numFmt w:val="lowerRoman"/>
      <w:start w:val="1"/>
    </w:lvl>
  </w:abstractNum>
  <w:abstractNum w:abstractNumId="7">
    <w:nsid w:val="22221A70"/>
    <w:multiLevelType w:val="hybridMultilevel"/>
    <w:lvl w:ilvl="0">
      <w:lvlJc w:val="left"/>
      <w:lvlText w:val="(%1)"/>
      <w:numFmt w:val="lowerLetter"/>
      <w:start w:val="61"/>
    </w:lvl>
    <w:lvl w:ilvl="1">
      <w:lvlJc w:val="left"/>
      <w:lvlText w:val="(%2)"/>
      <w:numFmt w:val="lowerRoman"/>
      <w:start w:val="2"/>
    </w:lvl>
  </w:abstractNum>
  <w:abstractNum w:abstractNumId="8">
    <w:nsid w:val="4516DDE9"/>
    <w:multiLevelType w:val="hybridMultilevel"/>
    <w:lvl w:ilvl="0">
      <w:lvlJc w:val="left"/>
      <w:lvlText w:val="(%1)"/>
      <w:numFmt w:val="lowerRoman"/>
      <w:start w:val="3"/>
    </w:lvl>
  </w:abstractNum>
  <w:abstractNum w:abstractNumId="9">
    <w:nsid w:val="3006C83E"/>
    <w:multiLevelType w:val="hybridMultilevel"/>
    <w:lvl w:ilvl="0">
      <w:lvlJc w:val="left"/>
      <w:lvlText w:val="(%1)"/>
      <w:numFmt w:val="lowerLetter"/>
      <w:start w:val="6"/>
    </w:lvl>
  </w:abstractNum>
  <w:abstractNum w:abstractNumId="10">
    <w:nsid w:val="614FD4A1"/>
    <w:multiLevelType w:val="hybridMultilevel"/>
    <w:lvl w:ilvl="0">
      <w:lvlJc w:val="left"/>
      <w:lvlText w:val="(%1)"/>
      <w:numFmt w:val="lowerLetter"/>
      <w:start w:val="10"/>
    </w:lvl>
  </w:abstractNum>
  <w:abstractNum w:abstractNumId="11">
    <w:nsid w:val="419AC241"/>
    <w:multiLevelType w:val="hybridMultilevel"/>
    <w:lvl w:ilvl="0">
      <w:lvlJc w:val="left"/>
      <w:lvlText w:val="(%1)"/>
      <w:numFmt w:val="lowerLetter"/>
      <w:start w:val="24"/>
    </w:lvl>
  </w:abstractNum>
  <w:abstractNum w:abstractNumId="12">
    <w:nsid w:val="5577F8E1"/>
    <w:multiLevelType w:val="hybridMultilevel"/>
    <w:lvl w:ilvl="0">
      <w:lvlJc w:val="left"/>
      <w:lvlText w:val="(%1)"/>
      <w:numFmt w:val="lowerLetter"/>
      <w:start w:val="27"/>
    </w:lvl>
  </w:abstractNum>
  <w:abstractNum w:abstractNumId="13">
    <w:nsid w:val="440BADFC"/>
    <w:multiLevelType w:val="hybridMultilevel"/>
    <w:lvl w:ilvl="0">
      <w:lvlJc w:val="left"/>
      <w:lvlText w:val="%1"/>
      <w:numFmt w:val="lowerLetter"/>
      <w:start w:val="1"/>
    </w:lvl>
    <w:lvl w:ilvl="1">
      <w:lvlJc w:val="left"/>
      <w:lvlText w:val="(%2)"/>
      <w:numFmt w:val="lowerLetter"/>
      <w:start w:val="39"/>
    </w:lvl>
  </w:abstractNum>
  <w:abstractNum w:abstractNumId="14">
    <w:nsid w:val="5072367"/>
    <w:multiLevelType w:val="hybridMultilevel"/>
    <w:lvl w:ilvl="0">
      <w:lvlJc w:val="left"/>
      <w:lvlText w:val="(%1)"/>
      <w:numFmt w:val="lowerLetter"/>
      <w:start w:val="35"/>
    </w:lvl>
    <w:lvl w:ilvl="1">
      <w:lvlJc w:val="left"/>
      <w:lvlText w:val="%2"/>
      <w:numFmt w:val="lowerLetter"/>
      <w:start w:val="1"/>
    </w:lvl>
  </w:abstractNum>
  <w:abstractNum w:abstractNumId="15">
    <w:nsid w:val="3804823E"/>
    <w:multiLevelType w:val="hybridMultilevel"/>
    <w:lvl w:ilvl="0">
      <w:lvlJc w:val="left"/>
      <w:lvlText w:val="(%1)"/>
      <w:numFmt w:val="lowerLetter"/>
      <w:start w:val="50"/>
    </w:lvl>
  </w:abstractNum>
  <w:abstractNum w:abstractNumId="16">
    <w:nsid w:val="77465F01"/>
    <w:multiLevelType w:val="hybridMultilevel"/>
    <w:lvl w:ilvl="0">
      <w:lvlJc w:val="left"/>
      <w:lvlText w:val="%1"/>
      <w:numFmt w:val="decimal"/>
      <w:start w:val="1"/>
    </w:lvl>
    <w:lvl w:ilvl="1">
      <w:lvlJc w:val="left"/>
      <w:lvlText w:val="(%2)"/>
      <w:numFmt w:val="lowerLetter"/>
      <w:start w:val="53"/>
    </w:lvl>
    <w:lvl w:ilvl="2">
      <w:lvlJc w:val="left"/>
      <w:lvlText w:val="%3"/>
      <w:numFmt w:val="lowerLetter"/>
      <w:start w:val="1"/>
    </w:lvl>
  </w:abstractNum>
  <w:abstractNum w:abstractNumId="17">
    <w:nsid w:val="7724C67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8">
    <w:nsid w:val="5C482A97"/>
    <w:multiLevelType w:val="hybridMultilevel"/>
    <w:lvl w:ilvl="0">
      <w:lvlJc w:val="left"/>
      <w:lvlText w:val="%1"/>
      <w:numFmt w:val="lowerLetter"/>
      <w:start w:val="1"/>
    </w:lvl>
    <w:lvl w:ilvl="1">
      <w:lvlJc w:val="left"/>
      <w:lvlText w:val="(%2)"/>
      <w:numFmt w:val="lowerRoman"/>
      <w:start w:val="2"/>
    </w:lvl>
  </w:abstractNum>
  <w:abstractNum w:abstractNumId="19">
    <w:nsid w:val="2463B9EA"/>
    <w:multiLevelType w:val="hybridMultilevel"/>
    <w:lvl w:ilvl="0">
      <w:lvlJc w:val="left"/>
      <w:lvlText w:val="(%1)"/>
      <w:numFmt w:val="lowerLetter"/>
      <w:start w:val="3"/>
    </w:lvl>
    <w:lvl w:ilvl="1">
      <w:lvlJc w:val="left"/>
      <w:lvlText w:val="%2"/>
      <w:numFmt w:val="lowerRoman"/>
      <w:start w:val="1"/>
    </w:lvl>
  </w:abstractNum>
  <w:abstractNum w:abstractNumId="20">
    <w:nsid w:val="5E884AD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
    <w:nsid w:val="51EAD36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
    <w:nsid w:val="2D517796"/>
    <w:multiLevelType w:val="hybridMultilevel"/>
    <w:lvl w:ilvl="0">
      <w:lvlJc w:val="left"/>
      <w:lvlText w:val="%1"/>
      <w:numFmt w:val="lowerRoman"/>
      <w:start w:val="1"/>
    </w:lvl>
    <w:lvl w:ilvl="1">
      <w:lvlJc w:val="left"/>
      <w:lvlText w:val="(%2)"/>
      <w:numFmt w:val="lowerRoman"/>
      <w:start w:val="4"/>
    </w:lvl>
  </w:abstractNum>
  <w:abstractNum w:abstractNumId="23">
    <w:nsid w:val="580BD78F"/>
    <w:multiLevelType w:val="hybridMultilevel"/>
    <w:lvl w:ilvl="0">
      <w:lvlJc w:val="left"/>
      <w:lvlText w:val="(%1)"/>
      <w:numFmt w:val="lowerRoman"/>
      <w:start w:val="2"/>
    </w:lvl>
    <w:lvl w:ilvl="1">
      <w:lvlJc w:val="left"/>
      <w:lvlText w:val="%2"/>
      <w:numFmt w:val="lowerRoman"/>
      <w:start w:val="1"/>
    </w:lvl>
  </w:abstractNum>
  <w:abstractNum w:abstractNumId="24">
    <w:nsid w:val="153EA438"/>
    <w:multiLevelType w:val="hybridMultilevel"/>
    <w:lvl w:ilvl="0">
      <w:lvlJc w:val="left"/>
      <w:lvlText w:val="%1"/>
      <w:numFmt w:val="decimal"/>
      <w:start w:val="1"/>
    </w:lvl>
    <w:lvl w:ilvl="1">
      <w:lvlJc w:val="left"/>
      <w:lvlText w:val="(%2)"/>
      <w:numFmt w:val="lowerLetter"/>
      <w:start w:val="3"/>
    </w:lvl>
  </w:abstractNum>
  <w:abstractNum w:abstractNumId="25">
    <w:nsid w:val="3855585C"/>
    <w:multiLevelType w:val="hybridMultilevel"/>
    <w:lvl w:ilvl="0">
      <w:lvlJc w:val="left"/>
      <w:lvlText w:val="%1."/>
      <w:numFmt w:val="decimal"/>
      <w:start w:val="5"/>
    </w:lvl>
    <w:lvl w:ilvl="1">
      <w:lvlJc w:val="left"/>
      <w:lvlText w:val="%2"/>
      <w:numFmt w:val="lowerLetter"/>
      <w:start w:val="1"/>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decimal"/>
      <w:start w:val="6"/>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1)"/>
      <w:numFmt w:val="lowerLetter"/>
      <w:start w:val="3"/>
    </w:lvl>
  </w:abstractNum>
  <w:abstractNum w:abstractNumId="30">
    <w:nsid w:val="725A06FB"/>
    <w:multiLevelType w:val="hybridMultilevel"/>
    <w:lvl w:ilvl="0">
      <w:lvlJc w:val="left"/>
      <w:lvlText w:val="(%1)"/>
      <w:numFmt w:val="lowerLetter"/>
      <w:start w:val="4"/>
    </w:lvl>
    <w:lvl w:ilvl="1">
      <w:lvlJc w:val="left"/>
      <w:lvlText w:val="(%2)"/>
      <w:numFmt w:val="lowerRoman"/>
      <w:start w:val="1"/>
    </w:lvl>
  </w:abstractNum>
  <w:abstractNum w:abstractNumId="31">
    <w:nsid w:val="2CD89A32"/>
    <w:multiLevelType w:val="hybridMultilevel"/>
    <w:lvl w:ilvl="0">
      <w:lvlJc w:val="left"/>
      <w:lvlText w:val="(%1)"/>
      <w:numFmt w:val="lowerRoman"/>
      <w:start w:val="3"/>
    </w:lvl>
  </w:abstractNum>
  <w:abstractNum w:abstractNumId="32">
    <w:nsid w:val="57E4CCAF"/>
    <w:multiLevelType w:val="hybridMultilevel"/>
    <w:lvl w:ilvl="0">
      <w:lvlJc w:val="left"/>
      <w:lvlText w:val="(%1)"/>
      <w:numFmt w:val="lowerRoman"/>
      <w:start w:val="4"/>
    </w:lvl>
  </w:abstractNum>
  <w:abstractNum w:abstractNumId="33">
    <w:nsid w:val="7A6D8D3C"/>
    <w:multiLevelType w:val="hybridMultilevel"/>
    <w:lvl w:ilvl="0">
      <w:lvlJc w:val="left"/>
      <w:lvlText w:val="(%1)"/>
      <w:numFmt w:val="lowerRoman"/>
      <w:start w:val="5"/>
    </w:lvl>
  </w:abstractNum>
  <w:abstractNum w:abstractNumId="34">
    <w:nsid w:val="4B588F54"/>
    <w:multiLevelType w:val="hybridMultilevel"/>
    <w:lvl w:ilvl="0">
      <w:lvlJc w:val="left"/>
      <w:lvlText w:val="%1."/>
      <w:numFmt w:val="decimal"/>
      <w:start w:val="7"/>
    </w:lvl>
  </w:abstractNum>
  <w:abstractNum w:abstractNumId="35">
    <w:nsid w:val="542289EC"/>
    <w:multiLevelType w:val="hybridMultilevel"/>
    <w:lvl w:ilvl="0">
      <w:lvlJc w:val="left"/>
      <w:lvlText w:val="%1."/>
      <w:numFmt w:val="decimal"/>
      <w:start w:val="8"/>
    </w:lvl>
    <w:lvl w:ilvl="1">
      <w:lvlJc w:val="left"/>
      <w:lvlText w:val="(%2)"/>
      <w:numFmt w:val="lowerLetter"/>
      <w:start w:val="1"/>
    </w:lvl>
  </w:abstractNum>
  <w:abstractNum w:abstractNumId="36">
    <w:nsid w:val="6DE91B18"/>
    <w:multiLevelType w:val="hybridMultilevel"/>
    <w:lvl w:ilvl="0">
      <w:lvlJc w:val="left"/>
      <w:lvlText w:val="%1"/>
      <w:numFmt w:val="decimal"/>
      <w:start w:val="1"/>
    </w:lvl>
    <w:lvl w:ilvl="1">
      <w:lvlJc w:val="left"/>
      <w:lvlText w:val="(%2)"/>
      <w:numFmt w:val="lowerLetter"/>
      <w:start w:val="6"/>
    </w:lvl>
  </w:abstractNum>
  <w:abstractNum w:abstractNumId="37">
    <w:nsid w:val="38437FDB"/>
    <w:multiLevelType w:val="hybridMultilevel"/>
    <w:lvl w:ilvl="0">
      <w:lvlJc w:val="left"/>
      <w:lvlText w:val="%1."/>
      <w:numFmt w:val="decimal"/>
      <w:start w:val="9"/>
    </w:lvl>
    <w:lvl w:ilvl="1">
      <w:lvlJc w:val="left"/>
      <w:lvlText w:val="%2"/>
      <w:numFmt w:val="lowerLetter"/>
      <w:start w:val="1"/>
    </w:lvl>
  </w:abstractNum>
  <w:abstractNum w:abstractNumId="38">
    <w:nsid w:val="7644A45C"/>
    <w:multiLevelType w:val="hybridMultilevel"/>
    <w:lvl w:ilvl="0">
      <w:lvlJc w:val="left"/>
      <w:lvlText w:val="%1."/>
      <w:numFmt w:val="decimal"/>
      <w:start w:val="10"/>
    </w:lvl>
  </w:abstractNum>
  <w:abstractNum w:abstractNumId="39">
    <w:nsid w:val="32FFF902"/>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0">
    <w:nsid w:val="684A481A"/>
    <w:multiLevelType w:val="hybridMultilevel"/>
    <w:lvl w:ilvl="0">
      <w:lvlJc w:val="left"/>
      <w:lvlText w:val="%1."/>
      <w:numFmt w:val="decimal"/>
      <w:start w:val="13"/>
    </w:lvl>
  </w:abstractNum>
  <w:abstractNum w:abstractNumId="41">
    <w:nsid w:val="579478FE"/>
    <w:multiLevelType w:val="hybridMultilevel"/>
    <w:lvl w:ilvl="0">
      <w:lvlJc w:val="left"/>
      <w:lvlText w:val="%1."/>
      <w:numFmt w:val="decimal"/>
      <w:start w:val="14"/>
    </w:lvl>
    <w:lvl w:ilvl="1">
      <w:lvlJc w:val="left"/>
      <w:lvlText w:val="(%2)"/>
      <w:numFmt w:val="lowerLetter"/>
      <w:start w:val="1"/>
    </w:lvl>
  </w:abstractNum>
  <w:abstractNum w:abstractNumId="42">
    <w:nsid w:val="749ABB43"/>
    <w:multiLevelType w:val="hybridMultilevel"/>
    <w:lvl w:ilvl="0">
      <w:lvlJc w:val="left"/>
      <w:lvlText w:val="%1."/>
      <w:numFmt w:val="decimal"/>
      <w:start w:val="15"/>
    </w:lvl>
  </w:abstractNum>
  <w:abstractNum w:abstractNumId="43">
    <w:nsid w:val="3DC240FB"/>
    <w:multiLevelType w:val="hybridMultilevel"/>
    <w:lvl w:ilvl="0">
      <w:lvlJc w:val="left"/>
      <w:lvlText w:val="%1."/>
      <w:numFmt w:val="decimal"/>
      <w:start w:val="16"/>
    </w:lvl>
  </w:abstractNum>
  <w:abstractNum w:abstractNumId="44">
    <w:nsid w:val="1BA026FA"/>
    <w:multiLevelType w:val="hybridMultilevel"/>
    <w:lvl w:ilvl="0">
      <w:lvlJc w:val="left"/>
      <w:lvlText w:val="%1."/>
      <w:numFmt w:val="decimal"/>
      <w:start w:val="17"/>
    </w:lvl>
  </w:abstractNum>
  <w:abstractNum w:abstractNumId="45">
    <w:nsid w:val="79A1DEAA"/>
    <w:multiLevelType w:val="hybridMultilevel"/>
    <w:lvl w:ilvl="0">
      <w:lvlJc w:val="left"/>
      <w:lvlText w:val="%1."/>
      <w:numFmt w:val="decimal"/>
      <w:start w:val="18"/>
    </w:lvl>
  </w:abstractNum>
  <w:abstractNum w:abstractNumId="46">
    <w:nsid w:val="75C6C33A"/>
    <w:multiLevelType w:val="hybridMultilevel"/>
    <w:lvl w:ilvl="0">
      <w:lvlJc w:val="left"/>
      <w:lvlText w:val="%1."/>
      <w:numFmt w:val="decimal"/>
      <w:start w:val="19"/>
    </w:lvl>
  </w:abstractNum>
  <w:abstractNum w:abstractNumId="47">
    <w:nsid w:val="12E685FB"/>
    <w:multiLevelType w:val="hybridMultilevel"/>
    <w:lvl w:ilvl="0">
      <w:lvlJc w:val="left"/>
      <w:lvlText w:val="%1."/>
      <w:numFmt w:val="decimal"/>
      <w:start w:val="20"/>
    </w:lvl>
    <w:lvl w:ilvl="1">
      <w:lvlJc w:val="left"/>
      <w:lvlText w:val="(%2)"/>
      <w:numFmt w:val="lowerLetter"/>
      <w:start w:val="1"/>
    </w:lvl>
  </w:abstractNum>
  <w:abstractNum w:abstractNumId="48">
    <w:nsid w:val="70C6A529"/>
    <w:multiLevelType w:val="hybridMultilevel"/>
    <w:lvl w:ilvl="0">
      <w:lvlJc w:val="left"/>
      <w:lvlText w:val="%1"/>
      <w:numFmt w:val="decimal"/>
      <w:start w:val="1"/>
    </w:lvl>
    <w:lvl w:ilvl="1">
      <w:lvlJc w:val="left"/>
      <w:lvlText w:val="(%2)"/>
      <w:numFmt w:val="lowerLetter"/>
      <w:start w:val="3"/>
    </w:lvl>
  </w:abstractNum>
  <w:abstractNum w:abstractNumId="49">
    <w:nsid w:val="520EEDD1"/>
    <w:multiLevelType w:val="hybridMultilevel"/>
    <w:lvl w:ilvl="0">
      <w:lvlJc w:val="left"/>
      <w:lvlText w:val="%1."/>
      <w:numFmt w:val="decimal"/>
      <w:start w:val="21"/>
    </w:lvl>
    <w:lvl w:ilvl="1">
      <w:lvlJc w:val="left"/>
      <w:lvlText w:val="%2"/>
      <w:numFmt w:val="lowerLetter"/>
      <w:start w:val="1"/>
    </w:lvl>
  </w:abstractNum>
  <w:abstractNum w:abstractNumId="50">
    <w:nsid w:val="374A3FE6"/>
    <w:multiLevelType w:val="hybridMultilevel"/>
    <w:lvl w:ilvl="0">
      <w:lvlJc w:val="left"/>
      <w:lvlText w:val="%1."/>
      <w:numFmt w:val="decimal"/>
      <w:start w:val="22"/>
    </w:lvl>
  </w:abstractNum>
  <w:abstractNum w:abstractNumId="51">
    <w:nsid w:val="4F4EF005"/>
    <w:multiLevelType w:val="hybridMultilevel"/>
    <w:lvl w:ilvl="0">
      <w:lvlJc w:val="left"/>
      <w:lvlText w:val="%1."/>
      <w:numFmt w:val="decimal"/>
      <w:start w:val="23"/>
    </w:lvl>
  </w:abstractNum>
  <w:abstractNum w:abstractNumId="52">
    <w:nsid w:val="23F9C13C"/>
    <w:multiLevelType w:val="hybridMultilevel"/>
    <w:lvl w:ilvl="0">
      <w:lvlJc w:val="left"/>
      <w:lvlText w:val="%1."/>
      <w:numFmt w:val="decimal"/>
      <w:start w:val="24"/>
    </w:lvl>
  </w:abstractNum>
  <w:abstractNum w:abstractNumId="53">
    <w:nsid w:val="649BB77C"/>
    <w:multiLevelType w:val="hybridMultilevel"/>
    <w:lvl w:ilvl="0">
      <w:lvlJc w:val="left"/>
      <w:lvlText w:val="%1."/>
      <w:numFmt w:val="decimal"/>
      <w:start w:val="25"/>
    </w:lvl>
  </w:abstractNum>
  <w:abstractNum w:abstractNumId="54">
    <w:nsid w:val="275AC794"/>
    <w:multiLevelType w:val="hybridMultilevel"/>
    <w:lvl w:ilvl="0">
      <w:lvlJc w:val="left"/>
      <w:lvlText w:val="(%1)"/>
      <w:numFmt w:val="lowerLetter"/>
      <w:start w:val="2"/>
    </w:lvl>
  </w:abstractNum>
  <w:abstractNum w:abstractNumId="55">
    <w:nsid w:val="39386575"/>
    <w:multiLevelType w:val="hybridMultilevel"/>
    <w:lvl w:ilvl="0">
      <w:lvlJc w:val="left"/>
      <w:lvlText w:val="(%1)"/>
      <w:numFmt w:val="lowerLetter"/>
      <w:start w:val="5"/>
    </w:lvl>
  </w:abstractNum>
  <w:abstractNum w:abstractNumId="56">
    <w:nsid w:val="1CF10FD8"/>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13" Type="http://schemas.openxmlformats.org/officeDocument/2006/relationships/hyperlink" Target="http://www.sec.gov/Archives/edgar/data/1567683/000110465921037404/tm212528-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2021-05-03T15:35:27Z</dcterms:created>
  <dcterms:modified xsi:type="dcterms:W3CDTF">2021-05-03T15:35:27Z</dcterms:modified>
</cp:coreProperties>
</file>