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u w:val="single" w:color="auto"/>
          <w:color w:val="0000EE"/>
        </w:rPr>
      </w:pPr>
      <w:hyperlink w:anchor="page2">
        <w:r>
          <w:rPr>
            <w:rFonts w:ascii="Times New Roman" w:cs="Times New Roman" w:eastAsia="Times New Roman" w:hAnsi="Times New Roman"/>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51435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111760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3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1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38" w:lineRule="exact"/>
        <w:rPr>
          <w:sz w:val="24"/>
          <w:szCs w:val="24"/>
          <w:color w:val="auto"/>
        </w:rPr>
      </w:pPr>
    </w:p>
    <w:p>
      <w:pPr>
        <w:ind w:left="660" w:right="4040" w:hanging="652"/>
        <w:spacing w:after="0" w:line="486" w:lineRule="auto"/>
        <w:tabs>
          <w:tab w:leader="none" w:pos="6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2019</w:t>
      </w:r>
    </w:p>
    <w:p>
      <w:pPr>
        <w:spacing w:after="0" w:line="26" w:lineRule="exact"/>
        <w:rPr>
          <w:sz w:val="24"/>
          <w:szCs w:val="24"/>
          <w:color w:val="auto"/>
        </w:rPr>
      </w:pPr>
    </w:p>
    <w:p>
      <w:pPr>
        <w:ind w:left="4280" w:right="4020" w:hanging="4272"/>
        <w:spacing w:after="0" w:line="330" w:lineRule="auto"/>
        <w:tabs>
          <w:tab w:leader="none" w:pos="650" w:val="left"/>
        </w:tabs>
        <w:numPr>
          <w:ilvl w:val="0"/>
          <w:numId w:val="2"/>
        </w:numPr>
        <w:rPr>
          <w:rFonts w:ascii="MS PGothic" w:cs="MS PGothic" w:eastAsia="MS PGothic" w:hAnsi="MS PGothic"/>
          <w:sz w:val="17"/>
          <w:szCs w:val="17"/>
          <w:color w:val="auto"/>
        </w:rPr>
      </w:pPr>
      <w:r>
        <w:rPr>
          <w:rFonts w:ascii="Times New Roman" w:cs="Times New Roman" w:eastAsia="Times New Roman" w:hAnsi="Times New Roman"/>
          <w:sz w:val="17"/>
          <w:szCs w:val="17"/>
          <w:b w:val="1"/>
          <w:bCs w:val="1"/>
          <w:color w:val="auto"/>
        </w:rPr>
        <w:t>Transition report pursuant to Section 13 or 15(d) of the Securities Exchange Act of 1934 Commission File Number: 001-36002</w:t>
      </w:r>
    </w:p>
    <w:p>
      <w:pPr>
        <w:spacing w:after="0" w:line="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Clearway Energy, Inc.</w:t>
      </w:r>
    </w:p>
    <w:p>
      <w:pPr>
        <w:spacing w:after="0" w:line="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(Exact name of registrant as specified in its charter)</w:t>
      </w:r>
    </w:p>
    <w:p>
      <w:pPr>
        <w:spacing w:after="0" w:line="208" w:lineRule="exact"/>
        <w:rPr>
          <w:sz w:val="24"/>
          <w:szCs w:val="24"/>
          <w:color w:val="auto"/>
        </w:rPr>
      </w:pPr>
    </w:p>
    <w:tbl>
      <w:tblPr>
        <w:tblLayout w:type="fixed"/>
        <w:tblInd w:w="920" w:type="dxa"/>
        <w:tblCellMar>
          <w:top w:w="0" w:type="dxa"/>
          <w:left w:w="0" w:type="dxa"/>
          <w:bottom w:w="0" w:type="dxa"/>
          <w:right w:w="0" w:type="dxa"/>
        </w:tblCellMar>
      </w:tblPr>
      <w:tr>
        <w:trPr>
          <w:trHeight w:val="225"/>
        </w:trPr>
        <w:tc>
          <w:tcPr>
            <w:tcW w:w="5180" w:type="dxa"/>
            <w:vAlign w:val="bottom"/>
          </w:tcPr>
          <w:p>
            <w:pPr>
              <w:jc w:val="center"/>
              <w:ind w:right="1214"/>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3640" w:type="dxa"/>
            <w:vAlign w:val="bottom"/>
          </w:tcPr>
          <w:p>
            <w:pPr>
              <w:jc w:val="right"/>
              <w:ind w:right="654"/>
              <w:spacing w:after="0"/>
              <w:rPr>
                <w:sz w:val="20"/>
                <w:szCs w:val="20"/>
                <w:color w:val="auto"/>
              </w:rPr>
            </w:pPr>
            <w:r>
              <w:rPr>
                <w:rFonts w:ascii="Times New Roman" w:cs="Times New Roman" w:eastAsia="Times New Roman" w:hAnsi="Times New Roman"/>
                <w:sz w:val="18"/>
                <w:szCs w:val="18"/>
                <w:b w:val="1"/>
                <w:bCs w:val="1"/>
                <w:color w:val="auto"/>
              </w:rPr>
              <w:t>46-1777204</w:t>
            </w:r>
          </w:p>
        </w:tc>
      </w:tr>
      <w:tr>
        <w:trPr>
          <w:trHeight w:val="210"/>
        </w:trPr>
        <w:tc>
          <w:tcPr>
            <w:tcW w:w="5180" w:type="dxa"/>
            <w:vAlign w:val="bottom"/>
          </w:tcPr>
          <w:p>
            <w:pPr>
              <w:jc w:val="center"/>
              <w:ind w:right="1214"/>
              <w:spacing w:after="0"/>
              <w:rPr>
                <w:sz w:val="20"/>
                <w:szCs w:val="20"/>
                <w:color w:val="auto"/>
              </w:rPr>
            </w:pPr>
            <w:r>
              <w:rPr>
                <w:rFonts w:ascii="Times New Roman" w:cs="Times New Roman" w:eastAsia="Times New Roman" w:hAnsi="Times New Roman"/>
                <w:sz w:val="16"/>
                <w:szCs w:val="16"/>
                <w:color w:val="auto"/>
              </w:rPr>
              <w:t>(State or other jurisdiction of incorporation or organization)</w:t>
            </w:r>
          </w:p>
        </w:tc>
        <w:tc>
          <w:tcPr>
            <w:tcW w:w="3640" w:type="dxa"/>
            <w:vAlign w:val="bottom"/>
          </w:tcPr>
          <w:p>
            <w:pPr>
              <w:jc w:val="center"/>
              <w:ind w:left="1214"/>
              <w:spacing w:after="0"/>
              <w:rPr>
                <w:sz w:val="20"/>
                <w:szCs w:val="20"/>
                <w:color w:val="auto"/>
              </w:rPr>
            </w:pPr>
            <w:r>
              <w:rPr>
                <w:rFonts w:ascii="Times New Roman" w:cs="Times New Roman" w:eastAsia="Times New Roman" w:hAnsi="Times New Roman"/>
                <w:sz w:val="16"/>
                <w:szCs w:val="16"/>
                <w:color w:val="auto"/>
              </w:rPr>
              <w:t>(I.R.S. Employer Identification No.)</w:t>
            </w:r>
          </w:p>
        </w:tc>
      </w:tr>
      <w:tr>
        <w:trPr>
          <w:trHeight w:val="416"/>
        </w:trPr>
        <w:tc>
          <w:tcPr>
            <w:tcW w:w="5180" w:type="dxa"/>
            <w:vAlign w:val="bottom"/>
          </w:tcPr>
          <w:p>
            <w:pPr>
              <w:jc w:val="center"/>
              <w:ind w:right="1214"/>
              <w:spacing w:after="0"/>
              <w:rPr>
                <w:sz w:val="20"/>
                <w:szCs w:val="20"/>
                <w:color w:val="auto"/>
              </w:rPr>
            </w:pPr>
            <w:r>
              <w:rPr>
                <w:rFonts w:ascii="Times New Roman" w:cs="Times New Roman" w:eastAsia="Times New Roman" w:hAnsi="Times New Roman"/>
                <w:sz w:val="18"/>
                <w:szCs w:val="18"/>
                <w:b w:val="1"/>
                <w:bCs w:val="1"/>
                <w:color w:val="auto"/>
                <w:w w:val="98"/>
              </w:rPr>
              <w:t>300 Carnegie Center, Suite 300</w:t>
            </w:r>
          </w:p>
        </w:tc>
        <w:tc>
          <w:tcPr>
            <w:tcW w:w="3640" w:type="dxa"/>
            <w:vAlign w:val="bottom"/>
          </w:tcPr>
          <w:p>
            <w:pPr>
              <w:spacing w:after="0"/>
              <w:rPr>
                <w:sz w:val="24"/>
                <w:szCs w:val="24"/>
                <w:color w:val="auto"/>
              </w:rPr>
            </w:pPr>
          </w:p>
        </w:tc>
      </w:tr>
      <w:tr>
        <w:trPr>
          <w:trHeight w:val="225"/>
        </w:trPr>
        <w:tc>
          <w:tcPr>
            <w:tcW w:w="5180" w:type="dxa"/>
            <w:vAlign w:val="bottom"/>
          </w:tcPr>
          <w:p>
            <w:pPr>
              <w:jc w:val="center"/>
              <w:ind w:right="1214"/>
              <w:spacing w:after="0"/>
              <w:rPr>
                <w:sz w:val="20"/>
                <w:szCs w:val="20"/>
                <w:color w:val="auto"/>
              </w:rPr>
            </w:pPr>
            <w:r>
              <w:rPr>
                <w:rFonts w:ascii="Times New Roman" w:cs="Times New Roman" w:eastAsia="Times New Roman" w:hAnsi="Times New Roman"/>
                <w:sz w:val="18"/>
                <w:szCs w:val="18"/>
                <w:b w:val="1"/>
                <w:bCs w:val="1"/>
                <w:color w:val="auto"/>
              </w:rPr>
              <w:t>Princeton, New Jersey</w:t>
            </w:r>
          </w:p>
        </w:tc>
        <w:tc>
          <w:tcPr>
            <w:tcW w:w="3640" w:type="dxa"/>
            <w:vAlign w:val="bottom"/>
          </w:tcPr>
          <w:p>
            <w:pPr>
              <w:jc w:val="right"/>
              <w:ind w:right="854"/>
              <w:spacing w:after="0"/>
              <w:rPr>
                <w:sz w:val="20"/>
                <w:szCs w:val="20"/>
                <w:color w:val="auto"/>
              </w:rPr>
            </w:pPr>
            <w:r>
              <w:rPr>
                <w:rFonts w:ascii="Times New Roman" w:cs="Times New Roman" w:eastAsia="Times New Roman" w:hAnsi="Times New Roman"/>
                <w:sz w:val="18"/>
                <w:szCs w:val="18"/>
                <w:b w:val="1"/>
                <w:bCs w:val="1"/>
                <w:color w:val="auto"/>
              </w:rPr>
              <w:t>08540</w:t>
            </w:r>
          </w:p>
        </w:tc>
      </w:tr>
      <w:tr>
        <w:trPr>
          <w:trHeight w:val="210"/>
        </w:trPr>
        <w:tc>
          <w:tcPr>
            <w:tcW w:w="5180" w:type="dxa"/>
            <w:vAlign w:val="bottom"/>
          </w:tcPr>
          <w:p>
            <w:pPr>
              <w:jc w:val="center"/>
              <w:ind w:right="1194"/>
              <w:spacing w:after="0"/>
              <w:rPr>
                <w:sz w:val="20"/>
                <w:szCs w:val="20"/>
                <w:color w:val="auto"/>
              </w:rPr>
            </w:pPr>
            <w:r>
              <w:rPr>
                <w:rFonts w:ascii="Times New Roman" w:cs="Times New Roman" w:eastAsia="Times New Roman" w:hAnsi="Times New Roman"/>
                <w:sz w:val="16"/>
                <w:szCs w:val="16"/>
                <w:color w:val="auto"/>
              </w:rPr>
              <w:t>(Address of principal executive offices)</w:t>
            </w:r>
          </w:p>
        </w:tc>
        <w:tc>
          <w:tcPr>
            <w:tcW w:w="3640" w:type="dxa"/>
            <w:vAlign w:val="bottom"/>
          </w:tcPr>
          <w:p>
            <w:pPr>
              <w:jc w:val="center"/>
              <w:ind w:left="1214"/>
              <w:spacing w:after="0"/>
              <w:rPr>
                <w:sz w:val="20"/>
                <w:szCs w:val="20"/>
                <w:color w:val="auto"/>
              </w:rPr>
            </w:pPr>
            <w:r>
              <w:rPr>
                <w:rFonts w:ascii="Times New Roman" w:cs="Times New Roman" w:eastAsia="Times New Roman" w:hAnsi="Times New Roman"/>
                <w:sz w:val="16"/>
                <w:szCs w:val="16"/>
                <w:color w:val="auto"/>
                <w:w w:val="98"/>
              </w:rPr>
              <w:t>(Zip Code)</w:t>
            </w:r>
          </w:p>
        </w:tc>
      </w:tr>
    </w:tbl>
    <w:p>
      <w:pPr>
        <w:spacing w:after="0" w:line="200"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(609) 608-1525</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16" w:lineRule="exact"/>
        <w:rPr>
          <w:sz w:val="24"/>
          <w:szCs w:val="24"/>
          <w:color w:val="auto"/>
        </w:rPr>
      </w:pPr>
    </w:p>
    <w:tbl>
      <w:tblPr>
        <w:tblLayout w:type="fixed"/>
        <w:tblInd w:w="540" w:type="dxa"/>
        <w:tblCellMar>
          <w:top w:w="0" w:type="dxa"/>
          <w:left w:w="0" w:type="dxa"/>
          <w:bottom w:w="0" w:type="dxa"/>
          <w:right w:w="0" w:type="dxa"/>
        </w:tblCellMar>
      </w:tblPr>
      <w:tr>
        <w:trPr>
          <w:trHeight w:val="234"/>
        </w:trPr>
        <w:tc>
          <w:tcPr>
            <w:tcW w:w="3020" w:type="dxa"/>
            <w:vAlign w:val="bottom"/>
          </w:tcPr>
          <w:p>
            <w:pPr>
              <w:spacing w:after="0"/>
              <w:rPr>
                <w:sz w:val="20"/>
                <w:szCs w:val="20"/>
                <w:color w:val="auto"/>
              </w:rPr>
            </w:pPr>
          </w:p>
        </w:tc>
        <w:tc>
          <w:tcPr>
            <w:tcW w:w="7540" w:type="dxa"/>
            <w:vAlign w:val="bottom"/>
            <w:gridSpan w:val="2"/>
          </w:tcPr>
          <w:p>
            <w:pPr>
              <w:jc w:val="center"/>
              <w:ind w:right="3150"/>
              <w:spacing w:after="0"/>
              <w:rPr>
                <w:sz w:val="20"/>
                <w:szCs w:val="20"/>
                <w:color w:val="auto"/>
              </w:rPr>
            </w:pPr>
            <w:r>
              <w:rPr>
                <w:rFonts w:ascii="Times New Roman" w:cs="Times New Roman" w:eastAsia="Times New Roman" w:hAnsi="Times New Roman"/>
                <w:sz w:val="18"/>
                <w:szCs w:val="18"/>
                <w:color w:val="auto"/>
                <w:w w:val="99"/>
              </w:rPr>
              <w:t>Securities registered pursuant to Section 12(b) of the Act:</w:t>
            </w:r>
          </w:p>
        </w:tc>
      </w:tr>
      <w:tr>
        <w:trPr>
          <w:trHeight w:val="414"/>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540" w:type="dxa"/>
            <w:vAlign w:val="bottom"/>
          </w:tcPr>
          <w:p>
            <w:pPr>
              <w:jc w:val="center"/>
              <w:ind w:left="690"/>
              <w:spacing w:after="0"/>
              <w:rPr>
                <w:sz w:val="20"/>
                <w:szCs w:val="20"/>
                <w:color w:val="auto"/>
              </w:rPr>
            </w:pPr>
            <w:r>
              <w:rPr>
                <w:rFonts w:ascii="Times New Roman" w:cs="Times New Roman" w:eastAsia="Times New Roman" w:hAnsi="Times New Roman"/>
                <w:sz w:val="18"/>
                <w:szCs w:val="18"/>
                <w:b w:val="1"/>
                <w:bCs w:val="1"/>
                <w:color w:val="auto"/>
                <w:w w:val="99"/>
              </w:rPr>
              <w:t>Trading Symbol(s)</w:t>
            </w:r>
          </w:p>
        </w:tc>
        <w:tc>
          <w:tcPr>
            <w:tcW w:w="4000" w:type="dxa"/>
            <w:vAlign w:val="bottom"/>
          </w:tcPr>
          <w:p>
            <w:pPr>
              <w:jc w:val="center"/>
              <w:ind w:left="570"/>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16"/>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Class A Common Stock, par value $0.01</w:t>
            </w:r>
          </w:p>
        </w:tc>
        <w:tc>
          <w:tcPr>
            <w:tcW w:w="35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CWEN.A</w:t>
            </w:r>
          </w:p>
        </w:tc>
        <w:tc>
          <w:tcPr>
            <w:tcW w:w="40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New York Stock Exchange</w:t>
            </w:r>
          </w:p>
        </w:tc>
      </w:tr>
      <w:tr>
        <w:trPr>
          <w:trHeight w:val="234"/>
        </w:trPr>
        <w:tc>
          <w:tcPr>
            <w:tcW w:w="30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Class C Common Stock, par value $0.01</w:t>
            </w:r>
          </w:p>
        </w:tc>
        <w:tc>
          <w:tcPr>
            <w:tcW w:w="354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w w:val="98"/>
              </w:rPr>
              <w:t>CWEN</w:t>
            </w:r>
          </w:p>
        </w:tc>
        <w:tc>
          <w:tcPr>
            <w:tcW w:w="4000" w:type="dxa"/>
            <w:vAlign w:val="bottom"/>
          </w:tcPr>
          <w:p>
            <w:pPr>
              <w:jc w:val="center"/>
              <w:ind w:left="570"/>
              <w:spacing w:after="0"/>
              <w:rPr>
                <w:sz w:val="20"/>
                <w:szCs w:val="20"/>
                <w:color w:val="auto"/>
              </w:rPr>
            </w:pPr>
            <w:r>
              <w:rPr>
                <w:rFonts w:ascii="Times New Roman" w:cs="Times New Roman" w:eastAsia="Times New Roman" w:hAnsi="Times New Roman"/>
                <w:sz w:val="18"/>
                <w:szCs w:val="18"/>
                <w:color w:val="auto"/>
                <w:w w:val="98"/>
              </w:rPr>
              <w:t>New York Stock Exchange</w:t>
            </w:r>
          </w:p>
        </w:tc>
      </w:tr>
    </w:tbl>
    <w:p>
      <w:pPr>
        <w:spacing w:after="0" w:line="198" w:lineRule="exact"/>
        <w:rPr>
          <w:sz w:val="24"/>
          <w:szCs w:val="24"/>
          <w:color w:val="auto"/>
        </w:rPr>
      </w:pPr>
    </w:p>
    <w:p>
      <w:pPr>
        <w:jc w:val="both"/>
        <w:ind w:firstLine="270"/>
        <w:spacing w:after="0" w:line="265"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 w:lineRule="exact"/>
        <w:rPr>
          <w:sz w:val="24"/>
          <w:szCs w:val="24"/>
          <w:color w:val="auto"/>
        </w:rPr>
      </w:pPr>
    </w:p>
    <w:p>
      <w:pPr>
        <w:jc w:val="center"/>
        <w:spacing w:after="0" w:line="207" w:lineRule="exact"/>
        <w:tabs>
          <w:tab w:leader="none" w:pos="30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105" w:lineRule="exact"/>
        <w:rPr>
          <w:sz w:val="24"/>
          <w:szCs w:val="24"/>
          <w:color w:val="auto"/>
        </w:rPr>
      </w:pPr>
    </w:p>
    <w:p>
      <w:pPr>
        <w:jc w:val="both"/>
        <w:ind w:firstLine="270"/>
        <w:spacing w:after="0" w:line="273" w:lineRule="auto"/>
        <w:rPr>
          <w:sz w:val="20"/>
          <w:szCs w:val="20"/>
          <w:color w:val="auto"/>
        </w:rPr>
      </w:pPr>
      <w:r>
        <w:rPr>
          <w:rFonts w:ascii="Times New Roman" w:cs="Times New Roman" w:eastAsia="Times New Roman" w:hAnsi="Times New Roman"/>
          <w:sz w:val="18"/>
          <w:szCs w:val="18"/>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jc w:val="center"/>
        <w:ind w:right="-19"/>
        <w:spacing w:after="0" w:line="207" w:lineRule="exact"/>
        <w:tabs>
          <w:tab w:leader="none" w:pos="24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b w:val="1"/>
          <w:bCs w:val="1"/>
          <w:color w:val="auto"/>
        </w:rPr>
        <w:t xml:space="preserve">No </w:t>
      </w:r>
      <w:r>
        <w:rPr>
          <w:rFonts w:ascii="MS PGothic" w:cs="MS PGothic" w:eastAsia="MS PGothic" w:hAnsi="MS PGothic"/>
          <w:sz w:val="17"/>
          <w:szCs w:val="17"/>
          <w:color w:val="auto"/>
        </w:rPr>
        <w:t>☐</w:t>
      </w:r>
    </w:p>
    <w:p>
      <w:pPr>
        <w:spacing w:after="0" w:line="105" w:lineRule="exact"/>
        <w:rPr>
          <w:sz w:val="24"/>
          <w:szCs w:val="24"/>
          <w:color w:val="auto"/>
        </w:rPr>
      </w:pPr>
    </w:p>
    <w:p>
      <w:pPr>
        <w:jc w:val="both"/>
        <w:ind w:firstLine="27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74" w:lineRule="exact"/>
        <w:rPr>
          <w:sz w:val="24"/>
          <w:szCs w:val="24"/>
          <w:color w:val="auto"/>
        </w:rPr>
      </w:pPr>
    </w:p>
    <w:tbl>
      <w:tblPr>
        <w:tblLayout w:type="fixed"/>
        <w:tblInd w:w="1760" w:type="dxa"/>
        <w:tblCellMar>
          <w:top w:w="0" w:type="dxa"/>
          <w:left w:w="0" w:type="dxa"/>
          <w:bottom w:w="0" w:type="dxa"/>
          <w:right w:w="0" w:type="dxa"/>
        </w:tblCellMar>
      </w:tblPr>
      <w:tr>
        <w:trPr>
          <w:trHeight w:val="27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Large accelerated filer</w:t>
            </w:r>
          </w:p>
        </w:tc>
        <w:tc>
          <w:tcPr>
            <w:tcW w:w="18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Accelerated filer</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70"/>
        </w:trPr>
        <w:tc>
          <w:tcPr>
            <w:tcW w:w="2220" w:type="dxa"/>
            <w:vAlign w:val="bottom"/>
          </w:tcPr>
          <w:p>
            <w:pPr>
              <w:spacing w:after="0"/>
              <w:rPr>
                <w:sz w:val="20"/>
                <w:szCs w:val="20"/>
                <w:color w:val="auto"/>
              </w:rPr>
            </w:pPr>
            <w:r>
              <w:rPr>
                <w:rFonts w:ascii="Times New Roman" w:cs="Times New Roman" w:eastAsia="Times New Roman" w:hAnsi="Times New Roman"/>
                <w:sz w:val="18"/>
                <w:szCs w:val="18"/>
                <w:color w:val="auto"/>
              </w:rPr>
              <w:t>Non-accelerated filer</w:t>
            </w:r>
          </w:p>
        </w:tc>
        <w:tc>
          <w:tcPr>
            <w:tcW w:w="1860" w:type="dxa"/>
            <w:vAlign w:val="bottom"/>
          </w:tcPr>
          <w:p>
            <w:pPr>
              <w:ind w:left="640"/>
              <w:spacing w:after="0" w:line="181" w:lineRule="exact"/>
              <w:rPr>
                <w:sz w:val="20"/>
                <w:szCs w:val="20"/>
                <w:color w:val="auto"/>
              </w:rPr>
            </w:pPr>
            <w:r>
              <w:rPr>
                <w:rFonts w:ascii="MS PGothic" w:cs="MS PGothic" w:eastAsia="MS PGothic" w:hAnsi="MS PGothic"/>
                <w:sz w:val="18"/>
                <w:szCs w:val="18"/>
                <w:color w:val="auto"/>
              </w:rPr>
              <w:t>☐</w:t>
            </w: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Smaller reporting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2220" w:type="dxa"/>
            <w:vAlign w:val="bottom"/>
          </w:tcPr>
          <w:p>
            <w:pPr>
              <w:spacing w:after="0"/>
              <w:rPr>
                <w:sz w:val="24"/>
                <w:szCs w:val="24"/>
                <w:color w:val="auto"/>
              </w:rPr>
            </w:pPr>
          </w:p>
        </w:tc>
        <w:tc>
          <w:tcPr>
            <w:tcW w:w="1860" w:type="dxa"/>
            <w:vAlign w:val="bottom"/>
          </w:tcPr>
          <w:p>
            <w:pPr>
              <w:spacing w:after="0"/>
              <w:rPr>
                <w:sz w:val="24"/>
                <w:szCs w:val="24"/>
                <w:color w:val="auto"/>
              </w:rPr>
            </w:pPr>
          </w:p>
        </w:tc>
        <w:tc>
          <w:tcPr>
            <w:tcW w:w="3460" w:type="dxa"/>
            <w:vAlign w:val="bottom"/>
          </w:tcPr>
          <w:p>
            <w:pPr>
              <w:ind w:left="1060"/>
              <w:spacing w:after="0"/>
              <w:rPr>
                <w:sz w:val="20"/>
                <w:szCs w:val="20"/>
                <w:color w:val="auto"/>
              </w:rPr>
            </w:pPr>
            <w:r>
              <w:rPr>
                <w:rFonts w:ascii="Times New Roman" w:cs="Times New Roman" w:eastAsia="Times New Roman" w:hAnsi="Times New Roman"/>
                <w:sz w:val="18"/>
                <w:szCs w:val="18"/>
                <w:color w:val="auto"/>
              </w:rPr>
              <w:t>Emerging growth company</w:t>
            </w:r>
          </w:p>
        </w:tc>
        <w:tc>
          <w:tcPr>
            <w:tcW w:w="600" w:type="dxa"/>
            <w:vAlign w:val="bottom"/>
          </w:tcPr>
          <w:p>
            <w:pPr>
              <w:ind w:left="44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272" w:lineRule="exact"/>
        <w:rPr>
          <w:sz w:val="24"/>
          <w:szCs w:val="24"/>
          <w:color w:val="auto"/>
        </w:rPr>
      </w:pPr>
    </w:p>
    <w:p>
      <w:pPr>
        <w:ind w:left="340"/>
        <w:spacing w:after="0"/>
        <w:rPr>
          <w:sz w:val="20"/>
          <w:szCs w:val="20"/>
          <w:color w:val="auto"/>
        </w:rPr>
      </w:pPr>
      <w:r>
        <w:rPr>
          <w:rFonts w:ascii="Times New Roman" w:cs="Times New Roman" w:eastAsia="Times New Roman" w:hAnsi="Times New Roman"/>
          <w:sz w:val="17"/>
          <w:szCs w:val="17"/>
          <w:color w:val="auto"/>
        </w:rPr>
        <w:t>If an emerging growth company, indicate by check mark if the registrant has elected not to use the extended transition period for complying with any new</w:t>
      </w:r>
    </w:p>
    <w:p>
      <w:pPr>
        <w:spacing w:after="0" w:line="127"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or revised financial accounting standards provided pursuant to Section 13(a) of the Exchange Act. </w:t>
      </w:r>
      <w:r>
        <w:rPr>
          <w:rFonts w:ascii="MS PGothic" w:cs="MS PGothic" w:eastAsia="MS PGothic" w:hAnsi="MS PGothic"/>
          <w:sz w:val="18"/>
          <w:szCs w:val="18"/>
          <w:color w:val="auto"/>
        </w:rPr>
        <w:t>☐</w:t>
      </w:r>
    </w:p>
    <w:p>
      <w:pPr>
        <w:spacing w:after="0" w:line="173" w:lineRule="exact"/>
        <w:rPr>
          <w:sz w:val="24"/>
          <w:szCs w:val="24"/>
          <w:color w:val="auto"/>
        </w:rPr>
      </w:pPr>
    </w:p>
    <w:p>
      <w:pPr>
        <w:ind w:left="280"/>
        <w:spacing w:after="0"/>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r>
    </w:p>
    <w:p>
      <w:pPr>
        <w:spacing w:after="0" w:line="115" w:lineRule="exact"/>
        <w:rPr>
          <w:sz w:val="24"/>
          <w:szCs w:val="24"/>
          <w:color w:val="auto"/>
        </w:rPr>
      </w:pPr>
    </w:p>
    <w:p>
      <w:pPr>
        <w:ind w:left="5100"/>
        <w:spacing w:after="0" w:line="207" w:lineRule="exact"/>
        <w:tabs>
          <w:tab w:leader="none" w:pos="5880" w:val="left"/>
        </w:tabs>
        <w:rPr>
          <w:sz w:val="20"/>
          <w:szCs w:val="20"/>
          <w:color w:val="auto"/>
        </w:rPr>
      </w:pPr>
      <w:r>
        <w:rPr>
          <w:rFonts w:ascii="Times New Roman" w:cs="Times New Roman" w:eastAsia="Times New Roman" w:hAnsi="Times New Roman"/>
          <w:sz w:val="18"/>
          <w:szCs w:val="18"/>
          <w:b w:val="1"/>
          <w:bCs w:val="1"/>
          <w:color w:val="auto"/>
        </w:rPr>
        <w:t xml:space="preserve">Yes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6"/>
          <w:szCs w:val="16"/>
          <w:b w:val="1"/>
          <w:bCs w:val="1"/>
          <w:color w:val="auto"/>
        </w:rPr>
        <w:t xml:space="preserve">No </w:t>
      </w:r>
      <w:r>
        <w:rPr>
          <w:rFonts w:ascii="MS PGothic" w:cs="MS PGothic" w:eastAsia="MS PGothic" w:hAnsi="MS PGothic"/>
          <w:sz w:val="16"/>
          <w:szCs w:val="16"/>
          <w:color w:val="auto"/>
        </w:rPr>
        <w:t>☒</w:t>
      </w:r>
    </w:p>
    <w:p>
      <w:pPr>
        <w:spacing w:after="0" w:line="92" w:lineRule="exact"/>
        <w:rPr>
          <w:sz w:val="24"/>
          <w:szCs w:val="24"/>
          <w:color w:val="auto"/>
        </w:rPr>
      </w:pPr>
    </w:p>
    <w:p>
      <w:pPr>
        <w:jc w:val="both"/>
        <w:ind w:firstLine="270"/>
        <w:spacing w:after="0" w:line="226" w:lineRule="auto"/>
        <w:rPr>
          <w:sz w:val="20"/>
          <w:szCs w:val="20"/>
          <w:color w:val="auto"/>
        </w:rPr>
      </w:pPr>
      <w:r>
        <w:rPr>
          <w:rFonts w:ascii="Times New Roman" w:cs="Times New Roman" w:eastAsia="Times New Roman" w:hAnsi="Times New Roman"/>
          <w:sz w:val="18"/>
          <w:szCs w:val="18"/>
          <w:color w:val="auto"/>
        </w:rPr>
        <w:t>As of October 31, 2019, there were 34,599,645 shares of Class A common stock outstanding, par value $0.01 per share, 42,738,750 shares of Class B common stock outstanding, par value $0.01 per share, 73,336,990 shares of Class C common stock outstanding, par value $0.01 per share, and 42,738,750 shares of Class D common stock outstanding,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197485</wp:posOffset>
            </wp:positionV>
            <wp:extent cx="7246620" cy="260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pacing w:after="0" w:line="36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688" w:right="239" w:bottom="1440" w:gutter="0" w:footer="0" w:header="0"/>
        </w:sectPr>
      </w:pPr>
    </w:p>
    <w:bookmarkStart w:id="1" w:name="page2"/>
    <w:bookmarkEnd w:id="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Index</w:t>
      </w: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580" w:type="dxa"/>
            <w:vAlign w:val="bottom"/>
            <w:gridSpan w:val="18"/>
          </w:tcPr>
          <w:p>
            <w:pPr>
              <w:spacing w:after="0"/>
              <w:rPr>
                <w:rFonts w:ascii="Times New Roman" w:cs="Times New Roman" w:eastAsia="Times New Roman" w:hAnsi="Times New Roman"/>
                <w:sz w:val="18"/>
                <w:szCs w:val="18"/>
                <w:b w:val="1"/>
                <w:bCs w:val="1"/>
                <w:color w:val="0000EE"/>
              </w:rPr>
            </w:pPr>
            <w:hyperlink w:anchor="page2">
              <w:r>
                <w:rPr>
                  <w:rFonts w:ascii="Times New Roman" w:cs="Times New Roman" w:eastAsia="Times New Roman" w:hAnsi="Times New Roman"/>
                  <w:sz w:val="18"/>
                  <w:szCs w:val="18"/>
                  <w:b w:val="1"/>
                  <w:bCs w:val="1"/>
                  <w:color w:val="0000EE"/>
                </w:rPr>
                <w:t>CAUTIONARY STATEMENT REGARDING FORWARD LOOKING INFORMATION</w:t>
              </w:r>
            </w:hyperlink>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196"/>
        </w:trPr>
        <w:tc>
          <w:tcPr>
            <w:tcW w:w="198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b w:val="1"/>
                <w:bCs w:val="1"/>
                <w:color w:val="0000EE"/>
                <w:w w:val="99"/>
              </w:rPr>
            </w:pPr>
            <w:hyperlink w:anchor="page3">
              <w:r>
                <w:rPr>
                  <w:rFonts w:ascii="Times New Roman" w:cs="Times New Roman" w:eastAsia="Times New Roman" w:hAnsi="Times New Roman"/>
                  <w:sz w:val="18"/>
                  <w:szCs w:val="18"/>
                  <w:b w:val="1"/>
                  <w:bCs w:val="1"/>
                  <w:color w:val="0000EE"/>
                  <w:w w:val="99"/>
                </w:rPr>
                <w:t>GLOSSARY OF TERMS</w:t>
              </w:r>
            </w:hyperlink>
          </w:p>
        </w:tc>
        <w:tc>
          <w:tcPr>
            <w:tcW w:w="4840" w:type="dxa"/>
            <w:vAlign w:val="bottom"/>
            <w:tcBorders>
              <w:top w:val="single" w:sz="8" w:color="0000EE"/>
            </w:tcBorders>
            <w:gridSpan w:val="9"/>
          </w:tcPr>
          <w:p>
            <w:pPr>
              <w:spacing w:after="0"/>
              <w:rPr>
                <w:sz w:val="17"/>
                <w:szCs w:val="17"/>
                <w:color w:val="auto"/>
              </w:rPr>
            </w:pPr>
          </w:p>
        </w:tc>
        <w:tc>
          <w:tcPr>
            <w:tcW w:w="3760" w:type="dxa"/>
            <w:vAlign w:val="bottom"/>
            <w:gridSpan w:val="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32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b w:val="1"/>
                <w:bCs w:val="1"/>
                <w:color w:val="0000EE"/>
                <w:w w:val="98"/>
              </w:rPr>
            </w:pPr>
            <w:hyperlink w:anchor="page5">
              <w:r>
                <w:rPr>
                  <w:rFonts w:ascii="Times New Roman" w:cs="Times New Roman" w:eastAsia="Times New Roman" w:hAnsi="Times New Roman"/>
                  <w:sz w:val="18"/>
                  <w:szCs w:val="18"/>
                  <w:b w:val="1"/>
                  <w:bCs w:val="1"/>
                  <w:color w:val="0000EE"/>
                  <w:w w:val="98"/>
                </w:rPr>
                <w:t>PART I — FINANCIAL INFORMATION</w:t>
              </w:r>
            </w:hyperlink>
          </w:p>
        </w:tc>
        <w:tc>
          <w:tcPr>
            <w:tcW w:w="7320" w:type="dxa"/>
            <w:vAlign w:val="bottom"/>
            <w:gridSpan w:val="8"/>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80" w:type="dxa"/>
            <w:vAlign w:val="bottom"/>
          </w:tcPr>
          <w:p>
            <w:pPr>
              <w:spacing w:after="0"/>
              <w:rPr>
                <w:sz w:val="17"/>
                <w:szCs w:val="17"/>
                <w:color w:val="auto"/>
              </w:rPr>
            </w:pPr>
          </w:p>
        </w:tc>
        <w:tc>
          <w:tcPr>
            <w:tcW w:w="10400" w:type="dxa"/>
            <w:vAlign w:val="bottom"/>
            <w:gridSpan w:val="17"/>
          </w:tcPr>
          <w:p>
            <w:pPr>
              <w:spacing w:after="0" w:line="196" w:lineRule="exact"/>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ITEM 1 — FINANCIAL STATEMENTS AND NOTES</w:t>
              </w:r>
            </w:hyperlink>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20"/>
        </w:trPr>
        <w:tc>
          <w:tcPr>
            <w:tcW w:w="180" w:type="dxa"/>
            <w:vAlign w:val="bottom"/>
          </w:tcPr>
          <w:p>
            <w:pPr>
              <w:spacing w:after="0" w:line="20" w:lineRule="exact"/>
              <w:rPr>
                <w:sz w:val="1"/>
                <w:szCs w:val="1"/>
                <w:color w:val="auto"/>
              </w:rPr>
            </w:pPr>
          </w:p>
        </w:tc>
        <w:tc>
          <w:tcPr>
            <w:tcW w:w="980" w:type="dxa"/>
            <w:vAlign w:val="bottom"/>
            <w:gridSpan w:val="2"/>
            <w:shd w:val="clear" w:color="auto" w:fill="0000EE"/>
          </w:tcPr>
          <w:p>
            <w:pPr>
              <w:spacing w:after="0" w:line="20" w:lineRule="exact"/>
              <w:rPr>
                <w:sz w:val="1"/>
                <w:szCs w:val="1"/>
                <w:color w:val="auto"/>
              </w:rPr>
            </w:pPr>
          </w:p>
        </w:tc>
        <w:tc>
          <w:tcPr>
            <w:tcW w:w="680" w:type="dxa"/>
            <w:vAlign w:val="bottom"/>
            <w:shd w:val="clear" w:color="auto" w:fill="0000EE"/>
          </w:tcPr>
          <w:p>
            <w:pPr>
              <w:spacing w:after="0" w:line="20" w:lineRule="exact"/>
              <w:rPr>
                <w:sz w:val="1"/>
                <w:szCs w:val="1"/>
                <w:color w:val="auto"/>
              </w:rPr>
            </w:pPr>
          </w:p>
        </w:tc>
        <w:tc>
          <w:tcPr>
            <w:tcW w:w="560" w:type="dxa"/>
            <w:vAlign w:val="bottom"/>
            <w:gridSpan w:val="2"/>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tcBorders>
              <w:right w:val="single" w:sz="8" w:color="0000EE"/>
            </w:tcBorders>
            <w:shd w:val="clear" w:color="auto" w:fill="0000EE"/>
          </w:tcPr>
          <w:p>
            <w:pPr>
              <w:spacing w:after="0" w:line="20" w:lineRule="exact"/>
              <w:rPr>
                <w:sz w:val="1"/>
                <w:szCs w:val="1"/>
                <w:color w:val="auto"/>
              </w:rPr>
            </w:pPr>
          </w:p>
        </w:tc>
        <w:tc>
          <w:tcPr>
            <w:tcW w:w="28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7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r>
      <w:tr>
        <w:trPr>
          <w:trHeight w:val="196"/>
        </w:trPr>
        <w:tc>
          <w:tcPr>
            <w:tcW w:w="180" w:type="dxa"/>
            <w:vAlign w:val="bottom"/>
          </w:tcPr>
          <w:p>
            <w:pPr>
              <w:spacing w:after="0"/>
              <w:rPr>
                <w:sz w:val="17"/>
                <w:szCs w:val="17"/>
                <w:color w:val="auto"/>
              </w:rPr>
            </w:pPr>
          </w:p>
        </w:tc>
        <w:tc>
          <w:tcPr>
            <w:tcW w:w="97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39">
              <w:r>
                <w:rPr>
                  <w:rFonts w:ascii="Times New Roman" w:cs="Times New Roman" w:eastAsia="Times New Roman" w:hAnsi="Times New Roman"/>
                  <w:sz w:val="18"/>
                  <w:szCs w:val="18"/>
                  <w:color w:val="0000EE"/>
                  <w:w w:val="99"/>
                </w:rPr>
                <w:t>ITEM 2 — MANAGEMENT’S DISCUSSION AND ANALYSIS OF FINANCIAL CONDITION AND RESULTS OF OPERATIONS</w:t>
              </w:r>
            </w:hyperlink>
          </w:p>
        </w:tc>
        <w:tc>
          <w:tcPr>
            <w:tcW w:w="640" w:type="dxa"/>
            <w:vAlign w:val="bottom"/>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45</w:t>
            </w:r>
          </w:p>
        </w:tc>
      </w:tr>
      <w:tr>
        <w:trPr>
          <w:trHeight w:val="196"/>
        </w:trPr>
        <w:tc>
          <w:tcPr>
            <w:tcW w:w="180" w:type="dxa"/>
            <w:vAlign w:val="bottom"/>
          </w:tcPr>
          <w:p>
            <w:pPr>
              <w:spacing w:after="0"/>
              <w:rPr>
                <w:sz w:val="17"/>
                <w:szCs w:val="17"/>
                <w:color w:val="auto"/>
              </w:rPr>
            </w:pPr>
          </w:p>
        </w:tc>
        <w:tc>
          <w:tcPr>
            <w:tcW w:w="69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w w:val="98"/>
              </w:rPr>
            </w:pPr>
            <w:hyperlink w:anchor="page51">
              <w:r>
                <w:rPr>
                  <w:rFonts w:ascii="Times New Roman" w:cs="Times New Roman" w:eastAsia="Times New Roman" w:hAnsi="Times New Roman"/>
                  <w:sz w:val="18"/>
                  <w:szCs w:val="18"/>
                  <w:color w:val="0000EE"/>
                  <w:w w:val="98"/>
                </w:rPr>
                <w:t>ITEM 3 — QUANTITATIVE AND QUALITATIVE DISCLOSURES ABOUT MARKET RISK</w:t>
              </w:r>
            </w:hyperlink>
          </w:p>
        </w:tc>
        <w:tc>
          <w:tcPr>
            <w:tcW w:w="3420" w:type="dxa"/>
            <w:vAlign w:val="bottom"/>
            <w:gridSpan w:val="2"/>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62</w:t>
            </w:r>
          </w:p>
        </w:tc>
      </w:tr>
      <w:tr>
        <w:trPr>
          <w:trHeight w:val="196"/>
        </w:trPr>
        <w:tc>
          <w:tcPr>
            <w:tcW w:w="180" w:type="dxa"/>
            <w:vAlign w:val="bottom"/>
          </w:tcPr>
          <w:p>
            <w:pPr>
              <w:spacing w:after="0"/>
              <w:rPr>
                <w:sz w:val="17"/>
                <w:szCs w:val="17"/>
                <w:color w:val="auto"/>
              </w:rPr>
            </w:pPr>
          </w:p>
        </w:tc>
        <w:tc>
          <w:tcPr>
            <w:tcW w:w="3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51">
              <w:r>
                <w:rPr>
                  <w:rFonts w:ascii="Times New Roman" w:cs="Times New Roman" w:eastAsia="Times New Roman" w:hAnsi="Times New Roman"/>
                  <w:sz w:val="18"/>
                  <w:szCs w:val="18"/>
                  <w:color w:val="0000EE"/>
                  <w:w w:val="99"/>
                </w:rPr>
                <w:t>ITEM 4 — CONTROLS AND PROCEDURES</w:t>
              </w:r>
            </w:hyperlink>
          </w:p>
        </w:tc>
        <w:tc>
          <w:tcPr>
            <w:tcW w:w="6960" w:type="dxa"/>
            <w:vAlign w:val="bottom"/>
            <w:gridSpan w:val="6"/>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63</w:t>
            </w:r>
          </w:p>
        </w:tc>
      </w:tr>
      <w:tr>
        <w:trPr>
          <w:trHeight w:val="196"/>
        </w:trPr>
        <w:tc>
          <w:tcPr>
            <w:tcW w:w="296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b w:val="1"/>
                <w:bCs w:val="1"/>
                <w:color w:val="0000EE"/>
                <w:w w:val="98"/>
              </w:rPr>
            </w:pPr>
            <w:hyperlink w:anchor="page52">
              <w:r>
                <w:rPr>
                  <w:rFonts w:ascii="Times New Roman" w:cs="Times New Roman" w:eastAsia="Times New Roman" w:hAnsi="Times New Roman"/>
                  <w:sz w:val="18"/>
                  <w:szCs w:val="18"/>
                  <w:b w:val="1"/>
                  <w:bCs w:val="1"/>
                  <w:color w:val="0000EE"/>
                  <w:w w:val="98"/>
                </w:rPr>
                <w:t>PART II — OTHER INFORMATION</w:t>
              </w:r>
            </w:hyperlink>
          </w:p>
        </w:tc>
        <w:tc>
          <w:tcPr>
            <w:tcW w:w="7620" w:type="dxa"/>
            <w:vAlign w:val="bottom"/>
            <w:gridSpan w:val="9"/>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80" w:type="dxa"/>
            <w:vAlign w:val="bottom"/>
          </w:tcPr>
          <w:p>
            <w:pPr>
              <w:spacing w:after="0"/>
              <w:rPr>
                <w:sz w:val="17"/>
                <w:szCs w:val="17"/>
                <w:color w:val="auto"/>
              </w:rPr>
            </w:pPr>
          </w:p>
        </w:tc>
        <w:tc>
          <w:tcPr>
            <w:tcW w:w="10400" w:type="dxa"/>
            <w:vAlign w:val="bottom"/>
            <w:gridSpan w:val="17"/>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ITEM 1 — LEGAL PROCEEDINGS</w:t>
              </w:r>
            </w:hyperlink>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80" w:type="dxa"/>
            <w:vAlign w:val="bottom"/>
          </w:tcPr>
          <w:p>
            <w:pPr>
              <w:spacing w:after="0"/>
              <w:rPr>
                <w:sz w:val="17"/>
                <w:szCs w:val="17"/>
                <w:color w:val="auto"/>
              </w:rPr>
            </w:pPr>
          </w:p>
        </w:tc>
        <w:tc>
          <w:tcPr>
            <w:tcW w:w="2220" w:type="dxa"/>
            <w:vAlign w:val="bottom"/>
            <w:tcBorders>
              <w:top w:val="single" w:sz="8" w:color="0000EE"/>
              <w:bottom w:val="single" w:sz="8" w:color="0000EE"/>
            </w:tcBorders>
            <w:gridSpan w:val="5"/>
          </w:tcPr>
          <w:p>
            <w:pPr>
              <w:spacing w:after="0" w:line="196" w:lineRule="exact"/>
              <w:rPr>
                <w:rFonts w:ascii="Times New Roman" w:cs="Times New Roman" w:eastAsia="Times New Roman" w:hAnsi="Times New Roman"/>
                <w:sz w:val="18"/>
                <w:szCs w:val="18"/>
                <w:color w:val="0000EE"/>
                <w:w w:val="98"/>
              </w:rPr>
            </w:pPr>
            <w:hyperlink w:anchor="page52">
              <w:r>
                <w:rPr>
                  <w:rFonts w:ascii="Times New Roman" w:cs="Times New Roman" w:eastAsia="Times New Roman" w:hAnsi="Times New Roman"/>
                  <w:sz w:val="18"/>
                  <w:szCs w:val="18"/>
                  <w:color w:val="0000EE"/>
                  <w:w w:val="98"/>
                </w:rPr>
                <w:t>ITEM 1A — RISK FACTORS</w:t>
              </w:r>
            </w:hyperlink>
          </w:p>
        </w:tc>
        <w:tc>
          <w:tcPr>
            <w:tcW w:w="480" w:type="dxa"/>
            <w:vAlign w:val="bottom"/>
            <w:tcBorders>
              <w:top w:val="single" w:sz="8" w:color="0000EE"/>
            </w:tcBorders>
          </w:tcPr>
          <w:p>
            <w:pPr>
              <w:spacing w:after="0"/>
              <w:rPr>
                <w:sz w:val="17"/>
                <w:szCs w:val="17"/>
                <w:color w:val="auto"/>
              </w:rPr>
            </w:pPr>
          </w:p>
        </w:tc>
        <w:tc>
          <w:tcPr>
            <w:tcW w:w="7700" w:type="dxa"/>
            <w:vAlign w:val="bottom"/>
            <w:gridSpan w:val="11"/>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80" w:type="dxa"/>
            <w:vAlign w:val="bottom"/>
          </w:tcPr>
          <w:p>
            <w:pPr>
              <w:spacing w:after="0"/>
              <w:rPr>
                <w:sz w:val="17"/>
                <w:szCs w:val="17"/>
                <w:color w:val="auto"/>
              </w:rPr>
            </w:pPr>
          </w:p>
        </w:tc>
        <w:tc>
          <w:tcPr>
            <w:tcW w:w="10400" w:type="dxa"/>
            <w:vAlign w:val="bottom"/>
            <w:gridSpan w:val="17"/>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ITEM 2 — UNREGISTERED SALES OF EQUITY SECURITIES AND USE OF PROCEEDS</w:t>
              </w:r>
            </w:hyperlink>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80" w:type="dxa"/>
            <w:vAlign w:val="bottom"/>
          </w:tcPr>
          <w:p>
            <w:pPr>
              <w:spacing w:after="0"/>
              <w:rPr>
                <w:sz w:val="17"/>
                <w:szCs w:val="17"/>
                <w:color w:val="auto"/>
              </w:rPr>
            </w:pPr>
          </w:p>
        </w:tc>
        <w:tc>
          <w:tcPr>
            <w:tcW w:w="580" w:type="dxa"/>
            <w:vAlign w:val="bottom"/>
            <w:tcBorders>
              <w:top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ITEM 3</w:t>
              </w:r>
            </w:hyperlink>
          </w:p>
        </w:tc>
        <w:tc>
          <w:tcPr>
            <w:tcW w:w="6320" w:type="dxa"/>
            <w:vAlign w:val="bottom"/>
            <w:tcBorders>
              <w:top w:val="single" w:sz="8" w:color="0000EE"/>
            </w:tcBorders>
            <w:gridSpan w:val="13"/>
          </w:tcPr>
          <w:p>
            <w:pPr>
              <w:ind w:left="40"/>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 DEFAULTS UPON SENIOR SECURITIES</w:t>
              </w:r>
            </w:hyperlink>
          </w:p>
        </w:tc>
        <w:tc>
          <w:tcPr>
            <w:tcW w:w="3500" w:type="dxa"/>
            <w:vAlign w:val="bottom"/>
            <w:gridSpan w:val="3"/>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80" w:type="dxa"/>
            <w:vAlign w:val="bottom"/>
          </w:tcPr>
          <w:p>
            <w:pPr>
              <w:spacing w:after="0"/>
              <w:rPr>
                <w:sz w:val="17"/>
                <w:szCs w:val="17"/>
                <w:color w:val="auto"/>
              </w:rPr>
            </w:pPr>
          </w:p>
        </w:tc>
        <w:tc>
          <w:tcPr>
            <w:tcW w:w="58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ITEM 4</w:t>
              </w:r>
            </w:hyperlink>
          </w:p>
        </w:tc>
        <w:tc>
          <w:tcPr>
            <w:tcW w:w="2700" w:type="dxa"/>
            <w:vAlign w:val="bottom"/>
            <w:tcBorders>
              <w:top w:val="single" w:sz="8" w:color="0000EE"/>
              <w:bottom w:val="single" w:sz="8" w:color="0000EE"/>
            </w:tcBorders>
            <w:gridSpan w:val="9"/>
          </w:tcPr>
          <w:p>
            <w:pPr>
              <w:ind w:left="40"/>
              <w:spacing w:after="0" w:line="196"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 MINE SAFETY DISCLOSURES</w:t>
              </w:r>
            </w:hyperlink>
          </w:p>
        </w:tc>
        <w:tc>
          <w:tcPr>
            <w:tcW w:w="760" w:type="dxa"/>
            <w:vAlign w:val="bottom"/>
            <w:tcBorders>
              <w:top w:val="single" w:sz="8" w:color="0000EE"/>
            </w:tcBorders>
            <w:gridSpan w:val="2"/>
          </w:tcPr>
          <w:p>
            <w:pPr>
              <w:spacing w:after="0"/>
              <w:rPr>
                <w:sz w:val="17"/>
                <w:szCs w:val="17"/>
                <w:color w:val="auto"/>
              </w:rPr>
            </w:pPr>
          </w:p>
        </w:tc>
        <w:tc>
          <w:tcPr>
            <w:tcW w:w="6360" w:type="dxa"/>
            <w:vAlign w:val="bottom"/>
            <w:gridSpan w:val="5"/>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8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ITEM 5</w:t>
              </w:r>
            </w:hyperlink>
          </w:p>
        </w:tc>
        <w:tc>
          <w:tcPr>
            <w:tcW w:w="2140" w:type="dxa"/>
            <w:vAlign w:val="bottom"/>
            <w:tcBorders>
              <w:bottom w:val="single" w:sz="8" w:color="0000EE"/>
            </w:tcBorders>
            <w:gridSpan w:val="6"/>
          </w:tcPr>
          <w:p>
            <w:pPr>
              <w:ind w:left="40"/>
              <w:spacing w:after="0" w:line="196" w:lineRule="exact"/>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 OTHER INFORMATION</w:t>
              </w:r>
            </w:hyperlink>
          </w:p>
        </w:tc>
        <w:tc>
          <w:tcPr>
            <w:tcW w:w="7680" w:type="dxa"/>
            <w:vAlign w:val="bottom"/>
            <w:gridSpan w:val="10"/>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64</w:t>
            </w:r>
          </w:p>
        </w:tc>
      </w:tr>
      <w:tr>
        <w:trPr>
          <w:trHeight w:val="196"/>
        </w:trPr>
        <w:tc>
          <w:tcPr>
            <w:tcW w:w="180" w:type="dxa"/>
            <w:vAlign w:val="bottom"/>
          </w:tcPr>
          <w:p>
            <w:pPr>
              <w:spacing w:after="0"/>
              <w:rPr>
                <w:sz w:val="17"/>
                <w:szCs w:val="17"/>
                <w:color w:val="auto"/>
              </w:rPr>
            </w:pPr>
          </w:p>
        </w:tc>
        <w:tc>
          <w:tcPr>
            <w:tcW w:w="58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ITEM 6</w:t>
              </w:r>
            </w:hyperlink>
          </w:p>
        </w:tc>
        <w:tc>
          <w:tcPr>
            <w:tcW w:w="1080" w:type="dxa"/>
            <w:vAlign w:val="bottom"/>
            <w:tcBorders>
              <w:bottom w:val="single" w:sz="8" w:color="0000EE"/>
            </w:tcBorders>
            <w:gridSpan w:val="2"/>
          </w:tcPr>
          <w:p>
            <w:pPr>
              <w:ind w:left="40"/>
              <w:spacing w:after="0" w:line="196" w:lineRule="exact"/>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 EXHIBITS</w:t>
              </w:r>
            </w:hyperlink>
          </w:p>
        </w:tc>
        <w:tc>
          <w:tcPr>
            <w:tcW w:w="8740" w:type="dxa"/>
            <w:vAlign w:val="bottom"/>
            <w:gridSpan w:val="14"/>
          </w:tcPr>
          <w:p>
            <w:pPr>
              <w:spacing w:after="0"/>
              <w:rPr>
                <w:sz w:val="17"/>
                <w:szCs w:val="17"/>
                <w:color w:val="auto"/>
              </w:rPr>
            </w:pPr>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65</w:t>
            </w:r>
          </w:p>
        </w:tc>
      </w:tr>
      <w:tr>
        <w:trPr>
          <w:trHeight w:val="196"/>
        </w:trPr>
        <w:tc>
          <w:tcPr>
            <w:tcW w:w="10580" w:type="dxa"/>
            <w:vAlign w:val="bottom"/>
            <w:gridSpan w:val="18"/>
          </w:tcPr>
          <w:p>
            <w:pPr>
              <w:spacing w:after="0" w:line="196" w:lineRule="exact"/>
              <w:rPr>
                <w:rFonts w:ascii="Times New Roman" w:cs="Times New Roman" w:eastAsia="Times New Roman" w:hAnsi="Times New Roman"/>
                <w:sz w:val="18"/>
                <w:szCs w:val="18"/>
                <w:b w:val="1"/>
                <w:bCs w:val="1"/>
                <w:color w:val="0000EE"/>
              </w:rPr>
            </w:pPr>
            <w:hyperlink w:anchor="page53">
              <w:r>
                <w:rPr>
                  <w:rFonts w:ascii="Times New Roman" w:cs="Times New Roman" w:eastAsia="Times New Roman" w:hAnsi="Times New Roman"/>
                  <w:sz w:val="18"/>
                  <w:szCs w:val="18"/>
                  <w:b w:val="1"/>
                  <w:bCs w:val="1"/>
                  <w:color w:val="0000EE"/>
                </w:rPr>
                <w:t>SIGNATURES</w:t>
              </w:r>
            </w:hyperlink>
          </w:p>
        </w:tc>
        <w:tc>
          <w:tcPr>
            <w:tcW w:w="84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66</w:t>
            </w:r>
          </w:p>
        </w:tc>
      </w:tr>
      <w:tr>
        <w:trPr>
          <w:trHeight w:val="453"/>
        </w:trPr>
        <w:tc>
          <w:tcPr>
            <w:tcW w:w="180" w:type="dxa"/>
            <w:vAlign w:val="bottom"/>
            <w:tcBorders>
              <w:top w:val="single" w:sz="8" w:color="0000EE"/>
            </w:tcBorders>
          </w:tcPr>
          <w:p>
            <w:pPr>
              <w:spacing w:after="0"/>
              <w:rPr>
                <w:sz w:val="24"/>
                <w:szCs w:val="24"/>
                <w:color w:val="auto"/>
              </w:rPr>
            </w:pPr>
          </w:p>
        </w:tc>
        <w:tc>
          <w:tcPr>
            <w:tcW w:w="580" w:type="dxa"/>
            <w:vAlign w:val="bottom"/>
            <w:tcBorders>
              <w:top w:val="single" w:sz="8" w:color="0000EE"/>
            </w:tcBorders>
          </w:tcPr>
          <w:p>
            <w:pPr>
              <w:spacing w:after="0"/>
              <w:rPr>
                <w:sz w:val="24"/>
                <w:szCs w:val="24"/>
                <w:color w:val="auto"/>
              </w:rPr>
            </w:pPr>
          </w:p>
        </w:tc>
        <w:tc>
          <w:tcPr>
            <w:tcW w:w="400" w:type="dxa"/>
            <w:vAlign w:val="bottom"/>
            <w:tcBorders>
              <w:top w:val="single" w:sz="8" w:color="0000EE"/>
            </w:tcBorders>
          </w:tcPr>
          <w:p>
            <w:pPr>
              <w:spacing w:after="0"/>
              <w:rPr>
                <w:sz w:val="24"/>
                <w:szCs w:val="24"/>
                <w:color w:val="auto"/>
              </w:rPr>
            </w:pPr>
          </w:p>
        </w:tc>
        <w:tc>
          <w:tcPr>
            <w:tcW w:w="5660" w:type="dxa"/>
            <w:vAlign w:val="bottom"/>
            <w:gridSpan w:val="11"/>
          </w:tcPr>
          <w:p>
            <w:pPr>
              <w:jc w:val="right"/>
              <w:ind w:right="1060"/>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7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6"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INFORMATION</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This Quarterly Report on Form 10-Q of Clearway Energy, Inc., together with its consolidated subsidiaries, or the Company, includes forward-looking statements within the meaning of Section 27A of the Securities Act of 1933, as amended, or the Securities Act, and Section 21E of the Securities Exchange Act of 1934, as amended, or the Exchange Act. The words "believes," "projects," "anticipates," "plans," "expects," "intends," "estimates" and similar expressions are intended to identify forward-looking statements. These forward-looking statements involve known and unknown risks, uncertainties and other factors that may cause the Company's actual results, performance and achievements, or industry results, to be materially different from any future results, performance or achievements expressed or implied by such forward-looking statements. These factors, risks and uncertainties include the factors described under Item 1A —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Part I, of the Company's Annual Report on Form 10-K for the year ended December 31, 2018, as well as the following:</w:t>
      </w:r>
    </w:p>
    <w:p>
      <w:pPr>
        <w:spacing w:after="0" w:line="189" w:lineRule="exact"/>
        <w:rPr>
          <w:sz w:val="20"/>
          <w:szCs w:val="20"/>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PG&amp;E Bankruptcy;</w:t>
      </w:r>
    </w:p>
    <w:p>
      <w:pPr>
        <w:spacing w:after="0" w:line="27"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maintain and grow its quarterly dividend;</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Company's relationships with GIP and CEG;</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transition services previously provided by NRG;</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successfully identify, evaluate and consummate acquisitions from third parties;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acquire assets from GIP or CEG;</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raise additional capital due to its indebtedness, corporate structure, market conditions or otherwise;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9" w:lineRule="exact"/>
        <w:rPr>
          <w:rFonts w:ascii="Times New Roman" w:cs="Times New Roman" w:eastAsia="Times New Roman" w:hAnsi="Times New Roman"/>
          <w:sz w:val="18"/>
          <w:szCs w:val="18"/>
          <w:color w:val="auto"/>
        </w:rPr>
      </w:pPr>
    </w:p>
    <w:p>
      <w:pPr>
        <w:jc w:val="both"/>
        <w:ind w:left="820" w:hanging="326"/>
        <w:spacing w:after="0" w:line="250"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the Company may not have adequate insurance to cover losses as a result of such hazards;</w:t>
      </w:r>
    </w:p>
    <w:p>
      <w:pPr>
        <w:spacing w:after="0" w:line="2" w:lineRule="exact"/>
        <w:rPr>
          <w:rFonts w:ascii="Times New Roman" w:cs="Times New Roman" w:eastAsia="Times New Roman" w:hAnsi="Times New Roman"/>
          <w:sz w:val="18"/>
          <w:szCs w:val="18"/>
          <w:color w:val="auto"/>
        </w:rPr>
      </w:pPr>
    </w:p>
    <w:p>
      <w:pPr>
        <w:ind w:left="820" w:hanging="326"/>
        <w:spacing w:after="0" w:line="250"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operate its businesses efficiently, manage maintenance capital expenditures and costs effectively, and generate earnings and cash flows from its asset-based businesses in relation to its debt and other obligations;</w:t>
      </w: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counterparties to the Company's offtake agreements to fulfill their obligations under such agreements;</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enter into contracts to sell power and procure fuel on acceptable terms and prices as current offtake agreements expire;</w:t>
      </w:r>
    </w:p>
    <w:p>
      <w:pPr>
        <w:spacing w:after="0" w:line="9" w:lineRule="exact"/>
        <w:rPr>
          <w:rFonts w:ascii="Times New Roman" w:cs="Times New Roman" w:eastAsia="Times New Roman" w:hAnsi="Times New Roman"/>
          <w:sz w:val="18"/>
          <w:szCs w:val="18"/>
          <w:color w:val="auto"/>
        </w:rPr>
      </w:pP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compliance with regulatory requirements and changes in market rules, rates, tariffs and environmental laws;</w:t>
      </w:r>
    </w:p>
    <w:p>
      <w:pPr>
        <w:spacing w:after="0" w:line="9" w:lineRule="exact"/>
        <w:rPr>
          <w:rFonts w:ascii="Times New Roman" w:cs="Times New Roman" w:eastAsia="Times New Roman" w:hAnsi="Times New Roman"/>
          <w:sz w:val="18"/>
          <w:szCs w:val="18"/>
          <w:color w:val="auto"/>
        </w:rPr>
      </w:pPr>
    </w:p>
    <w:p>
      <w:pPr>
        <w:jc w:val="both"/>
        <w:ind w:left="820" w:hanging="326"/>
        <w:spacing w:after="0" w:line="250"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the Company that are contained in the project-level debt facilities and other agreements of certain subsidiaries and project-level subsidiaries generally, in the Clearway Energy Operating LLC amended and restated revolving credit facility, in the indentures governing the Senior Notes and in the indentures governing the Company's convertible notes;</w:t>
      </w:r>
    </w:p>
    <w:p>
      <w:pPr>
        <w:spacing w:after="0" w:line="1" w:lineRule="exact"/>
        <w:rPr>
          <w:rFonts w:ascii="Times New Roman" w:cs="Times New Roman" w:eastAsia="Times New Roman" w:hAnsi="Times New Roman"/>
          <w:sz w:val="18"/>
          <w:szCs w:val="18"/>
          <w:color w:val="auto"/>
        </w:rPr>
      </w:pPr>
    </w:p>
    <w:p>
      <w:pPr>
        <w:ind w:left="820" w:hanging="326"/>
        <w:spacing w:after="0" w:line="250"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ind w:left="820" w:hanging="326"/>
        <w:spacing w:after="0"/>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engage in successful mergers and acquisitions activity; and</w:t>
      </w:r>
    </w:p>
    <w:p>
      <w:pPr>
        <w:spacing w:after="0" w:line="9" w:lineRule="exact"/>
        <w:rPr>
          <w:rFonts w:ascii="Times New Roman" w:cs="Times New Roman" w:eastAsia="Times New Roman" w:hAnsi="Times New Roman"/>
          <w:sz w:val="18"/>
          <w:szCs w:val="18"/>
          <w:color w:val="auto"/>
        </w:rPr>
      </w:pPr>
    </w:p>
    <w:p>
      <w:pPr>
        <w:ind w:left="820" w:hanging="326"/>
        <w:spacing w:after="0" w:line="261" w:lineRule="auto"/>
        <w:tabs>
          <w:tab w:leader="none" w:pos="82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80"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the Company undertakes no obligation to publicly update or revise any forward-looking statements, whether as a result of new information, future events or otherwise. The foregoing review of factors that could cause the Company's actual results to differ materially from those contemplated in any forward-looking statements included in this Quarterly Report on Form 10-Q should not be construed as exhaustive.</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11" w:right="239" w:bottom="0" w:gutter="0" w:footer="0" w:header="0"/>
        </w:sectPr>
      </w:pPr>
    </w:p>
    <w:p>
      <w:pPr>
        <w:spacing w:after="0" w:line="243" w:lineRule="exact"/>
        <w:rPr>
          <w:sz w:val="20"/>
          <w:szCs w:val="20"/>
          <w:color w:val="auto"/>
        </w:rPr>
      </w:pPr>
    </w:p>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ectPr>
          <w:pgSz w:w="11900" w:h="16838" w:orient="portrait"/>
          <w:cols w:equalWidth="0" w:num="1">
            <w:col w:w="11420"/>
          </w:cols>
          <w:pgMar w:left="240" w:top="111" w:right="239"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38"/>
        </w:trPr>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20" w:type="dxa"/>
            <w:vAlign w:val="bottom"/>
          </w:tcPr>
          <w:p>
            <w:pPr>
              <w:ind w:left="2240"/>
              <w:spacing w:after="0"/>
              <w:rPr>
                <w:sz w:val="20"/>
                <w:szCs w:val="20"/>
                <w:color w:val="auto"/>
              </w:rPr>
            </w:pPr>
            <w:r>
              <w:rPr>
                <w:rFonts w:ascii="Times New Roman" w:cs="Times New Roman" w:eastAsia="Times New Roman" w:hAnsi="Times New Roman"/>
                <w:sz w:val="18"/>
                <w:szCs w:val="18"/>
                <w:b w:val="1"/>
                <w:bCs w:val="1"/>
                <w:color w:val="auto"/>
              </w:rPr>
              <w:t>GLOSSARY OF TERMS</w:t>
            </w:r>
          </w:p>
        </w:tc>
      </w:tr>
      <w:tr>
        <w:trPr>
          <w:trHeight w:val="432"/>
        </w:trPr>
        <w:tc>
          <w:tcPr>
            <w:tcW w:w="11420" w:type="dxa"/>
            <w:vAlign w:val="bottom"/>
            <w:gridSpan w:val="3"/>
          </w:tcPr>
          <w:p>
            <w:pPr>
              <w:ind w:left="500"/>
              <w:spacing w:after="0"/>
              <w:rPr>
                <w:sz w:val="20"/>
                <w:szCs w:val="20"/>
                <w:color w:val="auto"/>
              </w:rPr>
            </w:pPr>
            <w:r>
              <w:rPr>
                <w:rFonts w:ascii="Times New Roman" w:cs="Times New Roman" w:eastAsia="Times New Roman" w:hAnsi="Times New Roman"/>
                <w:sz w:val="18"/>
                <w:szCs w:val="18"/>
                <w:color w:val="auto"/>
              </w:rPr>
              <w:t>When the following terms and abbreviations appear in the text of this report, they have the meanings indicated below:</w:t>
            </w:r>
          </w:p>
        </w:tc>
      </w:tr>
      <w:tr>
        <w:trPr>
          <w:trHeight w:val="473"/>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2018 Form 10-K</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Clearway Energy, Inc.'s (formerly NRG Yield, Inc.) Annual Report on Form 10-K for the year ended December 31, 2018</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2019 Convertible Notes</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$329 million aggregate principal amount of 3.50% convertible notes due 2019, issued by Clearway Energy, Inc.</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2020 Convertible Notes</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$45 million aggregate principal amount of 3.25% convertible notes due 2020, issued by Clearway Energy, Inc.</w:t>
            </w:r>
          </w:p>
        </w:tc>
      </w:tr>
      <w:tr>
        <w:trPr>
          <w:trHeight w:val="279"/>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2024 Senior Notes</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$500 million aggregate principal amount of 5.375% unsecured senior notes due 2024, issued by Clearway Energy</w:t>
            </w:r>
          </w:p>
        </w:tc>
      </w:tr>
      <w:tr>
        <w:trPr>
          <w:trHeight w:val="234"/>
        </w:trPr>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LLC</w:t>
            </w:r>
          </w:p>
        </w:tc>
      </w:tr>
      <w:tr>
        <w:trPr>
          <w:trHeight w:val="279"/>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2025 Senior Notes</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$600 million aggregate principal amount of 5.750% unsecured senior notes due 2025, issued by Clearway Energy</w:t>
            </w:r>
          </w:p>
        </w:tc>
      </w:tr>
      <w:tr>
        <w:trPr>
          <w:trHeight w:val="234"/>
        </w:trPr>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LLC</w:t>
            </w:r>
          </w:p>
        </w:tc>
      </w:tr>
      <w:tr>
        <w:trPr>
          <w:trHeight w:val="279"/>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2026 Senior Notes</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$350 million aggregate principal amount of 5.00% unsecured senior notes due 2026, issued by Clearway Energy</w:t>
            </w:r>
          </w:p>
        </w:tc>
      </w:tr>
      <w:tr>
        <w:trPr>
          <w:trHeight w:val="234"/>
        </w:trPr>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Operating LLC</w:t>
            </w:r>
          </w:p>
        </w:tc>
      </w:tr>
      <w:tr>
        <w:trPr>
          <w:trHeight w:val="279"/>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Adjusted EBITDA</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Represents EBITDA adjusted for mark-to-market gains or losses, asset write offs and impairments, and factors which the</w:t>
            </w:r>
          </w:p>
        </w:tc>
      </w:tr>
      <w:tr>
        <w:trPr>
          <w:trHeight w:val="234"/>
        </w:trPr>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Company does not consider indicative of future operating performance</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AOCL/AOCI</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Accumulated Other Comprehensive Loss/Accumulated Other Comprehensive Income</w:t>
            </w:r>
          </w:p>
        </w:tc>
      </w:tr>
      <w:tr>
        <w:trPr>
          <w:trHeight w:val="279"/>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ASC</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FASB Accounting Standards Codification, which the FASB established as the source of</w:t>
            </w:r>
          </w:p>
        </w:tc>
      </w:tr>
      <w:tr>
        <w:trPr>
          <w:trHeight w:val="234"/>
        </w:trPr>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authoritative GAAP</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ASU</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Accounting Standards Updates - updates to the ASC</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ATM Program</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At-The-Market Equity Offering Program</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Bankruptcy Code</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Title 11 of the U.S. Code</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Bankruptcy Court</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Bankruptcy Court for the Northern District of California</w:t>
            </w:r>
          </w:p>
        </w:tc>
      </w:tr>
      <w:tr>
        <w:trPr>
          <w:trHeight w:val="279"/>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CAFD</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Cash Available for Distribution is Adjusted EBITDA plus cash distributions/return of investment from unconsolidated</w:t>
            </w:r>
          </w:p>
        </w:tc>
      </w:tr>
      <w:tr>
        <w:trPr>
          <w:trHeight w:val="216"/>
        </w:trPr>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affiliates, adjustments to reflect CAFD generated by unconsolidated investments that are not able to distribute project</w:t>
            </w:r>
          </w:p>
        </w:tc>
      </w:tr>
      <w:tr>
        <w:trPr>
          <w:trHeight w:val="216"/>
        </w:trPr>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dividends due to the PG&amp;E Bankruptcy, cash receipts from notes receivable, cash distributions from noncontrolling</w:t>
            </w:r>
          </w:p>
        </w:tc>
      </w:tr>
      <w:tr>
        <w:trPr>
          <w:trHeight w:val="216"/>
        </w:trPr>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interests, less cash distributions to noncontrolling interests, maintenance capital expenditures, pro-rata Adjusted EBITDA</w:t>
            </w:r>
          </w:p>
        </w:tc>
      </w:tr>
      <w:tr>
        <w:trPr>
          <w:trHeight w:val="216"/>
        </w:trPr>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from unconsolidated affiliates, cash interest paid, income taxes paid, principal amortization of indebtedness, Walnut</w:t>
            </w:r>
          </w:p>
        </w:tc>
      </w:tr>
      <w:tr>
        <w:trPr>
          <w:trHeight w:val="234"/>
        </w:trPr>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Creek investment payments, and changes in prepaid and accrued capacity payments</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Carlsbad Project</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 527 MW natural gas fired project in Carlsbad, CA</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CEG</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Clearway Energy Group LLC (formerly Zephyr Renewables LLC)</w:t>
            </w:r>
          </w:p>
        </w:tc>
      </w:tr>
      <w:tr>
        <w:trPr>
          <w:trHeight w:val="279"/>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CEG Master Services</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Master Services Agreements entered into as of August 31, 2018 between the Company, Clearway Energy LLC and</w:t>
            </w:r>
          </w:p>
        </w:tc>
      </w:tr>
      <w:tr>
        <w:trPr>
          <w:trHeight w:val="234"/>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Agreements</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Clearway Energy Operating LLC, and CEG</w:t>
            </w:r>
          </w:p>
        </w:tc>
      </w:tr>
      <w:tr>
        <w:trPr>
          <w:trHeight w:val="279"/>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CEG ROFO Agreement</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Right of First Offer Agreement, entered into as of August 31, 2018, by and between Clearway Energy Group LLC and</w:t>
            </w:r>
          </w:p>
        </w:tc>
      </w:tr>
      <w:tr>
        <w:trPr>
          <w:trHeight w:val="216"/>
        </w:trPr>
        <w:tc>
          <w:tcPr>
            <w:tcW w:w="15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Clearway Energy, Inc., and solely for purposes of Section 2.4, GIP III Zephyr Acquisition Partners, L.P., as amended by</w:t>
            </w:r>
          </w:p>
        </w:tc>
      </w:tr>
      <w:tr>
        <w:trPr>
          <w:trHeight w:val="234"/>
        </w:trPr>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First Amendment dated February 14, 2019, the Second Amendment dated August 1, 2019</w:t>
            </w:r>
          </w:p>
        </w:tc>
      </w:tr>
      <w:tr>
        <w:trPr>
          <w:trHeight w:val="279"/>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Clearway Energy LLC</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holding company through which the projects are owned by Clearway Energy Group LLC, the holder of Class B and</w:t>
            </w:r>
          </w:p>
        </w:tc>
      </w:tr>
      <w:tr>
        <w:trPr>
          <w:trHeight w:val="234"/>
        </w:trPr>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Class D units of the Company, and Clearway Energy, Inc., the holder of the Class A and Class C units</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Clearway Energy Group LLC</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holder of the Company's Class B and Class D common shares and Clearway Energy LLC's Class B and Class D units</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Clearway Energy Operating LLC</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holder of the project assets that are owned by Clearway Energy LLC</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COD</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Commercial Operation Date</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Company</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Clearway Energy, Inc. together with its consolidated subsidiaries</w:t>
            </w:r>
          </w:p>
        </w:tc>
      </w:tr>
      <w:tr>
        <w:trPr>
          <w:trHeight w:val="473"/>
        </w:trPr>
        <w:tc>
          <w:tcPr>
            <w:tcW w:w="15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920" w:type="dxa"/>
            <w:vAlign w:val="bottom"/>
          </w:tcPr>
          <w:p>
            <w:pPr>
              <w:ind w:left="3160"/>
              <w:spacing w:after="0"/>
              <w:rPr>
                <w:sz w:val="20"/>
                <w:szCs w:val="20"/>
                <w:color w:val="auto"/>
              </w:rPr>
            </w:pPr>
            <w:r>
              <w:rPr>
                <w:rFonts w:ascii="Times New Roman" w:cs="Times New Roman" w:eastAsia="Times New Roman" w:hAnsi="Times New Roman"/>
                <w:sz w:val="18"/>
                <w:szCs w:val="18"/>
                <w:color w:val="auto"/>
              </w:rPr>
              <w:t>4</w:t>
            </w:r>
          </w:p>
        </w:tc>
      </w:tr>
      <w:tr>
        <w:trPr>
          <w:trHeight w:val="115"/>
        </w:trPr>
        <w:tc>
          <w:tcPr>
            <w:tcW w:w="154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8920" w:type="dxa"/>
            <w:vAlign w:val="bottom"/>
            <w:tcBorders>
              <w:bottom w:val="single" w:sz="8" w:color="9A9A9A"/>
            </w:tcBorders>
          </w:tcPr>
          <w:p>
            <w:pPr>
              <w:spacing w:after="0"/>
              <w:rPr>
                <w:sz w:val="10"/>
                <w:szCs w:val="10"/>
                <w:color w:val="auto"/>
              </w:rPr>
            </w:pPr>
          </w:p>
        </w:tc>
      </w:tr>
      <w:tr>
        <w:trPr>
          <w:trHeight w:val="311"/>
        </w:trPr>
        <w:tc>
          <w:tcPr>
            <w:tcW w:w="2500" w:type="dxa"/>
            <w:vAlign w:val="bottom"/>
            <w:gridSpan w:val="2"/>
          </w:tcPr>
          <w:p>
            <w:pPr>
              <w:spacing w:after="0"/>
              <w:rPr>
                <w:rFonts w:ascii="Times New Roman" w:cs="Times New Roman" w:eastAsia="Times New Roman" w:hAnsi="Times New Roman"/>
                <w:sz w:val="22"/>
                <w:szCs w:val="22"/>
                <w:color w:val="0000EE"/>
              </w:rPr>
            </w:pPr>
            <w:hyperlink w:anchor="page2">
              <w:r>
                <w:rPr>
                  <w:rFonts w:ascii="Times New Roman" w:cs="Times New Roman" w:eastAsia="Times New Roman" w:hAnsi="Times New Roman"/>
                  <w:sz w:val="22"/>
                  <w:szCs w:val="22"/>
                  <w:color w:val="0000EE"/>
                </w:rPr>
                <w:t>Table of Contents</w:t>
              </w:r>
            </w:hyperlink>
          </w:p>
        </w:tc>
        <w:tc>
          <w:tcPr>
            <w:tcW w:w="8920" w:type="dxa"/>
            <w:vAlign w:val="bottom"/>
          </w:tcPr>
          <w:p>
            <w:pPr>
              <w:spacing w:after="0"/>
              <w:rPr>
                <w:sz w:val="24"/>
                <w:szCs w:val="24"/>
                <w:color w:val="auto"/>
              </w:rPr>
            </w:pPr>
          </w:p>
        </w:tc>
      </w:tr>
      <w:tr>
        <w:trPr>
          <w:trHeight w:val="493"/>
        </w:trPr>
        <w:tc>
          <w:tcPr>
            <w:tcW w:w="1540" w:type="dxa"/>
            <w:vAlign w:val="bottom"/>
            <w:tcBorders>
              <w:top w:val="single" w:sz="8" w:color="0000EE"/>
            </w:tcBorders>
          </w:tcPr>
          <w:p>
            <w:pPr>
              <w:ind w:left="40"/>
              <w:spacing w:after="0"/>
              <w:rPr>
                <w:sz w:val="20"/>
                <w:szCs w:val="20"/>
                <w:color w:val="auto"/>
              </w:rPr>
            </w:pPr>
            <w:r>
              <w:rPr>
                <w:rFonts w:ascii="Times New Roman" w:cs="Times New Roman" w:eastAsia="Times New Roman" w:hAnsi="Times New Roman"/>
                <w:sz w:val="18"/>
                <w:szCs w:val="18"/>
                <w:color w:val="auto"/>
              </w:rPr>
              <w:t>CVSR</w:t>
            </w:r>
          </w:p>
        </w:tc>
        <w:tc>
          <w:tcPr>
            <w:tcW w:w="960" w:type="dxa"/>
            <w:vAlign w:val="bottom"/>
          </w:tcPr>
          <w:p>
            <w:pPr>
              <w:spacing w:after="0"/>
              <w:rPr>
                <w:sz w:val="24"/>
                <w:szCs w:val="24"/>
                <w:color w:val="auto"/>
              </w:rPr>
            </w:pP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California Valley Solar Ranch</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CVSR Holdco</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CVSR Holdco LLC, the indirect owner of CVSR</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DGPV Holdco 1</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DGPV Holdco 1 LLC</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DGPV Holdco 2</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DGPV Holdco 2 LLC</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DGPV Holdco 3</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DGPV Holdco 3 LLC</w:t>
            </w:r>
          </w:p>
        </w:tc>
      </w:tr>
      <w:tr>
        <w:trPr>
          <w:trHeight w:val="279"/>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Distributed Solar</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Solar power projects, typically less than 20 MW in size, that primarily sell power produced to customers for usage on site,</w:t>
            </w:r>
          </w:p>
        </w:tc>
      </w:tr>
      <w:tr>
        <w:trPr>
          <w:trHeight w:val="234"/>
        </w:trPr>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or are interconnected to sell power into the local distribution grid</w:t>
            </w:r>
          </w:p>
        </w:tc>
      </w:tr>
      <w:tr>
        <w:trPr>
          <w:trHeight w:val="279"/>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Drop Down Assets</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Collectively, assets under common control acquired by the Company from NRG from January 1, 2014 through the period</w:t>
            </w:r>
          </w:p>
        </w:tc>
      </w:tr>
      <w:tr>
        <w:trPr>
          <w:trHeight w:val="234"/>
        </w:trPr>
        <w:tc>
          <w:tcPr>
            <w:tcW w:w="15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ended August 31, 2018</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EBITDA</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Earnings before interest, tax, depreciation and amortization</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Economic Gross Margin</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Energy and capacity revenue less cost of fuels</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ECP</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Energy Center Pittsburgh LLC, a subsidiary of the Company</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EPA</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U.S. Environmental Protection Agency</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EPC</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Engineering, Procurement and Construction</w:t>
            </w:r>
          </w:p>
        </w:tc>
      </w:tr>
      <w:tr>
        <w:trPr>
          <w:trHeight w:val="297"/>
        </w:trPr>
        <w:tc>
          <w:tcPr>
            <w:tcW w:w="250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Exchange Act</w:t>
            </w:r>
          </w:p>
        </w:tc>
        <w:tc>
          <w:tcPr>
            <w:tcW w:w="89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The Securities Exchange Act of 1934, as amended</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-3090545</wp:posOffset>
            </wp:positionV>
            <wp:extent cx="3429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-3090545</wp:posOffset>
            </wp:positionV>
            <wp:extent cx="3429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333" w:right="239" w:bottom="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34"/>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FASB</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Financial Accounting Standards Board</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GAAP</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Accounting principles generally accepted in the U.S.</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GenConn</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GenConn Energy LLC</w:t>
            </w:r>
          </w:p>
        </w:tc>
      </w:tr>
      <w:tr>
        <w:trPr>
          <w:trHeight w:val="279"/>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GIP</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Collectively, Global Infrastructure Partners III-C Intermediate AIV 3, L.P., Global Infrastructure Partners III-A/B AIV 3,</w:t>
            </w:r>
          </w:p>
        </w:tc>
      </w:tr>
      <w:tr>
        <w:trPr>
          <w:trHeight w:val="216"/>
        </w:trPr>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L.P., Global Infrastructure Partners III-C Intermediate AIV 2, L.P., Global Infrastructure Partners III-C2 Intermediate</w:t>
            </w:r>
          </w:p>
        </w:tc>
      </w:tr>
      <w:tr>
        <w:trPr>
          <w:trHeight w:val="234"/>
        </w:trPr>
        <w:tc>
          <w:tcPr>
            <w:tcW w:w="1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AIV, L.P. and GIP III Zephyr Friends &amp; Family, LLC.</w:t>
            </w:r>
          </w:p>
        </w:tc>
      </w:tr>
      <w:tr>
        <w:trPr>
          <w:trHeight w:val="279"/>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GIP Transaction</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 August 31, 2018, NRG transferred its full ownership interest in the Company to Clearway Energy Group LLC and</w:t>
            </w:r>
          </w:p>
        </w:tc>
      </w:tr>
      <w:tr>
        <w:trPr>
          <w:trHeight w:val="216"/>
        </w:trPr>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subsequently sold 100% of its interests in Clearway Energy Group LLC, which included NRG's renewable energy</w:t>
            </w:r>
          </w:p>
        </w:tc>
      </w:tr>
      <w:tr>
        <w:trPr>
          <w:trHeight w:val="216"/>
        </w:trPr>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development and operations platform, to an affiliate of GIP. GIP, NRG and the Company also entered into a consent and</w:t>
            </w:r>
          </w:p>
        </w:tc>
      </w:tr>
      <w:tr>
        <w:trPr>
          <w:trHeight w:val="234"/>
        </w:trPr>
        <w:tc>
          <w:tcPr>
            <w:tcW w:w="1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indemnity agreement in connection with the purchase and sale agreement, which was signed on February 6, 2018</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HLBV</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Hypothetical Liquidation at Book Value</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LIBOR</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London Inter-Bank Offered Rate</w:t>
            </w:r>
          </w:p>
        </w:tc>
      </w:tr>
      <w:tr>
        <w:trPr>
          <w:trHeight w:val="279"/>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March 2017 Drop Down Assets</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 Agua Caliente Borrower 2 LLC, which owns a 16% interest (approximately 31% of NRG's 51% interest) in the Agua</w:t>
            </w:r>
          </w:p>
        </w:tc>
      </w:tr>
      <w:tr>
        <w:trPr>
          <w:trHeight w:val="216"/>
        </w:trPr>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Caliente solar farm and (ii) NRG's 100% ownership in the Class A equity interests in the Utah Solar Portfolio (defined</w:t>
            </w:r>
          </w:p>
        </w:tc>
      </w:tr>
      <w:tr>
        <w:trPr>
          <w:trHeight w:val="234"/>
        </w:trPr>
        <w:tc>
          <w:tcPr>
            <w:tcW w:w="1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below), both acquired by the Company on March 27, 2017</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MMBtu</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Million British Thermal Units</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MW</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Megawatts</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MWh</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Saleable megawatt hours, net of internal/parasitic load megawatt-hours</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MWt</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Megawatts Thermal Equivalent</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Net Exposure</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Counterparty credit exposure to Clearway Energy, Inc. net of collateral</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NOLs</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Operating Losses</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NPPD</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Nebraska Public Power District</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NRG</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NRG Energy, Inc.</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NRG TSA</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Transition Services Agreement, dated as of August 31, 2018, by and between NRG and the Company</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OCI/OCL</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comprehensive income/loss</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O&amp;M</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Operation and Maintenance</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PG&amp;E</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Pacific Gas and Electric Company</w:t>
            </w:r>
          </w:p>
        </w:tc>
      </w:tr>
      <w:tr>
        <w:trPr>
          <w:trHeight w:val="473"/>
        </w:trPr>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9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5</w:t>
            </w:r>
          </w:p>
        </w:tc>
      </w:tr>
      <w:tr>
        <w:trPr>
          <w:trHeight w:val="115"/>
        </w:trPr>
        <w:tc>
          <w:tcPr>
            <w:tcW w:w="1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980" w:type="dxa"/>
            <w:vAlign w:val="bottom"/>
            <w:tcBorders>
              <w:bottom w:val="single" w:sz="8" w:color="9A9A9A"/>
            </w:tcBorders>
          </w:tcPr>
          <w:p>
            <w:pPr>
              <w:spacing w:after="0"/>
              <w:rPr>
                <w:sz w:val="10"/>
                <w:szCs w:val="10"/>
                <w:color w:val="auto"/>
              </w:rPr>
            </w:pPr>
          </w:p>
        </w:tc>
      </w:tr>
      <w:tr>
        <w:trPr>
          <w:trHeight w:val="311"/>
        </w:trPr>
        <w:tc>
          <w:tcPr>
            <w:tcW w:w="2440" w:type="dxa"/>
            <w:vAlign w:val="bottom"/>
            <w:gridSpan w:val="2"/>
          </w:tcPr>
          <w:p>
            <w:pPr>
              <w:spacing w:after="0"/>
              <w:rPr>
                <w:rFonts w:ascii="Times New Roman" w:cs="Times New Roman" w:eastAsia="Times New Roman" w:hAnsi="Times New Roman"/>
                <w:sz w:val="22"/>
                <w:szCs w:val="22"/>
                <w:color w:val="0000EE"/>
              </w:rPr>
            </w:pPr>
            <w:hyperlink w:anchor="page2">
              <w:r>
                <w:rPr>
                  <w:rFonts w:ascii="Times New Roman" w:cs="Times New Roman" w:eastAsia="Times New Roman" w:hAnsi="Times New Roman"/>
                  <w:sz w:val="22"/>
                  <w:szCs w:val="22"/>
                  <w:color w:val="0000EE"/>
                </w:rPr>
                <w:t>Table of Contents</w:t>
              </w:r>
            </w:hyperlink>
          </w:p>
        </w:tc>
        <w:tc>
          <w:tcPr>
            <w:tcW w:w="8980" w:type="dxa"/>
            <w:vAlign w:val="bottom"/>
          </w:tcPr>
          <w:p>
            <w:pPr>
              <w:spacing w:after="0"/>
              <w:rPr>
                <w:sz w:val="24"/>
                <w:szCs w:val="24"/>
                <w:color w:val="auto"/>
              </w:rPr>
            </w:pPr>
          </w:p>
        </w:tc>
      </w:tr>
      <w:tr>
        <w:trPr>
          <w:trHeight w:val="475"/>
        </w:trPr>
        <w:tc>
          <w:tcPr>
            <w:tcW w:w="1540" w:type="dxa"/>
            <w:vAlign w:val="bottom"/>
            <w:tcBorders>
              <w:top w:val="single" w:sz="8" w:color="0000EE"/>
            </w:tcBorders>
          </w:tcPr>
          <w:p>
            <w:pPr>
              <w:ind w:left="40"/>
              <w:spacing w:after="0"/>
              <w:rPr>
                <w:sz w:val="20"/>
                <w:szCs w:val="20"/>
                <w:color w:val="auto"/>
              </w:rPr>
            </w:pPr>
            <w:r>
              <w:rPr>
                <w:rFonts w:ascii="Times New Roman" w:cs="Times New Roman" w:eastAsia="Times New Roman" w:hAnsi="Times New Roman"/>
                <w:sz w:val="18"/>
                <w:szCs w:val="18"/>
                <w:color w:val="auto"/>
              </w:rPr>
              <w:t>PG&amp;E Bankruptcy</w:t>
            </w:r>
          </w:p>
        </w:tc>
        <w:tc>
          <w:tcPr>
            <w:tcW w:w="900" w:type="dxa"/>
            <w:vAlign w:val="bottom"/>
          </w:tcPr>
          <w:p>
            <w:pPr>
              <w:spacing w:after="0"/>
              <w:rPr>
                <w:sz w:val="24"/>
                <w:szCs w:val="24"/>
                <w:color w:val="auto"/>
              </w:rPr>
            </w:pP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On January 29, 2019, PG&amp;E Corporation and Pacific Gas and Electric Company filed voluntary petitions for relief under</w:t>
            </w:r>
          </w:p>
        </w:tc>
      </w:tr>
      <w:tr>
        <w:trPr>
          <w:trHeight w:val="234"/>
        </w:trPr>
        <w:tc>
          <w:tcPr>
            <w:tcW w:w="1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Bankruptcy Code in the Bankruptcy Court</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PPA</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Power Purchase Agreement</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RENOM</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Clearway Renewable Operation &amp; Maintenance LLC</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ROFO</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Right of First Offer</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RPV Holdco</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RPV Holdco 1 LLC</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SEC</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U.S. Securities and Exchange Commission</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Senior Notes</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Collectively, the 2024 Senior Notes, the 2025 Senior Notes and the 2026 Senior Notes</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SPP</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Solar Power Partners</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Tax Act</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 Cuts and Jobs Act of 2017</w:t>
            </w:r>
          </w:p>
        </w:tc>
      </w:tr>
      <w:tr>
        <w:trPr>
          <w:trHeight w:val="279"/>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Thermal Business</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Company's thermal business, which consists of thermal infrastructure assets that provide steam, hot water and/or</w:t>
            </w:r>
          </w:p>
        </w:tc>
      </w:tr>
      <w:tr>
        <w:trPr>
          <w:trHeight w:val="234"/>
        </w:trPr>
        <w:tc>
          <w:tcPr>
            <w:tcW w:w="1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chilled water, and in some instances electricity, to commercial businesses, universities, hospitals and governmental units</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TSA</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Transition Services Agreement</w:t>
            </w:r>
          </w:p>
        </w:tc>
      </w:tr>
      <w:tr>
        <w:trPr>
          <w:trHeight w:val="279"/>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UPMC Thermal Project</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The University of Pittsburgh Medical Center Thermal Project, a 73 MWt district energy system that allows ECP to</w:t>
            </w:r>
          </w:p>
        </w:tc>
      </w:tr>
      <w:tr>
        <w:trPr>
          <w:trHeight w:val="234"/>
        </w:trPr>
        <w:tc>
          <w:tcPr>
            <w:tcW w:w="1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provide steam, chilled water and 7.5 MW of emergency backup power service to UPMC.</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U.S.</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79"/>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Utah Solar Portfolio</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Collection consists of Four Brothers Solar, LLC, Granite Mountain Holdings, LLC, and Iron Springs Holdings, LLC,</w:t>
            </w:r>
          </w:p>
        </w:tc>
      </w:tr>
      <w:tr>
        <w:trPr>
          <w:trHeight w:val="216"/>
        </w:trPr>
        <w:tc>
          <w:tcPr>
            <w:tcW w:w="15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which are equity investments owned by Four Brothers Capital, LLC, Granite Mountain Capital, LLC, and Iron Springs</w:t>
            </w:r>
          </w:p>
        </w:tc>
      </w:tr>
      <w:tr>
        <w:trPr>
          <w:trHeight w:val="234"/>
        </w:trPr>
        <w:tc>
          <w:tcPr>
            <w:tcW w:w="1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Capital, LLC, respectively, and are part of the March 2017 Drop Down Assets acquisition that closed on March 27, 2017</w:t>
            </w:r>
          </w:p>
        </w:tc>
      </w:tr>
      <w:tr>
        <w:trPr>
          <w:trHeight w:val="279"/>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Utility Scale Solar</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Solar power projects, typically 20 MW or greater in size (on an alternating current, or AC, basis), that are interconnected</w:t>
            </w:r>
          </w:p>
        </w:tc>
      </w:tr>
      <w:tr>
        <w:trPr>
          <w:trHeight w:val="234"/>
        </w:trPr>
        <w:tc>
          <w:tcPr>
            <w:tcW w:w="15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into the transmission or distribution grid to sell power at a wholesale level</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VaR</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Value at Risk</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VIE</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Variable Interest Entity</w:t>
            </w:r>
          </w:p>
        </w:tc>
      </w:tr>
      <w:tr>
        <w:trPr>
          <w:trHeight w:val="297"/>
        </w:trPr>
        <w:tc>
          <w:tcPr>
            <w:tcW w:w="24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Wind TE Holdco</w:t>
            </w:r>
          </w:p>
        </w:tc>
        <w:tc>
          <w:tcPr>
            <w:tcW w:w="8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Wind TE Holdco LLC, an 814 net MW portfolio of twelve wind projects</w:t>
            </w:r>
          </w:p>
        </w:tc>
      </w:tr>
      <w:tr>
        <w:trPr>
          <w:trHeight w:val="473"/>
        </w:trPr>
        <w:tc>
          <w:tcPr>
            <w:tcW w:w="15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980" w:type="dxa"/>
            <w:vAlign w:val="bottom"/>
          </w:tcPr>
          <w:p>
            <w:pPr>
              <w:ind w:left="3220"/>
              <w:spacing w:after="0"/>
              <w:rPr>
                <w:sz w:val="20"/>
                <w:szCs w:val="20"/>
                <w:color w:val="auto"/>
              </w:rPr>
            </w:pPr>
            <w:r>
              <w:rPr>
                <w:rFonts w:ascii="Times New Roman" w:cs="Times New Roman" w:eastAsia="Times New Roman" w:hAnsi="Times New Roman"/>
                <w:sz w:val="18"/>
                <w:szCs w:val="18"/>
                <w:color w:val="auto"/>
              </w:rPr>
              <w:t>6</w:t>
            </w:r>
          </w:p>
        </w:tc>
      </w:tr>
      <w:tr>
        <w:trPr>
          <w:trHeight w:val="115"/>
        </w:trPr>
        <w:tc>
          <w:tcPr>
            <w:tcW w:w="1540" w:type="dxa"/>
            <w:vAlign w:val="bottom"/>
            <w:tcBorders>
              <w:bottom w:val="single" w:sz="8" w:color="9A9A9A"/>
            </w:tcBorders>
          </w:tcPr>
          <w:p>
            <w:pPr>
              <w:spacing w:after="0"/>
              <w:rPr>
                <w:sz w:val="10"/>
                <w:szCs w:val="10"/>
                <w:color w:val="auto"/>
              </w:rPr>
            </w:pPr>
          </w:p>
        </w:tc>
        <w:tc>
          <w:tcPr>
            <w:tcW w:w="900" w:type="dxa"/>
            <w:vAlign w:val="bottom"/>
            <w:tcBorders>
              <w:bottom w:val="single" w:sz="8" w:color="9A9A9A"/>
            </w:tcBorders>
          </w:tcPr>
          <w:p>
            <w:pPr>
              <w:spacing w:after="0"/>
              <w:rPr>
                <w:sz w:val="10"/>
                <w:szCs w:val="10"/>
                <w:color w:val="auto"/>
              </w:rPr>
            </w:pPr>
          </w:p>
        </w:tc>
        <w:tc>
          <w:tcPr>
            <w:tcW w:w="8980" w:type="dxa"/>
            <w:vAlign w:val="bottom"/>
            <w:tcBorders>
              <w:bottom w:val="single" w:sz="8" w:color="9A9A9A"/>
            </w:tcBorders>
          </w:tcPr>
          <w:p>
            <w:pPr>
              <w:spacing w:after="0"/>
              <w:rPr>
                <w:sz w:val="10"/>
                <w:szCs w:val="10"/>
                <w:color w:val="auto"/>
              </w:rPr>
            </w:pPr>
          </w:p>
        </w:tc>
      </w:tr>
      <w:tr>
        <w:trPr>
          <w:trHeight w:val="311"/>
        </w:trPr>
        <w:tc>
          <w:tcPr>
            <w:tcW w:w="2440" w:type="dxa"/>
            <w:vAlign w:val="bottom"/>
            <w:gridSpan w:val="2"/>
          </w:tcPr>
          <w:p>
            <w:pPr>
              <w:spacing w:after="0"/>
              <w:rPr>
                <w:rFonts w:ascii="Times New Roman" w:cs="Times New Roman" w:eastAsia="Times New Roman" w:hAnsi="Times New Roman"/>
                <w:sz w:val="22"/>
                <w:szCs w:val="22"/>
                <w:color w:val="0000EE"/>
              </w:rPr>
            </w:pPr>
            <w:hyperlink w:anchor="page2">
              <w:r>
                <w:rPr>
                  <w:rFonts w:ascii="Times New Roman" w:cs="Times New Roman" w:eastAsia="Times New Roman" w:hAnsi="Times New Roman"/>
                  <w:sz w:val="22"/>
                  <w:szCs w:val="22"/>
                  <w:color w:val="0000EE"/>
                </w:rPr>
                <w:t>Table of Contents</w:t>
              </w:r>
            </w:hyperlink>
          </w:p>
        </w:tc>
        <w:tc>
          <w:tcPr>
            <w:tcW w:w="8980" w:type="dxa"/>
            <w:vAlign w:val="bottom"/>
          </w:tcPr>
          <w:p>
            <w:pPr>
              <w:spacing w:after="0"/>
              <w:rPr>
                <w:sz w:val="24"/>
                <w:szCs w:val="24"/>
                <w:color w:val="auto"/>
              </w:rPr>
            </w:pPr>
          </w:p>
        </w:tc>
      </w:tr>
      <w:tr>
        <w:trPr>
          <w:trHeight w:val="20"/>
        </w:trPr>
        <w:tc>
          <w:tcPr>
            <w:tcW w:w="1540" w:type="dxa"/>
            <w:vAlign w:val="bottom"/>
            <w:shd w:val="clear" w:color="auto" w:fill="0000EE"/>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9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-5174615</wp:posOffset>
            </wp:positionV>
            <wp:extent cx="3429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-5174615</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7230110</wp:posOffset>
            </wp:positionH>
            <wp:positionV relativeFrom="paragraph">
              <wp:posOffset>-234950</wp:posOffset>
            </wp:positionV>
            <wp:extent cx="3429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-234950</wp:posOffset>
            </wp:positionV>
            <wp:extent cx="3429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420"/>
          </w:cols>
          <w:pgMar w:left="240" w:top="121" w:right="239" w:bottom="49" w:gutter="0" w:footer="0" w:header="0"/>
        </w:sectPr>
      </w:pPr>
    </w:p>
    <w:bookmarkStart w:id="4" w:name="page5"/>
    <w:bookmarkEnd w:id="4"/>
    <w:p>
      <w:pPr>
        <w:jc w:val="cente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ITEM 1 —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OPERATIONS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80" w:type="dxa"/>
            <w:vAlign w:val="bottom"/>
            <w:gridSpan w:val="4"/>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00" w:type="dxa"/>
            <w:vAlign w:val="bottom"/>
            <w:gridSpan w:val="4"/>
          </w:tcPr>
          <w:p>
            <w:pPr>
              <w:jc w:val="right"/>
              <w:ind w:right="410"/>
              <w:spacing w:after="0"/>
              <w:rPr>
                <w:sz w:val="20"/>
                <w:szCs w:val="20"/>
                <w:color w:val="auto"/>
              </w:rPr>
            </w:pPr>
            <w:r>
              <w:rPr>
                <w:rFonts w:ascii="Times New Roman" w:cs="Times New Roman" w:eastAsia="Times New Roman" w:hAnsi="Times New Roman"/>
                <w:sz w:val="16"/>
                <w:szCs w:val="16"/>
                <w:b w:val="1"/>
                <w:bCs w:val="1"/>
                <w:color w:val="auto"/>
              </w:rPr>
              <w:t>Nine months ended</w:t>
            </w: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80" w:type="dxa"/>
            <w:vAlign w:val="bottom"/>
            <w:tcBorders>
              <w:bottom w:val="single" w:sz="8" w:color="auto"/>
            </w:tcBorders>
            <w:gridSpan w:val="4"/>
          </w:tcPr>
          <w:p>
            <w:pPr>
              <w:jc w:val="right"/>
              <w:ind w:right="63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2100" w:type="dxa"/>
            <w:vAlign w:val="bottom"/>
            <w:tcBorders>
              <w:bottom w:val="single" w:sz="8" w:color="auto"/>
            </w:tcBorders>
            <w:gridSpan w:val="4"/>
          </w:tcPr>
          <w:p>
            <w:pPr>
              <w:jc w:val="right"/>
              <w:ind w:right="59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13"/>
        </w:trPr>
        <w:tc>
          <w:tcPr>
            <w:tcW w:w="64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 except per share amounts)</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0"/>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operating revenues</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296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292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797</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4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0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operations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285</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losses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Development costs</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579</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218</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 net</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expense, net</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Pre-acquisition net income of Drop Down Assets</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 Excluding Pre-acquisition Net Income of Drop Down Assets</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Income (Loss) attributable to noncontrolling interests</w:t>
            </w:r>
          </w:p>
        </w:tc>
        <w:tc>
          <w:tcPr>
            <w:tcW w:w="1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210"/>
        </w:trPr>
        <w:tc>
          <w:tcPr>
            <w:tcW w:w="6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Net Income (Loss) Attributable to Clearway Energy, Inc.</w:t>
            </w: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39</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20" w:type="dxa"/>
            <w:vAlign w:val="bottom"/>
          </w:tcPr>
          <w:p>
            <w:pPr>
              <w:spacing w:after="0"/>
              <w:rPr>
                <w:sz w:val="15"/>
                <w:szCs w:val="15"/>
                <w:color w:val="auto"/>
              </w:rPr>
            </w:pPr>
          </w:p>
        </w:tc>
        <w:tc>
          <w:tcPr>
            <w:tcW w:w="6380" w:type="dxa"/>
            <w:vAlign w:val="bottom"/>
            <w:shd w:val="clear" w:color="auto" w:fill="CCEEFF"/>
          </w:tcPr>
          <w:p>
            <w:pPr>
              <w:ind w:left="160"/>
              <w:spacing w:after="0" w:line="175" w:lineRule="exact"/>
              <w:rPr>
                <w:sz w:val="20"/>
                <w:szCs w:val="20"/>
                <w:color w:val="auto"/>
              </w:rPr>
            </w:pPr>
            <w:r>
              <w:rPr>
                <w:rFonts w:ascii="Times New Roman" w:cs="Times New Roman" w:eastAsia="Times New Roman" w:hAnsi="Times New Roman"/>
                <w:sz w:val="18"/>
                <w:szCs w:val="18"/>
                <w:b w:val="1"/>
                <w:bCs w:val="1"/>
                <w:color w:val="auto"/>
              </w:rPr>
              <w:t>Earnings Per Share Attributable to Clearway Energy, Inc. Class A and Class C</w:t>
            </w:r>
          </w:p>
        </w:tc>
        <w:tc>
          <w:tcPr>
            <w:tcW w:w="14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b w:val="1"/>
                <w:bCs w:val="1"/>
                <w:color w:val="auto"/>
              </w:rPr>
              <w:t>Common Stockholders</w:t>
            </w:r>
          </w:p>
        </w:tc>
        <w:tc>
          <w:tcPr>
            <w:tcW w:w="14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8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number of Class A common shares outstanding - basic and diluted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Weighted average number of Class C common shares outstanding - basic</w:t>
            </w:r>
          </w:p>
        </w:tc>
        <w:tc>
          <w:tcPr>
            <w:tcW w:w="1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Weighted average number of Class C common shares outstanding - diluted</w:t>
            </w:r>
          </w:p>
        </w:tc>
        <w:tc>
          <w:tcPr>
            <w:tcW w:w="1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38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Earnings (Losses) per Weighted Average Class A and Class C Common Share -</w:t>
            </w: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vMerge w:val="restart"/>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0.36</w:t>
            </w: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36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3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18"/>
        </w:trPr>
        <w:tc>
          <w:tcPr>
            <w:tcW w:w="20" w:type="dxa"/>
            <w:vAlign w:val="bottom"/>
          </w:tcPr>
          <w:p>
            <w:pPr>
              <w:spacing w:after="0"/>
              <w:rPr>
                <w:sz w:val="18"/>
                <w:szCs w:val="18"/>
                <w:color w:val="auto"/>
              </w:rPr>
            </w:pPr>
          </w:p>
        </w:tc>
        <w:tc>
          <w:tcPr>
            <w:tcW w:w="638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Basic</w:t>
            </w:r>
          </w:p>
        </w:tc>
        <w:tc>
          <w:tcPr>
            <w:tcW w:w="380" w:type="dxa"/>
            <w:vAlign w:val="bottom"/>
            <w:gridSpan w:val="2"/>
            <w:vMerge w:val="continue"/>
            <w:shd w:val="clear" w:color="auto" w:fill="CCEEFF"/>
          </w:tcPr>
          <w:p>
            <w:pPr>
              <w:spacing w:after="0"/>
              <w:rPr>
                <w:sz w:val="18"/>
                <w:szCs w:val="18"/>
                <w:color w:val="auto"/>
              </w:rPr>
            </w:pPr>
          </w:p>
        </w:tc>
        <w:tc>
          <w:tcPr>
            <w:tcW w:w="92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36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340" w:type="dxa"/>
            <w:vAlign w:val="bottom"/>
            <w:gridSpan w:val="2"/>
            <w:vMerge w:val="continue"/>
            <w:shd w:val="clear" w:color="auto" w:fill="CCEEFF"/>
          </w:tcPr>
          <w:p>
            <w:pPr>
              <w:spacing w:after="0"/>
              <w:rPr>
                <w:sz w:val="18"/>
                <w:szCs w:val="18"/>
                <w:color w:val="auto"/>
              </w:rPr>
            </w:pPr>
          </w:p>
        </w:tc>
        <w:tc>
          <w:tcPr>
            <w:tcW w:w="88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64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(Losses) per Weighted Average Class A Common Share - Diluted</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380" w:type="dxa"/>
            <w:vAlign w:val="bottom"/>
            <w:tcBorders>
              <w:bottom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Earnings (Losses) per Weighted Average Class C Common Share - Diluted</w:t>
            </w:r>
          </w:p>
        </w:tc>
        <w:tc>
          <w:tcPr>
            <w:tcW w:w="1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20" w:type="dxa"/>
            <w:vAlign w:val="bottom"/>
            <w:tcBorders>
              <w:bottom w:val="single" w:sz="8" w:color="auto"/>
            </w:tcBorders>
            <w:shd w:val="clear" w:color="auto" w:fill="CCEEFF"/>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0.36</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0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spacing w:after="0" w:line="196" w:lineRule="exact"/>
              <w:rPr>
                <w:sz w:val="20"/>
                <w:szCs w:val="20"/>
                <w:color w:val="auto"/>
              </w:rPr>
            </w:pPr>
            <w:r>
              <w:rPr>
                <w:rFonts w:ascii="Times New Roman" w:cs="Times New Roman" w:eastAsia="Times New Roman" w:hAnsi="Times New Roman"/>
                <w:sz w:val="18"/>
                <w:szCs w:val="18"/>
                <w:color w:val="auto"/>
              </w:rPr>
              <w:t>(0.04)</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880" w:type="dxa"/>
            <w:vAlign w:val="bottom"/>
            <w:tcBorders>
              <w:bottom w:val="single" w:sz="8" w:color="auto"/>
            </w:tcBorders>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7"/>
        </w:trPr>
        <w:tc>
          <w:tcPr>
            <w:tcW w:w="640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Dividends Per Class A Common Share</w:t>
            </w:r>
          </w:p>
        </w:tc>
        <w:tc>
          <w:tcPr>
            <w:tcW w:w="14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638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Dividends Per Class C Common Share</w:t>
            </w:r>
          </w:p>
        </w:tc>
        <w:tc>
          <w:tcPr>
            <w:tcW w:w="38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0.20</w:t>
            </w:r>
          </w:p>
        </w:tc>
        <w:tc>
          <w:tcPr>
            <w:tcW w:w="36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0.32</w:t>
            </w:r>
          </w:p>
        </w:tc>
        <w:tc>
          <w:tcPr>
            <w:tcW w:w="36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31"/>
              <w:spacing w:after="0" w:line="196" w:lineRule="exact"/>
              <w:rPr>
                <w:sz w:val="20"/>
                <w:szCs w:val="20"/>
                <w:color w:val="auto"/>
              </w:rPr>
            </w:pPr>
            <w:r>
              <w:rPr>
                <w:rFonts w:ascii="Times New Roman" w:cs="Times New Roman" w:eastAsia="Times New Roman" w:hAnsi="Times New Roman"/>
                <w:sz w:val="18"/>
                <w:szCs w:val="18"/>
                <w:color w:val="auto"/>
              </w:rPr>
              <w:t>0.60</w:t>
            </w:r>
          </w:p>
        </w:tc>
        <w:tc>
          <w:tcPr>
            <w:tcW w:w="340" w:type="dxa"/>
            <w:vAlign w:val="bottom"/>
            <w:gridSpan w:val="2"/>
            <w:shd w:val="clear" w:color="auto" w:fill="CCEEFF"/>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line="196" w:lineRule="exact"/>
              <w:rPr>
                <w:sz w:val="20"/>
                <w:szCs w:val="20"/>
                <w:color w:val="auto"/>
              </w:rPr>
            </w:pPr>
            <w:r>
              <w:rPr>
                <w:rFonts w:ascii="Times New Roman" w:cs="Times New Roman" w:eastAsia="Times New Roman" w:hAnsi="Times New Roman"/>
                <w:sz w:val="18"/>
                <w:szCs w:val="18"/>
                <w:color w:val="auto"/>
              </w:rPr>
              <w:t>0.927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(LOSS) INCOME</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6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320" w:type="dxa"/>
            <w:vAlign w:val="bottom"/>
            <w:gridSpan w:val="5"/>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Three months ended September</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40" w:type="dxa"/>
            <w:vAlign w:val="bottom"/>
            <w:gridSpan w:val="5"/>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Nine months ended September</w:t>
            </w:r>
          </w:p>
        </w:tc>
      </w:tr>
      <w:tr>
        <w:trPr>
          <w:trHeight w:val="212"/>
        </w:trPr>
        <w:tc>
          <w:tcPr>
            <w:tcW w:w="20" w:type="dxa"/>
            <w:vAlign w:val="bottom"/>
          </w:tcPr>
          <w:p>
            <w:pPr>
              <w:spacing w:after="0"/>
              <w:rPr>
                <w:sz w:val="18"/>
                <w:szCs w:val="18"/>
                <w:color w:val="auto"/>
              </w:rPr>
            </w:pPr>
          </w:p>
        </w:tc>
        <w:tc>
          <w:tcPr>
            <w:tcW w:w="65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9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gridSpan w:val="3"/>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w w:val="89"/>
              </w:rPr>
              <w:t>30,</w:t>
            </w:r>
          </w:p>
        </w:tc>
        <w:tc>
          <w:tcPr>
            <w:tcW w:w="880" w:type="dxa"/>
            <w:vAlign w:val="bottom"/>
            <w:tcBorders>
              <w:bottom w:val="single" w:sz="8" w:color="auto"/>
            </w:tcBorders>
          </w:tcPr>
          <w:p>
            <w:pPr>
              <w:spacing w:after="0"/>
              <w:rPr>
                <w:sz w:val="18"/>
                <w:szCs w:val="18"/>
                <w:color w:val="auto"/>
              </w:rPr>
            </w:pPr>
          </w:p>
        </w:tc>
      </w:tr>
      <w:tr>
        <w:trPr>
          <w:trHeight w:val="202"/>
        </w:trPr>
        <w:tc>
          <w:tcPr>
            <w:tcW w:w="65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4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Comprehensive (Loss) Gain</w:t>
            </w: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Unrealized (loss) gain on derivatives, net of income tax benefit of $0, $1, $0 and $4</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20" w:type="dxa"/>
            <w:vAlign w:val="bottom"/>
          </w:tcPr>
          <w:p>
            <w:pPr>
              <w:spacing w:after="0"/>
              <w:rPr>
                <w:sz w:val="18"/>
                <w:szCs w:val="18"/>
                <w:color w:val="auto"/>
              </w:rPr>
            </w:pPr>
          </w:p>
        </w:tc>
        <w:tc>
          <w:tcPr>
            <w:tcW w:w="652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(loss) gain</w:t>
            </w:r>
          </w:p>
        </w:tc>
        <w:tc>
          <w:tcPr>
            <w:tcW w:w="10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30</w:t>
            </w:r>
          </w:p>
        </w:tc>
      </w:tr>
      <w:tr>
        <w:trPr>
          <w:trHeight w:val="210"/>
        </w:trPr>
        <w:tc>
          <w:tcPr>
            <w:tcW w:w="20" w:type="dxa"/>
            <w:vAlign w:val="bottom"/>
          </w:tcPr>
          <w:p>
            <w:pPr>
              <w:spacing w:after="0"/>
              <w:rPr>
                <w:sz w:val="18"/>
                <w:szCs w:val="18"/>
                <w:color w:val="auto"/>
              </w:rPr>
            </w:pPr>
          </w:p>
        </w:tc>
        <w:tc>
          <w:tcPr>
            <w:tcW w:w="6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w:t>
            </w:r>
          </w:p>
        </w:tc>
        <w:tc>
          <w:tcPr>
            <w:tcW w:w="10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175</w:t>
            </w:r>
          </w:p>
        </w:tc>
      </w:tr>
      <w:tr>
        <w:trPr>
          <w:trHeight w:val="216"/>
        </w:trPr>
        <w:tc>
          <w:tcPr>
            <w:tcW w:w="20" w:type="dxa"/>
            <w:vAlign w:val="bottom"/>
          </w:tcPr>
          <w:p>
            <w:pPr>
              <w:spacing w:after="0"/>
              <w:rPr>
                <w:sz w:val="18"/>
                <w:szCs w:val="18"/>
                <w:color w:val="auto"/>
              </w:rPr>
            </w:pPr>
          </w:p>
        </w:tc>
        <w:tc>
          <w:tcPr>
            <w:tcW w:w="65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Pre-acquisition net income of Drop Down Assets</w:t>
            </w:r>
          </w:p>
        </w:tc>
        <w:tc>
          <w:tcPr>
            <w:tcW w:w="10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6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Comprehensive (loss) income attributable to noncontrolling interests</w:t>
            </w:r>
          </w:p>
        </w:tc>
        <w:tc>
          <w:tcPr>
            <w:tcW w:w="10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6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6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r>
      <w:tr>
        <w:trPr>
          <w:trHeight w:val="210"/>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Comprehensive Income (Loss) Attributable to Clearway Energy, Inc.</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42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40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130</w:t>
            </w:r>
          </w:p>
        </w:tc>
      </w:tr>
      <w:tr>
        <w:trPr>
          <w:trHeight w:val="20"/>
        </w:trPr>
        <w:tc>
          <w:tcPr>
            <w:tcW w:w="20" w:type="dxa"/>
            <w:vAlign w:val="bottom"/>
          </w:tcPr>
          <w:p>
            <w:pPr>
              <w:spacing w:after="0" w:line="20" w:lineRule="exact"/>
              <w:rPr>
                <w:sz w:val="1"/>
                <w:szCs w:val="1"/>
                <w:color w:val="auto"/>
              </w:rPr>
            </w:pPr>
          </w:p>
        </w:tc>
        <w:tc>
          <w:tcPr>
            <w:tcW w:w="6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420"/>
          </w:cols>
          <w:pgMar w:left="240" w:top="117" w:right="239" w:bottom="0" w:gutter="0" w:footer="0" w:header="0"/>
        </w:sectPr>
      </w:pPr>
    </w:p>
    <w:p>
      <w:pPr>
        <w:jc w:val="center"/>
        <w:ind w:right="-19"/>
        <w:spacing w:after="0"/>
        <w:rPr>
          <w:sz w:val="20"/>
          <w:szCs w:val="20"/>
          <w:color w:val="auto"/>
        </w:rPr>
      </w:pPr>
      <w:r>
        <w:rPr>
          <w:rFonts w:ascii="Times New Roman" w:cs="Times New Roman" w:eastAsia="Times New Roman" w:hAnsi="Times New Roman"/>
          <w:sz w:val="17"/>
          <w:szCs w:val="17"/>
          <w:color w:val="auto"/>
        </w:rPr>
        <w:t>See accompanying notes to consolidated financial statements.</w:t>
      </w:r>
    </w:p>
    <w:p>
      <w:pPr>
        <w:sectPr>
          <w:pgSz w:w="11900" w:h="16838" w:orient="portrait"/>
          <w:cols w:equalWidth="0" w:num="1">
            <w:col w:w="11420"/>
          </w:cols>
          <w:pgMar w:left="240" w:top="117" w:right="239" w:bottom="0" w:gutter="0" w:footer="0" w:header="0"/>
          <w:type w:val="continuous"/>
        </w:sectPr>
      </w:pPr>
    </w:p>
    <w:bookmarkStart w:id="5" w:name="page6"/>
    <w:bookmarkEnd w:id="5"/>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81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 except shares)</w:t>
            </w:r>
          </w:p>
        </w:tc>
        <w:tc>
          <w:tcPr>
            <w:tcW w:w="162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00" w:type="dxa"/>
            <w:vAlign w:val="bottom"/>
          </w:tcPr>
          <w:p>
            <w:pPr>
              <w:spacing w:after="0"/>
              <w:rPr>
                <w:sz w:val="18"/>
                <w:szCs w:val="18"/>
                <w:color w:val="auto"/>
              </w:rPr>
            </w:pPr>
          </w:p>
        </w:tc>
        <w:tc>
          <w:tcPr>
            <w:tcW w:w="158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208"/>
        </w:trPr>
        <w:tc>
          <w:tcPr>
            <w:tcW w:w="20" w:type="dxa"/>
            <w:vAlign w:val="bottom"/>
          </w:tcPr>
          <w:p>
            <w:pPr>
              <w:spacing w:after="0"/>
              <w:rPr>
                <w:sz w:val="18"/>
                <w:szCs w:val="18"/>
                <w:color w:val="auto"/>
              </w:rPr>
            </w:pPr>
          </w:p>
        </w:tc>
        <w:tc>
          <w:tcPr>
            <w:tcW w:w="8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6"/>
                <w:szCs w:val="16"/>
                <w:b w:val="1"/>
                <w:bCs w:val="1"/>
                <w:color w:val="auto"/>
              </w:rPr>
              <w:t>(unaudited)</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r>
      <w:tr>
        <w:trPr>
          <w:trHeight w:val="211"/>
        </w:trPr>
        <w:tc>
          <w:tcPr>
            <w:tcW w:w="20" w:type="dxa"/>
            <w:vAlign w:val="bottom"/>
          </w:tcPr>
          <w:p>
            <w:pPr>
              <w:spacing w:after="0"/>
              <w:rPr>
                <w:sz w:val="18"/>
                <w:szCs w:val="18"/>
                <w:color w:val="auto"/>
              </w:rPr>
            </w:pPr>
          </w:p>
        </w:tc>
        <w:tc>
          <w:tcPr>
            <w:tcW w:w="8100" w:type="dxa"/>
            <w:vAlign w:val="bottom"/>
            <w:shd w:val="clear" w:color="auto" w:fill="CCEEFF"/>
          </w:tcPr>
          <w:p>
            <w:pPr>
              <w:ind w:left="3660"/>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Assets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148</w:t>
            </w:r>
          </w:p>
        </w:tc>
        <w:tc>
          <w:tcPr>
            <w:tcW w:w="680" w:type="dxa"/>
            <w:vAlign w:val="bottom"/>
            <w:gridSpan w:val="2"/>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407</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176</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receivable — trade</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104</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receivable — affiliate</w:t>
            </w: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Inventory</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Prepayments and other current assets</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34</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20" w:type="dxa"/>
            <w:vAlign w:val="bottom"/>
          </w:tcPr>
          <w:p>
            <w:pPr>
              <w:spacing w:after="0"/>
              <w:rPr>
                <w:sz w:val="18"/>
                <w:szCs w:val="18"/>
                <w:color w:val="auto"/>
              </w:rPr>
            </w:pPr>
          </w:p>
        </w:tc>
        <w:tc>
          <w:tcPr>
            <w:tcW w:w="81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current assets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619</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756</w:t>
            </w: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Property, plant and equipment, net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5,562</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5,245</w:t>
            </w: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Assets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investments in affiliates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1,181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1,172</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Intangible assets, net</w:t>
            </w: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1,103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1,156</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Deferred income taxes</w:t>
            </w: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Right of use assets, net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191</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non-current assets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109</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106</w:t>
            </w: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other assets</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2,657</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2,499</w:t>
            </w:r>
          </w:p>
        </w:tc>
      </w:tr>
      <w:tr>
        <w:trPr>
          <w:trHeight w:val="210"/>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8,838</w:t>
            </w:r>
          </w:p>
        </w:tc>
        <w:tc>
          <w:tcPr>
            <w:tcW w:w="680" w:type="dxa"/>
            <w:vAlign w:val="bottom"/>
            <w:gridSpan w:val="2"/>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8,500</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8100" w:type="dxa"/>
            <w:vAlign w:val="bottom"/>
            <w:shd w:val="clear" w:color="auto" w:fill="CCEEFF"/>
          </w:tcPr>
          <w:p>
            <w:pPr>
              <w:ind w:left="2020"/>
              <w:spacing w:after="0" w:line="196" w:lineRule="exact"/>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22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Current Liabilities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Current portion of long-term debt</w:t>
            </w:r>
          </w:p>
        </w:tc>
        <w:tc>
          <w:tcPr>
            <w:tcW w:w="22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1,965</w:t>
            </w:r>
          </w:p>
        </w:tc>
        <w:tc>
          <w:tcPr>
            <w:tcW w:w="680" w:type="dxa"/>
            <w:vAlign w:val="bottom"/>
            <w:gridSpan w:val="2"/>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535</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Accounts payable — trade</w:t>
            </w: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45</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Accounts payable — affiliate</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Accrued interest expense</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49</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44</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57</w:t>
            </w: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2,246</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704</w:t>
            </w: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Liabilities</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debt</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4,143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5,447</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instruments</w:t>
            </w:r>
          </w:p>
        </w:tc>
        <w:tc>
          <w:tcPr>
            <w:tcW w:w="220" w:type="dxa"/>
            <w:vAlign w:val="bottom"/>
          </w:tcPr>
          <w:p>
            <w:pPr>
              <w:spacing w:after="0"/>
              <w:rPr>
                <w:sz w:val="18"/>
                <w:szCs w:val="18"/>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Long-term lease liabilities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193</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non-current liabilities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108</w:t>
            </w: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Total non-current liabilities</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4,546</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5,572</w:t>
            </w:r>
          </w:p>
        </w:tc>
      </w:tr>
      <w:tr>
        <w:trPr>
          <w:trHeight w:val="210"/>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6,792</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6,276</w:t>
            </w:r>
          </w:p>
        </w:tc>
      </w:tr>
      <w:tr>
        <w:trPr>
          <w:trHeight w:val="210"/>
        </w:trPr>
        <w:tc>
          <w:tcPr>
            <w:tcW w:w="20" w:type="dxa"/>
            <w:vAlign w:val="bottom"/>
          </w:tcPr>
          <w:p>
            <w:pPr>
              <w:spacing w:after="0"/>
              <w:rPr>
                <w:sz w:val="18"/>
                <w:szCs w:val="18"/>
                <w:color w:val="auto"/>
              </w:rPr>
            </w:pPr>
          </w:p>
        </w:tc>
        <w:tc>
          <w:tcPr>
            <w:tcW w:w="81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Commitments and Contingencies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Preferred stock, $0.01 par value; 10,000,000 shares authorized; none issued</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198"/>
        </w:trPr>
        <w:tc>
          <w:tcPr>
            <w:tcW w:w="20" w:type="dxa"/>
            <w:vAlign w:val="bottom"/>
          </w:tcPr>
          <w:p>
            <w:pPr>
              <w:spacing w:after="0"/>
              <w:rPr>
                <w:sz w:val="17"/>
                <w:szCs w:val="17"/>
                <w:color w:val="auto"/>
              </w:rPr>
            </w:pPr>
          </w:p>
        </w:tc>
        <w:tc>
          <w:tcPr>
            <w:tcW w:w="810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Class A, Class B, Class C and Class D common stock, $0.01 par value; 3,000,000,000 shares authorized</w:t>
            </w:r>
          </w:p>
        </w:tc>
        <w:tc>
          <w:tcPr>
            <w:tcW w:w="22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A 500,000,000, Class B 500,000,000, Class C 1,000,000,000, Class D 1,000,000,000); 193,413,843</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shares issued and outstanding (Class A 34,599,645, Class B 42,738,750, Class C 73,336,698, Class D</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42,738,750) at September 30, 2019 and 193,251,396 shares issued and outstanding (Class A 34,586,250,</w:t>
            </w:r>
          </w:p>
        </w:tc>
        <w:tc>
          <w:tcPr>
            <w:tcW w:w="22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Class B 42,738,750, Class C 73,187,646, Class D 42,738,750) at December 31, 2018</w:t>
            </w:r>
          </w:p>
        </w:tc>
        <w:tc>
          <w:tcPr>
            <w:tcW w:w="220" w:type="dxa"/>
            <w:vAlign w:val="bottom"/>
          </w:tcPr>
          <w:p>
            <w:pPr>
              <w:spacing w:after="0"/>
              <w:rPr>
                <w:sz w:val="20"/>
                <w:szCs w:val="20"/>
                <w:color w:val="auto"/>
              </w:rPr>
            </w:pP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1,897</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Accumulated deficit</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20" w:type="dxa"/>
            <w:vAlign w:val="bottom"/>
          </w:tcPr>
          <w:p>
            <w:pPr>
              <w:spacing w:after="0"/>
              <w:rPr>
                <w:sz w:val="18"/>
                <w:szCs w:val="18"/>
                <w:color w:val="auto"/>
              </w:rPr>
            </w:pPr>
          </w:p>
        </w:tc>
        <w:tc>
          <w:tcPr>
            <w:tcW w:w="81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20" w:type="dxa"/>
            <w:vAlign w:val="bottom"/>
          </w:tcPr>
          <w:p>
            <w:pPr>
              <w:spacing w:after="0"/>
              <w:rPr>
                <w:sz w:val="18"/>
                <w:szCs w:val="18"/>
                <w:color w:val="auto"/>
              </w:rPr>
            </w:pPr>
          </w:p>
        </w:tc>
        <w:tc>
          <w:tcPr>
            <w:tcW w:w="81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2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402</w:t>
            </w:r>
          </w:p>
        </w:tc>
      </w:tr>
      <w:tr>
        <w:trPr>
          <w:trHeight w:val="210"/>
        </w:trPr>
        <w:tc>
          <w:tcPr>
            <w:tcW w:w="20" w:type="dxa"/>
            <w:vAlign w:val="bottom"/>
          </w:tcPr>
          <w:p>
            <w:pPr>
              <w:spacing w:after="0"/>
              <w:rPr>
                <w:sz w:val="18"/>
                <w:szCs w:val="18"/>
                <w:color w:val="auto"/>
              </w:rPr>
            </w:pPr>
          </w:p>
        </w:tc>
        <w:tc>
          <w:tcPr>
            <w:tcW w:w="8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2,224</w:t>
            </w:r>
          </w:p>
        </w:tc>
      </w:tr>
      <w:tr>
        <w:trPr>
          <w:trHeight w:val="210"/>
        </w:trPr>
        <w:tc>
          <w:tcPr>
            <w:tcW w:w="812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Liabilities and Stockholders' Equity</w:t>
            </w:r>
          </w:p>
        </w:tc>
        <w:tc>
          <w:tcPr>
            <w:tcW w:w="22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8,838</w:t>
            </w:r>
          </w:p>
        </w:tc>
        <w:tc>
          <w:tcPr>
            <w:tcW w:w="680" w:type="dxa"/>
            <w:vAlign w:val="bottom"/>
            <w:gridSpan w:val="2"/>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8,500</w:t>
            </w:r>
          </w:p>
        </w:tc>
      </w:tr>
      <w:tr>
        <w:trPr>
          <w:trHeight w:val="20"/>
        </w:trPr>
        <w:tc>
          <w:tcPr>
            <w:tcW w:w="20" w:type="dxa"/>
            <w:vAlign w:val="bottom"/>
          </w:tcPr>
          <w:p>
            <w:pPr>
              <w:spacing w:after="0" w:line="20" w:lineRule="exact"/>
              <w:rPr>
                <w:sz w:val="1"/>
                <w:szCs w:val="1"/>
                <w:color w:val="auto"/>
              </w:rPr>
            </w:pPr>
          </w:p>
        </w:tc>
        <w:tc>
          <w:tcPr>
            <w:tcW w:w="8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ectPr>
          <w:pgSz w:w="11900" w:h="16838" w:orient="portrait"/>
          <w:cols w:equalWidth="0" w:num="1">
            <w:col w:w="11420"/>
          </w:cols>
          <w:pgMar w:left="240" w:top="337" w:right="239" w:bottom="0" w:gutter="0" w:footer="0" w:header="0"/>
        </w:sectPr>
      </w:pPr>
    </w:p>
    <w:bookmarkStart w:id="6" w:name="page7"/>
    <w:bookmarkEnd w:id="6"/>
    <w:p>
      <w:pPr>
        <w:spacing w:after="0" w:line="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CASH FLOWS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39"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8340" w:type="dxa"/>
            <w:vAlign w:val="bottom"/>
          </w:tcPr>
          <w:p>
            <w:pPr>
              <w:spacing w:after="0"/>
              <w:rPr>
                <w:sz w:val="18"/>
                <w:szCs w:val="18"/>
                <w:color w:val="auto"/>
              </w:rPr>
            </w:pPr>
          </w:p>
        </w:tc>
        <w:tc>
          <w:tcPr>
            <w:tcW w:w="2480" w:type="dxa"/>
            <w:vAlign w:val="bottom"/>
            <w:tcBorders>
              <w:bottom w:val="single" w:sz="8" w:color="auto"/>
            </w:tcBorders>
            <w:gridSpan w:val="5"/>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8340" w:type="dxa"/>
            <w:vAlign w:val="bottom"/>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390"/>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0"/>
        </w:trPr>
        <w:tc>
          <w:tcPr>
            <w:tcW w:w="8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gridSpan w:val="3"/>
          </w:tcPr>
          <w:p>
            <w:pPr>
              <w:jc w:val="right"/>
              <w:ind w:right="4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840" w:type="dxa"/>
            <w:vAlign w:val="bottom"/>
          </w:tcPr>
          <w:p>
            <w:pPr>
              <w:spacing w:after="0"/>
              <w:rPr>
                <w:sz w:val="18"/>
                <w:szCs w:val="18"/>
                <w:color w:val="auto"/>
              </w:rPr>
            </w:pPr>
          </w:p>
        </w:tc>
      </w:tr>
      <w:tr>
        <w:trPr>
          <w:trHeight w:val="218"/>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(loss) income</w:t>
            </w:r>
          </w:p>
        </w:tc>
        <w:tc>
          <w:tcPr>
            <w:tcW w:w="72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145</w:t>
            </w:r>
          </w:p>
        </w:tc>
      </w:tr>
      <w:tr>
        <w:trPr>
          <w:trHeight w:val="216"/>
        </w:trPr>
        <w:tc>
          <w:tcPr>
            <w:tcW w:w="83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8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7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w:t>
            </w:r>
          </w:p>
        </w:tc>
      </w:tr>
      <w:tr>
        <w:trPr>
          <w:trHeight w:val="216"/>
        </w:trPr>
        <w:tc>
          <w:tcPr>
            <w:tcW w:w="8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Distributions from unconsolidated affiliates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58</w:t>
            </w:r>
          </w:p>
        </w:tc>
      </w:tr>
      <w:tr>
        <w:trPr>
          <w:trHeight w:val="216"/>
        </w:trPr>
        <w:tc>
          <w:tcPr>
            <w:tcW w:w="8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72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247</w:t>
            </w:r>
          </w:p>
        </w:tc>
      </w:tr>
      <w:tr>
        <w:trPr>
          <w:trHeight w:val="216"/>
        </w:trPr>
        <w:tc>
          <w:tcPr>
            <w:tcW w:w="8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Right of use asset amortization</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Amortization of financing costs and debt discounts</w:t>
            </w:r>
          </w:p>
        </w:tc>
        <w:tc>
          <w:tcPr>
            <w:tcW w:w="72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8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Amortization of intangibles and out-of-market contracts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8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Adjustment for debt extinguishment</w:t>
            </w:r>
          </w:p>
        </w:tc>
        <w:tc>
          <w:tcPr>
            <w:tcW w:w="72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Impairment losses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deferred income taxes</w:t>
            </w:r>
          </w:p>
        </w:tc>
        <w:tc>
          <w:tcPr>
            <w:tcW w:w="7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8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derivative instruments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6"/>
        </w:trPr>
        <w:tc>
          <w:tcPr>
            <w:tcW w:w="8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Loss (gain) on disposal of asset components</w:t>
            </w:r>
          </w:p>
        </w:tc>
        <w:tc>
          <w:tcPr>
            <w:tcW w:w="72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8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Changes in prepaid and accrued liabilities for tolling agreements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16"/>
        </w:trPr>
        <w:tc>
          <w:tcPr>
            <w:tcW w:w="8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Changes in other working capital</w:t>
            </w: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w:t>
            </w:r>
          </w:p>
        </w:tc>
      </w:tr>
      <w:tr>
        <w:trPr>
          <w:trHeight w:val="210"/>
        </w:trPr>
        <w:tc>
          <w:tcPr>
            <w:tcW w:w="8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Cash Provided by Operating Activities</w:t>
            </w:r>
          </w:p>
        </w:tc>
        <w:tc>
          <w:tcPr>
            <w:tcW w:w="7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374</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396</w:t>
            </w:r>
          </w:p>
        </w:tc>
      </w:tr>
      <w:tr>
        <w:trPr>
          <w:trHeight w:val="210"/>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Flows from Investing Activities</w:t>
            </w:r>
          </w:p>
        </w:tc>
        <w:tc>
          <w:tcPr>
            <w:tcW w:w="7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spacing w:after="0"/>
              <w:rPr>
                <w:sz w:val="18"/>
                <w:szCs w:val="18"/>
                <w:color w:val="auto"/>
              </w:rPr>
            </w:pPr>
          </w:p>
        </w:tc>
      </w:tr>
      <w:tr>
        <w:trPr>
          <w:trHeight w:val="216"/>
        </w:trPr>
        <w:tc>
          <w:tcPr>
            <w:tcW w:w="8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Acquisitions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8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Partnership interests acquisition</w:t>
            </w:r>
          </w:p>
        </w:tc>
        <w:tc>
          <w:tcPr>
            <w:tcW w:w="7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Acquisition of the Drop Down Assets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8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Buyout of Wind TE Holdco non-controlling interest</w:t>
            </w:r>
          </w:p>
        </w:tc>
        <w:tc>
          <w:tcPr>
            <w:tcW w:w="7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8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Capital expenditures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r>
      <w:tr>
        <w:trPr>
          <w:trHeight w:val="216"/>
        </w:trPr>
        <w:tc>
          <w:tcPr>
            <w:tcW w:w="8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Cash receipts from notes receivable</w:t>
            </w:r>
          </w:p>
        </w:tc>
        <w:tc>
          <w:tcPr>
            <w:tcW w:w="72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r>
      <w:tr>
        <w:trPr>
          <w:trHeight w:val="216"/>
        </w:trPr>
        <w:tc>
          <w:tcPr>
            <w:tcW w:w="8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Return of investment from unconsolidated affiliates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8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Investments in unconsolidated affiliates</w:t>
            </w:r>
          </w:p>
        </w:tc>
        <w:tc>
          <w:tcPr>
            <w:tcW w:w="7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16"/>
        </w:trPr>
        <w:tc>
          <w:tcPr>
            <w:tcW w:w="83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Other</w:t>
            </w:r>
          </w:p>
        </w:tc>
        <w:tc>
          <w:tcPr>
            <w:tcW w:w="7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w:t>
            </w:r>
          </w:p>
        </w:tc>
      </w:tr>
      <w:tr>
        <w:trPr>
          <w:trHeight w:val="210"/>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Investing Activities</w:t>
            </w: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r>
      <w:tr>
        <w:trPr>
          <w:trHeight w:val="210"/>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r>
      <w:tr>
        <w:trPr>
          <w:trHeight w:val="216"/>
        </w:trPr>
        <w:tc>
          <w:tcPr>
            <w:tcW w:w="8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(distributions) contributions from noncontrolling interests</w:t>
            </w:r>
          </w:p>
        </w:tc>
        <w:tc>
          <w:tcPr>
            <w:tcW w:w="7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w:t>
            </w:r>
          </w:p>
        </w:tc>
      </w:tr>
      <w:tr>
        <w:trPr>
          <w:trHeight w:val="216"/>
        </w:trPr>
        <w:tc>
          <w:tcPr>
            <w:tcW w:w="8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Net proceeds from the issuance of common stock under the ATM</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151</w:t>
            </w:r>
          </w:p>
        </w:tc>
      </w:tr>
      <w:tr>
        <w:trPr>
          <w:trHeight w:val="216"/>
        </w:trPr>
        <w:tc>
          <w:tcPr>
            <w:tcW w:w="8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Payments of dividends and distributions</w:t>
            </w:r>
          </w:p>
        </w:tc>
        <w:tc>
          <w:tcPr>
            <w:tcW w:w="72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r>
      <w:tr>
        <w:trPr>
          <w:trHeight w:val="216"/>
        </w:trPr>
        <w:tc>
          <w:tcPr>
            <w:tcW w:w="8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Payments of debt issuance costs</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r>
      <w:tr>
        <w:trPr>
          <w:trHeight w:val="216"/>
        </w:trPr>
        <w:tc>
          <w:tcPr>
            <w:tcW w:w="8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the revolving credit facility</w:t>
            </w:r>
          </w:p>
        </w:tc>
        <w:tc>
          <w:tcPr>
            <w:tcW w:w="72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834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Payments for the revolving credit facility</w:t>
            </w:r>
          </w:p>
        </w:tc>
        <w:tc>
          <w:tcPr>
            <w:tcW w:w="72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r>
      <w:tr>
        <w:trPr>
          <w:trHeight w:val="216"/>
        </w:trPr>
        <w:tc>
          <w:tcPr>
            <w:tcW w:w="834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Proceeds from the issuance of long-term debt</w:t>
            </w:r>
          </w:p>
        </w:tc>
        <w:tc>
          <w:tcPr>
            <w:tcW w:w="720" w:type="dxa"/>
            <w:vAlign w:val="bottom"/>
          </w:tcPr>
          <w:p>
            <w:pPr>
              <w:spacing w:after="0"/>
              <w:rPr>
                <w:sz w:val="18"/>
                <w:szCs w:val="18"/>
                <w:color w:val="auto"/>
              </w:rPr>
            </w:pPr>
          </w:p>
        </w:tc>
        <w:tc>
          <w:tcPr>
            <w:tcW w:w="46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586</w:t>
            </w: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227</w:t>
            </w:r>
          </w:p>
        </w:tc>
      </w:tr>
      <w:tr>
        <w:trPr>
          <w:trHeight w:val="216"/>
        </w:trPr>
        <w:tc>
          <w:tcPr>
            <w:tcW w:w="83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Payments for long-term debt</w:t>
            </w:r>
          </w:p>
        </w:tc>
        <w:tc>
          <w:tcPr>
            <w:tcW w:w="7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(700)</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(385)</w:t>
            </w:r>
          </w:p>
        </w:tc>
      </w:tr>
      <w:tr>
        <w:trPr>
          <w:trHeight w:val="210"/>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Cash Used in Financing Activities</w:t>
            </w: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(148)</w:t>
            </w:r>
          </w:p>
        </w:tc>
      </w:tr>
      <w:tr>
        <w:trPr>
          <w:trHeight w:val="210"/>
        </w:trPr>
        <w:tc>
          <w:tcPr>
            <w:tcW w:w="8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(Decrease) Increase in Cash, Cash Equivalents and Restricted Cash</w:t>
            </w:r>
          </w:p>
        </w:tc>
        <w:tc>
          <w:tcPr>
            <w:tcW w:w="7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w:t>
            </w:r>
          </w:p>
        </w:tc>
        <w:tc>
          <w:tcPr>
            <w:tcW w:w="1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73</w:t>
            </w:r>
          </w:p>
        </w:tc>
      </w:tr>
      <w:tr>
        <w:trPr>
          <w:trHeight w:val="210"/>
        </w:trPr>
        <w:tc>
          <w:tcPr>
            <w:tcW w:w="8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beginning of period</w:t>
            </w:r>
          </w:p>
        </w:tc>
        <w:tc>
          <w:tcPr>
            <w:tcW w:w="72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583</w:t>
            </w:r>
          </w:p>
        </w:tc>
        <w:tc>
          <w:tcPr>
            <w:tcW w:w="12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316</w:t>
            </w:r>
          </w:p>
        </w:tc>
      </w:tr>
      <w:tr>
        <w:trPr>
          <w:trHeight w:val="230"/>
        </w:trPr>
        <w:tc>
          <w:tcPr>
            <w:tcW w:w="8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Cash Equivalents and Restricted Cash at end of period</w:t>
            </w:r>
          </w:p>
        </w:tc>
        <w:tc>
          <w:tcPr>
            <w:tcW w:w="7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397</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389</w:t>
            </w:r>
          </w:p>
        </w:tc>
      </w:tr>
      <w:tr>
        <w:trPr>
          <w:trHeight w:val="20"/>
        </w:trPr>
        <w:tc>
          <w:tcPr>
            <w:tcW w:w="8340" w:type="dxa"/>
            <w:vAlign w:val="bottom"/>
            <w:tcBorders>
              <w:top w:val="single" w:sz="8" w:color="CCEEFF"/>
            </w:tcBorders>
            <w:shd w:val="clear" w:color="auto" w:fill="CCEEFF"/>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See accompanying 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2019</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3"/>
              </w:rPr>
              <w:t>Total</w:t>
            </w:r>
          </w:p>
        </w:tc>
      </w:tr>
      <w:tr>
        <w:trPr>
          <w:trHeight w:val="203"/>
        </w:trPr>
        <w:tc>
          <w:tcPr>
            <w:tcW w:w="44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7"/>
                <w:szCs w:val="17"/>
                <w:color w:val="auto"/>
              </w:rPr>
            </w:pPr>
          </w:p>
        </w:tc>
        <w:tc>
          <w:tcPr>
            <w:tcW w:w="800" w:type="dxa"/>
            <w:vAlign w:val="bottom"/>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6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Comprehensive</w:t>
            </w:r>
          </w:p>
        </w:tc>
        <w:tc>
          <w:tcPr>
            <w:tcW w:w="10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9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Stockholders'</w:t>
            </w:r>
          </w:p>
        </w:tc>
      </w:tr>
      <w:tr>
        <w:trPr>
          <w:trHeight w:val="218"/>
        </w:trPr>
        <w:tc>
          <w:tcPr>
            <w:tcW w:w="44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18"/>
                <w:szCs w:val="18"/>
                <w:color w:val="auto"/>
              </w:rPr>
            </w:pPr>
          </w:p>
        </w:tc>
        <w:tc>
          <w:tcPr>
            <w:tcW w:w="80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32"/>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center"/>
              <w:ind w:right="72"/>
              <w:spacing w:after="0"/>
              <w:rPr>
                <w:sz w:val="20"/>
                <w:szCs w:val="20"/>
                <w:color w:val="auto"/>
              </w:rPr>
            </w:pPr>
            <w:r>
              <w:rPr>
                <w:rFonts w:ascii="Times New Roman" w:cs="Times New Roman" w:eastAsia="Times New Roman" w:hAnsi="Times New Roman"/>
                <w:sz w:val="16"/>
                <w:szCs w:val="16"/>
                <w:b w:val="1"/>
                <w:bCs w:val="1"/>
                <w:color w:val="auto"/>
                <w:w w:val="99"/>
              </w:rPr>
              <w:t>Equity</w:t>
            </w: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6"/>
                <w:szCs w:val="16"/>
                <w:b w:val="1"/>
                <w:bCs w:val="1"/>
                <w:color w:val="auto"/>
              </w:rPr>
              <w:t>Balances at December 31, 2018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9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  1,897</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402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2,224</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derivatives, net of tax</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Buyout of Wind TE Holdco non-controlling interest</w:t>
            </w:r>
          </w:p>
        </w:tc>
        <w:tc>
          <w:tcPr>
            <w:tcW w:w="14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r>
      <w:tr>
        <w:trPr>
          <w:trHeight w:val="198"/>
        </w:trPr>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Capital contributions from tax equity investors, net of</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cash</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19</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from CEG for Oahu Partnership, non-cash</w:t>
            </w:r>
          </w:p>
        </w:tc>
        <w:tc>
          <w:tcPr>
            <w:tcW w:w="14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39"/>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12</w:t>
            </w:r>
          </w:p>
        </w:tc>
      </w:tr>
      <w:tr>
        <w:trPr>
          <w:trHeight w:val="138"/>
        </w:trPr>
        <w:tc>
          <w:tcPr>
            <w:tcW w:w="446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8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780" w:type="dxa"/>
            <w:vAlign w:val="bottom"/>
            <w:shd w:val="clear" w:color="auto" w:fill="CCEEFF"/>
          </w:tcPr>
          <w:p>
            <w:pPr>
              <w:spacing w:after="0"/>
              <w:rPr>
                <w:sz w:val="11"/>
                <w:szCs w:val="11"/>
                <w:color w:val="auto"/>
              </w:rPr>
            </w:pPr>
          </w:p>
        </w:tc>
      </w:tr>
    </w:tbl>
    <w:p>
      <w:pPr>
        <w:sectPr>
          <w:pgSz w:w="11900" w:h="16900" w:orient="portrait"/>
          <w:cols w:equalWidth="0" w:num="1">
            <w:col w:w="11420"/>
          </w:cols>
          <w:pgMar w:left="240" w:top="117" w:right="239" w:bottom="0" w:gutter="0" w:footer="0" w:header="0"/>
        </w:sectPr>
      </w:pPr>
    </w:p>
    <w:bookmarkStart w:id="7" w:name="page8"/>
    <w:bookmarkEnd w:id="7"/>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Cumulative effect from change in accounting principle</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dividends and distributions</w:t>
            </w:r>
          </w:p>
        </w:tc>
        <w:tc>
          <w:tcPr>
            <w:tcW w:w="3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2019</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1,870</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2,145</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loss</w:t>
            </w:r>
          </w:p>
        </w:tc>
        <w:tc>
          <w:tcPr>
            <w:tcW w:w="36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derivatives, net of tax</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5</w:t>
            </w:r>
          </w:p>
        </w:tc>
      </w:tr>
      <w:tr>
        <w:trPr>
          <w:trHeight w:val="198"/>
        </w:trPr>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Distributions from non-controlling interests, net of capital</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cash</w:t>
            </w:r>
          </w:p>
        </w:tc>
        <w:tc>
          <w:tcPr>
            <w:tcW w:w="36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r>
      <w:tr>
        <w:trPr>
          <w:trHeight w:val="198"/>
        </w:trPr>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Contributions from CEG for Kawailoa, Repowering</w:t>
            </w: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Partnerships, non-cash</w:t>
            </w: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adjustment for change in tax basis of assets</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dividends and distributions</w:t>
            </w:r>
          </w:p>
        </w:tc>
        <w:tc>
          <w:tcPr>
            <w:tcW w:w="3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2019</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1,852</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322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2,054</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36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35</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loss on derivatives, net of tax</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8"/>
        </w:trPr>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Distributions from non-controlling interests, net of capital</w:t>
            </w:r>
          </w:p>
        </w:tc>
        <w:tc>
          <w:tcPr>
            <w:tcW w:w="3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700" w:type="dxa"/>
            <w:vAlign w:val="bottom"/>
          </w:tcPr>
          <w:p>
            <w:pPr>
              <w:spacing w:after="0"/>
              <w:rPr>
                <w:sz w:val="17"/>
                <w:szCs w:val="17"/>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cash</w:t>
            </w:r>
          </w:p>
        </w:tc>
        <w:tc>
          <w:tcPr>
            <w:tcW w:w="360" w:type="dxa"/>
            <w:vAlign w:val="bottom"/>
          </w:tcPr>
          <w:p>
            <w:pPr>
              <w:spacing w:after="0"/>
              <w:rPr>
                <w:sz w:val="20"/>
                <w:szCs w:val="20"/>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8"/>
        </w:trPr>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Contributions from CEG for Kawailoa, Repowering</w:t>
            </w:r>
          </w:p>
        </w:tc>
        <w:tc>
          <w:tcPr>
            <w:tcW w:w="36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r>
      <w:tr>
        <w:trPr>
          <w:trHeight w:val="23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Partnerships, non-cash</w:t>
            </w:r>
          </w:p>
        </w:tc>
        <w:tc>
          <w:tcPr>
            <w:tcW w:w="36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360" w:type="dxa"/>
            <w:vAlign w:val="bottom"/>
          </w:tcPr>
          <w:p>
            <w:pPr>
              <w:spacing w:after="0"/>
              <w:rPr>
                <w:sz w:val="18"/>
                <w:szCs w:val="18"/>
                <w:color w:val="auto"/>
              </w:rPr>
            </w:pPr>
          </w:p>
        </w:tc>
        <w:tc>
          <w:tcPr>
            <w:tcW w:w="4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Non-cash adjustment for change in tax basis of assets</w:t>
            </w:r>
          </w:p>
        </w:tc>
        <w:tc>
          <w:tcPr>
            <w:tcW w:w="360" w:type="dxa"/>
            <w:vAlign w:val="bottom"/>
            <w:shd w:val="clear" w:color="auto" w:fill="CCEEFF"/>
          </w:tcPr>
          <w:p>
            <w:pPr>
              <w:spacing w:after="0"/>
              <w:rPr>
                <w:sz w:val="18"/>
                <w:szCs w:val="18"/>
                <w:color w:val="auto"/>
              </w:rPr>
            </w:pP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6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dividends and distributions</w:t>
            </w:r>
          </w:p>
        </w:tc>
        <w:tc>
          <w:tcPr>
            <w:tcW w:w="36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10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5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September 30, 2019</w:t>
            </w:r>
          </w:p>
        </w:tc>
        <w:tc>
          <w:tcPr>
            <w:tcW w:w="360" w:type="dxa"/>
            <w:vAlign w:val="bottom"/>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4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1,830</w:t>
            </w:r>
          </w:p>
        </w:tc>
        <w:tc>
          <w:tcPr>
            <w:tcW w:w="38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50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4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298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2,046</w:t>
            </w:r>
          </w:p>
        </w:tc>
      </w:tr>
      <w:tr>
        <w:trPr>
          <w:trHeight w:val="413"/>
        </w:trPr>
        <w:tc>
          <w:tcPr>
            <w:tcW w:w="446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4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jc w:val="right"/>
              <w:ind w:right="25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360" w:type="dxa"/>
            <w:vAlign w:val="bottom"/>
            <w:tcBorders>
              <w:top w:val="single" w:sz="8" w:color="auto"/>
            </w:tcBorders>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700" w:type="dxa"/>
            <w:vAlign w:val="bottom"/>
            <w:tcBorders>
              <w:top w:val="single" w:sz="8" w:color="auto"/>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6"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Nine Months Ended September 30, 2018</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03"/>
        </w:trPr>
        <w:tc>
          <w:tcPr>
            <w:tcW w:w="4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rPr>
              <w:t>Other</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3"/>
        </w:trPr>
        <w:tc>
          <w:tcPr>
            <w:tcW w:w="446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Preferred</w:t>
            </w:r>
          </w:p>
        </w:tc>
        <w:tc>
          <w:tcPr>
            <w:tcW w:w="120" w:type="dxa"/>
            <w:vAlign w:val="bottom"/>
          </w:tcPr>
          <w:p>
            <w:pPr>
              <w:spacing w:after="0"/>
              <w:rPr>
                <w:sz w:val="17"/>
                <w:szCs w:val="17"/>
                <w:color w:val="auto"/>
              </w:rPr>
            </w:pP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Common</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Paid-In</w:t>
            </w:r>
          </w:p>
        </w:tc>
        <w:tc>
          <w:tcPr>
            <w:tcW w:w="106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Accumulated</w:t>
            </w:r>
          </w:p>
        </w:tc>
        <w:tc>
          <w:tcPr>
            <w:tcW w:w="60" w:type="dxa"/>
            <w:vAlign w:val="bottom"/>
          </w:tcPr>
          <w:p>
            <w:pPr>
              <w:spacing w:after="0"/>
              <w:rPr>
                <w:sz w:val="17"/>
                <w:szCs w:val="17"/>
                <w:color w:val="auto"/>
              </w:rPr>
            </w:pPr>
          </w:p>
        </w:tc>
        <w:tc>
          <w:tcPr>
            <w:tcW w:w="1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9"/>
              </w:rPr>
              <w:t>Comprehensive</w:t>
            </w:r>
          </w:p>
        </w:tc>
        <w:tc>
          <w:tcPr>
            <w:tcW w:w="100" w:type="dxa"/>
            <w:vAlign w:val="bottom"/>
          </w:tcPr>
          <w:p>
            <w:pPr>
              <w:spacing w:after="0"/>
              <w:rPr>
                <w:sz w:val="17"/>
                <w:szCs w:val="17"/>
                <w:color w:val="auto"/>
              </w:rPr>
            </w:pPr>
          </w:p>
        </w:tc>
        <w:tc>
          <w:tcPr>
            <w:tcW w:w="114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Noncontrolling</w:t>
            </w:r>
          </w:p>
        </w:tc>
        <w:tc>
          <w:tcPr>
            <w:tcW w:w="9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w w:val="98"/>
              </w:rPr>
              <w:t>Stockholders'</w:t>
            </w:r>
          </w:p>
        </w:tc>
      </w:tr>
      <w:tr>
        <w:trPr>
          <w:trHeight w:val="218"/>
        </w:trPr>
        <w:tc>
          <w:tcPr>
            <w:tcW w:w="44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Stock</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center"/>
              <w:ind w:right="131"/>
              <w:spacing w:after="0"/>
              <w:rPr>
                <w:sz w:val="20"/>
                <w:szCs w:val="20"/>
                <w:color w:val="auto"/>
              </w:rPr>
            </w:pPr>
            <w:r>
              <w:rPr>
                <w:rFonts w:ascii="Times New Roman" w:cs="Times New Roman" w:eastAsia="Times New Roman" w:hAnsi="Times New Roman"/>
                <w:sz w:val="16"/>
                <w:szCs w:val="16"/>
                <w:b w:val="1"/>
                <w:bCs w:val="1"/>
                <w:color w:val="auto"/>
                <w:w w:val="96"/>
              </w:rPr>
              <w:t>Loss</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6"/>
                <w:szCs w:val="16"/>
                <w:b w:val="1"/>
                <w:bCs w:val="1"/>
                <w:color w:val="auto"/>
              </w:rPr>
              <w:t>Interest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ind w:right="151"/>
              <w:spacing w:after="0"/>
              <w:rPr>
                <w:sz w:val="20"/>
                <w:szCs w:val="20"/>
                <w:color w:val="auto"/>
              </w:rPr>
            </w:pPr>
            <w:r>
              <w:rPr>
                <w:rFonts w:ascii="Times New Roman" w:cs="Times New Roman" w:eastAsia="Times New Roman" w:hAnsi="Times New Roman"/>
                <w:sz w:val="16"/>
                <w:szCs w:val="16"/>
                <w:b w:val="1"/>
                <w:bCs w:val="1"/>
                <w:color w:val="auto"/>
              </w:rPr>
              <w:t>Equity</w:t>
            </w: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December 31, 2017</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1,843</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2,159</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income (loss)</w:t>
            </w: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r>
      <w:tr>
        <w:trPr>
          <w:trHeight w:val="198"/>
        </w:trPr>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Pre-acquisition net income of Buckthorn Solar Drop Down</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Unrealized gain on derivatives, net of tax</w:t>
            </w: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Payment for the Buckthorn Solar Drop Down Asset</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w:t>
            </w:r>
          </w:p>
        </w:tc>
      </w:tr>
      <w:tr>
        <w:trPr>
          <w:trHeight w:val="198"/>
        </w:trPr>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Capital contributions from tax equity investors, net of</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cash</w:t>
            </w:r>
          </w:p>
        </w:tc>
        <w:tc>
          <w:tcPr>
            <w:tcW w:w="14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30</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30</w:t>
            </w:r>
          </w:p>
        </w:tc>
      </w:tr>
      <w:tr>
        <w:trPr>
          <w:trHeight w:val="198"/>
        </w:trPr>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Distributions and return of capital to NRG, net of</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contributions, cash</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Class C common stock</w:t>
            </w: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10</w:t>
            </w:r>
          </w:p>
        </w:tc>
      </w:tr>
      <w:tr>
        <w:trPr>
          <w:trHeight w:val="198"/>
        </w:trPr>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Non-cash adjustment for change in tax basis of property,</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dividends and distributions</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w:t>
            </w: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March 31, 2018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1,827</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371</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2,126</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79</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96</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derivatives, net of tax</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Payment for the UPMC Drop Down Asset</w:t>
            </w: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w:t>
            </w:r>
          </w:p>
        </w:tc>
      </w:tr>
      <w:tr>
        <w:trPr>
          <w:trHeight w:val="198"/>
        </w:trPr>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Capital contributions from tax equity investors, net of</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distributions, cash</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79</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79</w:t>
            </w:r>
          </w:p>
        </w:tc>
      </w:tr>
      <w:tr>
        <w:trPr>
          <w:trHeight w:val="198"/>
        </w:trPr>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Distributions and return of capital to NRG, net of</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contributions, cash</w:t>
            </w:r>
          </w:p>
        </w:tc>
        <w:tc>
          <w:tcPr>
            <w:tcW w:w="14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Class C common stock</w:t>
            </w: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65</w:t>
            </w:r>
          </w:p>
        </w:tc>
      </w:tr>
      <w:tr>
        <w:trPr>
          <w:trHeight w:val="198"/>
        </w:trPr>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Non-cash adjustment for change in tax basis of property,</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dividends and distributions</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w:t>
            </w:r>
          </w:p>
        </w:tc>
      </w:tr>
      <w:tr>
        <w:trPr>
          <w:trHeight w:val="210"/>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Balances at June 30, 2018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22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1,859</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w:t>
            </w:r>
          </w:p>
        </w:tc>
        <w:tc>
          <w:tcPr>
            <w:tcW w:w="60" w:type="dxa"/>
            <w:vAlign w:val="bottom"/>
            <w:shd w:val="clear" w:color="auto" w:fill="CCEEFF"/>
          </w:tcPr>
          <w:p>
            <w:pPr>
              <w:spacing w:after="0"/>
              <w:rPr>
                <w:sz w:val="18"/>
                <w:szCs w:val="18"/>
                <w:color w:val="auto"/>
              </w:rPr>
            </w:pP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6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419</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2,288</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21</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49</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Unrealized gain on derivatives, net of tax</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w:t>
            </w:r>
          </w:p>
        </w:tc>
      </w:tr>
      <w:tr>
        <w:trPr>
          <w:trHeight w:val="198"/>
        </w:trPr>
        <w:tc>
          <w:tcPr>
            <w:tcW w:w="44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Capital contributions from tax equity investors, net of</w:t>
            </w: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80" w:type="dxa"/>
            <w:vAlign w:val="bottom"/>
          </w:tcPr>
          <w:p>
            <w:pPr>
              <w:spacing w:after="0"/>
              <w:rPr>
                <w:sz w:val="17"/>
                <w:szCs w:val="17"/>
                <w:color w:val="auto"/>
              </w:rPr>
            </w:pPr>
          </w:p>
        </w:tc>
      </w:tr>
      <w:tr>
        <w:trPr>
          <w:trHeight w:val="234"/>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distributions, noncash</w:t>
            </w:r>
          </w:p>
        </w:tc>
        <w:tc>
          <w:tcPr>
            <w:tcW w:w="14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460" w:type="dxa"/>
            <w:vAlign w:val="bottom"/>
          </w:tcPr>
          <w:p>
            <w:pPr>
              <w:spacing w:after="0"/>
              <w:rPr>
                <w:sz w:val="20"/>
                <w:szCs w:val="20"/>
                <w:color w:val="auto"/>
              </w:rPr>
            </w:pPr>
            <w:r>
              <w:rPr>
                <w:rFonts w:ascii="Times New Roman" w:cs="Times New Roman" w:eastAsia="Times New Roman" w:hAnsi="Times New Roman"/>
                <w:sz w:val="18"/>
                <w:szCs w:val="18"/>
                <w:color w:val="auto"/>
              </w:rPr>
              <w:t>Proceeds from the issuance of Class C common stock</w:t>
            </w: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8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4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76</w:t>
            </w:r>
          </w:p>
        </w:tc>
      </w:tr>
      <w:tr>
        <w:trPr>
          <w:trHeight w:val="198"/>
        </w:trPr>
        <w:tc>
          <w:tcPr>
            <w:tcW w:w="44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Non-cash adjustment for change in tax basis of property,</w:t>
            </w: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r>
      <w:tr>
        <w:trPr>
          <w:trHeight w:val="234"/>
        </w:trPr>
        <w:tc>
          <w:tcPr>
            <w:tcW w:w="44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plant and equipment</w:t>
            </w: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446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Common stock dividends and distributions</w:t>
            </w: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ind w:right="3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60" w:type="dxa"/>
            <w:vAlign w:val="bottom"/>
            <w:tcBorders>
              <w:bottom w:val="single" w:sz="8" w:color="CCEEFF"/>
            </w:tcBorders>
          </w:tcPr>
          <w:p>
            <w:pPr>
              <w:spacing w:after="0"/>
              <w:rPr>
                <w:sz w:val="18"/>
                <w:szCs w:val="18"/>
                <w:color w:val="auto"/>
              </w:rPr>
            </w:pPr>
          </w:p>
        </w:tc>
        <w:tc>
          <w:tcPr>
            <w:tcW w:w="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w:t>
            </w:r>
          </w:p>
        </w:tc>
      </w:tr>
    </w:tbl>
    <w:p>
      <w:pPr>
        <w:sectPr>
          <w:pgSz w:w="11900" w:h="16900" w:orient="portrait"/>
          <w:cols w:equalWidth="0" w:num="1">
            <w:col w:w="11420"/>
          </w:cols>
          <w:pgMar w:left="240" w:top="140" w:right="239" w:bottom="0" w:gutter="0" w:footer="0" w:header="0"/>
        </w:sectPr>
      </w:pPr>
    </w:p>
    <w:bookmarkStart w:id="8" w:name="page9"/>
    <w:bookmarkEnd w:id="8"/>
    <w:p>
      <w:pPr>
        <w:spacing w:after="0"/>
        <w:tabs>
          <w:tab w:leader="none" w:pos="4440" w:val="left"/>
          <w:tab w:leader="none" w:pos="5060" w:val="left"/>
          <w:tab w:leader="none" w:pos="5340" w:val="left"/>
          <w:tab w:leader="none" w:pos="5920" w:val="left"/>
          <w:tab w:leader="none" w:pos="6220" w:val="left"/>
          <w:tab w:leader="none" w:pos="6500" w:val="left"/>
          <w:tab w:leader="none" w:pos="7120" w:val="left"/>
          <w:tab w:leader="none" w:pos="7740" w:val="left"/>
          <w:tab w:leader="none" w:pos="8140" w:val="left"/>
          <w:tab w:leader="none" w:pos="8840" w:val="left"/>
          <w:tab w:leader="none" w:pos="9320" w:val="left"/>
          <w:tab w:leader="none" w:pos="9960" w:val="left"/>
          <w:tab w:leader="none" w:pos="10460" w:val="left"/>
          <w:tab w:leader="none" w:pos="10860" w:val="left"/>
        </w:tabs>
        <w:rPr>
          <w:sz w:val="20"/>
          <w:szCs w:val="20"/>
          <w:color w:val="auto"/>
        </w:rPr>
      </w:pPr>
      <w:r>
        <w:rPr>
          <w:rFonts w:ascii="Times New Roman" w:cs="Times New Roman" w:eastAsia="Times New Roman" w:hAnsi="Times New Roman"/>
          <w:sz w:val="18"/>
          <w:szCs w:val="18"/>
          <w:b w:val="1"/>
          <w:bCs w:val="1"/>
          <w:color w:val="auto"/>
        </w:rPr>
        <w:t>Balances at September 30, 2018</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w:t>
        <w:tab/>
        <w:t>$</w:t>
      </w:r>
      <w:r>
        <w:rPr>
          <w:sz w:val="20"/>
          <w:szCs w:val="20"/>
          <w:color w:val="auto"/>
        </w:rPr>
        <w:tab/>
      </w:r>
      <w:r>
        <w:rPr>
          <w:rFonts w:ascii="Times New Roman" w:cs="Times New Roman" w:eastAsia="Times New Roman" w:hAnsi="Times New Roman"/>
          <w:sz w:val="18"/>
          <w:szCs w:val="18"/>
          <w:color w:val="auto"/>
        </w:rPr>
        <w:t>1</w:t>
      </w:r>
      <w:r>
        <w:rPr>
          <w:sz w:val="20"/>
          <w:szCs w:val="20"/>
          <w:color w:val="auto"/>
        </w:rPr>
        <w:tab/>
      </w:r>
      <w:r>
        <w:rPr>
          <w:rFonts w:ascii="Times New Roman" w:cs="Times New Roman" w:eastAsia="Times New Roman" w:hAnsi="Times New Roman"/>
          <w:sz w:val="18"/>
          <w:szCs w:val="18"/>
          <w:u w:val="single" w:color="auto"/>
          <w:color w:val="auto"/>
        </w:rPr>
        <w:t>$</w:t>
        <w:tab/>
        <w:t>1,935</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13</w:t>
        <w:tab/>
        <w:t>$</w:t>
      </w:r>
      <w:r>
        <w:rPr>
          <w:sz w:val="20"/>
          <w:szCs w:val="20"/>
          <w:color w:val="auto"/>
        </w:rPr>
        <w:tab/>
      </w:r>
      <w:r>
        <w:rPr>
          <w:rFonts w:ascii="Times New Roman" w:cs="Times New Roman" w:eastAsia="Times New Roman" w:hAnsi="Times New Roman"/>
          <w:sz w:val="18"/>
          <w:szCs w:val="18"/>
          <w:color w:val="auto"/>
        </w:rPr>
        <w:t>(14)</w:t>
        <w:tab/>
        <w:t>$</w:t>
      </w:r>
      <w:r>
        <w:rPr>
          <w:sz w:val="20"/>
          <w:szCs w:val="20"/>
          <w:color w:val="auto"/>
        </w:rPr>
        <w:tab/>
      </w:r>
      <w:r>
        <w:rPr>
          <w:rFonts w:ascii="Times New Roman" w:cs="Times New Roman" w:eastAsia="Times New Roman" w:hAnsi="Times New Roman"/>
          <w:sz w:val="18"/>
          <w:szCs w:val="18"/>
          <w:color w:val="auto"/>
        </w:rPr>
        <w:t>440</w:t>
        <w:tab/>
        <w:t>$</w:t>
      </w:r>
      <w:r>
        <w:rPr>
          <w:sz w:val="20"/>
          <w:szCs w:val="20"/>
          <w:color w:val="auto"/>
        </w:rPr>
        <w:tab/>
      </w:r>
      <w:r>
        <w:rPr>
          <w:rFonts w:ascii="Times New Roman" w:cs="Times New Roman" w:eastAsia="Times New Roman" w:hAnsi="Times New Roman"/>
          <w:sz w:val="17"/>
          <w:szCs w:val="17"/>
          <w:color w:val="auto"/>
        </w:rPr>
        <w:t>2,375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6319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CLEARWAY ENERGY, INC.</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 — </w:t>
      </w:r>
      <w:r>
        <w:rPr>
          <w:rFonts w:ascii="Times New Roman" w:cs="Times New Roman" w:eastAsia="Times New Roman" w:hAnsi="Times New Roman"/>
          <w:sz w:val="18"/>
          <w:szCs w:val="18"/>
          <w:b w:val="1"/>
          <w:bCs w:val="1"/>
          <w:i w:val="1"/>
          <w:iCs w:val="1"/>
          <w:color w:val="auto"/>
        </w:rPr>
        <w:t>Nature of Business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III. Global Infrastructure Management, LLC is an independent fund manager of funds that invests in infrastructure assets in the energy and transport sectors, and Global Infrastructure Partners III is its third equity fund. The Company is sponsored by GIP through GIP's portfolio company, CEG.</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was previously owned by NRG Energy, Inc., or NRG. On August 31, 2018, NRG transferred its full ownership interest in the Company to CEG, the holder of NRG's renewable energy development and operations platform, and subsequently sold 100% of its interest in CEG to GIP, referred to hereinafter as the GIP Transaction.</w:t>
      </w:r>
    </w:p>
    <w:p>
      <w:pPr>
        <w:spacing w:after="0" w:line="17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Company’s environmentally-sound asset portfolio includes over 5,330 MW of wind, solar and natural gas-fired power generation facilities, as well as district energy systems. Through this diversified and contracted portfolio, the Company endeavors to provide its investors with stable and growing dividend income. Substantially all of the Company's generation assets are under long-term contractual arrangements for the output or capacity from these assets. The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18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consolidates the results of Clearway Energy LLC through its controlling interest, with CEG's interest shown as noncontrolling interest in the financial statements. The holders of the Company's outstanding shares of Class A and Class C common stock are entitled to dividends as declared. CEG receives its distributions from Clearway Energy LLC through its ownership of Clearway Energy LLC Class B and Class D units. The Company currently owns 55.81% of the economic interests of Clearway Energy LLC, with CEG retaining 44.19% of the economic interests of Clearway Energy LLC.</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represents the structure of the Company as of September 30,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46653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4665345"/>
                    </a:xfrm>
                    <a:prstGeom prst="rect">
                      <a:avLst/>
                    </a:prstGeom>
                    <a:noFill/>
                  </pic:spPr>
                </pic:pic>
              </a:graphicData>
            </a:graphic>
          </wp:anchor>
        </w:drawing>
      </w:r>
    </w:p>
    <w:p>
      <w:pPr>
        <w:sectPr>
          <w:pgSz w:w="11900" w:h="16838" w:orient="portrait"/>
          <w:cols w:equalWidth="0" w:num="1">
            <w:col w:w="11420"/>
          </w:cols>
          <w:pgMar w:left="240" w:top="117" w:right="239" w:bottom="1440" w:gutter="0" w:footer="0" w:header="0"/>
        </w:sectPr>
      </w:pPr>
    </w:p>
    <w:bookmarkStart w:id="9" w:name="page10"/>
    <w:bookmarkEnd w:id="9"/>
    <w:p>
      <w:pPr>
        <w:ind w:left="500"/>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accompanying unaudited interim consolidated financial statements have been prepared in accordance with the SEC’s regulations for interim financial information and with the instructions to Form 10-Q. Accordingly, they do not include all of the information and notes required by GAAP for complete financial statements. The following notes should be read in conjunction with the accounting policies and other disclosures as set forth in the notes to the consolidated financial statements included in the Company's 2018 Form 10-K. Interim results are not necessarily indicative of results for a full year.</w:t>
      </w:r>
    </w:p>
    <w:p>
      <w:pPr>
        <w:spacing w:after="0" w:line="180"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the opinion of management, the accompanying unaudited interim consolidated financial statements contain all material adjustments consisting of normal and recurring accruals necessary to present fairly the Company's consolidated financial position as of September 30, 2019, and the results of operations, comprehensive income (loss) and cash flows for the nine months ended September 30, 2019 and 2018.</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PG&amp;E Bankruptcy</w:t>
      </w:r>
    </w:p>
    <w:p>
      <w:pPr>
        <w:spacing w:after="0" w:line="227"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On January 29, 2019, PG&amp;E filed for reorganization under Chapter 11 of the U.S. Bankruptcy Code in the U.S. Bankruptcy Court for the Northern District of California, or the Bankruptcy Court. Certain subsidiaries of the Company, which hold interests in 6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As of September 30, 2019, the Company had $147 million in restricted cash, $1.4 billion of property, plant and equipment, net, $370 million investments in unconsolidated affiliates and $1.3 billion of borrowings with final maturity dates ranging from 2023 - 2038 related to these facilities. The related subsidiaries of the Company are parties to financing agreements consisting of non-recourse project-level debt and, in certain cases, non-recourse holding company debt. The PG&amp;E Bankruptcy triggered defaults under the PPAs with PG&amp;E and such related project-level financing agreements. As a result, the Company recorded $1.3 billion of principal, net of the related unamortized debt issuance costs, as short-term debt as of September 30, 2019.</w:t>
      </w:r>
    </w:p>
    <w:p>
      <w:pPr>
        <w:spacing w:after="0" w:line="18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 xml:space="preserve">As of November 6, 2019, the Company's contracts with PG&amp;E have operated in the normal course and the Company currently expects these contracts to continue as such. On September 23, 2019, PG&amp;E filed the </w:t>
      </w:r>
      <w:r>
        <w:rPr>
          <w:rFonts w:ascii="Times New Roman" w:cs="Times New Roman" w:eastAsia="Times New Roman" w:hAnsi="Times New Roman"/>
          <w:sz w:val="18"/>
          <w:szCs w:val="18"/>
          <w:i w:val="1"/>
          <w:iCs w:val="1"/>
          <w:color w:val="auto"/>
        </w:rPr>
        <w:t>Debtors' First Amended Joint Chapter</w:t>
      </w:r>
      <w:r>
        <w:rPr>
          <w:rFonts w:ascii="Times New Roman" w:cs="Times New Roman" w:eastAsia="Times New Roman" w:hAnsi="Times New Roman"/>
          <w:sz w:val="18"/>
          <w:szCs w:val="18"/>
          <w:color w:val="auto"/>
        </w:rPr>
        <w:t xml:space="preserve"> 11 </w:t>
      </w:r>
      <w:r>
        <w:rPr>
          <w:rFonts w:ascii="Times New Roman" w:cs="Times New Roman" w:eastAsia="Times New Roman" w:hAnsi="Times New Roman"/>
          <w:sz w:val="18"/>
          <w:szCs w:val="18"/>
          <w:i w:val="1"/>
          <w:iCs w:val="1"/>
          <w:color w:val="auto"/>
        </w:rPr>
        <w:t>Plan of Reorganization,</w:t>
      </w:r>
      <w:r>
        <w:rPr>
          <w:rFonts w:ascii="Times New Roman" w:cs="Times New Roman" w:eastAsia="Times New Roman" w:hAnsi="Times New Roman"/>
          <w:sz w:val="18"/>
          <w:szCs w:val="18"/>
          <w:color w:val="auto"/>
        </w:rPr>
        <w:t xml:space="preserve"> or the PG&amp;E Plan, which would provide for PG&amp;E to assume all of its PPAs with the Company. The PG&amp;E Plan is not expected to be considered for confirmation by the Bankruptcy Court until the conclusion of a proceeding to estimate PG&amp;E’s liability for prior wildfires, now pending before the United States District Court for the Northern District of California, and scheduled for trial commencing on February 18, 2020. Additionally, on October 9, 2019, the Bankruptcy Court entered an order terminating the period in which PG&amp;E had the exclusive right to prosecute a plan of reorganization. On October 17, 2019, an ad hoc group of senior noteholders filed a competing plan of reorganization, which would also provide for PG&amp;E to assume all of its PPAs with the Company. As of November 6, 2019, the Company has entered into forbearance agreements for certain project-level financing arrangements, and continues to seek forbearance agreements for its other project-level financing arrangements affected by the PG&amp;E Bankruptcy. The Company continues to assess the potential future impacts of the PG&amp;E bankruptcy as events occur. For further discussion, see Note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p>
    <w:p>
      <w:pPr>
        <w:spacing w:after="0" w:line="18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Transition Services Agreement</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As a result of the GIP Transaction, the Company entered into a Transition Services Agreement with NRG, or the NRG TSA, pursuant to which NRG or certain of its affiliates began providing certain services to the Company following the consummation of the GIP Transaction on August 31, 2018, in exchange for the payment of a fee in respect of such services. A material portion of these processes terminated during the second quarter of 2019 and such services were subsequently provided by both the Company and by CEG pursuant to the CEG Master Services Agreements. During the second quarter of 2019, the Company exercised its option to extend the term of the NRG TSA through April 30, 2020 for the remaining services, some of which will be billed at an hourly rate as agreed between the parties. The Company incurred approximately $1.5 million of expense related to the NRG TSA during nine months ended September 30, 2019, which was recorded in transaction and integration costs in the consolidated statements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354965</wp:posOffset>
            </wp:positionV>
            <wp:extent cx="72466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578" w:right="2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color w:val="auto"/>
        </w:rPr>
        <w:t xml:space="preserve">Note 2 — </w:t>
      </w:r>
      <w:r>
        <w:rPr>
          <w:rFonts w:ascii="Times New Roman" w:cs="Times New Roman" w:eastAsia="Times New Roman" w:hAnsi="Times New Roman"/>
          <w:sz w:val="18"/>
          <w:szCs w:val="18"/>
          <w:b w:val="1"/>
          <w:bCs w:val="1"/>
          <w:i w:val="1"/>
          <w:iCs w:val="1"/>
          <w:color w:val="auto"/>
        </w:rPr>
        <w:t>Summary of Significant Accounting Policies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Use of Estimates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preparation of consolidated financial statements in accordance with GAAP requires management to make estimates and assumptions. These estimates and assumptions impact the reported amounts of assets and liabilities and disclosures of contingent assets and liabilities as of the date of the consolidated financial statements, and the reported amounts of revenues and expenses during the reporting period. Actual results could be different from these estimates.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and Cash Equivalents, and Restricted Cash</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Cash and cash equivalents include highly liquid investments with an original maturity of three months or less at the time of purchase. Cash and cash equivalents held at project subsidiaries was $116 million and $109 million as of September 30, 2019 and December 31, 2018, respectively.</w:t>
      </w:r>
    </w:p>
    <w:p>
      <w:pPr>
        <w:spacing w:after="0" w:line="162"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provides a reconciliation of cash, cash equivalents and restricted cash reported within the consolidated balance sheets that sum to the total of the same such amounts shown in the statements of cash flows.</w:t>
      </w:r>
    </w:p>
    <w:p>
      <w:pPr>
        <w:spacing w:after="0" w:line="178" w:lineRule="exact"/>
        <w:rPr>
          <w:sz w:val="20"/>
          <w:szCs w:val="20"/>
          <w:color w:val="auto"/>
        </w:rPr>
      </w:pPr>
    </w:p>
    <w:tbl>
      <w:tblPr>
        <w:tblLayout w:type="fixed"/>
        <w:tblInd w:w="860" w:type="dxa"/>
        <w:tblCellMar>
          <w:top w:w="0" w:type="dxa"/>
          <w:left w:w="0" w:type="dxa"/>
          <w:bottom w:w="0" w:type="dxa"/>
          <w:right w:w="0" w:type="dxa"/>
        </w:tblCellMar>
      </w:tblPr>
      <w:tr>
        <w:trPr>
          <w:trHeight w:val="212"/>
        </w:trPr>
        <w:tc>
          <w:tcPr>
            <w:tcW w:w="6320" w:type="dxa"/>
            <w:vAlign w:val="bottom"/>
          </w:tcPr>
          <w:p>
            <w:pPr>
              <w:spacing w:after="0"/>
              <w:rPr>
                <w:sz w:val="18"/>
                <w:szCs w:val="18"/>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380" w:type="dxa"/>
            <w:vAlign w:val="bottom"/>
          </w:tcPr>
          <w:p>
            <w:pPr>
              <w:spacing w:after="0"/>
              <w:rPr>
                <w:sz w:val="18"/>
                <w:szCs w:val="18"/>
                <w:color w:val="auto"/>
              </w:rPr>
            </w:pPr>
          </w:p>
        </w:tc>
      </w:tr>
      <w:tr>
        <w:trPr>
          <w:trHeight w:val="219"/>
        </w:trPr>
        <w:tc>
          <w:tcPr>
            <w:tcW w:w="6320" w:type="dxa"/>
            <w:vAlign w:val="bottom"/>
          </w:tcPr>
          <w:p>
            <w:pPr>
              <w:spacing w:after="0"/>
              <w:rPr>
                <w:sz w:val="19"/>
                <w:szCs w:val="19"/>
                <w:color w:val="auto"/>
              </w:rPr>
            </w:pPr>
          </w:p>
        </w:tc>
        <w:tc>
          <w:tcPr>
            <w:tcW w:w="1280" w:type="dxa"/>
            <w:vAlign w:val="bottom"/>
            <w:tcBorders>
              <w:bottom w:val="single" w:sz="8" w:color="auto"/>
            </w:tcBorders>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2019</w:t>
            </w:r>
          </w:p>
        </w:tc>
        <w:tc>
          <w:tcPr>
            <w:tcW w:w="3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260" w:type="dxa"/>
            <w:vAlign w:val="bottom"/>
            <w:tcBorders>
              <w:bottom w:val="single" w:sz="8" w:color="auto"/>
            </w:tcBorders>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2018</w:t>
            </w:r>
          </w:p>
        </w:tc>
        <w:tc>
          <w:tcPr>
            <w:tcW w:w="380" w:type="dxa"/>
            <w:vAlign w:val="bottom"/>
            <w:tcBorders>
              <w:bottom w:val="single" w:sz="8" w:color="auto"/>
            </w:tcBorders>
          </w:tcPr>
          <w:p>
            <w:pPr>
              <w:spacing w:after="0"/>
              <w:rPr>
                <w:sz w:val="19"/>
                <w:szCs w:val="19"/>
                <w:color w:val="auto"/>
              </w:rPr>
            </w:pPr>
          </w:p>
        </w:tc>
      </w:tr>
      <w:tr>
        <w:trPr>
          <w:trHeight w:val="213"/>
        </w:trPr>
        <w:tc>
          <w:tcPr>
            <w:tcW w:w="6320" w:type="dxa"/>
            <w:vAlign w:val="bottom"/>
          </w:tcPr>
          <w:p>
            <w:pPr>
              <w:spacing w:after="0"/>
              <w:rPr>
                <w:sz w:val="18"/>
                <w:szCs w:val="18"/>
                <w:color w:val="auto"/>
              </w:rPr>
            </w:pPr>
          </w:p>
        </w:tc>
        <w:tc>
          <w:tcPr>
            <w:tcW w:w="3000" w:type="dxa"/>
            <w:vAlign w:val="bottom"/>
            <w:gridSpan w:val="4"/>
          </w:tcPr>
          <w:p>
            <w:pPr>
              <w:jc w:val="right"/>
              <w:ind w:right="816"/>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380" w:type="dxa"/>
            <w:vAlign w:val="bottom"/>
          </w:tcPr>
          <w:p>
            <w:pPr>
              <w:spacing w:after="0"/>
              <w:rPr>
                <w:sz w:val="18"/>
                <w:szCs w:val="18"/>
                <w:color w:val="auto"/>
              </w:rPr>
            </w:pPr>
          </w:p>
        </w:tc>
      </w:tr>
      <w:tr>
        <w:trPr>
          <w:trHeight w:val="216"/>
        </w:trPr>
        <w:tc>
          <w:tcPr>
            <w:tcW w:w="6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280" w:type="dxa"/>
            <w:vAlign w:val="bottom"/>
            <w:shd w:val="clear" w:color="auto" w:fill="CCEEFF"/>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148</w:t>
            </w:r>
          </w:p>
        </w:tc>
        <w:tc>
          <w:tcPr>
            <w:tcW w:w="1360" w:type="dxa"/>
            <w:vAlign w:val="bottom"/>
            <w:gridSpan w:val="2"/>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407</w:t>
            </w:r>
          </w:p>
        </w:tc>
      </w:tr>
      <w:tr>
        <w:trPr>
          <w:trHeight w:val="216"/>
        </w:trPr>
        <w:tc>
          <w:tcPr>
            <w:tcW w:w="6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Restricted cash</w:t>
            </w:r>
          </w:p>
        </w:tc>
        <w:tc>
          <w:tcPr>
            <w:tcW w:w="128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6"/>
              </w:rPr>
              <w:t>249</w:t>
            </w:r>
          </w:p>
        </w:tc>
        <w:tc>
          <w:tcPr>
            <w:tcW w:w="100" w:type="dxa"/>
            <w:vAlign w:val="bottom"/>
          </w:tcPr>
          <w:p>
            <w:pPr>
              <w:spacing w:after="0"/>
              <w:rPr>
                <w:sz w:val="18"/>
                <w:szCs w:val="18"/>
                <w:color w:val="auto"/>
              </w:rPr>
            </w:pPr>
          </w:p>
        </w:tc>
        <w:tc>
          <w:tcPr>
            <w:tcW w:w="126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96"/>
              </w:rPr>
              <w:t>176</w:t>
            </w:r>
          </w:p>
        </w:tc>
      </w:tr>
      <w:tr>
        <w:trPr>
          <w:trHeight w:val="250"/>
        </w:trPr>
        <w:tc>
          <w:tcPr>
            <w:tcW w:w="6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cash equivalents and restricted cash shown in the statement of cash flows</w:t>
            </w:r>
          </w:p>
        </w:tc>
        <w:tc>
          <w:tcPr>
            <w:tcW w:w="1280" w:type="dxa"/>
            <w:vAlign w:val="bottom"/>
            <w:tcBorders>
              <w:bottom w:val="single" w:sz="8" w:color="auto"/>
            </w:tcBorders>
            <w:shd w:val="clear" w:color="auto" w:fill="CCEEFF"/>
          </w:tcPr>
          <w:p>
            <w:pPr>
              <w:jc w:val="right"/>
              <w:ind w:right="1094"/>
              <w:spacing w:after="0"/>
              <w:rPr>
                <w:sz w:val="20"/>
                <w:szCs w:val="20"/>
                <w:color w:val="auto"/>
              </w:rPr>
            </w:pPr>
            <w:r>
              <w:rPr>
                <w:rFonts w:ascii="Times New Roman" w:cs="Times New Roman" w:eastAsia="Times New Roman" w:hAnsi="Times New Roman"/>
                <w:sz w:val="18"/>
                <w:szCs w:val="18"/>
                <w:color w:val="auto"/>
                <w:w w:val="88"/>
              </w:rPr>
              <w:t>$</w:t>
            </w:r>
          </w:p>
        </w:tc>
        <w:tc>
          <w:tcPr>
            <w:tcW w:w="3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397</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076"/>
              <w:spacing w:after="0"/>
              <w:rPr>
                <w:sz w:val="20"/>
                <w:szCs w:val="20"/>
                <w:color w:val="auto"/>
              </w:rPr>
            </w:pPr>
            <w:r>
              <w:rPr>
                <w:rFonts w:ascii="Times New Roman" w:cs="Times New Roman" w:eastAsia="Times New Roman" w:hAnsi="Times New Roman"/>
                <w:sz w:val="18"/>
                <w:szCs w:val="18"/>
                <w:color w:val="auto"/>
                <w:w w:val="88"/>
              </w:rPr>
              <w:t>$</w:t>
            </w:r>
          </w:p>
        </w:tc>
        <w:tc>
          <w:tcPr>
            <w:tcW w:w="3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96"/>
              </w:rPr>
              <w:t>583</w:t>
            </w:r>
          </w:p>
        </w:tc>
      </w:tr>
    </w:tbl>
    <w:p>
      <w:pPr>
        <w:spacing w:after="0" w:line="198"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Restricted cash consists primarily of funds held to satisfy the requirements of certain debt agreements and funds held within the Company's projects that are restricted in their use. As of September 30, 2019, these restricted funds were comprised of $78 million designated to fund operating expenses, $70 million designated for current debt service payments, and $53 million restricted for reserves including debt service, performance obligations and other reserves, as well as capital expenditures. The remaining $48 million is held in distribution reserve accounts, of which $36 million related to subsidiaries affected by the PG&amp;E Bankruptcy as discussed in Note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xml:space="preserve"> and may not be distributed during the pendency of the bankruptcy. The Company had a total of $147 million in restricted cash held by the subsidiaries affected by the PG&amp;E Bankruptcy at September 30, 2019.</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Depreciation, Accumulated Amortization</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accumulated depreciation included in the property, plant and equipment, net, and accumulated amortization included in intangible assets, net, respectively, as of September 30, 2019 and December 31, 2018:</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8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113"/>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860" w:type="dxa"/>
            <w:vAlign w:val="bottom"/>
          </w:tcPr>
          <w:p>
            <w:pPr>
              <w:spacing w:after="0"/>
              <w:rPr>
                <w:sz w:val="18"/>
                <w:szCs w:val="18"/>
                <w:color w:val="auto"/>
              </w:rPr>
            </w:pPr>
          </w:p>
        </w:tc>
      </w:tr>
      <w:tr>
        <w:trPr>
          <w:trHeight w:val="211"/>
        </w:trPr>
        <w:tc>
          <w:tcPr>
            <w:tcW w:w="860" w:type="dxa"/>
            <w:vAlign w:val="bottom"/>
          </w:tcPr>
          <w:p>
            <w:pPr>
              <w:spacing w:after="0"/>
              <w:rPr>
                <w:sz w:val="18"/>
                <w:szCs w:val="18"/>
                <w:color w:val="auto"/>
              </w:rPr>
            </w:pPr>
          </w:p>
        </w:tc>
        <w:tc>
          <w:tcPr>
            <w:tcW w:w="448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280" w:type="dxa"/>
            <w:vAlign w:val="bottom"/>
            <w:gridSpan w:val="4"/>
          </w:tcPr>
          <w:p>
            <w:pPr>
              <w:jc w:val="right"/>
              <w:ind w:right="1253"/>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860" w:type="dxa"/>
            <w:vAlign w:val="bottom"/>
          </w:tcPr>
          <w:p>
            <w:pPr>
              <w:spacing w:after="0"/>
              <w:rPr>
                <w:sz w:val="18"/>
                <w:szCs w:val="18"/>
                <w:color w:val="auto"/>
              </w:rPr>
            </w:pPr>
          </w:p>
        </w:tc>
      </w:tr>
      <w:tr>
        <w:trPr>
          <w:trHeight w:val="218"/>
        </w:trPr>
        <w:tc>
          <w:tcPr>
            <w:tcW w:w="860" w:type="dxa"/>
            <w:vAlign w:val="bottom"/>
          </w:tcPr>
          <w:p>
            <w:pPr>
              <w:spacing w:after="0"/>
              <w:rPr>
                <w:sz w:val="18"/>
                <w:szCs w:val="18"/>
                <w:color w:val="auto"/>
              </w:rPr>
            </w:pPr>
          </w:p>
        </w:tc>
        <w:tc>
          <w:tcPr>
            <w:tcW w:w="4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Accumulated Depreciation</w:t>
            </w:r>
          </w:p>
        </w:tc>
        <w:tc>
          <w:tcPr>
            <w:tcW w:w="19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1,590</w:t>
            </w:r>
          </w:p>
        </w:tc>
        <w:tc>
          <w:tcPr>
            <w:tcW w:w="860" w:type="dxa"/>
            <w:vAlign w:val="bottom"/>
          </w:tcPr>
          <w:p>
            <w:pPr>
              <w:spacing w:after="0"/>
              <w:rPr>
                <w:sz w:val="18"/>
                <w:szCs w:val="18"/>
                <w:color w:val="auto"/>
              </w:rPr>
            </w:pPr>
          </w:p>
        </w:tc>
      </w:tr>
      <w:tr>
        <w:trPr>
          <w:trHeight w:val="234"/>
        </w:trPr>
        <w:tc>
          <w:tcPr>
            <w:tcW w:w="860" w:type="dxa"/>
            <w:vAlign w:val="bottom"/>
          </w:tcPr>
          <w:p>
            <w:pPr>
              <w:spacing w:after="0"/>
              <w:rPr>
                <w:sz w:val="20"/>
                <w:szCs w:val="20"/>
                <w:color w:val="auto"/>
              </w:rPr>
            </w:pPr>
          </w:p>
        </w:tc>
        <w:tc>
          <w:tcPr>
            <w:tcW w:w="4480" w:type="dxa"/>
            <w:vAlign w:val="bottom"/>
          </w:tcPr>
          <w:p>
            <w:pPr>
              <w:spacing w:after="0"/>
              <w:rPr>
                <w:sz w:val="20"/>
                <w:szCs w:val="20"/>
                <w:color w:val="auto"/>
              </w:rPr>
            </w:pPr>
            <w:r>
              <w:rPr>
                <w:rFonts w:ascii="Times New Roman" w:cs="Times New Roman" w:eastAsia="Times New Roman" w:hAnsi="Times New Roman"/>
                <w:sz w:val="18"/>
                <w:szCs w:val="18"/>
                <w:color w:val="auto"/>
              </w:rPr>
              <w:t>Intangible Assets Accumulated Amortization</w:t>
            </w:r>
          </w:p>
        </w:tc>
        <w:tc>
          <w:tcPr>
            <w:tcW w:w="1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4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308</w:t>
            </w:r>
          </w:p>
        </w:tc>
        <w:tc>
          <w:tcPr>
            <w:tcW w:w="860" w:type="dxa"/>
            <w:vAlign w:val="bottom"/>
          </w:tcPr>
          <w:p>
            <w:pPr>
              <w:spacing w:after="0"/>
              <w:rPr>
                <w:sz w:val="20"/>
                <w:szCs w:val="20"/>
                <w:color w:val="auto"/>
              </w:rPr>
            </w:pPr>
          </w:p>
        </w:tc>
      </w:tr>
      <w:tr>
        <w:trPr>
          <w:trHeight w:val="414"/>
        </w:trPr>
        <w:tc>
          <w:tcPr>
            <w:tcW w:w="860" w:type="dxa"/>
            <w:vAlign w:val="bottom"/>
          </w:tcPr>
          <w:p>
            <w:pPr>
              <w:spacing w:after="0"/>
              <w:rPr>
                <w:sz w:val="24"/>
                <w:szCs w:val="24"/>
                <w:color w:val="auto"/>
              </w:rPr>
            </w:pPr>
          </w:p>
        </w:tc>
        <w:tc>
          <w:tcPr>
            <w:tcW w:w="4480" w:type="dxa"/>
            <w:vAlign w:val="bottom"/>
          </w:tcPr>
          <w:p>
            <w:pPr>
              <w:spacing w:after="0"/>
              <w:rPr>
                <w:sz w:val="24"/>
                <w:szCs w:val="24"/>
                <w:color w:val="auto"/>
              </w:rPr>
            </w:pPr>
          </w:p>
        </w:tc>
        <w:tc>
          <w:tcPr>
            <w:tcW w:w="184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60" w:type="dxa"/>
            <w:vAlign w:val="bottom"/>
          </w:tcPr>
          <w:p>
            <w:pPr>
              <w:spacing w:after="0"/>
              <w:rPr>
                <w:sz w:val="24"/>
                <w:szCs w:val="24"/>
                <w:color w:val="auto"/>
              </w:rPr>
            </w:pPr>
          </w:p>
        </w:tc>
      </w:tr>
      <w:tr>
        <w:trPr>
          <w:trHeight w:val="115"/>
        </w:trPr>
        <w:tc>
          <w:tcPr>
            <w:tcW w:w="860" w:type="dxa"/>
            <w:vAlign w:val="bottom"/>
            <w:tcBorders>
              <w:bottom w:val="single" w:sz="8" w:color="auto"/>
            </w:tcBorders>
          </w:tcPr>
          <w:p>
            <w:pPr>
              <w:spacing w:after="0"/>
              <w:rPr>
                <w:sz w:val="10"/>
                <w:szCs w:val="10"/>
                <w:color w:val="auto"/>
              </w:rPr>
            </w:pPr>
          </w:p>
        </w:tc>
        <w:tc>
          <w:tcPr>
            <w:tcW w:w="4480" w:type="dxa"/>
            <w:vAlign w:val="bottom"/>
            <w:tcBorders>
              <w:bottom w:val="single" w:sz="8" w:color="auto"/>
            </w:tcBorders>
          </w:tcPr>
          <w:p>
            <w:pPr>
              <w:spacing w:after="0"/>
              <w:rPr>
                <w:sz w:val="10"/>
                <w:szCs w:val="10"/>
                <w:color w:val="auto"/>
              </w:rPr>
            </w:pPr>
          </w:p>
        </w:tc>
        <w:tc>
          <w:tcPr>
            <w:tcW w:w="18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540" w:type="dxa"/>
            <w:vAlign w:val="bottom"/>
            <w:tcBorders>
              <w:bottom w:val="single" w:sz="8" w:color="auto"/>
            </w:tcBorders>
          </w:tcPr>
          <w:p>
            <w:pPr>
              <w:spacing w:after="0"/>
              <w:rPr>
                <w:sz w:val="10"/>
                <w:szCs w:val="10"/>
                <w:color w:val="auto"/>
              </w:rPr>
            </w:pPr>
          </w:p>
        </w:tc>
        <w:tc>
          <w:tcPr>
            <w:tcW w:w="86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819" w:right="239" w:bottom="1440" w:gutter="0" w:footer="0" w:header="0"/>
        </w:sectPr>
      </w:pPr>
    </w:p>
    <w:bookmarkStart w:id="11" w:name="page12"/>
    <w:bookmarkEnd w:id="1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Dividends to Class A and Class C common stockholders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lists the dividends paid on the Company's Class A common stock and Class C common stock during the nine months ended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223" w:lineRule="exact"/>
        <w:rPr>
          <w:sz w:val="20"/>
          <w:szCs w:val="20"/>
          <w:color w:val="auto"/>
        </w:rPr>
      </w:pPr>
    </w:p>
    <w:tbl>
      <w:tblPr>
        <w:tblLayout w:type="fixed"/>
        <w:tblInd w:w="86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w w:val="99"/>
              </w:rPr>
              <w:t>Third Quarter 2019</w:t>
            </w:r>
          </w:p>
        </w:tc>
        <w:tc>
          <w:tcPr>
            <w:tcW w:w="100" w:type="dxa"/>
            <w:vAlign w:val="bottom"/>
          </w:tcPr>
          <w:p>
            <w:pPr>
              <w:spacing w:after="0"/>
              <w:rPr>
                <w:sz w:val="18"/>
                <w:szCs w:val="18"/>
                <w:color w:val="auto"/>
              </w:rPr>
            </w:pPr>
          </w:p>
        </w:tc>
        <w:tc>
          <w:tcPr>
            <w:tcW w:w="16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Second Quarter 2019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w w:val="99"/>
              </w:rPr>
              <w:t>First Quarter 2019</w:t>
            </w:r>
          </w:p>
        </w:tc>
      </w:tr>
      <w:tr>
        <w:trPr>
          <w:trHeight w:val="21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per Class A share</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0.20</w:t>
            </w:r>
          </w:p>
        </w:tc>
        <w:tc>
          <w:tcPr>
            <w:tcW w:w="760" w:type="dxa"/>
            <w:vAlign w:val="bottom"/>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0.20</w:t>
            </w:r>
          </w:p>
        </w:tc>
      </w:t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 per Class C share</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0.20</w:t>
            </w:r>
          </w:p>
        </w:tc>
        <w:tc>
          <w:tcPr>
            <w:tcW w:w="760" w:type="dxa"/>
            <w:vAlign w:val="bottom"/>
            <w:gridSpan w:val="2"/>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0.20</w:t>
            </w:r>
          </w:p>
        </w:tc>
      </w:tr>
    </w:tbl>
    <w:p>
      <w:pPr>
        <w:spacing w:after="0" w:line="175"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Dividends on 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 The Company will continue to evaluate its capital allocation approach during the pendency of the PG&amp;E Bankruptcy, including the Company’s ability to receive unrestricted project distributions.</w:t>
      </w:r>
    </w:p>
    <w:p>
      <w:pPr>
        <w:spacing w:after="0" w:line="180"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October 29, 2019, the Company declared quarterly dividends on its Class A common stock and Class C common stock of $0.20 per share payable on December 16, 2019, to stockholders of record as of December 2,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Noncontrolling Interests</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Clearway Energy LLC Distributions to CEG</w:t>
      </w:r>
    </w:p>
    <w:p>
      <w:pPr>
        <w:spacing w:after="0" w:line="2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The following table lists distributions paid to CEG during the period ended September 30, 2019 on Clearway Energy LLC's Class B and D units:</w:t>
      </w:r>
    </w:p>
    <w:p>
      <w:pPr>
        <w:spacing w:after="0" w:line="241" w:lineRule="exact"/>
        <w:rPr>
          <w:sz w:val="20"/>
          <w:szCs w:val="20"/>
          <w:color w:val="auto"/>
        </w:rPr>
      </w:pPr>
    </w:p>
    <w:tbl>
      <w:tblPr>
        <w:tblLayout w:type="fixed"/>
        <w:tblInd w:w="860" w:type="dxa"/>
        <w:tblCellMar>
          <w:top w:w="0" w:type="dxa"/>
          <w:left w:w="0" w:type="dxa"/>
          <w:bottom w:w="0" w:type="dxa"/>
          <w:right w:w="0" w:type="dxa"/>
        </w:tblCellMar>
      </w:tblPr>
      <w:tr>
        <w:trPr>
          <w:trHeight w:val="215"/>
        </w:trPr>
        <w:tc>
          <w:tcPr>
            <w:tcW w:w="45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tcPr>
          <w:p>
            <w:pPr>
              <w:jc w:val="right"/>
              <w:ind w:right="93"/>
              <w:spacing w:after="0"/>
              <w:rPr>
                <w:sz w:val="20"/>
                <w:szCs w:val="20"/>
                <w:color w:val="auto"/>
              </w:rPr>
            </w:pPr>
            <w:r>
              <w:rPr>
                <w:rFonts w:ascii="Times New Roman" w:cs="Times New Roman" w:eastAsia="Times New Roman" w:hAnsi="Times New Roman"/>
                <w:sz w:val="16"/>
                <w:szCs w:val="16"/>
                <w:b w:val="1"/>
                <w:bCs w:val="1"/>
                <w:color w:val="auto"/>
                <w:w w:val="99"/>
              </w:rPr>
              <w:t>Third Quarter 2019</w:t>
            </w:r>
          </w:p>
        </w:tc>
        <w:tc>
          <w:tcPr>
            <w:tcW w:w="100" w:type="dxa"/>
            <w:vAlign w:val="bottom"/>
          </w:tcPr>
          <w:p>
            <w:pPr>
              <w:spacing w:after="0"/>
              <w:rPr>
                <w:sz w:val="18"/>
                <w:szCs w:val="18"/>
                <w:color w:val="auto"/>
              </w:rPr>
            </w:pPr>
          </w:p>
        </w:tc>
        <w:tc>
          <w:tcPr>
            <w:tcW w:w="1620" w:type="dxa"/>
            <w:vAlign w:val="bottom"/>
            <w:tcBorders>
              <w:bottom w:val="single" w:sz="8" w:color="auto"/>
            </w:tcBorders>
            <w:gridSpan w:val="2"/>
          </w:tcPr>
          <w:p>
            <w:pPr>
              <w:jc w:val="right"/>
              <w:ind w:right="30"/>
              <w:spacing w:after="0"/>
              <w:rPr>
                <w:sz w:val="20"/>
                <w:szCs w:val="20"/>
                <w:color w:val="auto"/>
              </w:rPr>
            </w:pPr>
            <w:r>
              <w:rPr>
                <w:rFonts w:ascii="Times New Roman" w:cs="Times New Roman" w:eastAsia="Times New Roman" w:hAnsi="Times New Roman"/>
                <w:sz w:val="16"/>
                <w:szCs w:val="16"/>
                <w:b w:val="1"/>
                <w:bCs w:val="1"/>
                <w:color w:val="auto"/>
              </w:rPr>
              <w:t>Second Quarter 2019</w:t>
            </w: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33"/>
              <w:spacing w:after="0"/>
              <w:rPr>
                <w:sz w:val="20"/>
                <w:szCs w:val="20"/>
                <w:color w:val="auto"/>
              </w:rPr>
            </w:pPr>
            <w:r>
              <w:rPr>
                <w:rFonts w:ascii="Times New Roman" w:cs="Times New Roman" w:eastAsia="Times New Roman" w:hAnsi="Times New Roman"/>
                <w:sz w:val="16"/>
                <w:szCs w:val="16"/>
                <w:b w:val="1"/>
                <w:bCs w:val="1"/>
                <w:color w:val="auto"/>
                <w:w w:val="99"/>
              </w:rPr>
              <w:t>First Quarter 2019</w:t>
            </w:r>
          </w:p>
        </w:tc>
      </w:tr>
      <w:tr>
        <w:trPr>
          <w:trHeight w:val="213"/>
        </w:trPr>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Distributions per Class B Unit</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0.20</w:t>
            </w:r>
          </w:p>
        </w:tc>
        <w:tc>
          <w:tcPr>
            <w:tcW w:w="760" w:type="dxa"/>
            <w:vAlign w:val="bottom"/>
            <w:gridSpan w:val="2"/>
            <w:shd w:val="clear" w:color="auto" w:fill="CCEEFF"/>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0.20</w:t>
            </w:r>
          </w:p>
        </w:tc>
      </w:tr>
      <w:tr>
        <w:trPr>
          <w:trHeight w:val="238"/>
        </w:trPr>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Distributions per Class D Unit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0.20</w:t>
            </w:r>
          </w:p>
        </w:tc>
        <w:tc>
          <w:tcPr>
            <w:tcW w:w="760" w:type="dxa"/>
            <w:vAlign w:val="bottom"/>
            <w:gridSpan w:val="2"/>
          </w:tcPr>
          <w:p>
            <w:pPr>
              <w:jc w:val="right"/>
              <w:ind w:right="49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0.20</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0.20</w:t>
            </w:r>
          </w:p>
        </w:tc>
      </w:tr>
    </w:tbl>
    <w:p>
      <w:pPr>
        <w:spacing w:after="0" w:line="175"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October 29, 2019, Clearway Energy LLC declared a distribution on its Class B and Class D units of $0.20 per unit payable on December 16, 2019 to unit holders of record as of December 2,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 Recognition</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Revenue from Contracts with Customers</w:t>
      </w:r>
    </w:p>
    <w:p>
      <w:pPr>
        <w:spacing w:after="0" w:line="225"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 xml:space="preserve">On January 1, 2018, the Company adopted the guidance in ASC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 xml:space="preserve"> or Topic 606, using the modified retrospective method applied to contracts which were not completed as of the adoption date, with no adjustment required to the financial statements upon adoption. Following the adoption of the new standard, the Company’s revenue recognition of its contracts with customers remains materially consistent with its historical practice. The comparative information has not been restated and continues to be reported under the accounting standards in effect for those periods. The Company's policies with respect to its various revenue streams are detailed below. In general, the Company applies the invoicing practical expedient to recognize revenue for the revenue streams detailed below, except in circumstances where the invoiced amount does not represent the value transferred to the customer.</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Thermal Revenues</w:t>
      </w:r>
    </w:p>
    <w:p>
      <w:pPr>
        <w:spacing w:after="0" w:line="227"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Steam and chilled water revenue is recognized as the Company transfers the product to the customer, based on customer usage as determined by meter readings taken at month-end. Some locations read customer meters throughout the month and recognize estimated revenue for the period between meter read date and month-end. For thermal contracts, the Company’s performance obligation to deliver steam and chilled water is satisfied over time and revenue is recognized based on the invoiced amount. The Thermal Business subsidiaries collect and remit state and local taxes associated with sales to their customers, as required by governmental authorities. These taxes are presented on a net basis in the income statement.</w:t>
      </w:r>
    </w:p>
    <w:p>
      <w:pPr>
        <w:spacing w:after="0" w:line="1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12" w:name="page13"/>
    <w:bookmarkEnd w:id="1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As contracts for steam and chilled water are long-term contracts, the Company has performance obligations under these contracts that have not yet been satisfied. These performance obligations have transaction prices that are both fixed and variable, and which vary based on the contract duration, customer type, inception date and other contract-specific factors. For the fixed price contracts, the Company cannot accurately estimate the amount of its unsatisfied performance obligations as it will vary based on customer usage, which will depend on factors such as weather and customer activity.</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Power Purchase Agreements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majority of the Company’s revenues are obtained through PPAs or other contractual agreements. Energy, capacity and where applicable, renewable attributes, from the majority of the Company’s renewable energy assets and certain conventional energy plants is sold through long-term PPAs and tolling agreements to a single counterparty, which is often a utility or commercial customer. The majority of these PPAs are accounted for as leases. ASC 840 requires the minimum lease payments received to be amortized over the term of the lease and contingent rentals are recorded when the achievement of the contingency becomes probable. Management's judgment is required in determining the economic life of each generating facility, in evaluating whether certain lease provisions constitute minimum payments or represent contingent rent and other factors in determining whether a contract contains a lease and whether the lease is an operating lease or capital lease.</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Renewable Energy Credits</w:t>
      </w:r>
    </w:p>
    <w:p>
      <w:pPr>
        <w:spacing w:after="0" w:line="227"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Renewable energy credits, or RECs, are usually sold through long-term PPAs. Revenue from the sale of self-generated RECs is recognized when the related energy is generated and simultaneously delivered even in cases where there is a certification lag as it has been deemed to be perfunctory.</w:t>
      </w:r>
    </w:p>
    <w:p>
      <w:pPr>
        <w:spacing w:after="0" w:line="162"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 bundled contract to sell energy, capacity and/or self-generated RECs, all performance obligations are deemed to be delivered at the same time and hence, timing of recognition of revenue for all performance obligations is the same and occurs over time. In such cases, it is often unnecessary to allocate transaction price to multiple performance obligations.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 of Emission Allowances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records its bank of emission allowances as part of intangible assets. From time to time, management may authorize the transfer of emission allowances in excess of usage from the Company's emission bank to intangible assets held-for-sale for trading purposes. The Company records the sale of emission allowances on a net basis within operating revenue in the Company's consolidated statements of operations.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Disaggregated Revenues</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along with the reportable segment for each category for the three and nine months ended September 30, 2019:</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 2019</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8"/>
        </w:trPr>
        <w:tc>
          <w:tcPr>
            <w:tcW w:w="46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0"/>
        </w:trPr>
        <w:tc>
          <w:tcPr>
            <w:tcW w:w="4620" w:type="dxa"/>
            <w:vAlign w:val="bottom"/>
            <w:shd w:val="clear" w:color="auto" w:fill="CCEEFF"/>
          </w:tcPr>
          <w:p>
            <w:pPr>
              <w:ind w:left="160"/>
              <w:spacing w:after="0" w:line="250" w:lineRule="exact"/>
              <w:rPr>
                <w:sz w:val="20"/>
                <w:szCs w:val="20"/>
                <w:color w:val="auto"/>
              </w:rPr>
            </w:pPr>
            <w:r>
              <w:rPr>
                <w:rFonts w:ascii="Times New Roman" w:cs="Times New Roman" w:eastAsia="Times New Roman" w:hAnsi="Times New Roman"/>
                <w:sz w:val="17"/>
                <w:szCs w:val="17"/>
                <w:color w:val="auto"/>
              </w:rPr>
              <w:t>Energy revenue</w:t>
            </w:r>
            <w:r>
              <w:rPr>
                <w:rFonts w:ascii="Times New Roman" w:cs="Times New Roman" w:eastAsia="Times New Roman" w:hAnsi="Times New Roman"/>
                <w:sz w:val="28"/>
                <w:szCs w:val="28"/>
                <w:color w:val="auto"/>
                <w:vertAlign w:val="superscript"/>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172</w:t>
            </w:r>
          </w:p>
        </w:tc>
      </w:tr>
      <w:tr>
        <w:trPr>
          <w:trHeight w:val="257"/>
        </w:trPr>
        <w:tc>
          <w:tcPr>
            <w:tcW w:w="4620" w:type="dxa"/>
            <w:vAlign w:val="bottom"/>
          </w:tcPr>
          <w:p>
            <w:pPr>
              <w:ind w:left="160"/>
              <w:spacing w:after="0" w:line="256" w:lineRule="exact"/>
              <w:rPr>
                <w:sz w:val="20"/>
                <w:szCs w:val="20"/>
                <w:color w:val="auto"/>
              </w:rPr>
            </w:pPr>
            <w:r>
              <w:rPr>
                <w:rFonts w:ascii="Times New Roman" w:cs="Times New Roman" w:eastAsia="Times New Roman" w:hAnsi="Times New Roman"/>
                <w:sz w:val="18"/>
                <w:szCs w:val="18"/>
                <w:color w:val="auto"/>
              </w:rPr>
              <w:t>Capacity revenue</w:t>
            </w:r>
            <w:r>
              <w:rPr>
                <w:rFonts w:ascii="Times New Roman" w:cs="Times New Roman" w:eastAsia="Times New Roman" w:hAnsi="Times New Roman"/>
                <w:sz w:val="29"/>
                <w:szCs w:val="29"/>
                <w:color w:val="auto"/>
                <w:vertAlign w:val="superscript"/>
              </w:rPr>
              <w:t>(a)</w:t>
            </w: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44</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133</w:t>
            </w:r>
          </w:p>
        </w:tc>
      </w:tr>
      <w:tr>
        <w:trPr>
          <w:trHeight w:val="216"/>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 amortization</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r>
      <w:tr>
        <w:trPr>
          <w:trHeight w:val="216"/>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Mark-to-market for economic hedging activities</w:t>
            </w:r>
          </w:p>
        </w:tc>
        <w:tc>
          <w:tcPr>
            <w:tcW w:w="14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w:t>
            </w:r>
          </w:p>
        </w:tc>
        <w:tc>
          <w:tcPr>
            <w:tcW w:w="14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296</w:t>
            </w:r>
          </w:p>
        </w:tc>
      </w:tr>
      <w:tr>
        <w:trPr>
          <w:trHeight w:val="216"/>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Mark-to-market for economic hedging activities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r>
      <w:tr>
        <w:trPr>
          <w:trHeight w:val="216"/>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Lease revenue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(252)</w:t>
            </w:r>
          </w:p>
        </w:tc>
      </w:tr>
      <w:tr>
        <w:trPr>
          <w:trHeight w:val="216"/>
        </w:trPr>
        <w:tc>
          <w:tcPr>
            <w:tcW w:w="4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64</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74" w:lineRule="exact"/>
        <w:rPr>
          <w:sz w:val="20"/>
          <w:szCs w:val="20"/>
          <w:color w:val="auto"/>
        </w:rPr>
      </w:pPr>
    </w:p>
    <w:p>
      <w:pPr>
        <w:ind w:left="1340" w:hanging="198"/>
        <w:spacing w:after="0"/>
        <w:tabs>
          <w:tab w:leader="none" w:pos="1340" w:val="left"/>
        </w:tabs>
        <w:numPr>
          <w:ilvl w:val="0"/>
          <w:numId w:val="4"/>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The following amounts of energy and capacity revenue relate to leases and are accounted for under ASC 842:</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8"/>
        </w:trPr>
        <w:tc>
          <w:tcPr>
            <w:tcW w:w="3480" w:type="dxa"/>
            <w:vAlign w:val="bottom"/>
            <w:gridSpan w:val="2"/>
          </w:tcPr>
          <w:p>
            <w:pPr>
              <w:ind w:left="1140"/>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1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14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160</w:t>
            </w:r>
          </w:p>
        </w:tc>
        <w:tc>
          <w:tcPr>
            <w:tcW w:w="32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252</w:t>
            </w:r>
          </w:p>
        </w:tc>
        <w:tc>
          <w:tcPr>
            <w:tcW w:w="1140" w:type="dxa"/>
            <w:vAlign w:val="bottom"/>
          </w:tcPr>
          <w:p>
            <w:pPr>
              <w:spacing w:after="0"/>
              <w:rPr>
                <w:sz w:val="21"/>
                <w:szCs w:val="21"/>
                <w:color w:val="auto"/>
              </w:rPr>
            </w:pPr>
          </w:p>
        </w:tc>
      </w:tr>
      <w:tr>
        <w:trPr>
          <w:trHeight w:val="413"/>
        </w:trPr>
        <w:tc>
          <w:tcPr>
            <w:tcW w:w="1160" w:type="dxa"/>
            <w:vAlign w:val="bottom"/>
          </w:tcPr>
          <w:p>
            <w:pPr>
              <w:spacing w:after="0"/>
              <w:rPr>
                <w:sz w:val="24"/>
                <w:szCs w:val="24"/>
                <w:color w:val="auto"/>
              </w:rPr>
            </w:pPr>
          </w:p>
        </w:tc>
        <w:tc>
          <w:tcPr>
            <w:tcW w:w="232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2" w:right="239" w:bottom="1440" w:gutter="0" w:footer="0" w:header="0"/>
        </w:sectPr>
      </w:pPr>
    </w:p>
    <w:bookmarkStart w:id="13" w:name="page14"/>
    <w:bookmarkEnd w:id="1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Nine months ended September 30, 2019</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8"/>
        </w:trPr>
        <w:tc>
          <w:tcPr>
            <w:tcW w:w="46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1"/>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0"/>
        </w:trPr>
        <w:tc>
          <w:tcPr>
            <w:tcW w:w="4620" w:type="dxa"/>
            <w:vAlign w:val="bottom"/>
            <w:shd w:val="clear" w:color="auto" w:fill="CCEEFF"/>
          </w:tcPr>
          <w:p>
            <w:pPr>
              <w:ind w:left="160"/>
              <w:spacing w:after="0" w:line="250" w:lineRule="exact"/>
              <w:rPr>
                <w:sz w:val="20"/>
                <w:szCs w:val="20"/>
                <w:color w:val="auto"/>
              </w:rPr>
            </w:pPr>
            <w:r>
              <w:rPr>
                <w:rFonts w:ascii="Times New Roman" w:cs="Times New Roman" w:eastAsia="Times New Roman" w:hAnsi="Times New Roman"/>
                <w:sz w:val="17"/>
                <w:szCs w:val="17"/>
                <w:color w:val="auto"/>
              </w:rPr>
              <w:t>Energy revenue</w:t>
            </w:r>
            <w:r>
              <w:rPr>
                <w:rFonts w:ascii="Times New Roman" w:cs="Times New Roman" w:eastAsia="Times New Roman" w:hAnsi="Times New Roman"/>
                <w:sz w:val="28"/>
                <w:szCs w:val="28"/>
                <w:color w:val="auto"/>
                <w:vertAlign w:val="superscript"/>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441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451</w:t>
            </w:r>
          </w:p>
        </w:tc>
      </w:tr>
      <w:tr>
        <w:trPr>
          <w:trHeight w:val="257"/>
        </w:trPr>
        <w:tc>
          <w:tcPr>
            <w:tcW w:w="4620" w:type="dxa"/>
            <w:vAlign w:val="bottom"/>
          </w:tcPr>
          <w:p>
            <w:pPr>
              <w:ind w:left="160"/>
              <w:spacing w:after="0" w:line="256" w:lineRule="exact"/>
              <w:rPr>
                <w:sz w:val="20"/>
                <w:szCs w:val="20"/>
                <w:color w:val="auto"/>
              </w:rPr>
            </w:pPr>
            <w:r>
              <w:rPr>
                <w:rFonts w:ascii="Times New Roman" w:cs="Times New Roman" w:eastAsia="Times New Roman" w:hAnsi="Times New Roman"/>
                <w:sz w:val="18"/>
                <w:szCs w:val="18"/>
                <w:color w:val="auto"/>
              </w:rPr>
              <w:t>Capacity revenue</w:t>
            </w:r>
            <w:r>
              <w:rPr>
                <w:rFonts w:ascii="Times New Roman" w:cs="Times New Roman" w:eastAsia="Times New Roman" w:hAnsi="Times New Roman"/>
                <w:sz w:val="29"/>
                <w:szCs w:val="29"/>
                <w:color w:val="auto"/>
                <w:vertAlign w:val="superscript"/>
              </w:rPr>
              <w:t>(a)</w:t>
            </w:r>
          </w:p>
        </w:tc>
        <w:tc>
          <w:tcPr>
            <w:tcW w:w="140" w:type="dxa"/>
            <w:vAlign w:val="bottom"/>
          </w:tcPr>
          <w:p>
            <w:pPr>
              <w:spacing w:after="0"/>
              <w:rPr>
                <w:sz w:val="22"/>
                <w:szCs w:val="22"/>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126</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379</w:t>
            </w:r>
          </w:p>
        </w:tc>
      </w:tr>
      <w:tr>
        <w:trPr>
          <w:trHeight w:val="216"/>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 amortization</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Mark-to-market for economic hedging activities</w:t>
            </w:r>
          </w:p>
        </w:tc>
        <w:tc>
          <w:tcPr>
            <w:tcW w:w="14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operating revenue</w:t>
            </w:r>
          </w:p>
        </w:tc>
        <w:tc>
          <w:tcPr>
            <w:tcW w:w="140" w:type="dxa"/>
            <w:vAlign w:val="bottom"/>
          </w:tcPr>
          <w:p>
            <w:pPr>
              <w:spacing w:after="0"/>
              <w:rPr>
                <w:sz w:val="18"/>
                <w:szCs w:val="18"/>
                <w:color w:val="auto"/>
              </w:rPr>
            </w:pP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797</w:t>
            </w:r>
          </w:p>
        </w:tc>
      </w:tr>
      <w:tr>
        <w:trPr>
          <w:trHeight w:val="216"/>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Mark-to-market for economic hedging activities</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r>
      <w:tr>
        <w:trPr>
          <w:trHeight w:val="216"/>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Lease revenue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(416)</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16"/>
        </w:trPr>
        <w:tc>
          <w:tcPr>
            <w:tcW w:w="4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revenue from contracts with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152</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183</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1020" w:hanging="202"/>
        <w:spacing w:after="0"/>
        <w:tabs>
          <w:tab w:leader="none" w:pos="1020" w:val="left"/>
        </w:tabs>
        <w:numPr>
          <w:ilvl w:val="0"/>
          <w:numId w:val="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The following amounts of energy and capacity revenue relate to leases and are accounted for under ASC 842:</w:t>
      </w:r>
    </w:p>
    <w:p>
      <w:pPr>
        <w:spacing w:after="0" w:line="200" w:lineRule="exact"/>
        <w:rPr>
          <w:sz w:val="20"/>
          <w:szCs w:val="20"/>
          <w:color w:val="auto"/>
        </w:rPr>
      </w:pPr>
    </w:p>
    <w:p>
      <w:pPr>
        <w:spacing w:after="0" w:line="216"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8"/>
        </w:trPr>
        <w:tc>
          <w:tcPr>
            <w:tcW w:w="24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20" w:type="dxa"/>
            <w:vAlign w:val="bottom"/>
          </w:tcPr>
          <w:p>
            <w:pPr>
              <w:spacing w:after="0"/>
              <w:rPr>
                <w:sz w:val="18"/>
                <w:szCs w:val="18"/>
                <w:color w:val="auto"/>
              </w:rPr>
            </w:pPr>
          </w:p>
        </w:tc>
        <w:tc>
          <w:tcPr>
            <w:tcW w:w="24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Energy revenue</w:t>
            </w: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416</w:t>
            </w:r>
          </w:p>
        </w:tc>
        <w:tc>
          <w:tcPr>
            <w:tcW w:w="1160" w:type="dxa"/>
            <w:vAlign w:val="bottom"/>
            <w:gridSpan w:val="2"/>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422</w:t>
            </w:r>
          </w:p>
        </w:tc>
      </w:tr>
      <w:tr>
        <w:trPr>
          <w:trHeight w:val="216"/>
        </w:trPr>
        <w:tc>
          <w:tcPr>
            <w:tcW w:w="20" w:type="dxa"/>
            <w:vAlign w:val="bottom"/>
          </w:tcPr>
          <w:p>
            <w:pPr>
              <w:spacing w:after="0"/>
              <w:rPr>
                <w:sz w:val="18"/>
                <w:szCs w:val="18"/>
                <w:color w:val="auto"/>
              </w:rPr>
            </w:pPr>
          </w:p>
        </w:tc>
        <w:tc>
          <w:tcPr>
            <w:tcW w:w="24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Capacity revenue</w:t>
            </w:r>
          </w:p>
        </w:tc>
        <w:tc>
          <w:tcPr>
            <w:tcW w:w="9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253</w:t>
            </w:r>
          </w:p>
        </w:tc>
      </w:tr>
      <w:tr>
        <w:trPr>
          <w:trHeight w:val="230"/>
        </w:trPr>
        <w:tc>
          <w:tcPr>
            <w:tcW w:w="20" w:type="dxa"/>
            <w:vAlign w:val="bottom"/>
          </w:tcPr>
          <w:p>
            <w:pPr>
              <w:spacing w:after="0"/>
              <w:rPr>
                <w:sz w:val="19"/>
                <w:szCs w:val="19"/>
                <w:color w:val="auto"/>
              </w:rPr>
            </w:pPr>
          </w:p>
        </w:tc>
        <w:tc>
          <w:tcPr>
            <w:tcW w:w="2400" w:type="dxa"/>
            <w:vAlign w:val="bottom"/>
            <w:shd w:val="clear" w:color="auto" w:fill="CCEEFF"/>
          </w:tcPr>
          <w:p>
            <w:pPr>
              <w:spacing w:after="0"/>
              <w:rPr>
                <w:sz w:val="19"/>
                <w:szCs w:val="19"/>
                <w:color w:val="auto"/>
              </w:rPr>
            </w:pPr>
          </w:p>
        </w:tc>
        <w:tc>
          <w:tcPr>
            <w:tcW w:w="11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416</w:t>
            </w:r>
          </w:p>
        </w:tc>
        <w:tc>
          <w:tcPr>
            <w:tcW w:w="1160" w:type="dxa"/>
            <w:vAlign w:val="bottom"/>
            <w:gridSpan w:val="2"/>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675</w:t>
            </w:r>
          </w:p>
        </w:tc>
      </w:tr>
      <w:tr>
        <w:trPr>
          <w:trHeight w:val="20"/>
        </w:trPr>
        <w:tc>
          <w:tcPr>
            <w:tcW w:w="20" w:type="dxa"/>
            <w:vAlign w:val="bottom"/>
          </w:tcPr>
          <w:p>
            <w:pPr>
              <w:spacing w:after="0" w:line="20" w:lineRule="exact"/>
              <w:rPr>
                <w:sz w:val="1"/>
                <w:szCs w:val="1"/>
                <w:color w:val="auto"/>
              </w:rPr>
            </w:pPr>
          </w:p>
        </w:tc>
        <w:tc>
          <w:tcPr>
            <w:tcW w:w="2400" w:type="dxa"/>
            <w:vAlign w:val="bottom"/>
            <w:tcBorders>
              <w:top w:val="single" w:sz="8" w:color="CCEEFF"/>
            </w:tcBorders>
            <w:shd w:val="clear" w:color="auto" w:fill="CCEEFF"/>
          </w:tcPr>
          <w:p>
            <w:pPr>
              <w:spacing w:after="0" w:line="20" w:lineRule="exact"/>
              <w:rPr>
                <w:sz w:val="1"/>
                <w:szCs w:val="1"/>
                <w:color w:val="auto"/>
              </w:rPr>
            </w:pPr>
          </w:p>
        </w:tc>
        <w:tc>
          <w:tcPr>
            <w:tcW w:w="9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represent the Company’s disaggregation of revenue from contracts with customers along with the reportable segment for each category for the three and nine months ended September 30, 2018:</w:t>
      </w:r>
    </w:p>
    <w:p>
      <w:pPr>
        <w:spacing w:after="0" w:line="178"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 2018</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8"/>
        </w:trPr>
        <w:tc>
          <w:tcPr>
            <w:tcW w:w="46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0"/>
        </w:trPr>
        <w:tc>
          <w:tcPr>
            <w:tcW w:w="4620" w:type="dxa"/>
            <w:vAlign w:val="bottom"/>
            <w:shd w:val="clear" w:color="auto" w:fill="CCEEFF"/>
          </w:tcPr>
          <w:p>
            <w:pPr>
              <w:ind w:left="160"/>
              <w:spacing w:after="0" w:line="250" w:lineRule="exact"/>
              <w:rPr>
                <w:sz w:val="20"/>
                <w:szCs w:val="20"/>
                <w:color w:val="auto"/>
              </w:rPr>
            </w:pPr>
            <w:r>
              <w:rPr>
                <w:rFonts w:ascii="Times New Roman" w:cs="Times New Roman" w:eastAsia="Times New Roman" w:hAnsi="Times New Roman"/>
                <w:sz w:val="17"/>
                <w:szCs w:val="17"/>
                <w:color w:val="auto"/>
              </w:rPr>
              <w:t>Energy revenue</w:t>
            </w:r>
            <w:r>
              <w:rPr>
                <w:rFonts w:ascii="Times New Roman" w:cs="Times New Roman" w:eastAsia="Times New Roman" w:hAnsi="Times New Roman"/>
                <w:sz w:val="28"/>
                <w:szCs w:val="28"/>
                <w:color w:val="auto"/>
                <w:vertAlign w:val="superscript"/>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164</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166</w:t>
            </w:r>
          </w:p>
        </w:tc>
      </w:tr>
      <w:tr>
        <w:trPr>
          <w:trHeight w:val="257"/>
        </w:trPr>
        <w:tc>
          <w:tcPr>
            <w:tcW w:w="4620" w:type="dxa"/>
            <w:vAlign w:val="bottom"/>
          </w:tcPr>
          <w:p>
            <w:pPr>
              <w:ind w:left="160"/>
              <w:spacing w:after="0" w:line="256" w:lineRule="exact"/>
              <w:rPr>
                <w:sz w:val="20"/>
                <w:szCs w:val="20"/>
                <w:color w:val="auto"/>
              </w:rPr>
            </w:pPr>
            <w:r>
              <w:rPr>
                <w:rFonts w:ascii="Times New Roman" w:cs="Times New Roman" w:eastAsia="Times New Roman" w:hAnsi="Times New Roman"/>
                <w:sz w:val="18"/>
                <w:szCs w:val="18"/>
                <w:color w:val="auto"/>
              </w:rPr>
              <w:t>Capacity revenue</w:t>
            </w:r>
            <w:r>
              <w:rPr>
                <w:rFonts w:ascii="Times New Roman" w:cs="Times New Roman" w:eastAsia="Times New Roman" w:hAnsi="Times New Roman"/>
                <w:sz w:val="29"/>
                <w:szCs w:val="29"/>
                <w:color w:val="auto"/>
                <w:vertAlign w:val="superscript"/>
              </w:rPr>
              <w:t>(a)</w:t>
            </w:r>
          </w:p>
        </w:tc>
        <w:tc>
          <w:tcPr>
            <w:tcW w:w="14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132</w:t>
            </w:r>
          </w:p>
        </w:tc>
      </w:tr>
      <w:tr>
        <w:trPr>
          <w:trHeight w:val="216"/>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 amortization</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r>
      <w:tr>
        <w:trPr>
          <w:trHeight w:val="216"/>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292</w:t>
            </w:r>
          </w:p>
        </w:tc>
      </w:tr>
      <w:tr>
        <w:trPr>
          <w:trHeight w:val="216"/>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Lease revenue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w:t>
            </w:r>
          </w:p>
        </w:tc>
      </w:tr>
      <w:tr>
        <w:trPr>
          <w:trHeight w:val="216"/>
        </w:trPr>
        <w:tc>
          <w:tcPr>
            <w:tcW w:w="4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54</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1020" w:hanging="202"/>
        <w:spacing w:after="0"/>
        <w:tabs>
          <w:tab w:leader="none" w:pos="1020" w:val="left"/>
        </w:tabs>
        <w:numPr>
          <w:ilvl w:val="0"/>
          <w:numId w:val="6"/>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The following amounts of energy and capacity revenue relate to leases and are accounted for under ASC 840:</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16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153"/>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140" w:type="dxa"/>
            <w:vAlign w:val="bottom"/>
          </w:tcPr>
          <w:p>
            <w:pPr>
              <w:spacing w:after="0"/>
              <w:rPr>
                <w:sz w:val="17"/>
                <w:szCs w:val="17"/>
                <w:color w:val="auto"/>
              </w:rPr>
            </w:pPr>
          </w:p>
        </w:tc>
      </w:tr>
      <w:tr>
        <w:trPr>
          <w:trHeight w:val="218"/>
        </w:trPr>
        <w:tc>
          <w:tcPr>
            <w:tcW w:w="3480" w:type="dxa"/>
            <w:vAlign w:val="bottom"/>
            <w:gridSpan w:val="2"/>
          </w:tcPr>
          <w:p>
            <w:pPr>
              <w:ind w:left="1140"/>
              <w:spacing w:after="0"/>
              <w:rPr>
                <w:sz w:val="20"/>
                <w:szCs w:val="20"/>
                <w:color w:val="auto"/>
              </w:rPr>
            </w:pPr>
            <w:r>
              <w:rPr>
                <w:rFonts w:ascii="Times New Roman" w:cs="Times New Roman" w:eastAsia="Times New Roman" w:hAnsi="Times New Roman"/>
                <w:sz w:val="16"/>
                <w:szCs w:val="16"/>
                <w:color w:val="auto"/>
              </w:rPr>
              <w:t>(In millions)</w:t>
            </w:r>
          </w:p>
        </w:tc>
        <w:tc>
          <w:tcPr>
            <w:tcW w:w="1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13"/>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80" w:type="dxa"/>
            <w:vAlign w:val="bottom"/>
          </w:tcPr>
          <w:p>
            <w:pPr>
              <w:spacing w:after="0"/>
              <w:rPr>
                <w:sz w:val="18"/>
                <w:szCs w:val="18"/>
                <w:color w:val="auto"/>
              </w:rPr>
            </w:pPr>
          </w:p>
        </w:tc>
        <w:tc>
          <w:tcPr>
            <w:tcW w:w="1100" w:type="dxa"/>
            <w:vAlign w:val="bottom"/>
            <w:tcBorders>
              <w:bottom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26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140" w:type="dxa"/>
            <w:vAlign w:val="bottom"/>
          </w:tcPr>
          <w:p>
            <w:pPr>
              <w:spacing w:after="0"/>
              <w:rPr>
                <w:sz w:val="18"/>
                <w:szCs w:val="18"/>
                <w:color w:val="auto"/>
              </w:rPr>
            </w:pPr>
          </w:p>
        </w:tc>
      </w:tr>
      <w:tr>
        <w:trPr>
          <w:trHeight w:val="210"/>
        </w:trPr>
        <w:tc>
          <w:tcPr>
            <w:tcW w:w="116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w:t>
            </w:r>
          </w:p>
        </w:tc>
        <w:tc>
          <w:tcPr>
            <w:tcW w:w="1180" w:type="dxa"/>
            <w:vAlign w:val="bottom"/>
            <w:gridSpan w:val="2"/>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w:t>
            </w:r>
          </w:p>
        </w:tc>
        <w:tc>
          <w:tcPr>
            <w:tcW w:w="1140" w:type="dxa"/>
            <w:vAlign w:val="bottom"/>
          </w:tcPr>
          <w:p>
            <w:pPr>
              <w:spacing w:after="0"/>
              <w:rPr>
                <w:sz w:val="18"/>
                <w:szCs w:val="18"/>
                <w:color w:val="auto"/>
              </w:rPr>
            </w:pPr>
          </w:p>
        </w:tc>
      </w:tr>
      <w:tr>
        <w:trPr>
          <w:trHeight w:val="216"/>
        </w:trPr>
        <w:tc>
          <w:tcPr>
            <w:tcW w:w="116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1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100" w:type="dxa"/>
            <w:vAlign w:val="bottom"/>
            <w:tcBorders>
              <w:bottom w:val="single" w:sz="8" w:color="auto"/>
            </w:tcBorders>
          </w:tcPr>
          <w:p>
            <w:pPr>
              <w:spacing w:after="0"/>
              <w:rPr>
                <w:sz w:val="18"/>
                <w:szCs w:val="18"/>
                <w:color w:val="auto"/>
              </w:rPr>
            </w:pPr>
          </w:p>
        </w:tc>
        <w:tc>
          <w:tcPr>
            <w:tcW w:w="26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140" w:type="dxa"/>
            <w:vAlign w:val="bottom"/>
          </w:tcPr>
          <w:p>
            <w:pPr>
              <w:spacing w:after="0"/>
              <w:rPr>
                <w:sz w:val="18"/>
                <w:szCs w:val="18"/>
                <w:color w:val="auto"/>
              </w:rPr>
            </w:pPr>
          </w:p>
        </w:tc>
      </w:tr>
      <w:tr>
        <w:trPr>
          <w:trHeight w:val="250"/>
        </w:trPr>
        <w:tc>
          <w:tcPr>
            <w:tcW w:w="1160" w:type="dxa"/>
            <w:vAlign w:val="bottom"/>
          </w:tcPr>
          <w:p>
            <w:pPr>
              <w:spacing w:after="0"/>
              <w:rPr>
                <w:sz w:val="21"/>
                <w:szCs w:val="21"/>
                <w:color w:val="auto"/>
              </w:rPr>
            </w:pPr>
          </w:p>
        </w:tc>
        <w:tc>
          <w:tcPr>
            <w:tcW w:w="2320" w:type="dxa"/>
            <w:vAlign w:val="bottom"/>
            <w:shd w:val="clear" w:color="auto" w:fill="CCEEFF"/>
          </w:tcPr>
          <w:p>
            <w:pPr>
              <w:spacing w:after="0"/>
              <w:rPr>
                <w:sz w:val="21"/>
                <w:szCs w:val="21"/>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158</w:t>
            </w:r>
          </w:p>
        </w:tc>
        <w:tc>
          <w:tcPr>
            <w:tcW w:w="1180" w:type="dxa"/>
            <w:vAlign w:val="bottom"/>
            <w:gridSpan w:val="2"/>
            <w:shd w:val="clear" w:color="auto" w:fill="CCEEFF"/>
          </w:tcPr>
          <w:p>
            <w:pPr>
              <w:jc w:val="right"/>
              <w:ind w:right="939"/>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1140" w:type="dxa"/>
            <w:vAlign w:val="bottom"/>
          </w:tcPr>
          <w:p>
            <w:pPr>
              <w:spacing w:after="0"/>
              <w:rPr>
                <w:sz w:val="21"/>
                <w:szCs w:val="21"/>
                <w:color w:val="auto"/>
              </w:rPr>
            </w:pPr>
          </w:p>
        </w:tc>
      </w:tr>
      <w:tr>
        <w:trPr>
          <w:trHeight w:val="413"/>
        </w:trPr>
        <w:tc>
          <w:tcPr>
            <w:tcW w:w="1160" w:type="dxa"/>
            <w:vAlign w:val="bottom"/>
          </w:tcPr>
          <w:p>
            <w:pPr>
              <w:spacing w:after="0"/>
              <w:rPr>
                <w:sz w:val="24"/>
                <w:szCs w:val="24"/>
                <w:color w:val="auto"/>
              </w:rPr>
            </w:pPr>
          </w:p>
        </w:tc>
        <w:tc>
          <w:tcPr>
            <w:tcW w:w="2320" w:type="dxa"/>
            <w:vAlign w:val="bottom"/>
            <w:tcBorders>
              <w:top w:val="single" w:sz="8" w:color="CCEEFF"/>
            </w:tcBorders>
          </w:tcPr>
          <w:p>
            <w:pPr>
              <w:spacing w:after="0"/>
              <w:rPr>
                <w:sz w:val="24"/>
                <w:szCs w:val="24"/>
                <w:color w:val="auto"/>
              </w:rPr>
            </w:pPr>
          </w:p>
        </w:tc>
        <w:tc>
          <w:tcPr>
            <w:tcW w:w="106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240" w:type="dxa"/>
            <w:vAlign w:val="bottom"/>
            <w:tcBorders>
              <w:top w:val="single" w:sz="8" w:color="auto"/>
            </w:tcBorders>
          </w:tcPr>
          <w:p>
            <w:pPr>
              <w:jc w:val="right"/>
              <w:ind w:right="53"/>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80" w:type="dxa"/>
            <w:vAlign w:val="bottom"/>
            <w:tcBorders>
              <w:top w:val="single" w:sz="8" w:color="CCEEFF"/>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140" w:type="dxa"/>
            <w:vAlign w:val="bottom"/>
          </w:tcPr>
          <w:p>
            <w:pPr>
              <w:spacing w:after="0"/>
              <w:rPr>
                <w:sz w:val="24"/>
                <w:szCs w:val="24"/>
                <w:color w:val="auto"/>
              </w:rPr>
            </w:pPr>
          </w:p>
        </w:tc>
      </w:tr>
      <w:tr>
        <w:trPr>
          <w:trHeight w:val="115"/>
        </w:trPr>
        <w:tc>
          <w:tcPr>
            <w:tcW w:w="1160" w:type="dxa"/>
            <w:vAlign w:val="bottom"/>
            <w:tcBorders>
              <w:bottom w:val="single" w:sz="8" w:color="auto"/>
            </w:tcBorders>
          </w:tcPr>
          <w:p>
            <w:pPr>
              <w:spacing w:after="0"/>
              <w:rPr>
                <w:sz w:val="10"/>
                <w:szCs w:val="10"/>
                <w:color w:val="auto"/>
              </w:rPr>
            </w:pPr>
          </w:p>
        </w:tc>
        <w:tc>
          <w:tcPr>
            <w:tcW w:w="232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2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20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2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14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2" w:right="239" w:bottom="1440" w:gutter="0" w:footer="0" w:header="0"/>
        </w:sectPr>
      </w:pPr>
    </w:p>
    <w:bookmarkStart w:id="14" w:name="page15"/>
    <w:bookmarkEnd w:id="1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32" w:lineRule="exact"/>
        <w:rPr>
          <w:sz w:val="20"/>
          <w:szCs w:val="20"/>
          <w:color w:val="auto"/>
        </w:rPr>
      </w:pPr>
    </w:p>
    <w:tbl>
      <w:tblPr>
        <w:tblLayout w:type="fixed"/>
        <w:tblInd w:w="58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spacing w:after="0"/>
              <w:rPr>
                <w:sz w:val="18"/>
                <w:szCs w:val="18"/>
                <w:color w:val="auto"/>
              </w:rPr>
            </w:pPr>
          </w:p>
        </w:tc>
        <w:tc>
          <w:tcPr>
            <w:tcW w:w="2880" w:type="dxa"/>
            <w:vAlign w:val="bottom"/>
            <w:tcBorders>
              <w:bottom w:val="single" w:sz="8" w:color="auto"/>
            </w:tcBorders>
            <w:gridSpan w:val="6"/>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Nine months ended September 30, 2018</w:t>
            </w:r>
          </w:p>
        </w:tc>
        <w:tc>
          <w:tcPr>
            <w:tcW w:w="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r>
      <w:tr>
        <w:trPr>
          <w:trHeight w:val="183"/>
        </w:trPr>
        <w:tc>
          <w:tcPr>
            <w:tcW w:w="4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20" w:type="dxa"/>
            <w:vAlign w:val="bottom"/>
          </w:tcPr>
          <w:p>
            <w:pPr>
              <w:jc w:val="right"/>
              <w:ind w:right="172"/>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40" w:type="dxa"/>
            <w:vAlign w:val="bottom"/>
          </w:tcPr>
          <w:p>
            <w:pPr>
              <w:spacing w:after="0"/>
              <w:rPr>
                <w:sz w:val="15"/>
                <w:szCs w:val="15"/>
                <w:color w:val="auto"/>
              </w:rPr>
            </w:pPr>
          </w:p>
        </w:tc>
      </w:tr>
      <w:tr>
        <w:trPr>
          <w:trHeight w:val="218"/>
        </w:trPr>
        <w:tc>
          <w:tcPr>
            <w:tcW w:w="46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252"/>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231"/>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50"/>
        </w:trPr>
        <w:tc>
          <w:tcPr>
            <w:tcW w:w="4620" w:type="dxa"/>
            <w:vAlign w:val="bottom"/>
            <w:shd w:val="clear" w:color="auto" w:fill="CCEEFF"/>
          </w:tcPr>
          <w:p>
            <w:pPr>
              <w:ind w:left="160"/>
              <w:spacing w:after="0" w:line="250" w:lineRule="exact"/>
              <w:rPr>
                <w:sz w:val="20"/>
                <w:szCs w:val="20"/>
                <w:color w:val="auto"/>
              </w:rPr>
            </w:pPr>
            <w:r>
              <w:rPr>
                <w:rFonts w:ascii="Times New Roman" w:cs="Times New Roman" w:eastAsia="Times New Roman" w:hAnsi="Times New Roman"/>
                <w:sz w:val="17"/>
                <w:szCs w:val="17"/>
                <w:color w:val="auto"/>
              </w:rPr>
              <w:t>Energy revenue</w:t>
            </w:r>
            <w:r>
              <w:rPr>
                <w:rFonts w:ascii="Times New Roman" w:cs="Times New Roman" w:eastAsia="Times New Roman" w:hAnsi="Times New Roman"/>
                <w:sz w:val="28"/>
                <w:szCs w:val="28"/>
                <w:color w:val="auto"/>
                <w:vertAlign w:val="superscript"/>
              </w:rPr>
              <w:t>(a)</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463</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470</w:t>
            </w:r>
          </w:p>
        </w:tc>
      </w:tr>
      <w:tr>
        <w:trPr>
          <w:trHeight w:val="257"/>
        </w:trPr>
        <w:tc>
          <w:tcPr>
            <w:tcW w:w="4620" w:type="dxa"/>
            <w:vAlign w:val="bottom"/>
          </w:tcPr>
          <w:p>
            <w:pPr>
              <w:ind w:left="160"/>
              <w:spacing w:after="0" w:line="256" w:lineRule="exact"/>
              <w:rPr>
                <w:sz w:val="20"/>
                <w:szCs w:val="20"/>
                <w:color w:val="auto"/>
              </w:rPr>
            </w:pPr>
            <w:r>
              <w:rPr>
                <w:rFonts w:ascii="Times New Roman" w:cs="Times New Roman" w:eastAsia="Times New Roman" w:hAnsi="Times New Roman"/>
                <w:sz w:val="18"/>
                <w:szCs w:val="18"/>
                <w:color w:val="auto"/>
              </w:rPr>
              <w:t>Capacity revenue</w:t>
            </w:r>
            <w:r>
              <w:rPr>
                <w:rFonts w:ascii="Times New Roman" w:cs="Times New Roman" w:eastAsia="Times New Roman" w:hAnsi="Times New Roman"/>
                <w:sz w:val="29"/>
                <w:szCs w:val="29"/>
                <w:color w:val="auto"/>
                <w:vertAlign w:val="superscript"/>
              </w:rPr>
              <w:t>(a)</w:t>
            </w:r>
          </w:p>
        </w:tc>
        <w:tc>
          <w:tcPr>
            <w:tcW w:w="140" w:type="dxa"/>
            <w:vAlign w:val="bottom"/>
          </w:tcPr>
          <w:p>
            <w:pPr>
              <w:spacing w:after="0"/>
              <w:rPr>
                <w:sz w:val="22"/>
                <w:szCs w:val="22"/>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127</w:t>
            </w: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377</w:t>
            </w:r>
          </w:p>
        </w:tc>
      </w:tr>
      <w:tr>
        <w:trPr>
          <w:trHeight w:val="216"/>
        </w:trPr>
        <w:tc>
          <w:tcPr>
            <w:tcW w:w="4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 amortization</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r>
      <w:tr>
        <w:trPr>
          <w:trHeight w:val="216"/>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revenue</w:t>
            </w:r>
          </w:p>
        </w:tc>
        <w:tc>
          <w:tcPr>
            <w:tcW w:w="14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operating revenue</w:t>
            </w:r>
          </w:p>
        </w:tc>
        <w:tc>
          <w:tcPr>
            <w:tcW w:w="140" w:type="dxa"/>
            <w:vAlign w:val="bottom"/>
            <w:shd w:val="clear" w:color="auto" w:fill="CCEEFF"/>
          </w:tcPr>
          <w:p>
            <w:pPr>
              <w:spacing w:after="0"/>
              <w:rPr>
                <w:sz w:val="18"/>
                <w:szCs w:val="18"/>
                <w:color w:val="auto"/>
              </w:rPr>
            </w:pPr>
          </w:p>
        </w:tc>
        <w:tc>
          <w:tcPr>
            <w:tcW w:w="122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146</w:t>
            </w:r>
          </w:p>
        </w:tc>
        <w:tc>
          <w:tcPr>
            <w:tcW w:w="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824</w:t>
            </w:r>
          </w:p>
        </w:tc>
      </w:tr>
      <w:tr>
        <w:trPr>
          <w:trHeight w:val="216"/>
        </w:trPr>
        <w:tc>
          <w:tcPr>
            <w:tcW w:w="46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Less: Lease revenue</w:t>
            </w:r>
          </w:p>
        </w:tc>
        <w:tc>
          <w:tcPr>
            <w:tcW w:w="140" w:type="dxa"/>
            <w:vAlign w:val="bottom"/>
          </w:tcPr>
          <w:p>
            <w:pPr>
              <w:spacing w:after="0"/>
              <w:rPr>
                <w:sz w:val="18"/>
                <w:szCs w:val="18"/>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16"/>
        </w:trPr>
        <w:tc>
          <w:tcPr>
            <w:tcW w:w="46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Contract amortization</w:t>
            </w:r>
          </w:p>
        </w:tc>
        <w:tc>
          <w:tcPr>
            <w:tcW w:w="14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Borders>
              <w:bottom w:val="single" w:sz="8" w:color="CCEEFF"/>
            </w:tcBorders>
            <w:shd w:val="clear" w:color="auto" w:fill="CCEEFF"/>
          </w:tcPr>
          <w:p>
            <w:pPr>
              <w:spacing w:after="0"/>
              <w:rPr>
                <w:sz w:val="18"/>
                <w:szCs w:val="18"/>
                <w:color w:val="auto"/>
              </w:rPr>
            </w:pPr>
          </w:p>
        </w:tc>
        <w:tc>
          <w:tcPr>
            <w:tcW w:w="28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revenue from contracts with customers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147</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182</w:t>
            </w:r>
          </w:p>
        </w:tc>
      </w:tr>
      <w:tr>
        <w:trPr>
          <w:trHeight w:val="20"/>
        </w:trPr>
        <w:tc>
          <w:tcPr>
            <w:tcW w:w="46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bl>
    <w:p>
      <w:pPr>
        <w:spacing w:after="0" w:line="162" w:lineRule="exact"/>
        <w:rPr>
          <w:sz w:val="20"/>
          <w:szCs w:val="20"/>
          <w:color w:val="auto"/>
        </w:rPr>
      </w:pPr>
    </w:p>
    <w:p>
      <w:pPr>
        <w:ind w:left="1020" w:hanging="202"/>
        <w:spacing w:after="0"/>
        <w:tabs>
          <w:tab w:leader="none" w:pos="1020" w:val="left"/>
        </w:tabs>
        <w:numPr>
          <w:ilvl w:val="0"/>
          <w:numId w:val="7"/>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The following amounts of energy and capacity revenue relate to leases and are accounted for under ASC 840:</w:t>
      </w:r>
    </w:p>
    <w:p>
      <w:pPr>
        <w:spacing w:after="0" w:line="200" w:lineRule="exact"/>
        <w:rPr>
          <w:sz w:val="20"/>
          <w:szCs w:val="20"/>
          <w:color w:val="auto"/>
        </w:rPr>
      </w:pPr>
    </w:p>
    <w:tbl>
      <w:tblPr>
        <w:tblLayout w:type="fixed"/>
        <w:tblInd w:w="114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4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60" w:type="dxa"/>
            <w:vAlign w:val="bottom"/>
          </w:tcPr>
          <w:p>
            <w:pPr>
              <w:spacing w:after="0"/>
              <w:rPr>
                <w:sz w:val="17"/>
                <w:szCs w:val="17"/>
                <w:color w:val="auto"/>
              </w:rPr>
            </w:pPr>
          </w:p>
        </w:tc>
      </w:tr>
      <w:tr>
        <w:trPr>
          <w:trHeight w:val="218"/>
        </w:trPr>
        <w:tc>
          <w:tcPr>
            <w:tcW w:w="23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80" w:type="dxa"/>
            <w:vAlign w:val="bottom"/>
          </w:tcPr>
          <w:p>
            <w:pPr>
              <w:spacing w:after="0"/>
              <w:rPr>
                <w:sz w:val="18"/>
                <w:szCs w:val="18"/>
                <w:color w:val="auto"/>
              </w:rPr>
            </w:pPr>
          </w:p>
        </w:tc>
        <w:tc>
          <w:tcPr>
            <w:tcW w:w="108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28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10"/>
        </w:trPr>
        <w:tc>
          <w:tcPr>
            <w:tcW w:w="20" w:type="dxa"/>
            <w:vAlign w:val="bottom"/>
          </w:tcPr>
          <w:p>
            <w:pPr>
              <w:spacing w:after="0"/>
              <w:rPr>
                <w:sz w:val="18"/>
                <w:szCs w:val="18"/>
                <w:color w:val="auto"/>
              </w:rPr>
            </w:pPr>
          </w:p>
        </w:tc>
        <w:tc>
          <w:tcPr>
            <w:tcW w:w="2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438</w:t>
            </w:r>
          </w:p>
        </w:tc>
        <w:tc>
          <w:tcPr>
            <w:tcW w:w="1160" w:type="dxa"/>
            <w:vAlign w:val="bottom"/>
            <w:gridSpan w:val="2"/>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444</w:t>
            </w:r>
          </w:p>
        </w:tc>
      </w:tr>
      <w:tr>
        <w:trPr>
          <w:trHeight w:val="216"/>
        </w:trPr>
        <w:tc>
          <w:tcPr>
            <w:tcW w:w="20" w:type="dxa"/>
            <w:vAlign w:val="bottom"/>
          </w:tcPr>
          <w:p>
            <w:pPr>
              <w:spacing w:after="0"/>
              <w:rPr>
                <w:sz w:val="18"/>
                <w:szCs w:val="18"/>
                <w:color w:val="auto"/>
              </w:rPr>
            </w:pPr>
          </w:p>
        </w:tc>
        <w:tc>
          <w:tcPr>
            <w:tcW w:w="2320" w:type="dxa"/>
            <w:vAlign w:val="bottom"/>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106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2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250</w:t>
            </w:r>
          </w:p>
        </w:tc>
      </w:tr>
      <w:tr>
        <w:trPr>
          <w:trHeight w:val="230"/>
        </w:trPr>
        <w:tc>
          <w:tcPr>
            <w:tcW w:w="20" w:type="dxa"/>
            <w:vAlign w:val="bottom"/>
          </w:tcPr>
          <w:p>
            <w:pPr>
              <w:spacing w:after="0"/>
              <w:rPr>
                <w:sz w:val="19"/>
                <w:szCs w:val="19"/>
                <w:color w:val="auto"/>
              </w:rPr>
            </w:pPr>
          </w:p>
        </w:tc>
        <w:tc>
          <w:tcPr>
            <w:tcW w:w="232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255</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438</w:t>
            </w:r>
          </w:p>
        </w:tc>
        <w:tc>
          <w:tcPr>
            <w:tcW w:w="1160" w:type="dxa"/>
            <w:vAlign w:val="bottom"/>
            <w:gridSpan w:val="2"/>
            <w:shd w:val="clear" w:color="auto" w:fill="CCEEFF"/>
          </w:tcPr>
          <w:p>
            <w:pPr>
              <w:jc w:val="right"/>
              <w:ind w:right="919"/>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694</w:t>
            </w:r>
          </w:p>
        </w:tc>
      </w:tr>
      <w:tr>
        <w:trPr>
          <w:trHeight w:val="20"/>
        </w:trPr>
        <w:tc>
          <w:tcPr>
            <w:tcW w:w="20" w:type="dxa"/>
            <w:vAlign w:val="bottom"/>
          </w:tcPr>
          <w:p>
            <w:pPr>
              <w:spacing w:after="0" w:line="20" w:lineRule="exact"/>
              <w:rPr>
                <w:sz w:val="1"/>
                <w:szCs w:val="1"/>
                <w:color w:val="auto"/>
              </w:rPr>
            </w:pPr>
          </w:p>
        </w:tc>
        <w:tc>
          <w:tcPr>
            <w:tcW w:w="2320" w:type="dxa"/>
            <w:vAlign w:val="bottom"/>
            <w:tcBorders>
              <w:top w:val="single" w:sz="8" w:color="CCEEFF"/>
            </w:tcBorders>
            <w:shd w:val="clear" w:color="auto" w:fill="CCEEFF"/>
          </w:tcPr>
          <w:p>
            <w:pPr>
              <w:spacing w:after="0" w:line="20" w:lineRule="exact"/>
              <w:rPr>
                <w:sz w:val="1"/>
                <w:szCs w:val="1"/>
                <w:color w:val="auto"/>
              </w:rPr>
            </w:pPr>
          </w:p>
        </w:tc>
        <w:tc>
          <w:tcPr>
            <w:tcW w:w="106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Amortization</w:t>
      </w:r>
    </w:p>
    <w:p>
      <w:pPr>
        <w:spacing w:after="0" w:line="22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Assets and liabilities recognized from power sales agreements assumed through acquisitions related to the sale of electric capacity and energy in future periods for which the fair value has been determined to be significantly less (more) than market are amortized to revenue over the term of each underlying contract based on actual generation and/or contracted volumes or on a straight-line basis, where applicable.</w:t>
      </w:r>
    </w:p>
    <w:p>
      <w:pPr>
        <w:spacing w:after="0" w:line="174"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2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reflects the contract assets and liabilities included on the Company’s balance sheet as of September 30, 2019:</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18"/>
        </w:trPr>
        <w:tc>
          <w:tcPr>
            <w:tcW w:w="56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September 30, 2019</w:t>
            </w:r>
          </w:p>
        </w:tc>
      </w:tr>
      <w:tr>
        <w:trPr>
          <w:trHeight w:val="210"/>
        </w:trPr>
        <w:tc>
          <w:tcPr>
            <w:tcW w:w="20" w:type="dxa"/>
            <w:vAlign w:val="bottom"/>
          </w:tcPr>
          <w:p>
            <w:pPr>
              <w:spacing w:after="0"/>
              <w:rPr>
                <w:sz w:val="18"/>
                <w:szCs w:val="18"/>
                <w:color w:val="auto"/>
              </w:rPr>
            </w:pPr>
          </w:p>
        </w:tc>
        <w:tc>
          <w:tcPr>
            <w:tcW w:w="5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Accounts receivable, net - Contracts with customers</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w:t>
            </w:r>
          </w:p>
        </w:tc>
      </w:tr>
      <w:tr>
        <w:trPr>
          <w:trHeight w:val="216"/>
        </w:trPr>
        <w:tc>
          <w:tcPr>
            <w:tcW w:w="20" w:type="dxa"/>
            <w:vAlign w:val="bottom"/>
          </w:tcPr>
          <w:p>
            <w:pPr>
              <w:spacing w:after="0"/>
              <w:rPr>
                <w:sz w:val="18"/>
                <w:szCs w:val="18"/>
                <w:color w:val="auto"/>
              </w:rPr>
            </w:pPr>
          </w:p>
        </w:tc>
        <w:tc>
          <w:tcPr>
            <w:tcW w:w="5620" w:type="dxa"/>
            <w:vAlign w:val="bottom"/>
          </w:tcPr>
          <w:p>
            <w:pPr>
              <w:spacing w:after="0"/>
              <w:rPr>
                <w:sz w:val="20"/>
                <w:szCs w:val="20"/>
                <w:color w:val="auto"/>
              </w:rPr>
            </w:pPr>
            <w:r>
              <w:rPr>
                <w:rFonts w:ascii="Times New Roman" w:cs="Times New Roman" w:eastAsia="Times New Roman" w:hAnsi="Times New Roman"/>
                <w:sz w:val="18"/>
                <w:szCs w:val="18"/>
                <w:color w:val="auto"/>
              </w:rPr>
              <w:t>Accounts receivable, net - Leases</w:t>
            </w:r>
          </w:p>
        </w:tc>
        <w:tc>
          <w:tcPr>
            <w:tcW w:w="188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w:t>
            </w:r>
          </w:p>
        </w:tc>
      </w:tr>
      <w:tr>
        <w:trPr>
          <w:trHeight w:val="230"/>
        </w:trPr>
        <w:tc>
          <w:tcPr>
            <w:tcW w:w="20" w:type="dxa"/>
            <w:vAlign w:val="bottom"/>
          </w:tcPr>
          <w:p>
            <w:pPr>
              <w:spacing w:after="0"/>
              <w:rPr>
                <w:sz w:val="19"/>
                <w:szCs w:val="19"/>
                <w:color w:val="auto"/>
              </w:rPr>
            </w:pPr>
          </w:p>
        </w:tc>
        <w:tc>
          <w:tcPr>
            <w:tcW w:w="5620" w:type="dxa"/>
            <w:vAlign w:val="bottom"/>
            <w:shd w:val="clear" w:color="auto" w:fill="CCEEFF"/>
          </w:tcPr>
          <w:p>
            <w:pPr>
              <w:spacing w:after="0" w:line="210" w:lineRule="exact"/>
              <w:rPr>
                <w:sz w:val="20"/>
                <w:szCs w:val="20"/>
                <w:color w:val="auto"/>
              </w:rPr>
            </w:pPr>
            <w:r>
              <w:rPr>
                <w:rFonts w:ascii="Times New Roman" w:cs="Times New Roman" w:eastAsia="Times New Roman" w:hAnsi="Times New Roman"/>
                <w:sz w:val="15"/>
                <w:szCs w:val="15"/>
                <w:color w:val="auto"/>
              </w:rPr>
              <w:t xml:space="preserve">Total accounts receivable, net </w:t>
            </w:r>
            <w:r>
              <w:rPr>
                <w:rFonts w:ascii="Times New Roman" w:cs="Times New Roman" w:eastAsia="Times New Roman" w:hAnsi="Times New Roman"/>
                <w:sz w:val="24"/>
                <w:szCs w:val="24"/>
                <w:color w:val="auto"/>
                <w:vertAlign w:val="superscript"/>
              </w:rPr>
              <w:t>(a)</w:t>
            </w:r>
          </w:p>
        </w:tc>
        <w:tc>
          <w:tcPr>
            <w:tcW w:w="19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141</w:t>
            </w:r>
          </w:p>
        </w:tc>
      </w:tr>
      <w:tr>
        <w:trPr>
          <w:trHeight w:val="20"/>
        </w:trPr>
        <w:tc>
          <w:tcPr>
            <w:tcW w:w="20" w:type="dxa"/>
            <w:vAlign w:val="bottom"/>
          </w:tcPr>
          <w:p>
            <w:pPr>
              <w:spacing w:after="0" w:line="20" w:lineRule="exact"/>
              <w:rPr>
                <w:sz w:val="1"/>
                <w:szCs w:val="1"/>
                <w:color w:val="auto"/>
              </w:rPr>
            </w:pPr>
          </w:p>
        </w:tc>
        <w:tc>
          <w:tcPr>
            <w:tcW w:w="562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540" w:type="dxa"/>
            <w:vAlign w:val="bottom"/>
            <w:tcBorders>
              <w:top w:val="single" w:sz="8" w:color="auto"/>
            </w:tcBorders>
            <w:shd w:val="clear" w:color="auto" w:fill="000000"/>
          </w:tcPr>
          <w:p>
            <w:pPr>
              <w:spacing w:after="0" w:line="20" w:lineRule="exact"/>
              <w:rPr>
                <w:sz w:val="1"/>
                <w:szCs w:val="1"/>
                <w:color w:val="auto"/>
              </w:rPr>
            </w:pPr>
          </w:p>
        </w:tc>
      </w:tr>
    </w:tbl>
    <w:p>
      <w:pPr>
        <w:spacing w:after="0" w:line="238" w:lineRule="exact"/>
        <w:rPr>
          <w:sz w:val="20"/>
          <w:szCs w:val="20"/>
          <w:color w:val="auto"/>
        </w:rPr>
      </w:pPr>
    </w:p>
    <w:p>
      <w:pPr>
        <w:ind w:right="180" w:firstLine="1629"/>
        <w:spacing w:after="0" w:line="213" w:lineRule="auto"/>
        <w:tabs>
          <w:tab w:leader="none" w:pos="1829" w:val="left"/>
        </w:tabs>
        <w:numPr>
          <w:ilvl w:val="0"/>
          <w:numId w:val="8"/>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Total accounts receivable, net, excludes $5 million generated at projects affected by PG&amp;E Bankruptcy, which were reclassified to non-current assets as of September 30, 2019.</w:t>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Taxes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Prior to the GIP Transaction, Clearway Energy, Inc. was included in certain NRG consolidated unitary state tax return filings which was reflected in the Clearway Energy, Inc. state effective tax rate. Following the GIP Transaction, Clearway Energy, Inc. will file under a separate standalone methodology, resulting in a higher state effective tax rate due to a larger percentage of activity allocated to high-tax jurisdictions.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5" w:name="page16"/>
    <w:bookmarkEnd w:id="1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3 — </w:t>
      </w:r>
      <w:r>
        <w:rPr>
          <w:rFonts w:ascii="Times New Roman" w:cs="Times New Roman" w:eastAsia="Times New Roman" w:hAnsi="Times New Roman"/>
          <w:sz w:val="18"/>
          <w:szCs w:val="18"/>
          <w:b w:val="1"/>
          <w:bCs w:val="1"/>
          <w:i w:val="1"/>
          <w:iCs w:val="1"/>
          <w:color w:val="auto"/>
        </w:rPr>
        <w:t>Acquisitions and Dispositions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2019 </w:t>
      </w:r>
      <w:r>
        <w:rPr>
          <w:rFonts w:ascii="Times New Roman" w:cs="Times New Roman" w:eastAsia="Times New Roman" w:hAnsi="Times New Roman"/>
          <w:sz w:val="18"/>
          <w:szCs w:val="18"/>
          <w:b w:val="1"/>
          <w:bCs w:val="1"/>
          <w:i w:val="1"/>
          <w:iCs w:val="1"/>
          <w:color w:val="auto"/>
        </w:rPr>
        <w:t>Acquisitions</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Duquesne University District Energy System Acquisition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May 1, 2019, the Company, through its indirect subsidiary ECP Uptown Campus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LLC, acquired the Duquesne University district energy system, totaling 82 combined MWt, located in Pittsburgh, PA. As part of the acquisition, Duquesne University entered into a 40-year Energy Services Agreement through which ECP Uptown Campus LLC will fulfill the university's electricity, chilled water and steam requirements in exchange for monthly capacity payments. The transaction is reflected in the Company's Thermal segment. The total investment for the project is approximately $107 million. This includes $100 million related to the purchase of district energy assets, which was funded through a combination of issuance of non-recourse debt in the amount of $95 million, as further discussed in Note 7 —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as well as cash on hand. The acquisition was determined to be an asset acquisition under ASC 805, with identifiable assets acquired and liabilities assumed recorded at their estimated fair values on the acquisition date.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2018 </w:t>
      </w:r>
      <w:r>
        <w:rPr>
          <w:rFonts w:ascii="Times New Roman" w:cs="Times New Roman" w:eastAsia="Times New Roman" w:hAnsi="Times New Roman"/>
          <w:sz w:val="18"/>
          <w:szCs w:val="18"/>
          <w:b w:val="1"/>
          <w:bCs w:val="1"/>
          <w:i w:val="1"/>
          <w:iCs w:val="1"/>
          <w:color w:val="auto"/>
        </w:rPr>
        <w:t>Acquisitions</w:t>
      </w:r>
    </w:p>
    <w:p>
      <w:pPr>
        <w:spacing w:after="0" w:line="225"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UPMC Thermal Project Asset Acquisition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June 19, 2018, upon reaching substantial completion, the Company acquired from NRG the UPMC</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Thermal Project for cash consideration of $84 million, subject to working capital adjustments. The Company had a payable of $4 million to NRG as of December 31, 2018, $3 million of which was paid in January 2019 upon final completion of the project pursuant to the EPC agreement. The project added 73 MWt of thermal equivalent capacity and 7.5 MW of emergency backup thermal capacity to the Company's portfolio. The transaction is reflected in the Company's Thermal segment. The acquisition was funded with the proceeds from the sale of the Series E Notes and Series F Notes. The assets transferred to the Company relate to interests under common control by NRG and were recorded at book value in accordance with ASC 805-50, </w:t>
      </w:r>
      <w:r>
        <w:rPr>
          <w:rFonts w:ascii="Times New Roman" w:cs="Times New Roman" w:eastAsia="Times New Roman" w:hAnsi="Times New Roman"/>
          <w:sz w:val="18"/>
          <w:szCs w:val="18"/>
          <w:i w:val="1"/>
          <w:iCs w:val="1"/>
          <w:color w:val="auto"/>
        </w:rPr>
        <w:t>Business Combinations -</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Related Issues</w:t>
      </w:r>
      <w:r>
        <w:rPr>
          <w:rFonts w:ascii="Times New Roman" w:cs="Times New Roman" w:eastAsia="Times New Roman" w:hAnsi="Times New Roman"/>
          <w:sz w:val="18"/>
          <w:szCs w:val="18"/>
          <w:color w:val="auto"/>
        </w:rPr>
        <w:t>. The difference between the purchase price and book value of the assets was recorded as a distribution to NRG and decreased the balance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noncontrolling interest. The acquisition was determined to be an asset acquisition and not a business combination, and therefore no recast of the historical financial information was deemed necessary.</w:t>
      </w:r>
    </w:p>
    <w:p>
      <w:pPr>
        <w:spacing w:after="0" w:line="182"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Central CA Fuel Cell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b w:val="1"/>
          <w:bCs w:val="1"/>
          <w:i w:val="1"/>
          <w:iCs w:val="1"/>
          <w:color w:val="auto"/>
        </w:rPr>
        <w:t xml:space="preserve">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April 18, 2018, the Company acquired the Central CA Fuel Cell 1, LLC project in Tulare, California from</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FuelCell Energy Finance, Inc., for cash consideration of $11 million, subject to working capital adjustments. The project adds 2.8 MW of thermal capacity to the Company's portfolio, with a 20-year PPA contract with the City of Tulare. The transaction is reflected in the Company's Thermal segment.</w:t>
      </w:r>
    </w:p>
    <w:p>
      <w:pPr>
        <w:spacing w:after="0" w:line="171"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Buckthorn Solar Drop Down Asset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March 30, 2018, the Company acquired 100% of NRG's interests in Buckthorn Renewables, LLC,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 xml:space="preserve">owns a 154 MW construction-stage utility-scale solar generation project located in Texas, or the Buckthorn Solar Drop Down Asset, for cash consideration of $42 million.The project sells power under a 25-year PPA to the City of Georgetown, Texas, which commenced in July 2018. The Company also assumed non-recourse debt of $183 million and non-controlling interest of $19 million, as of the acquisition date, attributable to the Class A member. The Company converted $132 million of non-recourse debt to a term loan and the remainder of the outstanding debt was paid down with the contribution from the Class A member in the amount of $80 million upon the project reaching substantial completion in May 2018. The purchase price for the Buckthorn Solar Drop Down Asset was funded with cash on hand and borrowings from the Company's revolving credit facility. The assets and liabilities transferred to the Company related to interests under common control by NRG and were recorded at historical cost in accordance with ASC 805-50, </w:t>
      </w:r>
      <w:r>
        <w:rPr>
          <w:rFonts w:ascii="Times New Roman" w:cs="Times New Roman" w:eastAsia="Times New Roman" w:hAnsi="Times New Roman"/>
          <w:sz w:val="18"/>
          <w:szCs w:val="18"/>
          <w:i w:val="1"/>
          <w:iCs w:val="1"/>
          <w:color w:val="auto"/>
        </w:rPr>
        <w:t>Business Combinations - Related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Issues</w:t>
      </w:r>
      <w:r>
        <w:rPr>
          <w:rFonts w:ascii="Times New Roman" w:cs="Times New Roman" w:eastAsia="Times New Roman" w:hAnsi="Times New Roman"/>
          <w:sz w:val="18"/>
          <w:szCs w:val="18"/>
          <w:color w:val="auto"/>
        </w:rPr>
        <w:t>. The difference between the cash paid and historical value of the entities' equity was recorded as a distribution to NRG and decreased the balance of its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noncontrolling interest. Since the transaction constituted a transfer of net assets under common control, the guidance requires retrospective combination of the entities for all periods presented as if the combination had been in effect since the inception of common control. The project sells power under a 25-year PPA to the City of Georgetown, Texas, which commenced in July 2018.</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Dispositions</w:t>
      </w:r>
    </w:p>
    <w:p>
      <w:pPr>
        <w:spacing w:after="0" w:line="225"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of Energy Center Dover LLC and Energy Center Smyrna LLC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September 5, 2019, the Company entered into a purchase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sale agreement with DB Energy Assets, LLC to sell 100% of its interests in Energy Center Dover LLC and Energy Center Smyrna LLC, Energy Center Dover LLC owns a 103 MW natural gas-fired cogeneration facility located in Dover, DE (Energy Center Dover). The transaction is subject to standard regulatory approvals and the completion of certain maintenance activities. The HSD assets and liabilities were classified as held for sale and recorded to other current assets and non-current assets, as well as current liabilities on the Company’s consolidated balance sheets as of September 30, 2019.</w:t>
      </w:r>
    </w:p>
    <w:p>
      <w:pPr>
        <w:spacing w:after="0" w:line="180"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Sale of HSD Solar Holdings, LLC assets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October 8, 2019, the Company, through HSD Solar Holdings, LLC, or HSD, sold 100% of its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interests in certain distributed generation solar facilities totaling 6 MW to the offtaker under the PPA, for cash consideration of $20 million, as a result of the offtaker exercising its right to purchase the project pursuant to the PPA. In conjunction with the sale, the Company repaid in full the non-recourse lease financing associated with the HSD projects. The repaid amount was net of cash released at closing and totaled $23 million. The HSD assets and liabilities were classified as held for sale and recorded to other current assets and non-current assets, as well as current liabilities on the Company’s consolidated balance sheets as of September 30, 2019.</w:t>
      </w: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6" w:name="page17"/>
    <w:bookmarkEnd w:id="1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4 — </w:t>
      </w:r>
      <w:r>
        <w:rPr>
          <w:rFonts w:ascii="Times New Roman" w:cs="Times New Roman" w:eastAsia="Times New Roman" w:hAnsi="Times New Roman"/>
          <w:sz w:val="18"/>
          <w:szCs w:val="18"/>
          <w:b w:val="1"/>
          <w:bCs w:val="1"/>
          <w:i w:val="1"/>
          <w:iCs w:val="1"/>
          <w:color w:val="auto"/>
        </w:rPr>
        <w:t>Investments Accounted for by the Equity Method and Variable Interest Entities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Entities that are Consolidated</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a controlling financial interest in certain entities which have been identified as VIEs under ASC 810, </w:t>
      </w:r>
      <w:r>
        <w:rPr>
          <w:rFonts w:ascii="Times New Roman" w:cs="Times New Roman" w:eastAsia="Times New Roman" w:hAnsi="Times New Roman"/>
          <w:sz w:val="18"/>
          <w:szCs w:val="18"/>
          <w:i w:val="1"/>
          <w:iCs w:val="1"/>
          <w:color w:val="auto"/>
        </w:rPr>
        <w:t>Consolidations,</w:t>
      </w:r>
      <w:r>
        <w:rPr>
          <w:rFonts w:ascii="Times New Roman" w:cs="Times New Roman" w:eastAsia="Times New Roman" w:hAnsi="Times New Roman"/>
          <w:sz w:val="18"/>
          <w:szCs w:val="18"/>
          <w:color w:val="auto"/>
        </w:rPr>
        <w:t xml:space="preserve"> or ASC 810. These arrangements are primarily related to tax equity arrangements entered into with third parties in order to monetize certain tax credits associated with wind facilities, as further described in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to the consolidated financial statements included in the Company's 2018 Form 10-K.</w:t>
      </w:r>
    </w:p>
    <w:p>
      <w:pPr>
        <w:spacing w:after="0" w:line="17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Repowering Partnership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August 30, 2018, Wind TE Holdco, an indirect subsidiary of the Company, formed a partnership with Clearway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Renew LLC, an indirect subsidiary of CEG, in order to facilitate the repowering of wind facilities of two of its indirect subsidiaries, Elbow Creek Wind Project LLC, or Elbow Creek and Wildorado Wind LLC, or Wildorado Wind. Wind TE Holdco contributed its interests in the two facilities and Clearway Renew LLC contributed a turbine supply agreement, including title to certain components that qualify for production tax credits. Wind TE Holdco is the managing member of the partnership and consolidates the entity, which is a VIE. Clearway Renew LLC is entitled to allocations of 21% of income, which is reflected in Wind TE Holdco’s noncontrolling interests. In connection with repowering of the projects, the Company revised the remaining useful life of the property, plant and equipment, net at the projects and accelerated depreciation through the expected COD dates, which are December 2019 and March 2020 for Wildorado Wind and Elbow Creek, respectively. The accelerated depreciation resulted in an additional expense of $26 million during the three and nine months ended September 30, 2019.</w:t>
      </w:r>
    </w:p>
    <w:p>
      <w:pPr>
        <w:spacing w:after="0" w:line="186"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On June 14, 2019, Repowering Partnership LLC was replaced with Repowering Partnership II LLC as the owner of the Elbow Creek and Wildorado Wind projects, as well as Repowering Partnership Holdco LLC, which concurrently entered into a financing agreement for construction debt of total commitment of $352 million, as further described in Note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In connection with the completion of the financing, and after taking into account the higher cash flow from the reduction in debt service in 2019 resulting from the partial repayment of the Viento financing, the Company committed to invest an estimated $111 million in net corporate capital to fund the repowering of the wind facilities, subject to closing adjustments.</w:t>
      </w:r>
    </w:p>
    <w:p>
      <w:pPr>
        <w:spacing w:after="0" w:line="180"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Kawailoa Partnership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August 31, 2018, the Company entered into an agreement with Clearway Renew LLC, a subsidiary of CEG, to acquire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Class A membership interests in the Kawailoa Solar Partnership LLC, or Kawailoa Partnership, for $9 million in cash consideration. The purpose of the partnership is to own, finance, operate, and maintain the Kawailoa Solar project, a 49 MW utility-scale solar generation project, an indirect subsidiary of the Kawailoa Partnership, which is being developed in Oahu, Hawaii. The Kawailoa Solar project is contracted to sell power under long-term PPAs with Hawaiian Electric Company, or HECO, upon reaching COD. The Kawailoa Solar project is 51% owned by the Kawailoa Partnership, with the remaining 49% owned by a third-party investor. The Kawailoa Partnership consolidates the Kawailoa Solar project through its controlling majority interest.</w:t>
      </w:r>
    </w:p>
    <w:p>
      <w:pPr>
        <w:spacing w:after="0" w:line="18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On May 7, 2019, the Company made an initial capital contribution of $2 million, which represents 20% of its total anticipated capital contributions. The Company assumed non-recourse debt of $120 million, as further described in Note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and non-controlling interests attributable to third parties in the amount of $21 million. The Company has $7 million payable due to Clearway Renew LLC in accounts payable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affiliate on the Company's consolidated balance sheets as of September 30, 2019, which represents the remaining 80% of the equity commitment and will be funded on the date the Kawailoa Solar project reaches certain milestones. The Company, as a Class A member, is the primary beneficiary through its position as managing member and consolidates Kawailoa Partnership. Allocations of income and taxable items are equal to the distributions of available cash, which is currently 95% to the Company and 5% to Clearway Renew LLC.</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Company's acquisition of the Class A membership interests in the Kawailoa Partnership was accounted for as a transfer of assets under common control and was recorded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difference between the cash paid and payable recorded and the historical value of the assets was recorded as a distribution to CEG and decreased the balance of its noncontrolling interest.</w:t>
      </w:r>
    </w:p>
    <w:p>
      <w:pPr>
        <w:spacing w:after="0" w:line="172"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b w:val="1"/>
          <w:bCs w:val="1"/>
          <w:i w:val="1"/>
          <w:iCs w:val="1"/>
          <w:color w:val="auto"/>
        </w:rPr>
        <w:t xml:space="preserve">Oahu Partnership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August 31, 2018, the Company entered into an agreement with Clearway Renew LLC, a subsidiary of CEG, to acquire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Class A membership interests in the Zephyr Oahu Partnership LLC, or Oahu Partnership, for $20 million in cash consideration. The purpose of the partnership is to own, finance, operate, and maintain the Oahu Solar projects, which consist of Lanikuhana and Waipio, utility-scale solar generation projects which represent 15 MW and 46 MW respectively, the indirect subsidiaries of the Oahu Partnership, which are being developed in Oahu, Hawaii. The Oahu Solar projects reached COD on September 19, 2019 and began to sell power to HECO pursuant to the long-term PPAs.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7" w:name="page18"/>
    <w:bookmarkEnd w:id="1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On March 8, 2019, the Company made an initial capital contribution of $4 million, which represents 20% of its total anticipated capital contributions. The Company also assumed non-recourse debt of $143 million, as further described in Note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and $18 million of non-controlling interest attributable to a tax equity investor's initial contribution. The Company has a payable in the amount of $16 million due to Clearway Renew LLC in accounts payable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affiliate on the Company's consolidated balance sheets as of September 30, 2019. The payable represents the remaining 80% of the equity commitment and will be funded on the date the Oahu Solar LLC projects reach certain milestones. The Company, as a Class A member, is the primary beneficiary through its position as managing member and consolidates Oahu Partnership. Allocations of income and taxable items are equal to the distributions of available cash, which is currently 95% to the Company and 5% to Clearway Renew LLC.</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 xml:space="preserve">The Company's acquisition of the Class A membership interests in the Oahu Partnership was accounted for as a transfer of assets under common control and was recorded at historical cost in accordance with ASC 805-50, </w:t>
      </w:r>
      <w:r>
        <w:rPr>
          <w:rFonts w:ascii="Times New Roman" w:cs="Times New Roman" w:eastAsia="Times New Roman" w:hAnsi="Times New Roman"/>
          <w:sz w:val="18"/>
          <w:szCs w:val="18"/>
          <w:i w:val="1"/>
          <w:iCs w:val="1"/>
          <w:color w:val="auto"/>
        </w:rPr>
        <w:t>Business Combinations - Related Issues</w:t>
      </w:r>
      <w:r>
        <w:rPr>
          <w:rFonts w:ascii="Times New Roman" w:cs="Times New Roman" w:eastAsia="Times New Roman" w:hAnsi="Times New Roman"/>
          <w:sz w:val="18"/>
          <w:szCs w:val="18"/>
          <w:color w:val="auto"/>
        </w:rPr>
        <w:t>. The difference between the cash paid and payable recorded and the historical value of the assets was recorded as a contribution from CEG and increased the balance of its noncontrolling interest.</w:t>
      </w:r>
    </w:p>
    <w:p>
      <w:pPr>
        <w:spacing w:after="0" w:line="172"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Wind TE Holdco Buyout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On January 2, 2019, the Company bought out 100% of the Class A membership interests from the tax equity investor of</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Wind TE Holdco, for cash consideration of $19 million. The Company recorded the difference between the value of the interest bought and the cash received to equity and allocated it between non-controlling interest and additional paid in capital based on the economic ownership interest between CEG and public interest as of January 2, 2019.</w:t>
      </w:r>
    </w:p>
    <w:p>
      <w:pPr>
        <w:spacing w:after="0" w:line="17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Buckthorn Renewables,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As described in Note 3</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Business Acquisitions and Dispositions</w:t>
      </w:r>
      <w:r>
        <w:rPr>
          <w:rFonts w:ascii="Times New Roman" w:cs="Times New Roman" w:eastAsia="Times New Roman" w:hAnsi="Times New Roman"/>
          <w:sz w:val="18"/>
          <w:szCs w:val="18"/>
          <w:color w:val="auto"/>
        </w:rPr>
        <w:t>, on March 30, 2018, the Company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acquired 100% of NRG’s interest in a 154 MW construction-stage utility-scale solar generation project, Buckthorn Renewables, LLC, which owns 100% interest in Buckthorn Solar Portfolio, LLC, which in turn owns 100% of the Class B membership interests in Buckthorn Holdings, LLC. Buckthorn Holdings, LLC is a tax equity fund, which is a variable interest entity that is consolidated by Buckthorn Solar Portfolio, LLC. The Company is the primary beneficiary, through its position as managing member, and indirectly consolidates Buckthorn Holdings, LLC through Buckthorn Solar Portfolio, LLC. The Class A member's interest in the tax equity fund is reflected as noncontrolling interest on the Company’s consolidated balance sheet. The Company utilizes the HLBV method to determine the net income or loss allocated to the tax equity investor noncontrolling interest.</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Summarized financial information for the Company's consolidated VIEs consisted of the following as of September 30, 2019:</w:t>
      </w:r>
    </w:p>
    <w:p>
      <w:pPr>
        <w:spacing w:after="0" w:line="228"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Buckthorn</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Repowering</w:t>
            </w:r>
          </w:p>
        </w:tc>
        <w:tc>
          <w:tcPr>
            <w:tcW w:w="0" w:type="dxa"/>
            <w:vAlign w:val="bottom"/>
          </w:tcPr>
          <w:p>
            <w:pPr>
              <w:spacing w:after="0"/>
              <w:rPr>
                <w:sz w:val="1"/>
                <w:szCs w:val="1"/>
                <w:color w:val="auto"/>
              </w:rPr>
            </w:pPr>
          </w:p>
        </w:tc>
      </w:tr>
      <w:tr>
        <w:trPr>
          <w:trHeight w:val="203"/>
        </w:trPr>
        <w:tc>
          <w:tcPr>
            <w:tcW w:w="2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Oahu Solar</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right"/>
              <w:ind w:right="272"/>
              <w:spacing w:after="0"/>
              <w:rPr>
                <w:sz w:val="20"/>
                <w:szCs w:val="20"/>
                <w:color w:val="auto"/>
              </w:rPr>
            </w:pPr>
            <w:r>
              <w:rPr>
                <w:rFonts w:ascii="Times New Roman" w:cs="Times New Roman" w:eastAsia="Times New Roman" w:hAnsi="Times New Roman"/>
                <w:sz w:val="16"/>
                <w:szCs w:val="16"/>
                <w:b w:val="1"/>
                <w:bCs w:val="1"/>
                <w:color w:val="auto"/>
              </w:rPr>
              <w:t>Kawailoa</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w w:val="99"/>
              </w:rPr>
              <w:t>Alta Wind TE</w:t>
            </w:r>
          </w:p>
        </w:tc>
        <w:tc>
          <w:tcPr>
            <w:tcW w:w="12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172"/>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60" w:type="dxa"/>
            <w:vAlign w:val="bottom"/>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Partnership</w:t>
            </w:r>
          </w:p>
        </w:tc>
        <w:tc>
          <w:tcPr>
            <w:tcW w:w="0" w:type="dxa"/>
            <w:vAlign w:val="bottom"/>
          </w:tcPr>
          <w:p>
            <w:pPr>
              <w:spacing w:after="0"/>
              <w:rPr>
                <w:sz w:val="1"/>
                <w:szCs w:val="1"/>
                <w:color w:val="auto"/>
              </w:rPr>
            </w:pPr>
          </w:p>
        </w:tc>
      </w:tr>
      <w:tr>
        <w:trPr>
          <w:trHeight w:val="218"/>
        </w:trPr>
        <w:tc>
          <w:tcPr>
            <w:tcW w:w="25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Partnership</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92"/>
              <w:spacing w:after="0"/>
              <w:rPr>
                <w:sz w:val="20"/>
                <w:szCs w:val="20"/>
                <w:color w:val="auto"/>
              </w:rPr>
            </w:pPr>
            <w:r>
              <w:rPr>
                <w:rFonts w:ascii="Times New Roman" w:cs="Times New Roman" w:eastAsia="Times New Roman" w:hAnsi="Times New Roman"/>
                <w:sz w:val="16"/>
                <w:szCs w:val="16"/>
                <w:b w:val="1"/>
                <w:bCs w:val="1"/>
                <w:color w:val="auto"/>
              </w:rPr>
              <w:t>Partnership</w:t>
            </w:r>
          </w:p>
        </w:tc>
        <w:tc>
          <w:tcPr>
            <w:tcW w:w="12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6"/>
                <w:szCs w:val="16"/>
                <w:b w:val="1"/>
                <w:bCs w:val="1"/>
                <w:color w:val="auto"/>
              </w:rPr>
              <w:t>Holdco</w:t>
            </w:r>
          </w:p>
        </w:tc>
        <w:tc>
          <w:tcPr>
            <w:tcW w:w="120" w:type="dxa"/>
            <w:vAlign w:val="bottom"/>
          </w:tcPr>
          <w:p>
            <w:pPr>
              <w:spacing w:after="0"/>
              <w:rPr>
                <w:sz w:val="18"/>
                <w:szCs w:val="18"/>
                <w:color w:val="auto"/>
              </w:rPr>
            </w:pPr>
          </w:p>
        </w:tc>
        <w:tc>
          <w:tcPr>
            <w:tcW w:w="130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Spring Canyon</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7"/>
              </w:rPr>
              <w:t>LLC</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w w:val="97"/>
              </w:rPr>
              <w:t>LLC</w:t>
            </w:r>
          </w:p>
        </w:tc>
        <w:tc>
          <w:tcPr>
            <w:tcW w:w="0" w:type="dxa"/>
            <w:vAlign w:val="bottom"/>
          </w:tcPr>
          <w:p>
            <w:pPr>
              <w:spacing w:after="0"/>
              <w:rPr>
                <w:sz w:val="1"/>
                <w:szCs w:val="1"/>
                <w:color w:val="auto"/>
              </w:rPr>
            </w:pPr>
          </w:p>
        </w:tc>
      </w:tr>
      <w:tr>
        <w:trPr>
          <w:trHeight w:val="191"/>
        </w:trPr>
        <w:tc>
          <w:tcPr>
            <w:tcW w:w="2500" w:type="dxa"/>
            <w:vAlign w:val="bottom"/>
            <w:shd w:val="clear" w:color="auto" w:fill="CCEEFF"/>
          </w:tcPr>
          <w:p>
            <w:pPr>
              <w:ind w:left="160"/>
              <w:spacing w:after="0" w:line="191" w:lineRule="exact"/>
              <w:rPr>
                <w:sz w:val="20"/>
                <w:szCs w:val="20"/>
                <w:color w:val="auto"/>
              </w:rPr>
            </w:pPr>
            <w:r>
              <w:rPr>
                <w:rFonts w:ascii="Times New Roman" w:cs="Times New Roman" w:eastAsia="Times New Roman" w:hAnsi="Times New Roman"/>
                <w:sz w:val="18"/>
                <w:szCs w:val="18"/>
                <w:color w:val="auto"/>
              </w:rPr>
              <w:t>Other current and non-current</w:t>
            </w: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54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38</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56</w:t>
            </w:r>
          </w:p>
        </w:tc>
        <w:tc>
          <w:tcPr>
            <w:tcW w:w="660" w:type="dxa"/>
            <w:vAlign w:val="bottom"/>
            <w:gridSpan w:val="2"/>
            <w:shd w:val="clear" w:color="auto" w:fill="CCEEFF"/>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5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14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87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217</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320</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Intangible assets</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240</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14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183</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683</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228</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338</w:t>
            </w:r>
          </w:p>
        </w:tc>
        <w:tc>
          <w:tcPr>
            <w:tcW w:w="0" w:type="dxa"/>
            <w:vAlign w:val="bottom"/>
          </w:tcPr>
          <w:p>
            <w:pPr>
              <w:spacing w:after="0"/>
              <w:rPr>
                <w:sz w:val="1"/>
                <w:szCs w:val="1"/>
                <w:color w:val="auto"/>
              </w:rPr>
            </w:pPr>
          </w:p>
        </w:tc>
      </w:tr>
      <w:tr>
        <w:trPr>
          <w:trHeight w:val="198"/>
        </w:trPr>
        <w:tc>
          <w:tcPr>
            <w:tcW w:w="250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Current and non-current</w:t>
            </w:r>
          </w:p>
        </w:tc>
        <w:tc>
          <w:tcPr>
            <w:tcW w:w="1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76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60" w:type="dxa"/>
            <w:vAlign w:val="bottom"/>
            <w:vMerge w:val="restart"/>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21"/>
        </w:trPr>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liabilities</w:t>
            </w: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540" w:type="dxa"/>
            <w:vAlign w:val="bottom"/>
            <w:tcBorders>
              <w:bottom w:val="single" w:sz="8" w:color="auto"/>
            </w:tcBorders>
            <w:shd w:val="clear" w:color="auto" w:fill="CCEEFF"/>
          </w:tcPr>
          <w:p>
            <w:pPr>
              <w:spacing w:after="0"/>
              <w:rPr>
                <w:sz w:val="19"/>
                <w:szCs w:val="19"/>
                <w:color w:val="auto"/>
              </w:rPr>
            </w:pPr>
          </w:p>
        </w:tc>
        <w:tc>
          <w:tcPr>
            <w:tcW w:w="7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5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14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190</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25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Noncontrolling interest</w:t>
            </w: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53</w:t>
            </w:r>
          </w:p>
        </w:tc>
        <w:tc>
          <w:tcPr>
            <w:tcW w:w="12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62</w:t>
            </w:r>
          </w:p>
        </w:tc>
        <w:tc>
          <w:tcPr>
            <w:tcW w:w="1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87"/>
        </w:trPr>
        <w:tc>
          <w:tcPr>
            <w:tcW w:w="250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assets less noncontrolling</w:t>
            </w: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36</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591</w:t>
            </w:r>
          </w:p>
        </w:tc>
        <w:tc>
          <w:tcPr>
            <w:tcW w:w="660" w:type="dxa"/>
            <w:vAlign w:val="bottom"/>
            <w:gridSpan w:val="2"/>
            <w:vMerge w:val="restart"/>
          </w:tcPr>
          <w:p>
            <w:pPr>
              <w:jc w:val="right"/>
              <w:ind w:right="379"/>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25</w:t>
            </w:r>
          </w:p>
        </w:tc>
        <w:tc>
          <w:tcPr>
            <w:tcW w:w="24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vMerge w:val="restart"/>
          </w:tcPr>
          <w:p>
            <w:pPr>
              <w:jc w:val="right"/>
              <w:ind w:right="12"/>
              <w:spacing w:after="0"/>
              <w:rPr>
                <w:sz w:val="20"/>
                <w:szCs w:val="20"/>
                <w:color w:val="auto"/>
              </w:rPr>
            </w:pPr>
            <w:r>
              <w:rPr>
                <w:rFonts w:ascii="Times New Roman" w:cs="Times New Roman" w:eastAsia="Times New Roman" w:hAnsi="Times New Roman"/>
                <w:sz w:val="18"/>
                <w:szCs w:val="18"/>
                <w:color w:val="auto"/>
              </w:rPr>
              <w:t>315</w:t>
            </w:r>
          </w:p>
        </w:tc>
        <w:tc>
          <w:tcPr>
            <w:tcW w:w="0" w:type="dxa"/>
            <w:vAlign w:val="bottom"/>
          </w:tcPr>
          <w:p>
            <w:pPr>
              <w:spacing w:after="0"/>
              <w:rPr>
                <w:sz w:val="1"/>
                <w:szCs w:val="1"/>
                <w:color w:val="auto"/>
              </w:rPr>
            </w:pPr>
          </w:p>
        </w:tc>
      </w:tr>
      <w:tr>
        <w:trPr>
          <w:trHeight w:val="198"/>
        </w:trPr>
        <w:tc>
          <w:tcPr>
            <w:tcW w:w="250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interests</w:t>
            </w:r>
          </w:p>
        </w:tc>
        <w:tc>
          <w:tcPr>
            <w:tcW w:w="140" w:type="dxa"/>
            <w:vAlign w:val="bottom"/>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220" w:type="dxa"/>
            <w:vAlign w:val="bottom"/>
            <w:gridSpan w:val="2"/>
            <w:vMerge w:val="continue"/>
          </w:tcPr>
          <w:p>
            <w:pPr>
              <w:spacing w:after="0"/>
              <w:rPr>
                <w:sz w:val="17"/>
                <w:szCs w:val="17"/>
                <w:color w:val="auto"/>
              </w:rPr>
            </w:pPr>
          </w:p>
        </w:tc>
        <w:tc>
          <w:tcPr>
            <w:tcW w:w="1180" w:type="dxa"/>
            <w:vAlign w:val="bottom"/>
            <w:vMerge w:val="continue"/>
          </w:tcPr>
          <w:p>
            <w:pPr>
              <w:spacing w:after="0"/>
              <w:rPr>
                <w:sz w:val="17"/>
                <w:szCs w:val="17"/>
                <w:color w:val="auto"/>
              </w:rPr>
            </w:pPr>
          </w:p>
        </w:tc>
        <w:tc>
          <w:tcPr>
            <w:tcW w:w="660" w:type="dxa"/>
            <w:vAlign w:val="bottom"/>
            <w:gridSpan w:val="2"/>
            <w:vMerge w:val="continue"/>
          </w:tcPr>
          <w:p>
            <w:pPr>
              <w:spacing w:after="0"/>
              <w:rPr>
                <w:sz w:val="17"/>
                <w:szCs w:val="17"/>
                <w:color w:val="auto"/>
              </w:rPr>
            </w:pPr>
          </w:p>
        </w:tc>
        <w:tc>
          <w:tcPr>
            <w:tcW w:w="76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240" w:type="dxa"/>
            <w:vAlign w:val="bottom"/>
            <w:gridSpan w:val="2"/>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Entities that are </w:t>
      </w:r>
      <w:r>
        <w:rPr>
          <w:rFonts w:ascii="Times New Roman" w:cs="Times New Roman" w:eastAsia="Times New Roman" w:hAnsi="Times New Roman"/>
          <w:sz w:val="18"/>
          <w:szCs w:val="18"/>
          <w:b w:val="1"/>
          <w:bCs w:val="1"/>
          <w:color w:val="auto"/>
        </w:rPr>
        <w:t>not</w:t>
      </w:r>
      <w:r>
        <w:rPr>
          <w:rFonts w:ascii="Times New Roman" w:cs="Times New Roman" w:eastAsia="Times New Roman" w:hAnsi="Times New Roman"/>
          <w:sz w:val="18"/>
          <w:szCs w:val="18"/>
          <w:b w:val="1"/>
          <w:bCs w:val="1"/>
          <w:i w:val="1"/>
          <w:iCs w:val="1"/>
          <w:color w:val="auto"/>
        </w:rPr>
        <w:t xml:space="preserve"> Consolidated</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interests in entities that are considered VIEs under ASC 810, but for which it is not considered the primary beneficiary. The Company accounts for its interests in these entities under the equity method of accounting, as further described in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Accounted for by the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Equity Method and Variable Interest Entities, </w:t>
      </w:r>
      <w:r>
        <w:rPr>
          <w:rFonts w:ascii="Times New Roman" w:cs="Times New Roman" w:eastAsia="Times New Roman" w:hAnsi="Times New Roman"/>
          <w:sz w:val="18"/>
          <w:szCs w:val="18"/>
          <w:color w:val="auto"/>
        </w:rPr>
        <w:t>to the consolidated financial statements included in the Company's 2018 Form 10-K.</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18" w:name="page19"/>
    <w:bookmarkEnd w:id="1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Company's maximum exposure to loss as of September 30, 2019, is limited to its equity investment in the unconsolidated entities, as further summarized in the table below:</w:t>
      </w:r>
    </w:p>
    <w:p>
      <w:pPr>
        <w:spacing w:after="0" w:line="164" w:lineRule="exact"/>
        <w:rPr>
          <w:sz w:val="20"/>
          <w:szCs w:val="20"/>
          <w:color w:val="auto"/>
        </w:rPr>
      </w:pPr>
    </w:p>
    <w:tbl>
      <w:tblPr>
        <w:tblLayout w:type="fixed"/>
        <w:tblInd w:w="580" w:type="dxa"/>
        <w:tblCellMar>
          <w:top w:w="0" w:type="dxa"/>
          <w:left w:w="0" w:type="dxa"/>
          <w:bottom w:w="0" w:type="dxa"/>
          <w:right w:w="0" w:type="dxa"/>
        </w:tblCellMar>
      </w:tblPr>
      <w:tr>
        <w:trPr>
          <w:trHeight w:val="203"/>
        </w:trPr>
        <w:tc>
          <w:tcPr>
            <w:tcW w:w="8600" w:type="dxa"/>
            <w:vAlign w:val="bottom"/>
          </w:tcPr>
          <w:p>
            <w:pPr>
              <w:spacing w:after="0"/>
              <w:rPr>
                <w:sz w:val="17"/>
                <w:szCs w:val="17"/>
                <w:color w:val="auto"/>
              </w:rPr>
            </w:pPr>
          </w:p>
        </w:tc>
        <w:tc>
          <w:tcPr>
            <w:tcW w:w="1660" w:type="dxa"/>
            <w:vAlign w:val="bottom"/>
            <w:gridSpan w:val="2"/>
          </w:tcPr>
          <w:p>
            <w:pPr>
              <w:jc w:val="right"/>
              <w:ind w:right="11"/>
              <w:spacing w:after="0"/>
              <w:rPr>
                <w:sz w:val="20"/>
                <w:szCs w:val="20"/>
                <w:color w:val="auto"/>
              </w:rPr>
            </w:pPr>
            <w:r>
              <w:rPr>
                <w:rFonts w:ascii="Times New Roman" w:cs="Times New Roman" w:eastAsia="Times New Roman" w:hAnsi="Times New Roman"/>
                <w:sz w:val="16"/>
                <w:szCs w:val="16"/>
                <w:b w:val="1"/>
                <w:bCs w:val="1"/>
                <w:color w:val="auto"/>
              </w:rPr>
              <w:t>Maximum exposure to</w:t>
            </w:r>
          </w:p>
        </w:tc>
      </w:tr>
      <w:tr>
        <w:trPr>
          <w:trHeight w:val="218"/>
        </w:trPr>
        <w:tc>
          <w:tcPr>
            <w:tcW w:w="86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40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651"/>
              <w:spacing w:after="0"/>
              <w:rPr>
                <w:sz w:val="20"/>
                <w:szCs w:val="20"/>
                <w:color w:val="auto"/>
              </w:rPr>
            </w:pPr>
            <w:r>
              <w:rPr>
                <w:rFonts w:ascii="Times New Roman" w:cs="Times New Roman" w:eastAsia="Times New Roman" w:hAnsi="Times New Roman"/>
                <w:sz w:val="16"/>
                <w:szCs w:val="16"/>
                <w:b w:val="1"/>
                <w:bCs w:val="1"/>
                <w:color w:val="auto"/>
              </w:rPr>
              <w:t>loss</w:t>
            </w:r>
          </w:p>
        </w:tc>
      </w:tr>
      <w:tr>
        <w:trPr>
          <w:trHeight w:val="210"/>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Four Brothers Solar, LLC</w:t>
            </w:r>
          </w:p>
        </w:tc>
        <w:tc>
          <w:tcPr>
            <w:tcW w:w="400" w:type="dxa"/>
            <w:vAlign w:val="bottom"/>
            <w:shd w:val="clear" w:color="auto" w:fill="CCEEFF"/>
          </w:tcPr>
          <w:p>
            <w:pPr>
              <w:jc w:val="right"/>
              <w:ind w:right="174"/>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184</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GenConn Energy LLC</w:t>
            </w:r>
          </w:p>
        </w:tc>
        <w:tc>
          <w:tcPr>
            <w:tcW w:w="400" w:type="dxa"/>
            <w:vAlign w:val="bottom"/>
          </w:tcPr>
          <w:p>
            <w:pPr>
              <w:spacing w:after="0"/>
              <w:rPr>
                <w:sz w:val="18"/>
                <w:szCs w:val="18"/>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DGPV Holdco 3 LLC</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DGPV Holdco 1 LLC</w:t>
            </w:r>
          </w:p>
        </w:tc>
        <w:tc>
          <w:tcPr>
            <w:tcW w:w="400" w:type="dxa"/>
            <w:vAlign w:val="bottom"/>
          </w:tcPr>
          <w:p>
            <w:pPr>
              <w:spacing w:after="0"/>
              <w:rPr>
                <w:sz w:val="18"/>
                <w:szCs w:val="18"/>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Granite Mountain Holdings, LLC</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66</w:t>
            </w:r>
          </w:p>
        </w:tc>
      </w:tr>
      <w:tr>
        <w:trPr>
          <w:trHeight w:val="216"/>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DGPV Holdco 2 LLC</w:t>
            </w:r>
          </w:p>
        </w:tc>
        <w:tc>
          <w:tcPr>
            <w:tcW w:w="400" w:type="dxa"/>
            <w:vAlign w:val="bottom"/>
          </w:tcPr>
          <w:p>
            <w:pPr>
              <w:spacing w:after="0"/>
              <w:rPr>
                <w:sz w:val="18"/>
                <w:szCs w:val="18"/>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63</w:t>
            </w:r>
          </w:p>
        </w:tc>
      </w:tr>
      <w:tr>
        <w:trPr>
          <w:trHeight w:val="216"/>
        </w:trPr>
        <w:tc>
          <w:tcPr>
            <w:tcW w:w="86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Iron Springs Holdings, LLC</w:t>
            </w:r>
          </w:p>
        </w:tc>
        <w:tc>
          <w:tcPr>
            <w:tcW w:w="400" w:type="dxa"/>
            <w:vAlign w:val="bottom"/>
            <w:shd w:val="clear" w:color="auto" w:fill="CCEEFF"/>
          </w:tcPr>
          <w:p>
            <w:pPr>
              <w:spacing w:after="0"/>
              <w:rPr>
                <w:sz w:val="18"/>
                <w:szCs w:val="18"/>
                <w:color w:val="auto"/>
              </w:rPr>
            </w:pPr>
          </w:p>
        </w:tc>
        <w:tc>
          <w:tcPr>
            <w:tcW w:w="12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47</w:t>
            </w:r>
          </w:p>
        </w:tc>
      </w:tr>
      <w:tr>
        <w:trPr>
          <w:trHeight w:val="234"/>
        </w:trPr>
        <w:tc>
          <w:tcPr>
            <w:tcW w:w="8600" w:type="dxa"/>
            <w:vAlign w:val="bottom"/>
          </w:tcPr>
          <w:p>
            <w:pPr>
              <w:spacing w:after="0"/>
              <w:rPr>
                <w:sz w:val="20"/>
                <w:szCs w:val="20"/>
                <w:color w:val="auto"/>
              </w:rPr>
            </w:pPr>
            <w:r>
              <w:rPr>
                <w:rFonts w:ascii="Times New Roman" w:cs="Times New Roman" w:eastAsia="Times New Roman" w:hAnsi="Times New Roman"/>
                <w:sz w:val="18"/>
                <w:szCs w:val="18"/>
                <w:color w:val="auto"/>
              </w:rPr>
              <w:t>RPV Holdco 1 LLC</w:t>
            </w:r>
          </w:p>
        </w:tc>
        <w:tc>
          <w:tcPr>
            <w:tcW w:w="400" w:type="dxa"/>
            <w:vAlign w:val="bottom"/>
          </w:tcPr>
          <w:p>
            <w:pPr>
              <w:spacing w:after="0"/>
              <w:rPr>
                <w:sz w:val="20"/>
                <w:szCs w:val="20"/>
                <w:color w:val="auto"/>
              </w:rPr>
            </w:pPr>
          </w:p>
        </w:tc>
        <w:tc>
          <w:tcPr>
            <w:tcW w:w="12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r>
    </w:tbl>
    <w:p>
      <w:pPr>
        <w:spacing w:after="0" w:line="175" w:lineRule="exact"/>
        <w:rPr>
          <w:sz w:val="20"/>
          <w:szCs w:val="20"/>
          <w:color w:val="auto"/>
        </w:rPr>
      </w:pPr>
    </w:p>
    <w:p>
      <w:pPr>
        <w:jc w:val="both"/>
        <w:ind w:firstLine="405"/>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 xml:space="preserve">DGPV Holdco </w:t>
      </w:r>
      <w:r>
        <w:rPr>
          <w:rFonts w:ascii="Times New Roman" w:cs="Times New Roman" w:eastAsia="Times New Roman" w:hAnsi="Times New Roman"/>
          <w:sz w:val="18"/>
          <w:szCs w:val="18"/>
          <w:b w:val="1"/>
          <w:bCs w:val="1"/>
          <w:color w:val="auto"/>
        </w:rPr>
        <w:t>1</w:t>
      </w:r>
      <w:r>
        <w:rPr>
          <w:rFonts w:ascii="Times New Roman" w:cs="Times New Roman" w:eastAsia="Times New Roman" w:hAnsi="Times New Roman"/>
          <w:sz w:val="18"/>
          <w:szCs w:val="18"/>
          <w:b w:val="1"/>
          <w:bCs w:val="1"/>
          <w:i w:val="1"/>
          <w:iCs w:val="1"/>
          <w:color w:val="auto"/>
        </w:rPr>
        <w:t xml:space="preserve">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invested $2 million of cash during the nine months ended September 30, 2019 into DGPV Holdco 1 LLC.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Company owns approximately 52 MW of distributed solar capacity, based on cash to be distributed, with a weighted average remaining contract life of approximately 16 years as of September 30, 2019.</w:t>
      </w:r>
    </w:p>
    <w:p>
      <w:pPr>
        <w:spacing w:after="0" w:line="171" w:lineRule="exact"/>
        <w:rPr>
          <w:sz w:val="20"/>
          <w:szCs w:val="20"/>
          <w:color w:val="auto"/>
        </w:rPr>
      </w:pPr>
    </w:p>
    <w:p>
      <w:pPr>
        <w:jc w:val="both"/>
        <w:ind w:firstLine="405"/>
        <w:spacing w:after="0" w:line="262" w:lineRule="auto"/>
        <w:rPr>
          <w:sz w:val="20"/>
          <w:szCs w:val="20"/>
          <w:color w:val="auto"/>
        </w:rPr>
      </w:pPr>
      <w:r>
        <w:rPr>
          <w:rFonts w:ascii="Times New Roman" w:cs="Times New Roman" w:eastAsia="Times New Roman" w:hAnsi="Times New Roman"/>
          <w:sz w:val="18"/>
          <w:szCs w:val="18"/>
          <w:b w:val="1"/>
          <w:bCs w:val="1"/>
          <w:i w:val="1"/>
          <w:iCs w:val="1"/>
          <w:color w:val="auto"/>
        </w:rPr>
        <w:t xml:space="preserve">DGPV Holdco </w:t>
      </w:r>
      <w:r>
        <w:rPr>
          <w:rFonts w:ascii="Times New Roman" w:cs="Times New Roman" w:eastAsia="Times New Roman" w:hAnsi="Times New Roman"/>
          <w:sz w:val="18"/>
          <w:szCs w:val="18"/>
          <w:b w:val="1"/>
          <w:bCs w:val="1"/>
          <w:color w:val="auto"/>
        </w:rPr>
        <w:t>3</w:t>
      </w:r>
      <w:r>
        <w:rPr>
          <w:rFonts w:ascii="Times New Roman" w:cs="Times New Roman" w:eastAsia="Times New Roman" w:hAnsi="Times New Roman"/>
          <w:sz w:val="18"/>
          <w:szCs w:val="18"/>
          <w:b w:val="1"/>
          <w:bCs w:val="1"/>
          <w:i w:val="1"/>
          <w:iCs w:val="1"/>
          <w:color w:val="auto"/>
        </w:rPr>
        <w:t xml:space="preserve"> LLC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Company invested $12 million of cash during the nine months ended September 30, 2019 into DGPV Holdco 3 LLC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recorded $23 million due to CEG in accounts payable — affiliate as of September 30, 2019 to be funded in tranches as the project milestones are completed. The Company owns approximately 59 MW of distributed solar capacity, based on cash to be distributed, with a weighted average remaining contract life of approximately 20 years as of September 30, 2019.</w:t>
      </w:r>
    </w:p>
    <w:p>
      <w:pPr>
        <w:spacing w:after="0" w:line="181"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tables present summarized financial information for DGPV Holdco 1 LLC, DGPV Holdco 2 LLC and DGPV Holdco 3 LLC on a combined basis. These entities were deemed to be the Company's significant equity method investments as of September 30, 2019:</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43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760" w:type="dxa"/>
            <w:vAlign w:val="bottom"/>
          </w:tcPr>
          <w:p>
            <w:pPr>
              <w:spacing w:after="0"/>
              <w:rPr>
                <w:sz w:val="18"/>
                <w:szCs w:val="18"/>
                <w:color w:val="auto"/>
              </w:rPr>
            </w:pPr>
          </w:p>
        </w:tc>
        <w:tc>
          <w:tcPr>
            <w:tcW w:w="2640" w:type="dxa"/>
            <w:vAlign w:val="bottom"/>
            <w:tcBorders>
              <w:bottom w:val="single" w:sz="8" w:color="auto"/>
            </w:tcBorders>
            <w:gridSpan w:val="6"/>
          </w:tcPr>
          <w:p>
            <w:pPr>
              <w:jc w:val="right"/>
              <w:ind w:right="7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2600" w:type="dxa"/>
            <w:vAlign w:val="bottom"/>
            <w:tcBorders>
              <w:bottom w:val="single" w:sz="8" w:color="auto"/>
            </w:tcBorders>
            <w:gridSpan w:val="7"/>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176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39"/>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880" w:type="dxa"/>
            <w:vAlign w:val="bottom"/>
            <w:tcBorders>
              <w:bottom w:val="single" w:sz="8" w:color="auto"/>
            </w:tcBorders>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2019</w:t>
            </w:r>
          </w:p>
        </w:tc>
        <w:tc>
          <w:tcPr>
            <w:tcW w:w="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revenues</w:t>
            </w:r>
          </w:p>
        </w:tc>
        <w:tc>
          <w:tcPr>
            <w:tcW w:w="20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26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22</w:t>
            </w:r>
          </w:p>
        </w:tc>
        <w:tc>
          <w:tcPr>
            <w:tcW w:w="980" w:type="dxa"/>
            <w:vAlign w:val="bottom"/>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63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Operating loss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19"/>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360" w:type="dxa"/>
            <w:vAlign w:val="bottom"/>
            <w:gridSpan w:val="3"/>
          </w:tcPr>
          <w:p>
            <w:pPr>
              <w:jc w:val="right"/>
              <w:ind w:right="19"/>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income</w:t>
            </w:r>
          </w:p>
        </w:tc>
        <w:tc>
          <w:tcPr>
            <w:tcW w:w="200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9"/>
              <w:spacing w:after="0"/>
              <w:rPr>
                <w:sz w:val="20"/>
                <w:szCs w:val="20"/>
                <w:color w:val="auto"/>
              </w:rPr>
            </w:pPr>
            <w:r>
              <w:rPr>
                <w:rFonts w:ascii="Times New Roman" w:cs="Times New Roman" w:eastAsia="Times New Roman" w:hAnsi="Times New Roman"/>
                <w:sz w:val="18"/>
                <w:szCs w:val="18"/>
                <w:color w:val="auto"/>
              </w:rPr>
              <w:t>10</w:t>
            </w:r>
          </w:p>
        </w:tc>
        <w:tc>
          <w:tcPr>
            <w:tcW w:w="980" w:type="dxa"/>
            <w:vAlign w:val="bottom"/>
            <w:gridSpan w:val="2"/>
            <w:shd w:val="clear" w:color="auto" w:fill="CCEEFF"/>
          </w:tcPr>
          <w:p>
            <w:pPr>
              <w:jc w:val="right"/>
              <w:ind w:right="69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(16)</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21</w:t>
            </w:r>
          </w:p>
        </w:tc>
      </w:tr>
      <w:tr>
        <w:trPr>
          <w:trHeight w:val="432"/>
        </w:trPr>
        <w:tc>
          <w:tcPr>
            <w:tcW w:w="43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7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40" w:type="dxa"/>
            <w:vAlign w:val="bottom"/>
            <w:tcBorders>
              <w:bottom w:val="single" w:sz="8" w:color="auto"/>
            </w:tcBorders>
            <w:gridSpan w:val="3"/>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580" w:type="dxa"/>
            <w:vAlign w:val="bottom"/>
            <w:tcBorders>
              <w:bottom w:val="single" w:sz="8" w:color="auto"/>
            </w:tcBorders>
            <w:gridSpan w:val="4"/>
          </w:tcPr>
          <w:p>
            <w:pPr>
              <w:jc w:val="right"/>
              <w:ind w:right="91"/>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ind w:right="39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360" w:type="dxa"/>
            <w:vAlign w:val="bottom"/>
            <w:gridSpan w:val="3"/>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41</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 net</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828</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Non-current assets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137</w:t>
            </w:r>
          </w:p>
        </w:tc>
      </w:tr>
      <w:tr>
        <w:trPr>
          <w:trHeight w:val="216"/>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Non-current liabilities</w:t>
            </w:r>
          </w:p>
        </w:tc>
        <w:tc>
          <w:tcPr>
            <w:tcW w:w="17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415</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314</w:t>
            </w:r>
          </w:p>
        </w:tc>
      </w:tr>
      <w:tr>
        <w:trPr>
          <w:trHeight w:val="216"/>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Redeemable noncontrolling interest</w:t>
            </w:r>
          </w:p>
        </w:tc>
        <w:tc>
          <w:tcPr>
            <w:tcW w:w="17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17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w:t>
            </w:r>
          </w:p>
        </w:tc>
      </w:tr>
    </w:tbl>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5 — </w:t>
      </w:r>
      <w:r>
        <w:rPr>
          <w:rFonts w:ascii="Times New Roman" w:cs="Times New Roman" w:eastAsia="Times New Roman" w:hAnsi="Times New Roman"/>
          <w:sz w:val="18"/>
          <w:szCs w:val="18"/>
          <w:b w:val="1"/>
          <w:bCs w:val="1"/>
          <w:i w:val="1"/>
          <w:iCs w:val="1"/>
          <w:color w:val="auto"/>
        </w:rPr>
        <w:t>Fair Value of Financial Instruments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Fair Value Accounting under ASC </w:t>
      </w:r>
      <w:r>
        <w:rPr>
          <w:rFonts w:ascii="Times New Roman" w:cs="Times New Roman" w:eastAsia="Times New Roman" w:hAnsi="Times New Roman"/>
          <w:sz w:val="18"/>
          <w:szCs w:val="18"/>
          <w:b w:val="1"/>
          <w:bCs w:val="1"/>
          <w:color w:val="auto"/>
        </w:rPr>
        <w:t>820</w:t>
      </w:r>
    </w:p>
    <w:p>
      <w:pPr>
        <w:spacing w:after="0" w:line="22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ASC 820 establishes a fair value hierarchy that prioritizes the inputs to valuation techniques used to measure fair value into three levels as follows:</w:t>
      </w:r>
    </w:p>
    <w:p>
      <w:pPr>
        <w:spacing w:after="0" w:line="225" w:lineRule="exact"/>
        <w:rPr>
          <w:sz w:val="20"/>
          <w:szCs w:val="20"/>
          <w:color w:val="auto"/>
        </w:rPr>
      </w:pPr>
    </w:p>
    <w:p>
      <w:pPr>
        <w:ind w:left="1140" w:right="20" w:hanging="322"/>
        <w:spacing w:after="0" w:line="261"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1—quoted prices (unadjusted) in active markets for identical assets or liabilities that the Company has the ability to access as of the measurement date.</w:t>
      </w:r>
    </w:p>
    <w:p>
      <w:pPr>
        <w:ind w:left="1140" w:right="20" w:hanging="322"/>
        <w:spacing w:after="0" w:line="250"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2—inputs other than quoted prices included within Level 1 that are directly observable for the asset or liability or indirectly observable through corroboration with observable market data.</w:t>
      </w:r>
    </w:p>
    <w:p>
      <w:pPr>
        <w:ind w:left="1140" w:hanging="322"/>
        <w:spacing w:after="0" w:line="261" w:lineRule="auto"/>
        <w:tabs>
          <w:tab w:leader="none" w:pos="11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Level 3—unobservable inputs for the asset or liability only used when there is little, if any, market activity for the asset or liability at the measurement date.</w:t>
      </w:r>
    </w:p>
    <w:p>
      <w:pPr>
        <w:spacing w:after="0" w:line="180"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 accordance with ASC 820, the Company determines the level in the fair value hierarchy within which each fair value measurement in its entirety falls, based on the lowest level input that is significant to the fair value measurement.</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cash and cash equivalents, restricted cash, accounts receivable, accounts payable, accounts payable — affiliates, accrued expenses and other liabilities, the carrying amounts approximate fair value because of the short-term maturity of those instruments and are classified as Level 1 within the fair value hierarchy.</w:t>
      </w:r>
    </w:p>
    <w:p>
      <w:pPr>
        <w:sectPr>
          <w:pgSz w:w="11900" w:h="16838" w:orient="portrait"/>
          <w:cols w:equalWidth="0" w:num="1">
            <w:col w:w="11420"/>
          </w:cols>
          <w:pgMar w:left="240" w:top="112" w:right="239" w:bottom="1440" w:gutter="0" w:footer="0" w:header="0"/>
        </w:sectPr>
      </w:pP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type w:val="continuous"/>
        </w:sectPr>
      </w:pPr>
    </w:p>
    <w:bookmarkStart w:id="19" w:name="page20"/>
    <w:bookmarkEnd w:id="1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estimated carrying amounts and fair values of the Company’s recorded financial instruments not carried at fair market value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248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As of September 30, 2019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242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r>
      <w:tr>
        <w:trPr>
          <w:trHeight w:val="183"/>
        </w:trPr>
        <w:tc>
          <w:tcPr>
            <w:tcW w:w="46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jc w:val="center"/>
              <w:ind w:right="197"/>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rPr>
              <w:t>Carrying</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212"/>
        </w:trPr>
        <w:tc>
          <w:tcPr>
            <w:tcW w:w="466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center"/>
              <w:ind w:right="217"/>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center"/>
              <w:ind w:right="177"/>
              <w:spacing w:after="0"/>
              <w:rPr>
                <w:sz w:val="20"/>
                <w:szCs w:val="20"/>
                <w:color w:val="auto"/>
              </w:rPr>
            </w:pPr>
            <w:r>
              <w:rPr>
                <w:rFonts w:ascii="Times New Roman" w:cs="Times New Roman" w:eastAsia="Times New Roman" w:hAnsi="Times New Roman"/>
                <w:sz w:val="16"/>
                <w:szCs w:val="16"/>
                <w:b w:val="1"/>
                <w:bCs w:val="1"/>
                <w:color w:val="auto"/>
                <w:w w:val="99"/>
              </w:rPr>
              <w:t>Amount</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Fair Value</w:t>
            </w:r>
          </w:p>
        </w:tc>
      </w:tr>
      <w:tr>
        <w:trPr>
          <w:trHeight w:val="210"/>
        </w:trPr>
        <w:tc>
          <w:tcPr>
            <w:tcW w:w="46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spacing w:after="0"/>
              <w:rPr>
                <w:sz w:val="18"/>
                <w:szCs w:val="18"/>
                <w:color w:val="auto"/>
              </w:rPr>
            </w:pPr>
          </w:p>
        </w:tc>
      </w:tr>
      <w:tr>
        <w:trPr>
          <w:trHeight w:val="222"/>
        </w:trPr>
        <w:tc>
          <w:tcPr>
            <w:tcW w:w="46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Liabilities:</w:t>
            </w:r>
          </w:p>
        </w:tc>
        <w:tc>
          <w:tcPr>
            <w:tcW w:w="14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r>
      <w:tr>
        <w:trPr>
          <w:trHeight w:val="394"/>
        </w:trPr>
        <w:tc>
          <w:tcPr>
            <w:tcW w:w="4660" w:type="dxa"/>
            <w:vAlign w:val="bottom"/>
          </w:tcPr>
          <w:p>
            <w:pPr>
              <w:spacing w:after="0"/>
              <w:rPr>
                <w:sz w:val="20"/>
                <w:szCs w:val="20"/>
                <w:color w:val="auto"/>
              </w:rPr>
            </w:pPr>
            <w:r>
              <w:rPr>
                <w:rFonts w:ascii="Times New Roman" w:cs="Times New Roman" w:eastAsia="Times New Roman" w:hAnsi="Times New Roman"/>
                <w:sz w:val="18"/>
                <w:szCs w:val="18"/>
                <w:color w:val="auto"/>
              </w:rPr>
              <w:t xml:space="preserve">Long-term debt, including current portion </w:t>
            </w:r>
            <w:r>
              <w:rPr>
                <w:rFonts w:ascii="Times New Roman" w:cs="Times New Roman" w:eastAsia="Times New Roman" w:hAnsi="Times New Roman"/>
                <w:sz w:val="30"/>
                <w:szCs w:val="30"/>
                <w:color w:val="auto"/>
                <w:vertAlign w:val="superscript"/>
              </w:rPr>
              <w:t>(a)</w:t>
            </w:r>
          </w:p>
        </w:tc>
        <w:tc>
          <w:tcPr>
            <w:tcW w:w="15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37"/>
              <w:spacing w:after="0"/>
              <w:rPr>
                <w:sz w:val="20"/>
                <w:szCs w:val="20"/>
                <w:color w:val="auto"/>
              </w:rPr>
            </w:pPr>
            <w:r>
              <w:rPr>
                <w:rFonts w:ascii="Times New Roman" w:cs="Times New Roman" w:eastAsia="Times New Roman" w:hAnsi="Times New Roman"/>
                <w:sz w:val="18"/>
                <w:szCs w:val="18"/>
                <w:color w:val="auto"/>
              </w:rPr>
              <w:t>6,179</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6,173</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6,043</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5,943</w:t>
            </w:r>
          </w:p>
        </w:tc>
      </w:tr>
    </w:tbl>
    <w:p>
      <w:pPr>
        <w:ind w:left="220" w:hanging="212"/>
        <w:spacing w:after="0" w:line="219" w:lineRule="auto"/>
        <w:tabs>
          <w:tab w:leader="none" w:pos="220" w:val="left"/>
        </w:tabs>
        <w:numPr>
          <w:ilvl w:val="0"/>
          <w:numId w:val="10"/>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Excludes net debt issuance costs, which are recorded as a reduction to long-term debt on the Company's consolidated balance sheets.</w:t>
      </w:r>
    </w:p>
    <w:p>
      <w:pPr>
        <w:spacing w:after="0" w:line="38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fair value of the Company's publicly-traded long-term debt is based on quoted market prices and is classified as Level 2 within the fair value hierarchy. The fair value of non-publicly traded long-term debt of the Company are based on expected future cash flows discounted at market interest rates, or current interest rates for similar instruments with equivalent credit quality and are classified as Level 3 within the fair value hierarchy. The following table presents the level within the fair value hierarchy for long-term debt, including current portion as of September 30, 2019 and December 31, 2018:</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4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2440" w:type="dxa"/>
            <w:vAlign w:val="bottom"/>
            <w:tcBorders>
              <w:bottom w:val="single" w:sz="8" w:color="auto"/>
            </w:tcBorders>
            <w:gridSpan w:val="4"/>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As of September 30, 2019</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280" w:type="dxa"/>
            <w:vAlign w:val="bottom"/>
            <w:tcBorders>
              <w:bottom w:val="single" w:sz="8" w:color="auto"/>
            </w:tcBorders>
            <w:gridSpan w:val="4"/>
          </w:tcPr>
          <w:p>
            <w:pPr>
              <w:jc w:val="right"/>
              <w:ind w:right="414"/>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r>
      <w:tr>
        <w:trPr>
          <w:trHeight w:val="211"/>
        </w:trPr>
        <w:tc>
          <w:tcPr>
            <w:tcW w:w="4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w w:val="97"/>
              </w:rPr>
              <w:t>Level 2</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Level 3</w:t>
            </w:r>
          </w:p>
        </w:tc>
      </w:tr>
      <w:tr>
        <w:trPr>
          <w:trHeight w:val="211"/>
        </w:trPr>
        <w:tc>
          <w:tcPr>
            <w:tcW w:w="454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60" w:type="dxa"/>
            <w:vAlign w:val="bottom"/>
            <w:gridSpan w:val="3"/>
          </w:tcPr>
          <w:p>
            <w:pPr>
              <w:jc w:val="right"/>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6"/>
        </w:trPr>
        <w:tc>
          <w:tcPr>
            <w:tcW w:w="45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Long-term debt, including current portion</w:t>
            </w:r>
          </w:p>
        </w:tc>
        <w:tc>
          <w:tcPr>
            <w:tcW w:w="17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8"/>
                <w:szCs w:val="18"/>
                <w:color w:val="auto"/>
              </w:rPr>
              <w:t>1,551</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4,622</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1,620</w:t>
            </w:r>
          </w:p>
        </w:tc>
        <w:tc>
          <w:tcPr>
            <w:tcW w:w="3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4,323</w:t>
            </w: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Recurring Fair Value Measurements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records its derivative assets and liabilities at fair value on its consolidated balance sheet. The following table presents assets and liabilities measured and recorded at fair value on the Company's consolidated balance sheets on a recurring basis and their level within the fair value hierarchy:</w:t>
      </w:r>
    </w:p>
    <w:tbl>
      <w:tblPr>
        <w:tblLayout w:type="fixed"/>
        <w:tblInd w:w="660" w:type="dxa"/>
        <w:tblCellMar>
          <w:top w:w="0" w:type="dxa"/>
          <w:left w:w="0" w:type="dxa"/>
          <w:bottom w:w="0" w:type="dxa"/>
          <w:right w:w="0" w:type="dxa"/>
        </w:tblCellMar>
      </w:tblPr>
      <w:tr>
        <w:trPr>
          <w:trHeight w:val="187"/>
        </w:trPr>
        <w:tc>
          <w:tcPr>
            <w:tcW w:w="4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As of December 31,</w:t>
            </w:r>
          </w:p>
        </w:tc>
      </w:tr>
      <w:tr>
        <w:trPr>
          <w:trHeight w:val="215"/>
        </w:trPr>
        <w:tc>
          <w:tcPr>
            <w:tcW w:w="43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2960" w:type="dxa"/>
            <w:vAlign w:val="bottom"/>
            <w:tcBorders>
              <w:bottom w:val="single" w:sz="8" w:color="auto"/>
            </w:tcBorders>
            <w:gridSpan w:val="6"/>
          </w:tcPr>
          <w:p>
            <w:pPr>
              <w:jc w:val="center"/>
              <w:ind w:left="632"/>
              <w:spacing w:after="0"/>
              <w:rPr>
                <w:sz w:val="20"/>
                <w:szCs w:val="20"/>
                <w:color w:val="auto"/>
              </w:rPr>
            </w:pPr>
            <w:r>
              <w:rPr>
                <w:rFonts w:ascii="Times New Roman" w:cs="Times New Roman" w:eastAsia="Times New Roman" w:hAnsi="Times New Roman"/>
                <w:sz w:val="16"/>
                <w:szCs w:val="16"/>
                <w:b w:val="1"/>
                <w:bCs w:val="1"/>
                <w:color w:val="auto"/>
              </w:rPr>
              <w:t>As of September 30, 2019</w:t>
            </w:r>
          </w:p>
        </w:tc>
        <w:tc>
          <w:tcPr>
            <w:tcW w:w="10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14"/>
              <w:spacing w:after="0"/>
              <w:rPr>
                <w:sz w:val="20"/>
                <w:szCs w:val="20"/>
                <w:color w:val="auto"/>
              </w:rPr>
            </w:pPr>
            <w:r>
              <w:rPr>
                <w:rFonts w:ascii="Times New Roman" w:cs="Times New Roman" w:eastAsia="Times New Roman" w:hAnsi="Times New Roman"/>
                <w:sz w:val="16"/>
                <w:szCs w:val="16"/>
                <w:b w:val="1"/>
                <w:bCs w:val="1"/>
                <w:color w:val="auto"/>
                <w:w w:val="99"/>
              </w:rPr>
              <w:t>2018</w:t>
            </w:r>
          </w:p>
        </w:tc>
      </w:tr>
      <w:tr>
        <w:trPr>
          <w:trHeight w:val="240"/>
        </w:trPr>
        <w:tc>
          <w:tcPr>
            <w:tcW w:w="43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center"/>
              <w:ind w:right="172"/>
              <w:spacing w:after="0" w:line="240" w:lineRule="exact"/>
              <w:rPr>
                <w:sz w:val="20"/>
                <w:szCs w:val="20"/>
                <w:color w:val="auto"/>
              </w:rPr>
            </w:pPr>
            <w:r>
              <w:rPr>
                <w:rFonts w:ascii="Times New Roman" w:cs="Times New Roman" w:eastAsia="Times New Roman" w:hAnsi="Times New Roman"/>
                <w:sz w:val="16"/>
                <w:szCs w:val="16"/>
                <w:b w:val="1"/>
                <w:bCs w:val="1"/>
                <w:color w:val="auto"/>
                <w:w w:val="93"/>
              </w:rPr>
              <w:t xml:space="preserve">Fair Value </w:t>
            </w:r>
            <w:r>
              <w:rPr>
                <w:rFonts w:ascii="Times New Roman" w:cs="Times New Roman" w:eastAsia="Times New Roman" w:hAnsi="Times New Roman"/>
                <w:sz w:val="27"/>
                <w:szCs w:val="27"/>
                <w:b w:val="1"/>
                <w:bCs w:val="1"/>
                <w:color w:val="auto"/>
                <w:w w:val="93"/>
                <w:vertAlign w:val="superscript"/>
              </w:rPr>
              <w:t>(a)</w:t>
            </w: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520" w:type="dxa"/>
            <w:vAlign w:val="bottom"/>
            <w:tcBorders>
              <w:bottom w:val="single" w:sz="8" w:color="auto"/>
            </w:tcBorders>
          </w:tcPr>
          <w:p>
            <w:pPr>
              <w:jc w:val="center"/>
              <w:ind w:right="114"/>
              <w:spacing w:after="0" w:line="240" w:lineRule="exact"/>
              <w:rPr>
                <w:sz w:val="20"/>
                <w:szCs w:val="20"/>
                <w:color w:val="auto"/>
              </w:rPr>
            </w:pPr>
            <w:r>
              <w:rPr>
                <w:rFonts w:ascii="Times New Roman" w:cs="Times New Roman" w:eastAsia="Times New Roman" w:hAnsi="Times New Roman"/>
                <w:sz w:val="16"/>
                <w:szCs w:val="16"/>
                <w:b w:val="1"/>
                <w:bCs w:val="1"/>
                <w:color w:val="auto"/>
                <w:w w:val="93"/>
              </w:rPr>
              <w:t xml:space="preserve">Fair Value </w:t>
            </w:r>
            <w:r>
              <w:rPr>
                <w:rFonts w:ascii="Times New Roman" w:cs="Times New Roman" w:eastAsia="Times New Roman" w:hAnsi="Times New Roman"/>
                <w:sz w:val="27"/>
                <w:szCs w:val="27"/>
                <w:b w:val="1"/>
                <w:bCs w:val="1"/>
                <w:color w:val="auto"/>
                <w:w w:val="93"/>
                <w:vertAlign w:val="superscript"/>
              </w:rPr>
              <w:t>(a)</w:t>
            </w:r>
          </w:p>
        </w:tc>
      </w:tr>
      <w:tr>
        <w:trPr>
          <w:trHeight w:val="210"/>
        </w:trPr>
        <w:tc>
          <w:tcPr>
            <w:tcW w:w="43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392"/>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center"/>
              <w:ind w:right="15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94"/>
              <w:spacing w:after="0"/>
              <w:rPr>
                <w:sz w:val="20"/>
                <w:szCs w:val="20"/>
                <w:color w:val="auto"/>
              </w:rPr>
            </w:pPr>
            <w:r>
              <w:rPr>
                <w:rFonts w:ascii="Times New Roman" w:cs="Times New Roman" w:eastAsia="Times New Roman" w:hAnsi="Times New Roman"/>
                <w:sz w:val="16"/>
                <w:szCs w:val="16"/>
                <w:b w:val="1"/>
                <w:bCs w:val="1"/>
                <w:color w:val="auto"/>
              </w:rPr>
              <w:t>Level 2</w:t>
            </w:r>
          </w:p>
        </w:tc>
      </w:tr>
      <w:tr>
        <w:trPr>
          <w:trHeight w:val="210"/>
        </w:trPr>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 assets:</w:t>
            </w:r>
          </w:p>
        </w:tc>
        <w:tc>
          <w:tcPr>
            <w:tcW w:w="220" w:type="dxa"/>
            <w:vAlign w:val="bottom"/>
            <w:shd w:val="clear" w:color="auto" w:fill="CCEEFF"/>
          </w:tcPr>
          <w:p>
            <w:pPr>
              <w:spacing w:after="0"/>
              <w:rPr>
                <w:sz w:val="18"/>
                <w:szCs w:val="18"/>
                <w:color w:val="auto"/>
              </w:rPr>
            </w:pPr>
          </w:p>
        </w:tc>
        <w:tc>
          <w:tcPr>
            <w:tcW w:w="1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4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Commodity contracts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rate contracts</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r>
      <w:tr>
        <w:trPr>
          <w:trHeight w:val="210"/>
        </w:trPr>
        <w:tc>
          <w:tcPr>
            <w:tcW w:w="43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2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11</w:t>
            </w:r>
          </w:p>
        </w:tc>
      </w:tr>
      <w:tr>
        <w:trPr>
          <w:trHeight w:val="20"/>
        </w:trPr>
        <w:tc>
          <w:tcPr>
            <w:tcW w:w="43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r>
        <w:trPr>
          <w:trHeight w:val="197"/>
        </w:trPr>
        <w:tc>
          <w:tcPr>
            <w:tcW w:w="4320" w:type="dxa"/>
            <w:vAlign w:val="bottom"/>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Derivative liabilities:</w:t>
            </w:r>
          </w:p>
        </w:tc>
        <w:tc>
          <w:tcPr>
            <w:tcW w:w="22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520" w:type="dxa"/>
            <w:vAlign w:val="bottom"/>
            <w:shd w:val="clear" w:color="auto" w:fill="CCEEFF"/>
          </w:tcPr>
          <w:p>
            <w:pPr>
              <w:spacing w:after="0"/>
              <w:rPr>
                <w:sz w:val="17"/>
                <w:szCs w:val="17"/>
                <w:color w:val="auto"/>
              </w:rPr>
            </w:pPr>
          </w:p>
        </w:tc>
      </w:tr>
      <w:tr>
        <w:trPr>
          <w:trHeight w:val="216"/>
        </w:trPr>
        <w:tc>
          <w:tcPr>
            <w:tcW w:w="4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Commodity contracts</w:t>
            </w:r>
          </w:p>
        </w:tc>
        <w:tc>
          <w:tcPr>
            <w:tcW w:w="220" w:type="dxa"/>
            <w:vAlign w:val="bottom"/>
          </w:tcPr>
          <w:p>
            <w:pPr>
              <w:spacing w:after="0"/>
              <w:rPr>
                <w:sz w:val="18"/>
                <w:szCs w:val="18"/>
                <w:color w:val="auto"/>
              </w:rPr>
            </w:pP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Interest rate contracts</w:t>
            </w:r>
          </w:p>
        </w:tc>
        <w:tc>
          <w:tcPr>
            <w:tcW w:w="2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2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52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r>
      <w:tr>
        <w:trPr>
          <w:trHeight w:val="210"/>
        </w:trPr>
        <w:tc>
          <w:tcPr>
            <w:tcW w:w="4320" w:type="dxa"/>
            <w:vAlign w:val="bottom"/>
          </w:tcPr>
          <w:p>
            <w:pPr>
              <w:ind w:left="480"/>
              <w:spacing w:after="0"/>
              <w:rPr>
                <w:sz w:val="20"/>
                <w:szCs w:val="20"/>
                <w:color w:val="auto"/>
              </w:rPr>
            </w:pPr>
            <w:r>
              <w:rPr>
                <w:rFonts w:ascii="Times New Roman" w:cs="Times New Roman" w:eastAsia="Times New Roman" w:hAnsi="Times New Roman"/>
                <w:sz w:val="18"/>
                <w:szCs w:val="18"/>
                <w:b w:val="1"/>
                <w:bCs w:val="1"/>
                <w:color w:val="auto"/>
              </w:rPr>
              <w:t>Total liabilities</w:t>
            </w:r>
          </w:p>
        </w:tc>
        <w:tc>
          <w:tcPr>
            <w:tcW w:w="22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101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3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43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right="300" w:firstLine="316"/>
        <w:spacing w:after="0" w:line="200" w:lineRule="auto"/>
        <w:tabs>
          <w:tab w:leader="none" w:pos="872" w:val="left"/>
        </w:tabs>
        <w:numPr>
          <w:ilvl w:val="0"/>
          <w:numId w:val="1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There were no derivative assets or liabilities classified as Level 1 as of September 30, 2019, and no derivative assets or liabilities classified as Level 1 or Level 3 as of December 31, 2018.</w:t>
      </w:r>
    </w:p>
    <w:p>
      <w:pPr>
        <w:spacing w:after="0" w:line="198" w:lineRule="exact"/>
        <w:rPr>
          <w:sz w:val="20"/>
          <w:szCs w:val="20"/>
          <w:color w:val="auto"/>
        </w:rPr>
      </w:pPr>
    </w:p>
    <w:p>
      <w:pPr>
        <w:ind w:right="620"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reconciles the beginning and ending balances for instruments that are recognized at fair value in the condensed consolidated financial statements using significant unobservable inputs:</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0" w:name="page21"/>
    <w:bookmarkEnd w:id="2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32" w:lineRule="exact"/>
        <w:rPr>
          <w:sz w:val="20"/>
          <w:szCs w:val="20"/>
          <w:color w:val="auto"/>
        </w:rPr>
      </w:pPr>
    </w:p>
    <w:tbl>
      <w:tblPr>
        <w:tblLayout w:type="fixed"/>
        <w:tblInd w:w="500" w:type="dxa"/>
        <w:tblCellMar>
          <w:top w:w="0" w:type="dxa"/>
          <w:left w:w="0" w:type="dxa"/>
          <w:bottom w:w="0" w:type="dxa"/>
          <w:right w:w="0" w:type="dxa"/>
        </w:tblCellMar>
      </w:tblPr>
      <w:tr>
        <w:trPr>
          <w:trHeight w:val="215"/>
        </w:trPr>
        <w:tc>
          <w:tcPr>
            <w:tcW w:w="4620" w:type="dxa"/>
            <w:vAlign w:val="bottom"/>
          </w:tcPr>
          <w:p>
            <w:pPr>
              <w:spacing w:after="0"/>
              <w:rPr>
                <w:sz w:val="18"/>
                <w:szCs w:val="18"/>
                <w:color w:val="auto"/>
              </w:rPr>
            </w:pPr>
          </w:p>
        </w:tc>
        <w:tc>
          <w:tcPr>
            <w:tcW w:w="2620" w:type="dxa"/>
            <w:vAlign w:val="bottom"/>
            <w:tcBorders>
              <w:bottom w:val="single" w:sz="8" w:color="auto"/>
            </w:tcBorders>
            <w:gridSpan w:val="4"/>
          </w:tcPr>
          <w:p>
            <w:pPr>
              <w:jc w:val="center"/>
              <w:ind w:left="16"/>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1"/>
        </w:trPr>
        <w:tc>
          <w:tcPr>
            <w:tcW w:w="4620" w:type="dxa"/>
            <w:vAlign w:val="bottom"/>
          </w:tcPr>
          <w:p>
            <w:pPr>
              <w:spacing w:after="0"/>
              <w:rPr>
                <w:sz w:val="18"/>
                <w:szCs w:val="18"/>
                <w:color w:val="auto"/>
              </w:rPr>
            </w:pPr>
          </w:p>
        </w:tc>
        <w:tc>
          <w:tcPr>
            <w:tcW w:w="92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rPr>
              <w:t>2019</w:t>
            </w:r>
          </w:p>
        </w:tc>
        <w:tc>
          <w:tcPr>
            <w:tcW w:w="44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Borders>
              <w:bottom w:val="single" w:sz="8" w:color="auto"/>
            </w:tcBorders>
          </w:tcPr>
          <w:p>
            <w:pPr>
              <w:jc w:val="right"/>
              <w:ind w:right="299"/>
              <w:spacing w:after="0"/>
              <w:rPr>
                <w:sz w:val="20"/>
                <w:szCs w:val="20"/>
                <w:color w:val="auto"/>
              </w:rPr>
            </w:pPr>
            <w:r>
              <w:rPr>
                <w:rFonts w:ascii="Times New Roman" w:cs="Times New Roman" w:eastAsia="Times New Roman" w:hAnsi="Times New Roman"/>
                <w:sz w:val="16"/>
                <w:szCs w:val="16"/>
                <w:b w:val="1"/>
                <w:bCs w:val="1"/>
                <w:color w:val="auto"/>
              </w:rPr>
              <w:t>2018</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182"/>
        </w:trPr>
        <w:tc>
          <w:tcPr>
            <w:tcW w:w="4620" w:type="dxa"/>
            <w:vAlign w:val="bottom"/>
          </w:tcPr>
          <w:p>
            <w:pPr>
              <w:spacing w:after="0"/>
              <w:rPr>
                <w:sz w:val="15"/>
                <w:szCs w:val="15"/>
                <w:color w:val="auto"/>
              </w:rPr>
            </w:pPr>
          </w:p>
        </w:tc>
        <w:tc>
          <w:tcPr>
            <w:tcW w:w="2620" w:type="dxa"/>
            <w:vAlign w:val="bottom"/>
            <w:gridSpan w:val="4"/>
          </w:tcPr>
          <w:p>
            <w:pPr>
              <w:jc w:val="center"/>
              <w:ind w:left="16"/>
              <w:spacing w:after="0" w:line="182" w:lineRule="exact"/>
              <w:rPr>
                <w:sz w:val="20"/>
                <w:szCs w:val="20"/>
                <w:color w:val="auto"/>
              </w:rPr>
            </w:pPr>
            <w:r>
              <w:rPr>
                <w:rFonts w:ascii="Times New Roman" w:cs="Times New Roman" w:eastAsia="Times New Roman" w:hAnsi="Times New Roman"/>
                <w:sz w:val="16"/>
                <w:szCs w:val="16"/>
                <w:b w:val="1"/>
                <w:bCs w:val="1"/>
                <w:color w:val="auto"/>
              </w:rPr>
              <w:t>Fair Value Measurement Using</w:t>
            </w:r>
          </w:p>
        </w:tc>
        <w:tc>
          <w:tcPr>
            <w:tcW w:w="2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0" w:type="dxa"/>
            <w:vAlign w:val="bottom"/>
            <w:gridSpan w:val="4"/>
          </w:tcPr>
          <w:p>
            <w:pPr>
              <w:jc w:val="center"/>
              <w:ind w:right="112"/>
              <w:spacing w:after="0" w:line="182" w:lineRule="exact"/>
              <w:rPr>
                <w:sz w:val="20"/>
                <w:szCs w:val="20"/>
                <w:color w:val="auto"/>
              </w:rPr>
            </w:pPr>
            <w:r>
              <w:rPr>
                <w:rFonts w:ascii="Times New Roman" w:cs="Times New Roman" w:eastAsia="Times New Roman" w:hAnsi="Times New Roman"/>
                <w:sz w:val="16"/>
                <w:szCs w:val="16"/>
                <w:b w:val="1"/>
                <w:bCs w:val="1"/>
                <w:color w:val="auto"/>
              </w:rPr>
              <w:t>Fair Value Measurement Using</w:t>
            </w:r>
          </w:p>
        </w:tc>
      </w:tr>
      <w:tr>
        <w:trPr>
          <w:trHeight w:val="203"/>
        </w:trPr>
        <w:tc>
          <w:tcPr>
            <w:tcW w:w="4620" w:type="dxa"/>
            <w:vAlign w:val="bottom"/>
          </w:tcPr>
          <w:p>
            <w:pPr>
              <w:spacing w:after="0"/>
              <w:rPr>
                <w:sz w:val="17"/>
                <w:szCs w:val="17"/>
                <w:color w:val="auto"/>
              </w:rPr>
            </w:pPr>
          </w:p>
        </w:tc>
        <w:tc>
          <w:tcPr>
            <w:tcW w:w="2620" w:type="dxa"/>
            <w:vAlign w:val="bottom"/>
            <w:gridSpan w:val="4"/>
          </w:tcPr>
          <w:p>
            <w:pPr>
              <w:jc w:val="center"/>
              <w:ind w:left="16"/>
              <w:spacing w:after="0"/>
              <w:rPr>
                <w:sz w:val="20"/>
                <w:szCs w:val="20"/>
                <w:color w:val="auto"/>
              </w:rPr>
            </w:pPr>
            <w:r>
              <w:rPr>
                <w:rFonts w:ascii="Times New Roman" w:cs="Times New Roman" w:eastAsia="Times New Roman" w:hAnsi="Times New Roman"/>
                <w:sz w:val="16"/>
                <w:szCs w:val="16"/>
                <w:b w:val="1"/>
                <w:bCs w:val="1"/>
                <w:color w:val="auto"/>
              </w:rPr>
              <w:t>Significant Unobservable Inputs</w:t>
            </w: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4"/>
          </w:tcPr>
          <w:p>
            <w:pPr>
              <w:jc w:val="center"/>
              <w:ind w:right="112"/>
              <w:spacing w:after="0"/>
              <w:rPr>
                <w:sz w:val="20"/>
                <w:szCs w:val="20"/>
                <w:color w:val="auto"/>
              </w:rPr>
            </w:pPr>
            <w:r>
              <w:rPr>
                <w:rFonts w:ascii="Times New Roman" w:cs="Times New Roman" w:eastAsia="Times New Roman" w:hAnsi="Times New Roman"/>
                <w:sz w:val="16"/>
                <w:szCs w:val="16"/>
                <w:b w:val="1"/>
                <w:bCs w:val="1"/>
                <w:color w:val="auto"/>
              </w:rPr>
              <w:t>Significant Unobservable Inputs</w:t>
            </w:r>
          </w:p>
        </w:tc>
      </w:tr>
      <w:tr>
        <w:trPr>
          <w:trHeight w:val="218"/>
        </w:trPr>
        <w:tc>
          <w:tcPr>
            <w:tcW w:w="46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9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jc w:val="center"/>
              <w:ind w:right="739"/>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20" w:type="dxa"/>
            <w:vAlign w:val="bottom"/>
            <w:tcBorders>
              <w:bottom w:val="single" w:sz="8" w:color="auto"/>
            </w:tcBorders>
            <w:gridSpan w:val="3"/>
          </w:tcPr>
          <w:p>
            <w:pPr>
              <w:jc w:val="center"/>
              <w:ind w:left="695"/>
              <w:spacing w:after="0"/>
              <w:rPr>
                <w:sz w:val="20"/>
                <w:szCs w:val="20"/>
                <w:color w:val="auto"/>
              </w:rPr>
            </w:pPr>
            <w:r>
              <w:rPr>
                <w:rFonts w:ascii="Times New Roman" w:cs="Times New Roman" w:eastAsia="Times New Roman" w:hAnsi="Times New Roman"/>
                <w:sz w:val="16"/>
                <w:szCs w:val="16"/>
                <w:b w:val="1"/>
                <w:bCs w:val="1"/>
                <w:color w:val="auto"/>
                <w:w w:val="99"/>
              </w:rPr>
              <w:t>(Level 3)</w:t>
            </w:r>
          </w:p>
        </w:tc>
        <w:tc>
          <w:tcPr>
            <w:tcW w:w="980" w:type="dxa"/>
            <w:vAlign w:val="bottom"/>
            <w:tcBorders>
              <w:bottom w:val="single" w:sz="8" w:color="auto"/>
            </w:tcBorders>
          </w:tcPr>
          <w:p>
            <w:pPr>
              <w:spacing w:after="0"/>
              <w:rPr>
                <w:sz w:val="18"/>
                <w:szCs w:val="18"/>
                <w:color w:val="auto"/>
              </w:rPr>
            </w:pPr>
          </w:p>
        </w:tc>
      </w:tr>
      <w:tr>
        <w:trPr>
          <w:trHeight w:val="210"/>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Beginning balance</w:t>
            </w:r>
          </w:p>
        </w:tc>
        <w:tc>
          <w:tcPr>
            <w:tcW w:w="920" w:type="dxa"/>
            <w:vAlign w:val="bottom"/>
            <w:shd w:val="clear" w:color="auto" w:fill="CCEEFF"/>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60" w:type="dxa"/>
            <w:vAlign w:val="bottom"/>
            <w:gridSpan w:val="2"/>
            <w:shd w:val="clear" w:color="auto" w:fill="CCEEFF"/>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Total losses for the period included in earnings</w:t>
            </w:r>
          </w:p>
        </w:tc>
        <w:tc>
          <w:tcPr>
            <w:tcW w:w="92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Purchases</w:t>
            </w:r>
          </w:p>
        </w:tc>
        <w:tc>
          <w:tcPr>
            <w:tcW w:w="920" w:type="dxa"/>
            <w:vAlign w:val="bottom"/>
            <w:tcBorders>
              <w:bottom w:val="single" w:sz="8" w:color="auto"/>
            </w:tcBorders>
            <w:shd w:val="clear" w:color="auto" w:fill="CCEEFF"/>
          </w:tcPr>
          <w:p>
            <w:pPr>
              <w:spacing w:after="0"/>
              <w:rPr>
                <w:sz w:val="18"/>
                <w:szCs w:val="18"/>
                <w:color w:val="auto"/>
              </w:rPr>
            </w:pPr>
          </w:p>
        </w:tc>
        <w:tc>
          <w:tcPr>
            <w:tcW w:w="440" w:type="dxa"/>
            <w:vAlign w:val="bottom"/>
            <w:tcBorders>
              <w:bottom w:val="single" w:sz="8" w:color="auto"/>
            </w:tcBorders>
            <w:shd w:val="clear" w:color="auto" w:fill="CCEEFF"/>
          </w:tcPr>
          <w:p>
            <w:pPr>
              <w:jc w:val="right"/>
              <w:ind w:right="32"/>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0"/>
              <w:spacing w:after="0" w:line="181" w:lineRule="exact"/>
              <w:rPr>
                <w:sz w:val="20"/>
                <w:szCs w:val="20"/>
                <w:color w:val="auto"/>
              </w:rPr>
            </w:pPr>
            <w:r>
              <w:rPr>
                <w:rFonts w:ascii="MS PGothic" w:cs="MS PGothic" w:eastAsia="MS PGothic" w:hAnsi="MS PGothic"/>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
              <w:spacing w:after="0" w:line="181" w:lineRule="exact"/>
              <w:rPr>
                <w:sz w:val="20"/>
                <w:szCs w:val="20"/>
                <w:color w:val="auto"/>
              </w:rPr>
            </w:pPr>
            <w:r>
              <w:rPr>
                <w:rFonts w:ascii="MS PGothic" w:cs="MS PGothic" w:eastAsia="MS PGothic" w:hAnsi="MS PGothic"/>
                <w:sz w:val="18"/>
                <w:szCs w:val="18"/>
                <w:color w:val="auto"/>
              </w:rPr>
              <w:t>‑</w:t>
            </w:r>
          </w:p>
        </w:tc>
      </w:tr>
      <w:tr>
        <w:trPr>
          <w:trHeight w:val="210"/>
        </w:trPr>
        <w:tc>
          <w:tcPr>
            <w:tcW w:w="46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Ending balance</w:t>
            </w:r>
          </w:p>
        </w:tc>
        <w:tc>
          <w:tcPr>
            <w:tcW w:w="920" w:type="dxa"/>
            <w:vAlign w:val="bottom"/>
          </w:tcPr>
          <w:p>
            <w:pPr>
              <w:jc w:val="right"/>
              <w:ind w:right="736"/>
              <w:spacing w:after="0"/>
              <w:rPr>
                <w:sz w:val="20"/>
                <w:szCs w:val="20"/>
                <w:color w:val="auto"/>
              </w:rPr>
            </w:pPr>
            <w:r>
              <w:rPr>
                <w:rFonts w:ascii="Times New Roman" w:cs="Times New Roman" w:eastAsia="Times New Roman" w:hAnsi="Times New Roman"/>
                <w:sz w:val="18"/>
                <w:szCs w:val="18"/>
                <w:color w:val="auto"/>
                <w:w w:val="88"/>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60" w:type="dxa"/>
            <w:vAlign w:val="bottom"/>
            <w:gridSpan w:val="2"/>
          </w:tcPr>
          <w:p>
            <w:pPr>
              <w:jc w:val="right"/>
              <w:ind w:right="979"/>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99"/>
              </w:rPr>
              <w:t>-</w:t>
            </w:r>
          </w:p>
        </w:tc>
        <w:tc>
          <w:tcPr>
            <w:tcW w:w="2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0"/>
        </w:trPr>
        <w:tc>
          <w:tcPr>
            <w:tcW w:w="4620" w:type="dxa"/>
            <w:vAlign w:val="bottom"/>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Derivative Fair Value Measurements</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The Company's contracts are non-exchange-traded and valued using prices provided by external sources. For some of the Company’s energy contracts, management receives quotes from multiple sources. To the extent that multiple quotes are received, the prices reflect the average of the bid-ask mid-point prices obtained from all sources believed to provide the most liquid market for the commodity. The remainder of the assets and liabilities represent contracts for which external sources or observable market quotes are not available. These contracts are valued based on various valuation techniques including, but not limited to, internal models based on a fundamental analysis of the market and extrapolation of the observable market data with similar characteristics. As of September 30, 2019, contracts valued with prices provided by models and other valuation techniques make up 8% of derivative liabilities.</w:t>
      </w:r>
    </w:p>
    <w:p>
      <w:pPr>
        <w:spacing w:after="0" w:line="18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Company’s significant position classified as Level 3 includes physical power executed in illiquid markets. The significant unobservable inputs used in developing fair value include illiquid power tenors and location pricing, which is derived by extrapolating pricing and as a basis to liquid locations. The tenor pricing and basis spread are based on observable market data when available or derived from historic prices and forward market prices from similar observable markets when not available.</w:t>
      </w:r>
    </w:p>
    <w:p>
      <w:pPr>
        <w:spacing w:after="0" w:line="180" w:lineRule="exact"/>
        <w:rPr>
          <w:sz w:val="20"/>
          <w:szCs w:val="20"/>
          <w:color w:val="auto"/>
        </w:rPr>
      </w:pPr>
    </w:p>
    <w:p>
      <w:pPr>
        <w:ind w:right="120" w:firstLine="366"/>
        <w:spacing w:after="0" w:line="261" w:lineRule="auto"/>
        <w:rPr>
          <w:sz w:val="20"/>
          <w:szCs w:val="20"/>
          <w:color w:val="auto"/>
        </w:rPr>
      </w:pPr>
      <w:r>
        <w:rPr>
          <w:rFonts w:ascii="Times New Roman" w:cs="Times New Roman" w:eastAsia="Times New Roman" w:hAnsi="Times New Roman"/>
          <w:sz w:val="18"/>
          <w:szCs w:val="18"/>
          <w:color w:val="auto"/>
        </w:rPr>
        <w:t>The following tables quantify the significant unobservable inputs used in developing the fair value of the Company's Level 3 positions as of September 30, 2019:</w:t>
      </w:r>
    </w:p>
    <w:tbl>
      <w:tblPr>
        <w:tblLayout w:type="fixed"/>
        <w:tblInd w:w="0" w:type="dxa"/>
        <w:tblCellMar>
          <w:top w:w="0" w:type="dxa"/>
          <w:left w:w="0" w:type="dxa"/>
          <w:bottom w:w="0" w:type="dxa"/>
          <w:right w:w="0" w:type="dxa"/>
        </w:tblCellMar>
      </w:tblPr>
      <w:tr>
        <w:trPr>
          <w:trHeight w:val="214"/>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460" w:type="dxa"/>
            <w:vAlign w:val="bottom"/>
            <w:tcBorders>
              <w:bottom w:val="single" w:sz="8" w:color="auto"/>
            </w:tcBorders>
          </w:tcPr>
          <w:p>
            <w:pPr>
              <w:spacing w:after="0"/>
              <w:rPr>
                <w:sz w:val="18"/>
                <w:szCs w:val="18"/>
                <w:color w:val="auto"/>
              </w:rPr>
            </w:pPr>
          </w:p>
        </w:tc>
        <w:tc>
          <w:tcPr>
            <w:tcW w:w="19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gridSpan w:val="2"/>
          </w:tcPr>
          <w:p>
            <w:pPr>
              <w:ind w:left="120"/>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460" w:type="dxa"/>
            <w:vAlign w:val="bottom"/>
            <w:tcBorders>
              <w:bottom w:val="single" w:sz="8" w:color="auto"/>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7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Input/Range</w:t>
            </w:r>
          </w:p>
        </w:tc>
        <w:tc>
          <w:tcPr>
            <w:tcW w:w="5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3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84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rPr>
              <w:t>Significant Unobservable</w:t>
            </w:r>
          </w:p>
        </w:tc>
        <w:tc>
          <w:tcPr>
            <w:tcW w:w="10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8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Weighted</w:t>
            </w:r>
          </w:p>
        </w:tc>
        <w:tc>
          <w:tcPr>
            <w:tcW w:w="2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2"/>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1320" w:type="dxa"/>
            <w:vAlign w:val="bottom"/>
            <w:gridSpan w:val="2"/>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Liabilities</w:t>
            </w:r>
          </w:p>
        </w:tc>
        <w:tc>
          <w:tcPr>
            <w:tcW w:w="1740" w:type="dxa"/>
            <w:vAlign w:val="bottom"/>
            <w:gridSpan w:val="2"/>
          </w:tcPr>
          <w:p>
            <w:pPr>
              <w:jc w:val="center"/>
              <w:ind w:left="14"/>
              <w:spacing w:after="0"/>
              <w:rPr>
                <w:sz w:val="20"/>
                <w:szCs w:val="20"/>
                <w:color w:val="auto"/>
              </w:rPr>
            </w:pPr>
            <w:r>
              <w:rPr>
                <w:rFonts w:ascii="Times New Roman" w:cs="Times New Roman" w:eastAsia="Times New Roman" w:hAnsi="Times New Roman"/>
                <w:sz w:val="16"/>
                <w:szCs w:val="16"/>
                <w:b w:val="1"/>
                <w:bCs w:val="1"/>
                <w:color w:val="auto"/>
              </w:rPr>
              <w:t>Valuation Technique</w:t>
            </w:r>
          </w:p>
        </w:tc>
        <w:tc>
          <w:tcPr>
            <w:tcW w:w="200" w:type="dxa"/>
            <w:vAlign w:val="bottom"/>
          </w:tcPr>
          <w:p>
            <w:pPr>
              <w:spacing w:after="0"/>
              <w:rPr>
                <w:sz w:val="18"/>
                <w:szCs w:val="18"/>
                <w:color w:val="auto"/>
              </w:rPr>
            </w:pPr>
          </w:p>
        </w:tc>
        <w:tc>
          <w:tcPr>
            <w:tcW w:w="1720" w:type="dxa"/>
            <w:vAlign w:val="bottom"/>
          </w:tcPr>
          <w:p>
            <w:pPr>
              <w:jc w:val="center"/>
              <w:ind w:left="54"/>
              <w:spacing w:after="0"/>
              <w:rPr>
                <w:sz w:val="20"/>
                <w:szCs w:val="20"/>
                <w:color w:val="auto"/>
              </w:rPr>
            </w:pPr>
            <w:r>
              <w:rPr>
                <w:rFonts w:ascii="Times New Roman" w:cs="Times New Roman" w:eastAsia="Times New Roman" w:hAnsi="Times New Roman"/>
                <w:sz w:val="16"/>
                <w:szCs w:val="16"/>
                <w:b w:val="1"/>
                <w:bCs w:val="1"/>
                <w:color w:val="auto"/>
                <w:w w:val="99"/>
              </w:rPr>
              <w:t>Input</w:t>
            </w:r>
          </w:p>
        </w:tc>
        <w:tc>
          <w:tcPr>
            <w:tcW w:w="120" w:type="dxa"/>
            <w:vAlign w:val="bottom"/>
          </w:tcPr>
          <w:p>
            <w:pPr>
              <w:spacing w:after="0"/>
              <w:rPr>
                <w:sz w:val="18"/>
                <w:szCs w:val="18"/>
                <w:color w:val="auto"/>
              </w:rPr>
            </w:pPr>
          </w:p>
        </w:tc>
        <w:tc>
          <w:tcPr>
            <w:tcW w:w="1080" w:type="dxa"/>
            <w:vAlign w:val="bottom"/>
          </w:tcPr>
          <w:p>
            <w:pPr>
              <w:jc w:val="right"/>
              <w:ind w:right="292"/>
              <w:spacing w:after="0"/>
              <w:rPr>
                <w:sz w:val="20"/>
                <w:szCs w:val="20"/>
                <w:color w:val="auto"/>
              </w:rPr>
            </w:pPr>
            <w:r>
              <w:rPr>
                <w:rFonts w:ascii="Times New Roman" w:cs="Times New Roman" w:eastAsia="Times New Roman" w:hAnsi="Times New Roman"/>
                <w:sz w:val="16"/>
                <w:szCs w:val="16"/>
                <w:b w:val="1"/>
                <w:bCs w:val="1"/>
                <w:color w:val="auto"/>
              </w:rPr>
              <w:t>Low</w:t>
            </w:r>
          </w:p>
        </w:tc>
        <w:tc>
          <w:tcPr>
            <w:tcW w:w="1280" w:type="dxa"/>
            <w:vAlign w:val="bottom"/>
          </w:tcPr>
          <w:p>
            <w:pPr>
              <w:jc w:val="right"/>
              <w:ind w:right="476"/>
              <w:spacing w:after="0"/>
              <w:rPr>
                <w:sz w:val="20"/>
                <w:szCs w:val="20"/>
                <w:color w:val="auto"/>
              </w:rPr>
            </w:pPr>
            <w:r>
              <w:rPr>
                <w:rFonts w:ascii="Times New Roman" w:cs="Times New Roman" w:eastAsia="Times New Roman" w:hAnsi="Times New Roman"/>
                <w:sz w:val="16"/>
                <w:szCs w:val="16"/>
                <w:b w:val="1"/>
                <w:bCs w:val="1"/>
                <w:color w:val="auto"/>
              </w:rPr>
              <w:t>High</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6"/>
                <w:szCs w:val="16"/>
                <w:b w:val="1"/>
                <w:bCs w:val="1"/>
                <w:color w:val="auto"/>
              </w:rPr>
              <w:t>Average</w:t>
            </w: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15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20" w:type="dxa"/>
            <w:vAlign w:val="bottom"/>
          </w:tcPr>
          <w:p>
            <w:pPr>
              <w:spacing w:after="0"/>
              <w:rPr>
                <w:sz w:val="18"/>
                <w:szCs w:val="18"/>
                <w:color w:val="auto"/>
              </w:rPr>
            </w:pPr>
          </w:p>
        </w:tc>
        <w:tc>
          <w:tcPr>
            <w:tcW w:w="740" w:type="dxa"/>
            <w:vAlign w:val="bottom"/>
            <w:tcBorders>
              <w:top w:val="single" w:sz="8" w:color="auto"/>
            </w:tcBorders>
          </w:tcPr>
          <w:p>
            <w:pPr>
              <w:spacing w:after="0"/>
              <w:rPr>
                <w:sz w:val="18"/>
                <w:szCs w:val="18"/>
                <w:color w:val="auto"/>
              </w:rPr>
            </w:pPr>
          </w:p>
        </w:tc>
        <w:tc>
          <w:tcPr>
            <w:tcW w:w="72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128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340" w:type="dxa"/>
            <w:vAlign w:val="bottom"/>
          </w:tcPr>
          <w:p>
            <w:pPr>
              <w:spacing w:after="0"/>
              <w:rPr>
                <w:sz w:val="17"/>
                <w:szCs w:val="17"/>
                <w:color w:val="auto"/>
              </w:rPr>
            </w:pPr>
          </w:p>
        </w:tc>
        <w:tc>
          <w:tcPr>
            <w:tcW w:w="152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Power Contracts</w:t>
            </w:r>
          </w:p>
        </w:tc>
        <w:tc>
          <w:tcPr>
            <w:tcW w:w="22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720" w:type="dxa"/>
            <w:vAlign w:val="bottom"/>
            <w:shd w:val="clear" w:color="auto" w:fill="CCEEFF"/>
          </w:tcPr>
          <w:p>
            <w:pPr>
              <w:jc w:val="center"/>
              <w:ind w:left="34"/>
              <w:spacing w:after="0" w:line="201" w:lineRule="exact"/>
              <w:rPr>
                <w:sz w:val="20"/>
                <w:szCs w:val="20"/>
                <w:color w:val="auto"/>
              </w:rPr>
            </w:pPr>
            <w:r>
              <w:rPr>
                <w:rFonts w:ascii="Times New Roman" w:cs="Times New Roman" w:eastAsia="Times New Roman" w:hAnsi="Times New Roman"/>
                <w:sz w:val="18"/>
                <w:szCs w:val="18"/>
                <w:color w:val="auto"/>
              </w:rPr>
              <w:t>Forward Market Price</w:t>
            </w:r>
          </w:p>
        </w:tc>
        <w:tc>
          <w:tcPr>
            <w:tcW w:w="12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2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1520" w:type="dxa"/>
            <w:vAlign w:val="bottom"/>
            <w:gridSpan w:val="2"/>
            <w:vMerge w:val="continue"/>
            <w:shd w:val="clear" w:color="auto" w:fill="CCEEFF"/>
          </w:tcPr>
          <w:p>
            <w:pPr>
              <w:spacing w:after="0"/>
              <w:rPr>
                <w:sz w:val="20"/>
                <w:szCs w:val="20"/>
                <w:color w:val="auto"/>
              </w:rPr>
            </w:pPr>
          </w:p>
        </w:tc>
        <w:tc>
          <w:tcPr>
            <w:tcW w:w="960" w:type="dxa"/>
            <w:vAlign w:val="bottom"/>
            <w:gridSpan w:val="2"/>
            <w:shd w:val="clear" w:color="auto" w:fill="CCEEFF"/>
          </w:tcPr>
          <w:p>
            <w:pPr>
              <w:jc w:val="right"/>
              <w:ind w:right="559"/>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CCEEFF"/>
          </w:tcPr>
          <w:p>
            <w:pPr>
              <w:jc w:val="right"/>
              <w:ind w:right="194"/>
              <w:spacing w:after="0"/>
              <w:rPr>
                <w:sz w:val="20"/>
                <w:szCs w:val="20"/>
                <w:color w:val="auto"/>
              </w:rPr>
            </w:pPr>
            <w:r>
              <w:rPr>
                <w:rFonts w:ascii="Times New Roman" w:cs="Times New Roman" w:eastAsia="Times New Roman" w:hAnsi="Times New Roman"/>
                <w:sz w:val="18"/>
                <w:szCs w:val="18"/>
                <w:color w:val="auto"/>
              </w:rPr>
              <w:t>-   $</w:t>
            </w:r>
          </w:p>
        </w:tc>
        <w:tc>
          <w:tcPr>
            <w:tcW w:w="60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1740" w:type="dxa"/>
            <w:vAlign w:val="bottom"/>
            <w:gridSpan w:val="2"/>
            <w:shd w:val="clear" w:color="auto" w:fill="CCEEFF"/>
          </w:tcPr>
          <w:p>
            <w:pPr>
              <w:jc w:val="center"/>
              <w:ind w:left="14"/>
              <w:spacing w:after="0"/>
              <w:rPr>
                <w:sz w:val="20"/>
                <w:szCs w:val="20"/>
                <w:color w:val="auto"/>
              </w:rPr>
            </w:pPr>
            <w:r>
              <w:rPr>
                <w:rFonts w:ascii="Times New Roman" w:cs="Times New Roman" w:eastAsia="Times New Roman" w:hAnsi="Times New Roman"/>
                <w:sz w:val="18"/>
                <w:szCs w:val="18"/>
                <w:color w:val="auto"/>
                <w:w w:val="99"/>
              </w:rPr>
              <w:t>Discounted Cash Flow</w:t>
            </w:r>
          </w:p>
        </w:tc>
        <w:tc>
          <w:tcPr>
            <w:tcW w:w="200" w:type="dxa"/>
            <w:vAlign w:val="bottom"/>
            <w:shd w:val="clear" w:color="auto" w:fill="CCEEFF"/>
          </w:tcPr>
          <w:p>
            <w:pPr>
              <w:spacing w:after="0"/>
              <w:rPr>
                <w:sz w:val="20"/>
                <w:szCs w:val="20"/>
                <w:color w:val="auto"/>
              </w:rPr>
            </w:pPr>
          </w:p>
        </w:tc>
        <w:tc>
          <w:tcPr>
            <w:tcW w:w="1720" w:type="dxa"/>
            <w:vAlign w:val="bottom"/>
            <w:shd w:val="clear" w:color="auto" w:fill="CCEEFF"/>
          </w:tcPr>
          <w:p>
            <w:pPr>
              <w:jc w:val="center"/>
              <w:ind w:left="54"/>
              <w:spacing w:after="0"/>
              <w:rPr>
                <w:sz w:val="20"/>
                <w:szCs w:val="20"/>
                <w:color w:val="auto"/>
              </w:rPr>
            </w:pPr>
            <w:r>
              <w:rPr>
                <w:rFonts w:ascii="Times New Roman" w:cs="Times New Roman" w:eastAsia="Times New Roman" w:hAnsi="Times New Roman"/>
                <w:sz w:val="18"/>
                <w:szCs w:val="18"/>
                <w:color w:val="auto"/>
              </w:rPr>
              <w:t>(per MWh)</w:t>
            </w:r>
          </w:p>
        </w:tc>
        <w:tc>
          <w:tcPr>
            <w:tcW w:w="12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c>
          <w:tcPr>
            <w:tcW w:w="1280" w:type="dxa"/>
            <w:vAlign w:val="bottom"/>
            <w:shd w:val="clear" w:color="auto" w:fill="CCEEFF"/>
          </w:tcPr>
          <w:p>
            <w:pPr>
              <w:jc w:val="right"/>
              <w:ind w:right="216"/>
              <w:spacing w:after="0"/>
              <w:rPr>
                <w:sz w:val="20"/>
                <w:szCs w:val="20"/>
                <w:color w:val="auto"/>
              </w:rPr>
            </w:pPr>
            <w:r>
              <w:rPr>
                <w:rFonts w:ascii="Times New Roman" w:cs="Times New Roman" w:eastAsia="Times New Roman" w:hAnsi="Times New Roman"/>
                <w:sz w:val="18"/>
                <w:szCs w:val="18"/>
                <w:color w:val="auto"/>
              </w:rPr>
              <w:t>33</w:t>
            </w:r>
          </w:p>
        </w:tc>
        <w:tc>
          <w:tcPr>
            <w:tcW w:w="8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w:t>
            </w: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9940" w:type="dxa"/>
            <w:vAlign w:val="bottom"/>
            <w:gridSpan w:val="13"/>
          </w:tcPr>
          <w:p>
            <w:pPr>
              <w:jc w:val="right"/>
              <w:spacing w:after="0"/>
              <w:rPr>
                <w:sz w:val="20"/>
                <w:szCs w:val="20"/>
                <w:color w:val="auto"/>
              </w:rPr>
            </w:pPr>
            <w:r>
              <w:rPr>
                <w:rFonts w:ascii="Times New Roman" w:cs="Times New Roman" w:eastAsia="Times New Roman" w:hAnsi="Times New Roman"/>
                <w:sz w:val="18"/>
                <w:szCs w:val="18"/>
                <w:color w:val="auto"/>
              </w:rPr>
              <w:t>The following table provides sensitivity of fair value measurements to increases/(decreases) in significant unobservable inputs as of</w:t>
            </w:r>
          </w:p>
        </w:tc>
        <w:tc>
          <w:tcPr>
            <w:tcW w:w="1140" w:type="dxa"/>
            <w:vAlign w:val="bottom"/>
            <w:gridSpan w:val="3"/>
          </w:tcPr>
          <w:p>
            <w:pPr>
              <w:ind w:left="60"/>
              <w:spacing w:after="0"/>
              <w:rPr>
                <w:sz w:val="20"/>
                <w:szCs w:val="20"/>
                <w:color w:val="auto"/>
              </w:rPr>
            </w:pPr>
            <w:r>
              <w:rPr>
                <w:rFonts w:ascii="Times New Roman" w:cs="Times New Roman" w:eastAsia="Times New Roman" w:hAnsi="Times New Roman"/>
                <w:sz w:val="18"/>
                <w:szCs w:val="18"/>
                <w:color w:val="auto"/>
              </w:rPr>
              <w:t>September 30,</w:t>
            </w:r>
          </w:p>
        </w:tc>
        <w:tc>
          <w:tcPr>
            <w:tcW w:w="0" w:type="dxa"/>
            <w:vAlign w:val="bottom"/>
          </w:tcPr>
          <w:p>
            <w:pPr>
              <w:spacing w:after="0"/>
              <w:rPr>
                <w:sz w:val="1"/>
                <w:szCs w:val="1"/>
                <w:color w:val="auto"/>
              </w:rPr>
            </w:pPr>
          </w:p>
        </w:tc>
      </w:tr>
      <w:tr>
        <w:trPr>
          <w:trHeight w:val="234"/>
        </w:trPr>
        <w:tc>
          <w:tcPr>
            <w:tcW w:w="580" w:type="dxa"/>
            <w:vAlign w:val="bottom"/>
            <w:gridSpan w:val="2"/>
          </w:tcPr>
          <w:p>
            <w:pPr>
              <w:jc w:val="right"/>
              <w:ind w:right="73"/>
              <w:spacing w:after="0"/>
              <w:rPr>
                <w:sz w:val="20"/>
                <w:szCs w:val="20"/>
                <w:color w:val="auto"/>
              </w:rPr>
            </w:pPr>
            <w:r>
              <w:rPr>
                <w:rFonts w:ascii="Times New Roman" w:cs="Times New Roman" w:eastAsia="Times New Roman" w:hAnsi="Times New Roman"/>
                <w:sz w:val="18"/>
                <w:szCs w:val="18"/>
                <w:color w:val="auto"/>
                <w:w w:val="97"/>
              </w:rPr>
              <w:t>2019:</w:t>
            </w:r>
          </w:p>
        </w:tc>
        <w:tc>
          <w:tcPr>
            <w:tcW w:w="12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2"/>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60" w:type="dxa"/>
            <w:vAlign w:val="bottom"/>
            <w:tcBorders>
              <w:bottom w:val="single" w:sz="8" w:color="auto"/>
            </w:tcBorders>
            <w:gridSpan w:val="4"/>
          </w:tcPr>
          <w:p>
            <w:pPr>
              <w:jc w:val="center"/>
              <w:ind w:left="553"/>
              <w:spacing w:after="0"/>
              <w:rPr>
                <w:sz w:val="20"/>
                <w:szCs w:val="20"/>
                <w:color w:val="auto"/>
              </w:rPr>
            </w:pPr>
            <w:r>
              <w:rPr>
                <w:rFonts w:ascii="Times New Roman" w:cs="Times New Roman" w:eastAsia="Times New Roman" w:hAnsi="Times New Roman"/>
                <w:sz w:val="16"/>
                <w:szCs w:val="16"/>
                <w:b w:val="1"/>
                <w:bCs w:val="1"/>
                <w:color w:val="auto"/>
              </w:rPr>
              <w:t>Significant Observable Input</w:t>
            </w:r>
          </w:p>
        </w:tc>
        <w:tc>
          <w:tcPr>
            <w:tcW w:w="6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center"/>
              <w:ind w:left="234"/>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460" w:type="dxa"/>
            <w:vAlign w:val="bottom"/>
            <w:tcBorders>
              <w:bottom w:val="single" w:sz="8" w:color="auto"/>
            </w:tcBorders>
          </w:tcPr>
          <w:p>
            <w:pPr>
              <w:spacing w:after="0"/>
              <w:rPr>
                <w:sz w:val="24"/>
                <w:szCs w:val="24"/>
                <w:color w:val="auto"/>
              </w:rPr>
            </w:pPr>
          </w:p>
        </w:tc>
        <w:tc>
          <w:tcPr>
            <w:tcW w:w="1920" w:type="dxa"/>
            <w:vAlign w:val="bottom"/>
            <w:tcBorders>
              <w:bottom w:val="single" w:sz="8" w:color="auto"/>
            </w:tcBorders>
            <w:gridSpan w:val="2"/>
          </w:tcPr>
          <w:p>
            <w:pPr>
              <w:jc w:val="center"/>
              <w:ind w:right="634"/>
              <w:spacing w:after="0"/>
              <w:rPr>
                <w:sz w:val="20"/>
                <w:szCs w:val="20"/>
                <w:color w:val="auto"/>
              </w:rPr>
            </w:pPr>
            <w:r>
              <w:rPr>
                <w:rFonts w:ascii="Times New Roman" w:cs="Times New Roman" w:eastAsia="Times New Roman" w:hAnsi="Times New Roman"/>
                <w:sz w:val="16"/>
                <w:szCs w:val="16"/>
                <w:b w:val="1"/>
                <w:bCs w:val="1"/>
                <w:color w:val="auto"/>
              </w:rPr>
              <w:t>Change In Input</w:t>
            </w:r>
          </w:p>
        </w:tc>
        <w:tc>
          <w:tcPr>
            <w:tcW w:w="2480" w:type="dxa"/>
            <w:vAlign w:val="bottom"/>
            <w:tcBorders>
              <w:bottom w:val="single" w:sz="8" w:color="auto"/>
            </w:tcBorders>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rPr>
              <w:t>Impact on Fair Value Measurement</w:t>
            </w:r>
          </w:p>
        </w:tc>
        <w:tc>
          <w:tcPr>
            <w:tcW w:w="560" w:type="dxa"/>
            <w:vAlign w:val="bottom"/>
            <w:tcBorders>
              <w:bottom w:val="single" w:sz="8" w:color="auto"/>
            </w:tcBorders>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3"/>
        </w:trPr>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960" w:type="dxa"/>
            <w:vAlign w:val="bottom"/>
            <w:gridSpan w:val="4"/>
            <w:shd w:val="clear" w:color="auto" w:fill="CCEEFF"/>
          </w:tcPr>
          <w:p>
            <w:pPr>
              <w:jc w:val="center"/>
              <w:ind w:left="533"/>
              <w:spacing w:after="0"/>
              <w:rPr>
                <w:sz w:val="20"/>
                <w:szCs w:val="20"/>
                <w:color w:val="auto"/>
              </w:rPr>
            </w:pPr>
            <w:r>
              <w:rPr>
                <w:rFonts w:ascii="Times New Roman" w:cs="Times New Roman" w:eastAsia="Times New Roman" w:hAnsi="Times New Roman"/>
                <w:sz w:val="18"/>
                <w:szCs w:val="18"/>
                <w:color w:val="auto"/>
              </w:rPr>
              <w:t>Forward Market Price Power</w:t>
            </w:r>
          </w:p>
        </w:tc>
        <w:tc>
          <w:tcPr>
            <w:tcW w:w="600" w:type="dxa"/>
            <w:vAlign w:val="bottom"/>
            <w:shd w:val="clear" w:color="auto" w:fill="CCEEFF"/>
          </w:tcPr>
          <w:p>
            <w:pPr>
              <w:spacing w:after="0"/>
              <w:rPr>
                <w:sz w:val="18"/>
                <w:szCs w:val="18"/>
                <w:color w:val="auto"/>
              </w:rPr>
            </w:pPr>
          </w:p>
        </w:tc>
        <w:tc>
          <w:tcPr>
            <w:tcW w:w="1280" w:type="dxa"/>
            <w:vAlign w:val="bottom"/>
            <w:shd w:val="clear" w:color="auto" w:fill="CCEEFF"/>
          </w:tcPr>
          <w:p>
            <w:pPr>
              <w:jc w:val="center"/>
              <w:ind w:left="254"/>
              <w:spacing w:after="0"/>
              <w:rPr>
                <w:sz w:val="20"/>
                <w:szCs w:val="20"/>
                <w:color w:val="auto"/>
              </w:rPr>
            </w:pPr>
            <w:r>
              <w:rPr>
                <w:rFonts w:ascii="Times New Roman" w:cs="Times New Roman" w:eastAsia="Times New Roman" w:hAnsi="Times New Roman"/>
                <w:sz w:val="18"/>
                <w:szCs w:val="18"/>
                <w:color w:val="auto"/>
                <w:w w:val="99"/>
              </w:rPr>
              <w:t>Buy</w:t>
            </w:r>
          </w:p>
        </w:tc>
        <w:tc>
          <w:tcPr>
            <w:tcW w:w="2380" w:type="dxa"/>
            <w:vAlign w:val="bottom"/>
            <w:gridSpan w:val="3"/>
            <w:shd w:val="clear" w:color="auto" w:fill="CCEEFF"/>
          </w:tcPr>
          <w:p>
            <w:pPr>
              <w:jc w:val="center"/>
              <w:ind w:right="174"/>
              <w:spacing w:after="0"/>
              <w:rPr>
                <w:sz w:val="20"/>
                <w:szCs w:val="20"/>
                <w:color w:val="auto"/>
              </w:rPr>
            </w:pPr>
            <w:r>
              <w:rPr>
                <w:rFonts w:ascii="Times New Roman" w:cs="Times New Roman" w:eastAsia="Times New Roman" w:hAnsi="Times New Roman"/>
                <w:sz w:val="18"/>
                <w:szCs w:val="18"/>
                <w:color w:val="auto"/>
              </w:rPr>
              <w:t>Increase/(Decrease)</w:t>
            </w:r>
          </w:p>
        </w:tc>
        <w:tc>
          <w:tcPr>
            <w:tcW w:w="120" w:type="dxa"/>
            <w:vAlign w:val="bottom"/>
            <w:shd w:val="clear" w:color="auto" w:fill="CCEEFF"/>
          </w:tcPr>
          <w:p>
            <w:pPr>
              <w:spacing w:after="0"/>
              <w:rPr>
                <w:sz w:val="18"/>
                <w:szCs w:val="18"/>
                <w:color w:val="auto"/>
              </w:rPr>
            </w:pPr>
          </w:p>
        </w:tc>
        <w:tc>
          <w:tcPr>
            <w:tcW w:w="2360" w:type="dxa"/>
            <w:vAlign w:val="bottom"/>
            <w:gridSpan w:val="2"/>
            <w:shd w:val="clear" w:color="auto" w:fill="CCEEFF"/>
          </w:tcPr>
          <w:p>
            <w:pPr>
              <w:jc w:val="center"/>
              <w:ind w:right="16"/>
              <w:spacing w:after="0"/>
              <w:rPr>
                <w:sz w:val="20"/>
                <w:szCs w:val="20"/>
                <w:color w:val="auto"/>
              </w:rPr>
            </w:pPr>
            <w:r>
              <w:rPr>
                <w:rFonts w:ascii="Times New Roman" w:cs="Times New Roman" w:eastAsia="Times New Roman" w:hAnsi="Times New Roman"/>
                <w:sz w:val="18"/>
                <w:szCs w:val="18"/>
                <w:color w:val="auto"/>
                <w:w w:val="99"/>
              </w:rPr>
              <w:t>Higher/(Lower)</w:t>
            </w:r>
          </w:p>
        </w:tc>
        <w:tc>
          <w:tcPr>
            <w:tcW w:w="560" w:type="dxa"/>
            <w:vAlign w:val="bottom"/>
            <w:shd w:val="clear" w:color="auto" w:fill="CCEEFF"/>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60" w:type="dxa"/>
            <w:vAlign w:val="bottom"/>
            <w:gridSpan w:val="4"/>
          </w:tcPr>
          <w:p>
            <w:pPr>
              <w:jc w:val="center"/>
              <w:ind w:left="533"/>
              <w:spacing w:after="0"/>
              <w:rPr>
                <w:sz w:val="20"/>
                <w:szCs w:val="20"/>
                <w:color w:val="auto"/>
              </w:rPr>
            </w:pPr>
            <w:r>
              <w:rPr>
                <w:rFonts w:ascii="Times New Roman" w:cs="Times New Roman" w:eastAsia="Times New Roman" w:hAnsi="Times New Roman"/>
                <w:sz w:val="18"/>
                <w:szCs w:val="18"/>
                <w:color w:val="auto"/>
              </w:rPr>
              <w:t>Forward Market Price Power</w:t>
            </w:r>
          </w:p>
        </w:tc>
        <w:tc>
          <w:tcPr>
            <w:tcW w:w="600" w:type="dxa"/>
            <w:vAlign w:val="bottom"/>
          </w:tcPr>
          <w:p>
            <w:pPr>
              <w:spacing w:after="0"/>
              <w:rPr>
                <w:sz w:val="20"/>
                <w:szCs w:val="20"/>
                <w:color w:val="auto"/>
              </w:rPr>
            </w:pPr>
          </w:p>
        </w:tc>
        <w:tc>
          <w:tcPr>
            <w:tcW w:w="1280" w:type="dxa"/>
            <w:vAlign w:val="bottom"/>
          </w:tcPr>
          <w:p>
            <w:pPr>
              <w:jc w:val="center"/>
              <w:ind w:left="234"/>
              <w:spacing w:after="0"/>
              <w:rPr>
                <w:sz w:val="20"/>
                <w:szCs w:val="20"/>
                <w:color w:val="auto"/>
              </w:rPr>
            </w:pPr>
            <w:r>
              <w:rPr>
                <w:rFonts w:ascii="Times New Roman" w:cs="Times New Roman" w:eastAsia="Times New Roman" w:hAnsi="Times New Roman"/>
                <w:sz w:val="18"/>
                <w:szCs w:val="18"/>
                <w:color w:val="auto"/>
                <w:w w:val="99"/>
              </w:rPr>
              <w:t>Sell</w:t>
            </w:r>
          </w:p>
        </w:tc>
        <w:tc>
          <w:tcPr>
            <w:tcW w:w="2380" w:type="dxa"/>
            <w:vAlign w:val="bottom"/>
            <w:gridSpan w:val="3"/>
          </w:tcPr>
          <w:p>
            <w:pPr>
              <w:jc w:val="center"/>
              <w:ind w:right="174"/>
              <w:spacing w:after="0"/>
              <w:rPr>
                <w:sz w:val="20"/>
                <w:szCs w:val="20"/>
                <w:color w:val="auto"/>
              </w:rPr>
            </w:pPr>
            <w:r>
              <w:rPr>
                <w:rFonts w:ascii="Times New Roman" w:cs="Times New Roman" w:eastAsia="Times New Roman" w:hAnsi="Times New Roman"/>
                <w:sz w:val="18"/>
                <w:szCs w:val="18"/>
                <w:color w:val="auto"/>
              </w:rPr>
              <w:t>Increase/(Decrease)</w:t>
            </w:r>
          </w:p>
        </w:tc>
        <w:tc>
          <w:tcPr>
            <w:tcW w:w="120" w:type="dxa"/>
            <w:vAlign w:val="bottom"/>
          </w:tcPr>
          <w:p>
            <w:pPr>
              <w:spacing w:after="0"/>
              <w:rPr>
                <w:sz w:val="20"/>
                <w:szCs w:val="20"/>
                <w:color w:val="auto"/>
              </w:rPr>
            </w:pPr>
          </w:p>
        </w:tc>
        <w:tc>
          <w:tcPr>
            <w:tcW w:w="2360" w:type="dxa"/>
            <w:vAlign w:val="bottom"/>
            <w:gridSpan w:val="2"/>
          </w:tcPr>
          <w:p>
            <w:pPr>
              <w:jc w:val="center"/>
              <w:ind w:right="16"/>
              <w:spacing w:after="0"/>
              <w:rPr>
                <w:sz w:val="20"/>
                <w:szCs w:val="20"/>
                <w:color w:val="auto"/>
              </w:rPr>
            </w:pPr>
            <w:r>
              <w:rPr>
                <w:rFonts w:ascii="Times New Roman" w:cs="Times New Roman" w:eastAsia="Times New Roman" w:hAnsi="Times New Roman"/>
                <w:sz w:val="18"/>
                <w:szCs w:val="18"/>
                <w:color w:val="auto"/>
                <w:w w:val="99"/>
              </w:rPr>
              <w:t>Lower/(Higher)</w:t>
            </w:r>
          </w:p>
        </w:tc>
        <w:tc>
          <w:tcPr>
            <w:tcW w:w="5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3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200" w:type="dxa"/>
            <w:vAlign w:val="bottom"/>
          </w:tcPr>
          <w:p>
            <w:pPr>
              <w:spacing w:after="0"/>
              <w:rPr>
                <w:sz w:val="24"/>
                <w:szCs w:val="24"/>
                <w:color w:val="auto"/>
              </w:rPr>
            </w:pPr>
          </w:p>
        </w:tc>
        <w:tc>
          <w:tcPr>
            <w:tcW w:w="17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34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220" w:type="dxa"/>
            <w:vAlign w:val="bottom"/>
            <w:tcBorders>
              <w:bottom w:val="single" w:sz="8" w:color="auto"/>
            </w:tcBorders>
          </w:tcPr>
          <w:p>
            <w:pPr>
              <w:spacing w:after="0"/>
              <w:rPr>
                <w:sz w:val="10"/>
                <w:szCs w:val="10"/>
                <w:color w:val="auto"/>
              </w:rPr>
            </w:pPr>
          </w:p>
        </w:tc>
        <w:tc>
          <w:tcPr>
            <w:tcW w:w="740" w:type="dxa"/>
            <w:vAlign w:val="bottom"/>
            <w:tcBorders>
              <w:bottom w:val="single" w:sz="8" w:color="auto"/>
            </w:tcBorders>
          </w:tcPr>
          <w:p>
            <w:pPr>
              <w:spacing w:after="0"/>
              <w:rPr>
                <w:sz w:val="10"/>
                <w:szCs w:val="10"/>
                <w:color w:val="auto"/>
              </w:rPr>
            </w:pPr>
          </w:p>
        </w:tc>
        <w:tc>
          <w:tcPr>
            <w:tcW w:w="72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46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7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80" w:type="dxa"/>
            <w:vAlign w:val="bottom"/>
            <w:tcBorders>
              <w:bottom w:val="single" w:sz="8" w:color="auto"/>
            </w:tcBorders>
          </w:tcPr>
          <w:p>
            <w:pPr>
              <w:spacing w:after="0"/>
              <w:rPr>
                <w:sz w:val="10"/>
                <w:szCs w:val="10"/>
                <w:color w:val="auto"/>
              </w:rPr>
            </w:pPr>
          </w:p>
        </w:tc>
        <w:tc>
          <w:tcPr>
            <w:tcW w:w="560" w:type="dxa"/>
            <w:vAlign w:val="bottom"/>
            <w:tcBorders>
              <w:bottom w:val="single" w:sz="8" w:color="auto"/>
            </w:tcBorders>
          </w:tcPr>
          <w:p>
            <w:pPr>
              <w:spacing w:after="0"/>
              <w:rPr>
                <w:sz w:val="10"/>
                <w:szCs w:val="10"/>
                <w:color w:val="auto"/>
              </w:rPr>
            </w:pPr>
          </w:p>
        </w:tc>
        <w:tc>
          <w:tcPr>
            <w:tcW w:w="32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21" w:name="page22"/>
    <w:bookmarkEnd w:id="2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fair value of each contract is discounted using a risk-free interest rate. In addition, a credit reserve is applied to reflect credit risk, which is, for interest rate swaps, calculated based on credit default swaps using the bilateral method. For commodities, to the extent that the net exposure under a specific master agreement is an asset, the Company uses the counterparty’s default swap rate. If the net exposure under a specific master agreement is a liability, the Company uses a proxy of its own default swap rate. For interest rate swaps and commodities, the credit reserve is added to the discounted fair value to reflect the exit price that a market participant would be willing to receive to assume the liabilities or that a market participant would be willing to pay for the assets. As of September 30, 2019, the non-performance reserve was $8 million gain recorded primarily in interest expense in the consolidated statements of operations. It is possible that future market prices could vary from those used in recording assets and liabilities and such variations could be material.</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Concentration of Credit Risk</w:t>
      </w:r>
    </w:p>
    <w:p>
      <w:pPr>
        <w:spacing w:after="0" w:line="225" w:lineRule="exact"/>
        <w:rPr>
          <w:sz w:val="20"/>
          <w:szCs w:val="20"/>
          <w:color w:val="auto"/>
        </w:rPr>
      </w:pPr>
    </w:p>
    <w:p>
      <w:pPr>
        <w:jc w:val="both"/>
        <w:ind w:firstLine="405"/>
        <w:spacing w:after="0" w:line="257" w:lineRule="auto"/>
        <w:rPr>
          <w:sz w:val="20"/>
          <w:szCs w:val="20"/>
          <w:color w:val="auto"/>
        </w:rPr>
      </w:pPr>
      <w:r>
        <w:rPr>
          <w:rFonts w:ascii="Times New Roman" w:cs="Times New Roman" w:eastAsia="Times New Roman" w:hAnsi="Times New Roman"/>
          <w:sz w:val="18"/>
          <w:szCs w:val="18"/>
          <w:color w:val="auto"/>
        </w:rPr>
        <w:t xml:space="preserve">In addition to the credit risk discussion in Note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to the consolidated financial statements included in the Company's 2018 Form 10-K, the following is a discussion of the concentration of credit risk for the Company's financial instruments. 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(ii) monitoring of counterparties' credit limits;</w:t>
      </w:r>
    </w:p>
    <w:p>
      <w:pPr>
        <w:jc w:val="both"/>
        <w:ind w:firstLine="8"/>
        <w:spacing w:after="0" w:line="254" w:lineRule="auto"/>
        <w:tabs>
          <w:tab w:leader="none" w:pos="352"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credit mitigation measures such as margin, collateral, prepayment arrangements, or volumetric limits; (iv) the use of payment netting agreements; and (v) the use of master netting agreements that allow for the netting of positive and negative exposures of various contracts associated with a single counterparty. Risks surrounding counterparty performance and credit could ultimately impact the amount and timing of expected cash flows. The Company seeks to mitigate counterparty risk by having a diversified portfolio of counterparties.</w:t>
      </w:r>
    </w:p>
    <w:p>
      <w:pPr>
        <w:spacing w:after="0" w:line="186"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Counterparty credit exposure includes credit risk exposure under certain long-term agreements, including solar and other PPAs. As external sources or observable market quotes are not available to estimate such exposure, the Company estimates the exposure related to these contracts based on various techniques including, but not limited to, internal models based on a fundamental analysis of the market and extrapolation of observable market data with similar characteristics. The majority of these power contracts are with utilities with strong credit quality and public utility commission or other regulatory support. However, such regulated utility counterparties can be impacted by changes in government regulations or adverse financial conditions, which the Company is unable to predict.</w:t>
      </w:r>
    </w:p>
    <w:p>
      <w:pPr>
        <w:spacing w:after="0" w:line="188"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 xml:space="preserve">On January 29, 2019, PG&amp;E filed for reorganization under Chapter 11 of the U.S. Bankruptcy Code. Certain subsidiaries of the Company sell the output of their facilities to PG&amp;E under long-term PPAs, including interests in 6 solar facilities totaling 480 MW and Marsh Landing with a capacity of 720 MW. The Company consolidates three of the solar facilities and Marsh Landing and records its interest in the other solar facilities as equity method investments. The Company had $31 million in accounts receivable due from PG&amp;E for its consolidated projects, of which $5 million was recorded to non-current assets as of September 30, 2019. As of November 6, 2019, the Company's contracts with PG&amp;E have operated in the normal course and the Company currently expects these contracts to continue as such. The Company has entered into forbearance agreements for certain project-level financing arrangements as of November 6, 2019, and continues seeking similar forbearance agreements with lenders for the remaining project-level financing arrangements affected by the PG&amp;E Bankruptcy. For further discussion see Note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xml:space="preserve"> and Note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2" w:name="page23"/>
    <w:bookmarkEnd w:id="2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6 — </w:t>
      </w:r>
      <w:r>
        <w:rPr>
          <w:rFonts w:ascii="Times New Roman" w:cs="Times New Roman" w:eastAsia="Times New Roman" w:hAnsi="Times New Roman"/>
          <w:sz w:val="18"/>
          <w:szCs w:val="18"/>
          <w:b w:val="1"/>
          <w:bCs w:val="1"/>
          <w:i w:val="1"/>
          <w:iCs w:val="1"/>
          <w:color w:val="auto"/>
        </w:rPr>
        <w:t>Derivative Instruments and Hedging Activities</w:t>
      </w:r>
    </w:p>
    <w:p>
      <w:pPr>
        <w:spacing w:after="0" w:line="225" w:lineRule="exact"/>
        <w:rPr>
          <w:sz w:val="20"/>
          <w:szCs w:val="20"/>
          <w:color w:val="auto"/>
        </w:rPr>
      </w:pPr>
    </w:p>
    <w:p>
      <w:pPr>
        <w:ind w:firstLine="405"/>
        <w:spacing w:after="0" w:line="286" w:lineRule="auto"/>
        <w:rPr>
          <w:sz w:val="20"/>
          <w:szCs w:val="20"/>
          <w:color w:val="auto"/>
        </w:rPr>
      </w:pPr>
      <w:r>
        <w:rPr>
          <w:rFonts w:ascii="Times New Roman" w:cs="Times New Roman" w:eastAsia="Times New Roman" w:hAnsi="Times New Roman"/>
          <w:sz w:val="18"/>
          <w:szCs w:val="18"/>
          <w:color w:val="auto"/>
        </w:rPr>
        <w:t xml:space="preserve">This footnote should be read in conjunction with the complete description under Note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Accounting for Derivative Instruments and Hedging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Activities</w:t>
      </w:r>
      <w:r>
        <w:rPr>
          <w:rFonts w:ascii="Times New Roman" w:cs="Times New Roman" w:eastAsia="Times New Roman" w:hAnsi="Times New Roman"/>
          <w:sz w:val="18"/>
          <w:szCs w:val="18"/>
          <w:color w:val="auto"/>
        </w:rPr>
        <w:t>, to the consolidated financial statements included in the Company's 2018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Swaps</w:t>
      </w:r>
    </w:p>
    <w:p>
      <w:pPr>
        <w:spacing w:after="0" w:line="229" w:lineRule="exact"/>
        <w:rPr>
          <w:sz w:val="20"/>
          <w:szCs w:val="20"/>
          <w:color w:val="auto"/>
        </w:rPr>
      </w:pPr>
    </w:p>
    <w:p>
      <w:pPr>
        <w:ind w:right="60" w:firstLine="405"/>
        <w:spacing w:after="0" w:line="266" w:lineRule="auto"/>
        <w:rPr>
          <w:sz w:val="20"/>
          <w:szCs w:val="20"/>
          <w:color w:val="auto"/>
        </w:rPr>
      </w:pPr>
      <w:r>
        <w:rPr>
          <w:rFonts w:ascii="Times New Roman" w:cs="Times New Roman" w:eastAsia="Times New Roman" w:hAnsi="Times New Roman"/>
          <w:sz w:val="18"/>
          <w:szCs w:val="18"/>
          <w:color w:val="auto"/>
        </w:rPr>
        <w:t>The Company enters into interest rate swap agreements in order to hedge the variability of expected future cash interest payments. As of September 30, 2019, the Company had interest rate derivative instruments on non-recourse debt extending through 2041, a portion of which were designated as cash flow hedges. Under the interest rate swap agreements, the Company pays a fixed rate and the counterparties to the agreements pay a variable interest rate.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Energy-Related Commodities</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 had energy-related derivative instruments extending through 2029. At September 30, 2019, these contracts were not designated as cash flow or fair value hedges.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Volumetric Underlying Derivative Transactions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net notional volume buy of the Company's open derivative transactions broken out by type:</w:t>
      </w:r>
    </w:p>
    <w:p>
      <w:pPr>
        <w:spacing w:after="0" w:line="27"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820" w:type="dxa"/>
            <w:vAlign w:val="bottom"/>
          </w:tcPr>
          <w:p>
            <w:pPr>
              <w:spacing w:after="0"/>
              <w:rPr>
                <w:sz w:val="18"/>
                <w:szCs w:val="18"/>
                <w:color w:val="auto"/>
              </w:rPr>
            </w:pPr>
          </w:p>
        </w:tc>
        <w:tc>
          <w:tcPr>
            <w:tcW w:w="4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20" w:type="dxa"/>
            <w:vAlign w:val="bottom"/>
            <w:gridSpan w:val="2"/>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Total Volume</w:t>
            </w:r>
          </w:p>
        </w:tc>
        <w:tc>
          <w:tcPr>
            <w:tcW w:w="8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1320" w:type="dxa"/>
            <w:vAlign w:val="bottom"/>
            <w:gridSpan w:val="3"/>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4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4160" w:type="dxa"/>
            <w:vAlign w:val="bottom"/>
          </w:tcPr>
          <w:p>
            <w:pPr>
              <w:spacing w:after="0"/>
              <w:rPr>
                <w:sz w:val="19"/>
                <w:szCs w:val="19"/>
                <w:color w:val="auto"/>
              </w:rPr>
            </w:pPr>
          </w:p>
        </w:tc>
        <w:tc>
          <w:tcPr>
            <w:tcW w:w="1640" w:type="dxa"/>
            <w:vAlign w:val="bottom"/>
            <w:tcBorders>
              <w:bottom w:val="single" w:sz="8" w:color="auto"/>
            </w:tcBorders>
            <w:gridSpan w:val="2"/>
          </w:tcPr>
          <w:p>
            <w:pPr>
              <w:jc w:val="right"/>
              <w:ind w:right="112"/>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660" w:type="dxa"/>
            <w:vAlign w:val="bottom"/>
            <w:tcBorders>
              <w:bottom w:val="single" w:sz="8" w:color="auto"/>
            </w:tcBorders>
            <w:gridSpan w:val="2"/>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December 31, 2018</w:t>
            </w:r>
          </w:p>
        </w:tc>
        <w:tc>
          <w:tcPr>
            <w:tcW w:w="0" w:type="dxa"/>
            <w:vAlign w:val="bottom"/>
          </w:tcPr>
          <w:p>
            <w:pPr>
              <w:spacing w:after="0"/>
              <w:rPr>
                <w:sz w:val="1"/>
                <w:szCs w:val="1"/>
                <w:color w:val="auto"/>
              </w:rPr>
            </w:pPr>
          </w:p>
        </w:tc>
      </w:tr>
      <w:tr>
        <w:trPr>
          <w:trHeight w:val="183"/>
        </w:trPr>
        <w:tc>
          <w:tcPr>
            <w:tcW w:w="1320" w:type="dxa"/>
            <w:vAlign w:val="bottom"/>
            <w:gridSpan w:val="3"/>
          </w:tcPr>
          <w:p>
            <w:pPr>
              <w:spacing w:after="0" w:line="182" w:lineRule="exact"/>
              <w:rPr>
                <w:sz w:val="20"/>
                <w:szCs w:val="20"/>
                <w:color w:val="auto"/>
              </w:rPr>
            </w:pPr>
            <w:r>
              <w:rPr>
                <w:rFonts w:ascii="Times New Roman" w:cs="Times New Roman" w:eastAsia="Times New Roman" w:hAnsi="Times New Roman"/>
                <w:sz w:val="18"/>
                <w:szCs w:val="18"/>
                <w:b w:val="1"/>
                <w:bCs w:val="1"/>
                <w:color w:val="auto"/>
              </w:rPr>
              <w:t>Commodity</w:t>
            </w:r>
          </w:p>
        </w:tc>
        <w:tc>
          <w:tcPr>
            <w:tcW w:w="2640" w:type="dxa"/>
            <w:vAlign w:val="bottom"/>
            <w:gridSpan w:val="3"/>
          </w:tcPr>
          <w:p>
            <w:pPr>
              <w:ind w:left="400"/>
              <w:spacing w:after="0" w:line="182" w:lineRule="exact"/>
              <w:rPr>
                <w:sz w:val="20"/>
                <w:szCs w:val="20"/>
                <w:color w:val="auto"/>
              </w:rPr>
            </w:pPr>
            <w:r>
              <w:rPr>
                <w:rFonts w:ascii="Times New Roman" w:cs="Times New Roman" w:eastAsia="Times New Roman" w:hAnsi="Times New Roman"/>
                <w:sz w:val="18"/>
                <w:szCs w:val="18"/>
                <w:b w:val="1"/>
                <w:bCs w:val="1"/>
                <w:color w:val="auto"/>
              </w:rPr>
              <w:t>Units</w:t>
            </w:r>
          </w:p>
        </w:tc>
        <w:tc>
          <w:tcPr>
            <w:tcW w:w="4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00" w:type="dxa"/>
            <w:vAlign w:val="bottom"/>
            <w:tcBorders>
              <w:top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20" w:type="dxa"/>
            <w:vAlign w:val="bottom"/>
            <w:tcBorders>
              <w:top w:val="single" w:sz="8" w:color="auto"/>
            </w:tcBorders>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4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Power</w:t>
            </w:r>
          </w:p>
        </w:tc>
        <w:tc>
          <w:tcPr>
            <w:tcW w:w="26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MWh</w:t>
            </w:r>
          </w:p>
        </w:tc>
        <w:tc>
          <w:tcPr>
            <w:tcW w:w="416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780" w:type="dxa"/>
            <w:vAlign w:val="bottom"/>
            <w:shd w:val="clear" w:color="auto" w:fill="CCEEFF"/>
          </w:tcPr>
          <w:p>
            <w:pPr>
              <w:spacing w:after="0"/>
              <w:rPr>
                <w:sz w:val="18"/>
                <w:szCs w:val="18"/>
                <w:color w:val="auto"/>
              </w:rPr>
            </w:pP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Natural Gas</w:t>
            </w:r>
          </w:p>
        </w:tc>
        <w:tc>
          <w:tcPr>
            <w:tcW w:w="2640" w:type="dxa"/>
            <w:vAlign w:val="bottom"/>
            <w:gridSpan w:val="3"/>
          </w:tcPr>
          <w:p>
            <w:pPr>
              <w:ind w:left="400"/>
              <w:spacing w:after="0"/>
              <w:rPr>
                <w:sz w:val="20"/>
                <w:szCs w:val="20"/>
                <w:color w:val="auto"/>
              </w:rPr>
            </w:pPr>
            <w:r>
              <w:rPr>
                <w:rFonts w:ascii="Times New Roman" w:cs="Times New Roman" w:eastAsia="Times New Roman" w:hAnsi="Times New Roman"/>
                <w:sz w:val="18"/>
                <w:szCs w:val="18"/>
                <w:color w:val="auto"/>
              </w:rPr>
              <w:t>MMBtu</w:t>
            </w:r>
          </w:p>
        </w:tc>
        <w:tc>
          <w:tcPr>
            <w:tcW w:w="4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40" w:type="dxa"/>
            <w:vAlign w:val="bottom"/>
          </w:tcPr>
          <w:p>
            <w:pPr>
              <w:jc w:val="right"/>
              <w:ind w:right="52"/>
              <w:spacing w:after="0"/>
              <w:rPr>
                <w:sz w:val="20"/>
                <w:szCs w:val="20"/>
                <w:color w:val="auto"/>
              </w:rPr>
            </w:pPr>
            <w:r>
              <w:rPr>
                <w:rFonts w:ascii="Times New Roman" w:cs="Times New Roman" w:eastAsia="Times New Roman" w:hAnsi="Times New Roman"/>
                <w:sz w:val="18"/>
                <w:szCs w:val="18"/>
                <w:color w:val="auto"/>
              </w:rPr>
              <w:t>3</w:t>
            </w:r>
          </w:p>
        </w:tc>
        <w:tc>
          <w:tcPr>
            <w:tcW w:w="780" w:type="dxa"/>
            <w:vAlign w:val="bottom"/>
          </w:tcPr>
          <w:p>
            <w:pPr>
              <w:spacing w:after="0"/>
              <w:rPr>
                <w:sz w:val="18"/>
                <w:szCs w:val="18"/>
                <w:color w:val="auto"/>
              </w:rPr>
            </w:pPr>
          </w:p>
        </w:tc>
        <w:tc>
          <w:tcPr>
            <w:tcW w:w="8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30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w:t>
            </w:r>
          </w:p>
        </w:tc>
        <w:tc>
          <w:tcPr>
            <w:tcW w:w="2640" w:type="dxa"/>
            <w:vAlign w:val="bottom"/>
            <w:gridSpan w:val="3"/>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Dollars</w:t>
            </w:r>
          </w:p>
        </w:tc>
        <w:tc>
          <w:tcPr>
            <w:tcW w:w="4760" w:type="dxa"/>
            <w:vAlign w:val="bottom"/>
            <w:gridSpan w:val="2"/>
            <w:shd w:val="clear" w:color="auto" w:fill="CCEEFF"/>
          </w:tcPr>
          <w:p>
            <w:pPr>
              <w:jc w:val="right"/>
              <w:ind w:right="41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52"/>
              <w:spacing w:after="0"/>
              <w:rPr>
                <w:sz w:val="20"/>
                <w:szCs w:val="20"/>
                <w:color w:val="auto"/>
              </w:rPr>
            </w:pPr>
            <w:r>
              <w:rPr>
                <w:rFonts w:ascii="Times New Roman" w:cs="Times New Roman" w:eastAsia="Times New Roman" w:hAnsi="Times New Roman"/>
                <w:sz w:val="18"/>
                <w:szCs w:val="18"/>
                <w:color w:val="auto"/>
              </w:rPr>
              <w:t>1,756</w:t>
            </w:r>
          </w:p>
        </w:tc>
        <w:tc>
          <w:tcPr>
            <w:tcW w:w="780" w:type="dxa"/>
            <w:vAlign w:val="bottom"/>
            <w:shd w:val="clear" w:color="auto" w:fill="CCEEFF"/>
          </w:tcPr>
          <w:p>
            <w:pPr>
              <w:jc w:val="right"/>
              <w:ind w:right="534"/>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1,862</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20" w:type="dxa"/>
            <w:vAlign w:val="bottom"/>
          </w:tcPr>
          <w:p>
            <w:pPr>
              <w:spacing w:after="0"/>
              <w:rPr>
                <w:sz w:val="24"/>
                <w:szCs w:val="24"/>
                <w:color w:val="auto"/>
              </w:rPr>
            </w:pPr>
          </w:p>
        </w:tc>
        <w:tc>
          <w:tcPr>
            <w:tcW w:w="4160" w:type="dxa"/>
            <w:vAlign w:val="bottom"/>
          </w:tcPr>
          <w:p>
            <w:pPr>
              <w:jc w:val="right"/>
              <w:ind w:right="2230"/>
              <w:spacing w:after="0"/>
              <w:rPr>
                <w:sz w:val="20"/>
                <w:szCs w:val="20"/>
                <w:color w:val="auto"/>
              </w:rPr>
            </w:pPr>
            <w:r>
              <w:rPr>
                <w:rFonts w:ascii="Times New Roman" w:cs="Times New Roman" w:eastAsia="Times New Roman" w:hAnsi="Times New Roman"/>
                <w:sz w:val="18"/>
                <w:szCs w:val="18"/>
                <w:color w:val="auto"/>
              </w:rPr>
              <w:t>27</w:t>
            </w:r>
          </w:p>
        </w:tc>
        <w:tc>
          <w:tcPr>
            <w:tcW w:w="6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9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00" w:type="dxa"/>
            <w:vAlign w:val="bottom"/>
            <w:tcBorders>
              <w:bottom w:val="single" w:sz="8" w:color="auto"/>
            </w:tcBorders>
          </w:tcPr>
          <w:p>
            <w:pPr>
              <w:spacing w:after="0"/>
              <w:rPr>
                <w:sz w:val="10"/>
                <w:szCs w:val="10"/>
                <w:color w:val="auto"/>
              </w:rPr>
            </w:pPr>
          </w:p>
        </w:tc>
        <w:tc>
          <w:tcPr>
            <w:tcW w:w="420" w:type="dxa"/>
            <w:vAlign w:val="bottom"/>
            <w:tcBorders>
              <w:bottom w:val="single" w:sz="8" w:color="auto"/>
            </w:tcBorders>
          </w:tcPr>
          <w:p>
            <w:pPr>
              <w:spacing w:after="0"/>
              <w:rPr>
                <w:sz w:val="10"/>
                <w:szCs w:val="10"/>
                <w:color w:val="auto"/>
              </w:rPr>
            </w:pPr>
          </w:p>
        </w:tc>
        <w:tc>
          <w:tcPr>
            <w:tcW w:w="1820" w:type="dxa"/>
            <w:vAlign w:val="bottom"/>
            <w:tcBorders>
              <w:bottom w:val="single" w:sz="8" w:color="auto"/>
            </w:tcBorders>
          </w:tcPr>
          <w:p>
            <w:pPr>
              <w:spacing w:after="0"/>
              <w:rPr>
                <w:sz w:val="10"/>
                <w:szCs w:val="10"/>
                <w:color w:val="auto"/>
              </w:rPr>
            </w:pPr>
          </w:p>
        </w:tc>
        <w:tc>
          <w:tcPr>
            <w:tcW w:w="4160" w:type="dxa"/>
            <w:vAlign w:val="bottom"/>
            <w:tcBorders>
              <w:bottom w:val="single" w:sz="8" w:color="auto"/>
            </w:tcBorders>
          </w:tcPr>
          <w:p>
            <w:pPr>
              <w:spacing w:after="0"/>
              <w:rPr>
                <w:sz w:val="10"/>
                <w:szCs w:val="10"/>
                <w:color w:val="auto"/>
              </w:rPr>
            </w:pPr>
          </w:p>
        </w:tc>
        <w:tc>
          <w:tcPr>
            <w:tcW w:w="60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780" w:type="dxa"/>
            <w:vAlign w:val="bottom"/>
            <w:tcBorders>
              <w:bottom w:val="single" w:sz="8" w:color="auto"/>
            </w:tcBorders>
          </w:tcPr>
          <w:p>
            <w:pPr>
              <w:spacing w:after="0"/>
              <w:rPr>
                <w:sz w:val="10"/>
                <w:szCs w:val="10"/>
                <w:color w:val="auto"/>
              </w:rPr>
            </w:pPr>
          </w:p>
        </w:tc>
        <w:tc>
          <w:tcPr>
            <w:tcW w:w="8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23" w:name="page24"/>
    <w:bookmarkEnd w:id="2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Fair Value of Derivative Instruments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summarizes the fair value within the derivative instrument valuation on the balance sheet:</w:t>
      </w:r>
    </w:p>
    <w:p>
      <w:pPr>
        <w:spacing w:after="0" w:line="39"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600" w:type="dxa"/>
            <w:vAlign w:val="bottom"/>
            <w:tcBorders>
              <w:bottom w:val="single" w:sz="8" w:color="auto"/>
            </w:tcBorders>
            <w:gridSpan w:val="3"/>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Fair Value</w:t>
            </w:r>
          </w:p>
        </w:tc>
        <w:tc>
          <w:tcPr>
            <w:tcW w:w="9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spacing w:after="0"/>
              <w:rPr>
                <w:sz w:val="18"/>
                <w:szCs w:val="18"/>
                <w:color w:val="auto"/>
              </w:rPr>
            </w:pPr>
          </w:p>
        </w:tc>
      </w:tr>
      <w:tr>
        <w:trPr>
          <w:trHeight w:val="240"/>
        </w:trPr>
        <w:tc>
          <w:tcPr>
            <w:tcW w:w="20" w:type="dxa"/>
            <w:vAlign w:val="bottom"/>
          </w:tcPr>
          <w:p>
            <w:pPr>
              <w:spacing w:after="0"/>
              <w:rPr>
                <w:sz w:val="20"/>
                <w:szCs w:val="20"/>
                <w:color w:val="auto"/>
              </w:rPr>
            </w:pPr>
          </w:p>
        </w:tc>
        <w:tc>
          <w:tcPr>
            <w:tcW w:w="5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4"/>
          </w:tcPr>
          <w:p>
            <w:pPr>
              <w:jc w:val="right"/>
              <w:ind w:right="593"/>
              <w:spacing w:after="0" w:line="240" w:lineRule="exact"/>
              <w:rPr>
                <w:sz w:val="20"/>
                <w:szCs w:val="20"/>
                <w:color w:val="auto"/>
              </w:rPr>
            </w:pPr>
            <w:r>
              <w:rPr>
                <w:rFonts w:ascii="Times New Roman" w:cs="Times New Roman" w:eastAsia="Times New Roman" w:hAnsi="Times New Roman"/>
                <w:sz w:val="16"/>
                <w:szCs w:val="16"/>
                <w:b w:val="1"/>
                <w:bCs w:val="1"/>
                <w:color w:val="auto"/>
              </w:rPr>
              <w:t xml:space="preserve">Derivative Assets </w:t>
            </w:r>
            <w:r>
              <w:rPr>
                <w:rFonts w:ascii="Times New Roman" w:cs="Times New Roman" w:eastAsia="Times New Roman" w:hAnsi="Times New Roman"/>
                <w:sz w:val="27"/>
                <w:szCs w:val="27"/>
                <w:b w:val="1"/>
                <w:bCs w:val="1"/>
                <w:color w:val="auto"/>
                <w:vertAlign w:val="superscript"/>
              </w:rPr>
              <w:t>(a)</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260" w:type="dxa"/>
            <w:vAlign w:val="bottom"/>
            <w:tcBorders>
              <w:bottom w:val="single" w:sz="8" w:color="auto"/>
            </w:tcBorders>
            <w:gridSpan w:val="4"/>
          </w:tcPr>
          <w:p>
            <w:pPr>
              <w:jc w:val="right"/>
              <w:ind w:right="532"/>
              <w:spacing w:after="0"/>
              <w:rPr>
                <w:sz w:val="20"/>
                <w:szCs w:val="20"/>
                <w:color w:val="auto"/>
              </w:rPr>
            </w:pPr>
            <w:r>
              <w:rPr>
                <w:rFonts w:ascii="Times New Roman" w:cs="Times New Roman" w:eastAsia="Times New Roman" w:hAnsi="Times New Roman"/>
                <w:sz w:val="16"/>
                <w:szCs w:val="16"/>
                <w:b w:val="1"/>
                <w:bCs w:val="1"/>
                <w:color w:val="auto"/>
              </w:rPr>
              <w:t>Derivative Liabilities</w:t>
            </w:r>
          </w:p>
        </w:tc>
      </w:tr>
      <w:tr>
        <w:trPr>
          <w:trHeight w:val="180"/>
        </w:trPr>
        <w:tc>
          <w:tcPr>
            <w:tcW w:w="20" w:type="dxa"/>
            <w:vAlign w:val="bottom"/>
          </w:tcPr>
          <w:p>
            <w:pPr>
              <w:spacing w:after="0"/>
              <w:rPr>
                <w:sz w:val="15"/>
                <w:szCs w:val="15"/>
                <w:color w:val="auto"/>
              </w:rPr>
            </w:pPr>
          </w:p>
        </w:tc>
        <w:tc>
          <w:tcPr>
            <w:tcW w:w="5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80" w:type="dxa"/>
            <w:vAlign w:val="bottom"/>
            <w:gridSpan w:val="2"/>
          </w:tcPr>
          <w:p>
            <w:pPr>
              <w:jc w:val="right"/>
              <w:ind w:right="132"/>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113"/>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5"/>
                <w:szCs w:val="15"/>
                <w:color w:val="auto"/>
              </w:rPr>
            </w:pPr>
          </w:p>
        </w:tc>
        <w:tc>
          <w:tcPr>
            <w:tcW w:w="1240" w:type="dxa"/>
            <w:vAlign w:val="bottom"/>
            <w:gridSpan w:val="2"/>
          </w:tcPr>
          <w:p>
            <w:pPr>
              <w:jc w:val="right"/>
              <w:ind w:right="92"/>
              <w:spacing w:after="0" w:line="181" w:lineRule="exact"/>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160" w:type="dxa"/>
            <w:vAlign w:val="bottom"/>
          </w:tcPr>
          <w:p>
            <w:pPr>
              <w:jc w:val="right"/>
              <w:ind w:right="112"/>
              <w:spacing w:after="0" w:line="181" w:lineRule="exact"/>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15"/>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2"/>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09"/>
        </w:trPr>
        <w:tc>
          <w:tcPr>
            <w:tcW w:w="20" w:type="dxa"/>
            <w:vAlign w:val="bottom"/>
          </w:tcPr>
          <w:p>
            <w:pPr>
              <w:spacing w:after="0"/>
              <w:rPr>
                <w:sz w:val="18"/>
                <w:szCs w:val="18"/>
                <w:color w:val="auto"/>
              </w:rPr>
            </w:pPr>
          </w:p>
        </w:tc>
        <w:tc>
          <w:tcPr>
            <w:tcW w:w="5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9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20"/>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Designated as Cash Flow Hedges:</w:t>
            </w:r>
          </w:p>
        </w:tc>
        <w:tc>
          <w:tcPr>
            <w:tcW w:w="94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1180" w:type="dxa"/>
            <w:vAlign w:val="bottom"/>
            <w:gridSpan w:val="2"/>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9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w:t>
            </w: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Derivatives Designated as Cash Flow Hedges</w:t>
            </w:r>
          </w:p>
        </w:tc>
        <w:tc>
          <w:tcPr>
            <w:tcW w:w="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7</w:t>
            </w:r>
          </w:p>
        </w:tc>
      </w:tr>
      <w:tr>
        <w:trPr>
          <w:trHeight w:val="210"/>
        </w:trPr>
        <w:tc>
          <w:tcPr>
            <w:tcW w:w="20" w:type="dxa"/>
            <w:vAlign w:val="bottom"/>
          </w:tcPr>
          <w:p>
            <w:pPr>
              <w:spacing w:after="0"/>
              <w:rPr>
                <w:sz w:val="18"/>
                <w:szCs w:val="18"/>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Derivatives Not Designated as Cash Flow Hedges:</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rate contracts current</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3</w:t>
            </w:r>
          </w:p>
        </w:tc>
      </w:tr>
      <w:tr>
        <w:trPr>
          <w:trHeight w:val="216"/>
        </w:trPr>
        <w:tc>
          <w:tcPr>
            <w:tcW w:w="20" w:type="dxa"/>
            <w:vAlign w:val="bottom"/>
          </w:tcPr>
          <w:p>
            <w:pPr>
              <w:spacing w:after="0"/>
              <w:rPr>
                <w:sz w:val="18"/>
                <w:szCs w:val="18"/>
                <w:color w:val="auto"/>
              </w:rPr>
            </w:pPr>
          </w:p>
        </w:tc>
        <w:tc>
          <w:tcPr>
            <w:tcW w:w="51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rate contracts long-term</w:t>
            </w:r>
          </w:p>
        </w:tc>
        <w:tc>
          <w:tcPr>
            <w:tcW w:w="9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72</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20" w:type="dxa"/>
            <w:vAlign w:val="bottom"/>
          </w:tcPr>
          <w:p>
            <w:pPr>
              <w:spacing w:after="0"/>
              <w:rPr>
                <w:sz w:val="18"/>
                <w:szCs w:val="18"/>
                <w:color w:val="auto"/>
              </w:rPr>
            </w:pPr>
          </w:p>
        </w:tc>
        <w:tc>
          <w:tcPr>
            <w:tcW w:w="51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Commodity contracts current</w:t>
            </w:r>
          </w:p>
        </w:tc>
        <w:tc>
          <w:tcPr>
            <w:tcW w:w="9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4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20" w:type="dxa"/>
            <w:vAlign w:val="bottom"/>
          </w:tcPr>
          <w:p>
            <w:pPr>
              <w:spacing w:after="0"/>
              <w:rPr>
                <w:sz w:val="18"/>
                <w:szCs w:val="18"/>
                <w:color w:val="auto"/>
              </w:rPr>
            </w:pPr>
          </w:p>
        </w:tc>
        <w:tc>
          <w:tcPr>
            <w:tcW w:w="51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Commodity contracts long-term</w:t>
            </w:r>
          </w:p>
        </w:tc>
        <w:tc>
          <w:tcPr>
            <w:tcW w:w="94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r>
      <w:tr>
        <w:trPr>
          <w:trHeight w:val="210"/>
        </w:trPr>
        <w:tc>
          <w:tcPr>
            <w:tcW w:w="20" w:type="dxa"/>
            <w:vAlign w:val="bottom"/>
          </w:tcPr>
          <w:p>
            <w:pPr>
              <w:spacing w:after="0"/>
              <w:rPr>
                <w:sz w:val="18"/>
                <w:szCs w:val="18"/>
                <w:color w:val="auto"/>
              </w:rPr>
            </w:pPr>
          </w:p>
        </w:tc>
        <w:tc>
          <w:tcPr>
            <w:tcW w:w="51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Derivatives Not Designated as Cash Flow Hedges</w:t>
            </w:r>
          </w:p>
        </w:tc>
        <w:tc>
          <w:tcPr>
            <w:tcW w:w="94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93</w:t>
            </w: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r>
      <w:tr>
        <w:trPr>
          <w:trHeight w:val="230"/>
        </w:trPr>
        <w:tc>
          <w:tcPr>
            <w:tcW w:w="20" w:type="dxa"/>
            <w:vAlign w:val="bottom"/>
          </w:tcPr>
          <w:p>
            <w:pPr>
              <w:spacing w:after="0"/>
              <w:rPr>
                <w:sz w:val="19"/>
                <w:szCs w:val="19"/>
                <w:color w:val="auto"/>
              </w:rPr>
            </w:pPr>
          </w:p>
        </w:tc>
        <w:tc>
          <w:tcPr>
            <w:tcW w:w="51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Derivatives</w:t>
            </w:r>
          </w:p>
        </w:tc>
        <w:tc>
          <w:tcPr>
            <w:tcW w:w="1180" w:type="dxa"/>
            <w:vAlign w:val="bottom"/>
            <w:gridSpan w:val="2"/>
            <w:shd w:val="clear" w:color="auto" w:fill="CCEEFF"/>
          </w:tcPr>
          <w:p>
            <w:pPr>
              <w:jc w:val="right"/>
              <w:ind w:right="79"/>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11</w:t>
            </w:r>
          </w:p>
        </w:tc>
        <w:tc>
          <w:tcPr>
            <w:tcW w:w="4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110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21</w:t>
            </w:r>
          </w:p>
        </w:tc>
      </w:tr>
      <w:tr>
        <w:trPr>
          <w:trHeight w:val="20"/>
        </w:trPr>
        <w:tc>
          <w:tcPr>
            <w:tcW w:w="20" w:type="dxa"/>
            <w:vAlign w:val="bottom"/>
          </w:tcPr>
          <w:p>
            <w:pPr>
              <w:spacing w:after="0" w:line="20" w:lineRule="exact"/>
              <w:rPr>
                <w:sz w:val="1"/>
                <w:szCs w:val="1"/>
                <w:color w:val="auto"/>
              </w:rPr>
            </w:pPr>
          </w:p>
        </w:tc>
        <w:tc>
          <w:tcPr>
            <w:tcW w:w="5120" w:type="dxa"/>
            <w:vAlign w:val="bottom"/>
            <w:tcBorders>
              <w:top w:val="single" w:sz="8" w:color="CCEEFF"/>
            </w:tcBorders>
            <w:shd w:val="clear" w:color="auto" w:fill="CCEEFF"/>
          </w:tcPr>
          <w:p>
            <w:pPr>
              <w:spacing w:after="0" w:line="20" w:lineRule="exact"/>
              <w:rPr>
                <w:sz w:val="1"/>
                <w:szCs w:val="1"/>
                <w:color w:val="auto"/>
              </w:rPr>
            </w:pPr>
          </w:p>
        </w:tc>
        <w:tc>
          <w:tcPr>
            <w:tcW w:w="9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0" w:type="dxa"/>
            <w:vAlign w:val="bottom"/>
            <w:tcBorders>
              <w:top w:val="single" w:sz="8" w:color="auto"/>
            </w:tcBorders>
            <w:shd w:val="clear" w:color="auto" w:fill="000000"/>
          </w:tcPr>
          <w:p>
            <w:pPr>
              <w:spacing w:after="0" w:line="20" w:lineRule="exact"/>
              <w:rPr>
                <w:sz w:val="1"/>
                <w:szCs w:val="1"/>
                <w:color w:val="auto"/>
              </w:rPr>
            </w:pPr>
          </w:p>
        </w:tc>
        <w:tc>
          <w:tcPr>
            <w:tcW w:w="1160" w:type="dxa"/>
            <w:vAlign w:val="bottom"/>
            <w:tcBorders>
              <w:top w:val="single" w:sz="8" w:color="auto"/>
            </w:tcBorders>
            <w:shd w:val="clear" w:color="auto" w:fill="000000"/>
          </w:tcPr>
          <w:p>
            <w:pPr>
              <w:spacing w:after="0" w:line="20" w:lineRule="exact"/>
              <w:rPr>
                <w:sz w:val="1"/>
                <w:szCs w:val="1"/>
                <w:color w:val="auto"/>
              </w:rPr>
            </w:pPr>
          </w:p>
        </w:tc>
      </w:tr>
    </w:tbl>
    <w:p>
      <w:pPr>
        <w:spacing w:after="0" w:line="238" w:lineRule="exact"/>
        <w:rPr>
          <w:sz w:val="20"/>
          <w:szCs w:val="20"/>
          <w:color w:val="auto"/>
        </w:rPr>
      </w:pPr>
    </w:p>
    <w:p>
      <w:pPr>
        <w:ind w:firstLine="8"/>
        <w:spacing w:after="0" w:line="213" w:lineRule="auto"/>
        <w:tabs>
          <w:tab w:leader="none" w:pos="212" w:val="left"/>
        </w:tabs>
        <w:numPr>
          <w:ilvl w:val="0"/>
          <w:numId w:val="13"/>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Derivative Assets balances classified as current are included within the prepayments and other current assets line item of the consolidated balance sheets as of December 31, 2018.</w:t>
      </w:r>
    </w:p>
    <w:p>
      <w:pPr>
        <w:spacing w:after="0" w:line="19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has elected to present derivative assets and liabilities on the balance sheet on a trade-by-trade basis and does not offset amounts at the counterparty master agreement level. As of September 30, 2019 and December 31, 2018, there was no outstanding collateral paid or received. The following tables summarize the offsetting of derivatives by the counterparty master agreement level as of September 30, 2019 and December 31, 2018:</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September 30, 2019</w:t>
            </w:r>
          </w:p>
        </w:tc>
        <w:tc>
          <w:tcPr>
            <w:tcW w:w="2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Assets/Liabilities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21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Commodity contracts:</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93"/>
              <w:spacing w:after="0"/>
              <w:rPr>
                <w:sz w:val="20"/>
                <w:szCs w:val="20"/>
                <w:color w:val="auto"/>
              </w:rPr>
            </w:pPr>
            <w:r>
              <w:rPr>
                <w:rFonts w:ascii="Times New Roman" w:cs="Times New Roman" w:eastAsia="Times New Roman" w:hAnsi="Times New Roman"/>
                <w:sz w:val="16"/>
                <w:szCs w:val="16"/>
                <w:color w:val="auto"/>
              </w:rPr>
              <w:t>(In millions)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assets</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liabilities</w:t>
            </w:r>
          </w:p>
        </w:tc>
        <w:tc>
          <w:tcPr>
            <w:tcW w:w="2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commodity contracts</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50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spacing w:after="0"/>
              <w:rPr>
                <w:sz w:val="18"/>
                <w:szCs w:val="18"/>
                <w:color w:val="auto"/>
              </w:rPr>
            </w:pPr>
          </w:p>
        </w:tc>
        <w:tc>
          <w:tcPr>
            <w:tcW w:w="120" w:type="dxa"/>
            <w:vAlign w:val="bottom"/>
            <w:tcBorders>
              <w:top w:val="single" w:sz="8" w:color="CCEEFF"/>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4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assets</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liabilities</w:t>
            </w:r>
          </w:p>
        </w:tc>
        <w:tc>
          <w:tcPr>
            <w:tcW w:w="2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48"/>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Gross Amounts of</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20" w:type="dxa"/>
            <w:vAlign w:val="bottom"/>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Recognized</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jc w:val="right"/>
              <w:ind w:right="413"/>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As of December 31, 2018</w:t>
            </w:r>
          </w:p>
        </w:tc>
        <w:tc>
          <w:tcPr>
            <w:tcW w:w="2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center"/>
              <w:ind w:right="153"/>
              <w:spacing w:after="0"/>
              <w:rPr>
                <w:sz w:val="20"/>
                <w:szCs w:val="20"/>
                <w:color w:val="auto"/>
              </w:rPr>
            </w:pPr>
            <w:r>
              <w:rPr>
                <w:rFonts w:ascii="Times New Roman" w:cs="Times New Roman" w:eastAsia="Times New Roman" w:hAnsi="Times New Roman"/>
                <w:sz w:val="16"/>
                <w:szCs w:val="16"/>
                <w:b w:val="1"/>
                <w:bCs w:val="1"/>
                <w:color w:val="auto"/>
              </w:rPr>
              <w:t>Assets/Liabilities</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33"/>
              <w:spacing w:after="0"/>
              <w:rPr>
                <w:sz w:val="20"/>
                <w:szCs w:val="20"/>
                <w:color w:val="auto"/>
              </w:rPr>
            </w:pPr>
            <w:r>
              <w:rPr>
                <w:rFonts w:ascii="Times New Roman" w:cs="Times New Roman" w:eastAsia="Times New Roman" w:hAnsi="Times New Roman"/>
                <w:sz w:val="16"/>
                <w:szCs w:val="16"/>
                <w:b w:val="1"/>
                <w:bCs w:val="1"/>
                <w:color w:val="auto"/>
              </w:rPr>
              <w:t>Instruments</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Net Amount</w:t>
            </w:r>
          </w:p>
        </w:tc>
        <w:tc>
          <w:tcPr>
            <w:tcW w:w="0" w:type="dxa"/>
            <w:vAlign w:val="bottom"/>
          </w:tcPr>
          <w:p>
            <w:pPr>
              <w:spacing w:after="0"/>
              <w:rPr>
                <w:sz w:val="1"/>
                <w:szCs w:val="1"/>
                <w:color w:val="auto"/>
              </w:rPr>
            </w:pPr>
          </w:p>
        </w:tc>
      </w:tr>
      <w:tr>
        <w:trPr>
          <w:trHeight w:val="21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Interest rate contracts:</w:t>
            </w:r>
          </w:p>
        </w:tc>
        <w:tc>
          <w:tcPr>
            <w:tcW w:w="2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20" w:type="dxa"/>
            <w:vAlign w:val="bottom"/>
          </w:tcPr>
          <w:p>
            <w:pPr>
              <w:jc w:val="right"/>
              <w:ind w:right="333"/>
              <w:spacing w:after="0"/>
              <w:rPr>
                <w:sz w:val="20"/>
                <w:szCs w:val="20"/>
                <w:color w:val="auto"/>
              </w:rPr>
            </w:pPr>
            <w:r>
              <w:rPr>
                <w:rFonts w:ascii="Times New Roman" w:cs="Times New Roman" w:eastAsia="Times New Roman" w:hAnsi="Times New Roman"/>
                <w:sz w:val="18"/>
                <w:szCs w:val="18"/>
                <w:color w:val="auto"/>
              </w:rPr>
              <w:t>(In millions)</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Derivative assets</w:t>
            </w:r>
          </w:p>
        </w:tc>
        <w:tc>
          <w:tcPr>
            <w:tcW w:w="2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53"/>
              <w:spacing w:after="0"/>
              <w:rPr>
                <w:sz w:val="20"/>
                <w:szCs w:val="20"/>
                <w:color w:val="auto"/>
              </w:rPr>
            </w:pPr>
            <w:r>
              <w:rPr>
                <w:rFonts w:ascii="Times New Roman" w:cs="Times New Roman" w:eastAsia="Times New Roman" w:hAnsi="Times New Roman"/>
                <w:sz w:val="18"/>
                <w:szCs w:val="18"/>
                <w:color w:val="auto"/>
              </w:rPr>
              <w:t>11</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Derivative liabilities</w:t>
            </w:r>
          </w:p>
        </w:tc>
        <w:tc>
          <w:tcPr>
            <w:tcW w:w="25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interest rate contracts</w:t>
            </w:r>
          </w:p>
        </w:tc>
        <w:tc>
          <w:tcPr>
            <w:tcW w:w="25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250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derivative instruments</w:t>
            </w:r>
          </w:p>
        </w:tc>
        <w:tc>
          <w:tcPr>
            <w:tcW w:w="26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880" w:type="dxa"/>
            <w:vAlign w:val="bottom"/>
          </w:tcPr>
          <w:p>
            <w:pPr>
              <w:spacing w:after="0" w:line="20" w:lineRule="exact"/>
              <w:rPr>
                <w:sz w:val="1"/>
                <w:szCs w:val="1"/>
                <w:color w:val="auto"/>
              </w:rPr>
            </w:pPr>
          </w:p>
        </w:tc>
        <w:tc>
          <w:tcPr>
            <w:tcW w:w="2500" w:type="dxa"/>
            <w:vAlign w:val="bottom"/>
            <w:vMerge w:val="restart"/>
          </w:tcPr>
          <w:p>
            <w:pPr>
              <w:jc w:val="right"/>
              <w:ind w:right="51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20" w:type="dxa"/>
            <w:vAlign w:val="bottom"/>
          </w:tcPr>
          <w:p>
            <w:pPr>
              <w:spacing w:after="0"/>
              <w:rPr>
                <w:sz w:val="24"/>
                <w:szCs w:val="24"/>
                <w:color w:val="auto"/>
              </w:rPr>
            </w:pPr>
          </w:p>
        </w:tc>
        <w:tc>
          <w:tcPr>
            <w:tcW w:w="3880" w:type="dxa"/>
            <w:vAlign w:val="bottom"/>
          </w:tcPr>
          <w:p>
            <w:pPr>
              <w:spacing w:after="0"/>
              <w:rPr>
                <w:sz w:val="24"/>
                <w:szCs w:val="24"/>
                <w:color w:val="auto"/>
              </w:rPr>
            </w:pPr>
          </w:p>
        </w:tc>
        <w:tc>
          <w:tcPr>
            <w:tcW w:w="2500" w:type="dxa"/>
            <w:vAlign w:val="bottom"/>
            <w:vMerge w:val="continue"/>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3880" w:type="dxa"/>
            <w:vAlign w:val="bottom"/>
            <w:tcBorders>
              <w:bottom w:val="single" w:sz="8" w:color="auto"/>
            </w:tcBorders>
          </w:tcPr>
          <w:p>
            <w:pPr>
              <w:spacing w:after="0"/>
              <w:rPr>
                <w:sz w:val="10"/>
                <w:szCs w:val="10"/>
                <w:color w:val="auto"/>
              </w:rPr>
            </w:pPr>
          </w:p>
        </w:tc>
        <w:tc>
          <w:tcPr>
            <w:tcW w:w="250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5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42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00" w:type="dxa"/>
            <w:vAlign w:val="bottom"/>
            <w:tcBorders>
              <w:bottom w:val="single" w:sz="8" w:color="auto"/>
            </w:tcBorders>
          </w:tcPr>
          <w:p>
            <w:pPr>
              <w:spacing w:after="0"/>
              <w:rPr>
                <w:sz w:val="10"/>
                <w:szCs w:val="10"/>
                <w:color w:val="auto"/>
              </w:rPr>
            </w:pPr>
          </w:p>
        </w:tc>
        <w:tc>
          <w:tcPr>
            <w:tcW w:w="13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24" w:name="page25"/>
    <w:bookmarkEnd w:id="2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Accumulated Other Comprehensive Loss</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effects on the Company’s accumulated OCL balance attributable to interest rate swaps designated as cash flow hedge derivatives, net of tax:</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40" w:type="dxa"/>
            <w:vAlign w:val="bottom"/>
            <w:tcBorders>
              <w:bottom w:val="single" w:sz="8" w:color="auto"/>
            </w:tcBorders>
            <w:gridSpan w:val="5"/>
          </w:tcPr>
          <w:p>
            <w:pPr>
              <w:jc w:val="right"/>
              <w:ind w:right="72"/>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Pr>
          <w:p>
            <w:pPr>
              <w:spacing w:after="0"/>
              <w:rPr>
                <w:sz w:val="18"/>
                <w:szCs w:val="18"/>
                <w:color w:val="auto"/>
              </w:rPr>
            </w:pPr>
          </w:p>
        </w:tc>
        <w:tc>
          <w:tcPr>
            <w:tcW w:w="2600" w:type="dxa"/>
            <w:vAlign w:val="bottom"/>
            <w:tcBorders>
              <w:bottom w:val="single" w:sz="8" w:color="auto"/>
            </w:tcBorders>
            <w:gridSpan w:val="6"/>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1"/>
        </w:trPr>
        <w:tc>
          <w:tcPr>
            <w:tcW w:w="20" w:type="dxa"/>
            <w:vAlign w:val="bottom"/>
          </w:tcPr>
          <w:p>
            <w:pPr>
              <w:spacing w:after="0"/>
              <w:rPr>
                <w:sz w:val="18"/>
                <w:szCs w:val="18"/>
                <w:color w:val="auto"/>
              </w:rPr>
            </w:pPr>
          </w:p>
        </w:tc>
        <w:tc>
          <w:tcPr>
            <w:tcW w:w="59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6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59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440" w:type="dxa"/>
            <w:vAlign w:val="bottom"/>
            <w:gridSpan w:val="3"/>
          </w:tcPr>
          <w:p>
            <w:pPr>
              <w:jc w:val="right"/>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OCL beginning balance</w:t>
            </w:r>
          </w:p>
        </w:tc>
        <w:tc>
          <w:tcPr>
            <w:tcW w:w="940" w:type="dxa"/>
            <w:vAlign w:val="bottom"/>
            <w:gridSpan w:val="2"/>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4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40" w:type="dxa"/>
            <w:vAlign w:val="bottom"/>
          </w:tcPr>
          <w:p>
            <w:pPr>
              <w:ind w:left="160"/>
              <w:spacing w:after="0" w:line="198" w:lineRule="exact"/>
              <w:rPr>
                <w:sz w:val="20"/>
                <w:szCs w:val="20"/>
                <w:color w:val="auto"/>
              </w:rPr>
            </w:pPr>
            <w:r>
              <w:rPr>
                <w:rFonts w:ascii="Times New Roman" w:cs="Times New Roman" w:eastAsia="Times New Roman" w:hAnsi="Times New Roman"/>
                <w:sz w:val="18"/>
                <w:szCs w:val="18"/>
                <w:color w:val="auto"/>
              </w:rPr>
              <w:t>Reclassified from accumulated OCL to income due to realization of previously</w:t>
            </w: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deferred amounts</w:t>
            </w:r>
          </w:p>
        </w:tc>
        <w:tc>
          <w:tcPr>
            <w:tcW w:w="1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15</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Mark-to-market of cash flow hedge accounting contracts</w:t>
            </w:r>
          </w:p>
        </w:tc>
        <w:tc>
          <w:tcPr>
            <w:tcW w:w="120" w:type="dxa"/>
            <w:vAlign w:val="bottom"/>
            <w:tcBorders>
              <w:bottom w:val="single" w:sz="8" w:color="CCEEFF"/>
            </w:tcBorders>
            <w:shd w:val="clear" w:color="auto" w:fill="CCEEFF"/>
          </w:tcPr>
          <w:p>
            <w:pPr>
              <w:spacing w:after="0"/>
              <w:rPr>
                <w:sz w:val="18"/>
                <w:szCs w:val="18"/>
                <w:color w:val="auto"/>
              </w:rPr>
            </w:pP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594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Accumulated OCL ending balance, net of income tax benefit of $6 and $6,</w:t>
            </w: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4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00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21"/>
        </w:trPr>
        <w:tc>
          <w:tcPr>
            <w:tcW w:w="59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respectively</w:t>
            </w:r>
          </w:p>
        </w:tc>
        <w:tc>
          <w:tcPr>
            <w:tcW w:w="120" w:type="dxa"/>
            <w:vAlign w:val="bottom"/>
          </w:tcPr>
          <w:p>
            <w:pPr>
              <w:spacing w:after="0"/>
              <w:rPr>
                <w:sz w:val="19"/>
                <w:szCs w:val="19"/>
                <w:color w:val="auto"/>
              </w:rPr>
            </w:pPr>
          </w:p>
        </w:tc>
        <w:tc>
          <w:tcPr>
            <w:tcW w:w="82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vMerge w:val="continue"/>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OCL attributable to noncontrolling interests</w:t>
            </w:r>
          </w:p>
        </w:tc>
        <w:tc>
          <w:tcPr>
            <w:tcW w:w="940" w:type="dxa"/>
            <w:vAlign w:val="bottom"/>
            <w:gridSpan w:val="2"/>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440" w:type="dxa"/>
            <w:vAlign w:val="bottom"/>
            <w:gridSpan w:val="2"/>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9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Accumulated OCL attributable to Clearway Energy, Inc.</w:t>
            </w:r>
          </w:p>
        </w:tc>
        <w:tc>
          <w:tcPr>
            <w:tcW w:w="940" w:type="dxa"/>
            <w:vAlign w:val="bottom"/>
            <w:gridSpan w:val="2"/>
          </w:tcPr>
          <w:p>
            <w:pPr>
              <w:jc w:val="right"/>
              <w:ind w:right="659"/>
              <w:spacing w:after="0" w:line="196" w:lineRule="exact"/>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3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440" w:type="dxa"/>
            <w:vAlign w:val="bottom"/>
            <w:gridSpan w:val="2"/>
          </w:tcPr>
          <w:p>
            <w:pPr>
              <w:jc w:val="right"/>
              <w:ind w:right="159"/>
              <w:spacing w:after="0" w:line="196" w:lineRule="exact"/>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c>
          <w:tcPr>
            <w:tcW w:w="360" w:type="dxa"/>
            <w:vAlign w:val="bottom"/>
            <w:gridSpan w:val="2"/>
          </w:tcPr>
          <w:p>
            <w:pPr>
              <w:jc w:val="right"/>
              <w:ind w:right="160"/>
              <w:spacing w:after="0" w:line="196" w:lineRule="exact"/>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tcPr>
          <w:p>
            <w:pPr>
              <w:jc w:val="right"/>
              <w:ind w:right="40"/>
              <w:spacing w:after="0" w:line="196" w:lineRule="exact"/>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8"/>
        </w:trPr>
        <w:tc>
          <w:tcPr>
            <w:tcW w:w="20" w:type="dxa"/>
            <w:vAlign w:val="bottom"/>
          </w:tcPr>
          <w:p>
            <w:pPr>
              <w:spacing w:after="0"/>
              <w:rPr>
                <w:sz w:val="15"/>
                <w:szCs w:val="15"/>
                <w:color w:val="auto"/>
              </w:rPr>
            </w:pPr>
          </w:p>
        </w:tc>
        <w:tc>
          <w:tcPr>
            <w:tcW w:w="5940" w:type="dxa"/>
            <w:vAlign w:val="bottom"/>
            <w:shd w:val="clear" w:color="auto" w:fill="CCEEFF"/>
          </w:tcPr>
          <w:p>
            <w:pPr>
              <w:spacing w:after="0" w:line="178" w:lineRule="exact"/>
              <w:rPr>
                <w:sz w:val="20"/>
                <w:szCs w:val="20"/>
                <w:color w:val="auto"/>
              </w:rPr>
            </w:pPr>
            <w:r>
              <w:rPr>
                <w:rFonts w:ascii="Times New Roman" w:cs="Times New Roman" w:eastAsia="Times New Roman" w:hAnsi="Times New Roman"/>
                <w:sz w:val="18"/>
                <w:szCs w:val="18"/>
                <w:color w:val="auto"/>
              </w:rPr>
              <w:t>Losses expected to be realized from OCL during the next 12 months, net of</w:t>
            </w:r>
          </w:p>
        </w:tc>
        <w:tc>
          <w:tcPr>
            <w:tcW w:w="940" w:type="dxa"/>
            <w:vAlign w:val="bottom"/>
            <w:gridSpan w:val="2"/>
            <w:vMerge w:val="restart"/>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00" w:type="dxa"/>
            <w:vAlign w:val="bottom"/>
            <w:shd w:val="clear" w:color="auto" w:fill="CCEEFF"/>
          </w:tcPr>
          <w:p>
            <w:pPr>
              <w:spacing w:after="0"/>
              <w:rPr>
                <w:sz w:val="15"/>
                <w:szCs w:val="15"/>
                <w:color w:val="auto"/>
              </w:rPr>
            </w:pPr>
          </w:p>
        </w:tc>
        <w:tc>
          <w:tcPr>
            <w:tcW w:w="440" w:type="dxa"/>
            <w:vAlign w:val="bottom"/>
            <w:gridSpan w:val="2"/>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14"/>
        </w:trPr>
        <w:tc>
          <w:tcPr>
            <w:tcW w:w="20" w:type="dxa"/>
            <w:vAlign w:val="bottom"/>
          </w:tcPr>
          <w:p>
            <w:pPr>
              <w:spacing w:after="0"/>
              <w:rPr>
                <w:sz w:val="18"/>
                <w:szCs w:val="18"/>
                <w:color w:val="auto"/>
              </w:rPr>
            </w:pPr>
          </w:p>
        </w:tc>
        <w:tc>
          <w:tcPr>
            <w:tcW w:w="5940" w:type="dxa"/>
            <w:vAlign w:val="bottom"/>
            <w:shd w:val="clear" w:color="auto" w:fill="CCEEFF"/>
          </w:tcPr>
          <w:p>
            <w:pPr>
              <w:spacing w:after="0" w:line="194" w:lineRule="exact"/>
              <w:rPr>
                <w:sz w:val="20"/>
                <w:szCs w:val="20"/>
                <w:color w:val="auto"/>
              </w:rPr>
            </w:pPr>
            <w:r>
              <w:rPr>
                <w:rFonts w:ascii="Times New Roman" w:cs="Times New Roman" w:eastAsia="Times New Roman" w:hAnsi="Times New Roman"/>
                <w:sz w:val="18"/>
                <w:szCs w:val="18"/>
                <w:color w:val="auto"/>
              </w:rPr>
              <w:t>income tax benefit of $3</w:t>
            </w:r>
          </w:p>
        </w:tc>
        <w:tc>
          <w:tcPr>
            <w:tcW w:w="940" w:type="dxa"/>
            <w:vAlign w:val="bottom"/>
            <w:gridSpan w:val="2"/>
            <w:vMerge w:val="continue"/>
            <w:shd w:val="clear" w:color="auto" w:fill="CCEEFF"/>
          </w:tcPr>
          <w:p>
            <w:pPr>
              <w:spacing w:after="0"/>
              <w:rPr>
                <w:sz w:val="18"/>
                <w:szCs w:val="18"/>
                <w:color w:val="auto"/>
              </w:rPr>
            </w:pPr>
          </w:p>
        </w:tc>
        <w:tc>
          <w:tcPr>
            <w:tcW w:w="46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440" w:type="dxa"/>
            <w:vAlign w:val="bottom"/>
            <w:gridSpan w:val="2"/>
            <w:vMerge w:val="continue"/>
            <w:shd w:val="clear" w:color="auto" w:fill="CCEEFF"/>
          </w:tcPr>
          <w:p>
            <w:pPr>
              <w:spacing w:after="0"/>
              <w:rPr>
                <w:sz w:val="18"/>
                <w:szCs w:val="18"/>
                <w:color w:val="auto"/>
              </w:rPr>
            </w:pPr>
          </w:p>
        </w:tc>
        <w:tc>
          <w:tcPr>
            <w:tcW w:w="90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i w:val="1"/>
          <w:iCs w:val="1"/>
          <w:color w:val="auto"/>
        </w:rPr>
        <w:t>Impact of Derivative Instruments on the Statements of Operations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Gains and losses related to the Company's derivatives are recorded in the consolidated statements of operations as follows:</w:t>
      </w:r>
    </w:p>
    <w:p>
      <w:pPr>
        <w:spacing w:after="0" w:line="27" w:lineRule="exact"/>
        <w:rPr>
          <w:sz w:val="20"/>
          <w:szCs w:val="20"/>
          <w:color w:val="auto"/>
        </w:rPr>
      </w:pPr>
    </w:p>
    <w:tbl>
      <w:tblPr>
        <w:tblLayout w:type="fixed"/>
        <w:tblInd w:w="580" w:type="dxa"/>
        <w:tblCellMar>
          <w:top w:w="0" w:type="dxa"/>
          <w:left w:w="0" w:type="dxa"/>
          <w:bottom w:w="0" w:type="dxa"/>
          <w:right w:w="0" w:type="dxa"/>
        </w:tblCellMar>
      </w:tblPr>
      <w:tr>
        <w:trPr>
          <w:trHeight w:val="214"/>
        </w:trPr>
        <w:tc>
          <w:tcPr>
            <w:tcW w:w="4620" w:type="dxa"/>
            <w:vAlign w:val="bottom"/>
          </w:tcPr>
          <w:p>
            <w:pPr>
              <w:spacing w:after="0"/>
              <w:rPr>
                <w:sz w:val="18"/>
                <w:szCs w:val="18"/>
                <w:color w:val="auto"/>
              </w:rPr>
            </w:pPr>
          </w:p>
        </w:tc>
        <w:tc>
          <w:tcPr>
            <w:tcW w:w="2600" w:type="dxa"/>
            <w:vAlign w:val="bottom"/>
            <w:tcBorders>
              <w:bottom w:val="single" w:sz="8" w:color="auto"/>
            </w:tcBorders>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600" w:type="dxa"/>
            <w:vAlign w:val="bottom"/>
            <w:tcBorders>
              <w:bottom w:val="single" w:sz="8" w:color="auto"/>
            </w:tcBorders>
            <w:gridSpan w:val="4"/>
          </w:tcPr>
          <w:p>
            <w:pPr>
              <w:jc w:val="right"/>
              <w:ind w:right="134"/>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0"/>
        </w:trPr>
        <w:tc>
          <w:tcPr>
            <w:tcW w:w="4620" w:type="dxa"/>
            <w:vAlign w:val="bottom"/>
          </w:tcPr>
          <w:p>
            <w:pPr>
              <w:spacing w:after="0"/>
              <w:rPr>
                <w:sz w:val="18"/>
                <w:szCs w:val="18"/>
                <w:color w:val="auto"/>
              </w:rPr>
            </w:pPr>
          </w:p>
        </w:tc>
        <w:tc>
          <w:tcPr>
            <w:tcW w:w="900" w:type="dxa"/>
            <w:vAlign w:val="bottom"/>
            <w:tcBorders>
              <w:bottom w:val="single" w:sz="8" w:color="auto"/>
            </w:tcBorders>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2019</w:t>
            </w:r>
          </w:p>
        </w:tc>
        <w:tc>
          <w:tcPr>
            <w:tcW w:w="46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Borders>
              <w:bottom w:val="single" w:sz="8" w:color="auto"/>
            </w:tcBorders>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2018</w:t>
            </w:r>
          </w:p>
        </w:tc>
        <w:tc>
          <w:tcPr>
            <w:tcW w:w="2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2019</w:t>
            </w:r>
          </w:p>
        </w:tc>
        <w:tc>
          <w:tcPr>
            <w:tcW w:w="8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54"/>
              <w:spacing w:after="0"/>
              <w:rPr>
                <w:sz w:val="20"/>
                <w:szCs w:val="20"/>
                <w:color w:val="auto"/>
              </w:rPr>
            </w:pPr>
            <w:r>
              <w:rPr>
                <w:rFonts w:ascii="Times New Roman" w:cs="Times New Roman" w:eastAsia="Times New Roman" w:hAnsi="Times New Roman"/>
                <w:sz w:val="16"/>
                <w:szCs w:val="16"/>
                <w:b w:val="1"/>
                <w:bCs w:val="1"/>
                <w:color w:val="auto"/>
              </w:rPr>
              <w:t>2018</w:t>
            </w:r>
          </w:p>
        </w:tc>
      </w:tr>
      <w:tr>
        <w:trPr>
          <w:trHeight w:val="210"/>
        </w:trPr>
        <w:tc>
          <w:tcPr>
            <w:tcW w:w="462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80" w:type="dxa"/>
            <w:vAlign w:val="bottom"/>
            <w:gridSpan w:val="5"/>
          </w:tcPr>
          <w:p>
            <w:pPr>
              <w:jc w:val="right"/>
              <w:ind w:right="976"/>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18"/>
        </w:trPr>
        <w:tc>
          <w:tcPr>
            <w:tcW w:w="4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Rate Contracts (Interest Expense)</w:t>
            </w:r>
          </w:p>
        </w:tc>
        <w:tc>
          <w:tcPr>
            <w:tcW w:w="900" w:type="dxa"/>
            <w:vAlign w:val="bottom"/>
            <w:shd w:val="clear" w:color="auto" w:fill="CCEEFF"/>
          </w:tcPr>
          <w:p>
            <w:pPr>
              <w:jc w:val="right"/>
              <w:ind w:right="716"/>
              <w:spacing w:after="0"/>
              <w:rPr>
                <w:sz w:val="20"/>
                <w:szCs w:val="20"/>
                <w:color w:val="auto"/>
              </w:rPr>
            </w:pPr>
            <w:r>
              <w:rPr>
                <w:rFonts w:ascii="Times New Roman" w:cs="Times New Roman" w:eastAsia="Times New Roman" w:hAnsi="Times New Roman"/>
                <w:sz w:val="18"/>
                <w:szCs w:val="18"/>
                <w:color w:val="auto"/>
                <w:w w:val="88"/>
              </w:rPr>
              <w:t>$</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40" w:type="dxa"/>
            <w:vAlign w:val="bottom"/>
            <w:gridSpan w:val="2"/>
            <w:shd w:val="clear" w:color="auto" w:fill="CCEEFF"/>
          </w:tcPr>
          <w:p>
            <w:pPr>
              <w:jc w:val="right"/>
              <w:ind w:right="959"/>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2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40</w:t>
            </w:r>
          </w:p>
        </w:tc>
      </w:tr>
    </w:tbl>
    <w:p>
      <w:pPr>
        <w:spacing w:after="0" w:line="19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A portion of the Company’s derivative commodity contracts relates to its Thermal Business for the purchase of fuel commodities based on the forecasted usage of the thermal district energy centers. Realized gains and losses on these contracts are reflected in the fuel costs that are permitted to be billed to customers through the related customer contracts or tariffs and, accordingly, no gains or losses are reflected in the consolidated statements of operations for these contracts.</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In connection with the repowering activities at Elbow Creek, the Company entered into a new long-term power hedge in January of 2019, and the impact to the consolidated statements of operations was a $9 million loss for the period ended September 30, 2019. The loss was recorded in total operating revenues in the Company's consolidated statements of operations.</w:t>
      </w:r>
    </w:p>
    <w:p>
      <w:pPr>
        <w:spacing w:after="0" w:line="17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 xml:space="preserve">See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for a discussion regarding concentration of credit risk.</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5" w:name="page26"/>
    <w:bookmarkEnd w:id="2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7 — </w:t>
      </w:r>
      <w:r>
        <w:rPr>
          <w:rFonts w:ascii="Times New Roman" w:cs="Times New Roman" w:eastAsia="Times New Roman" w:hAnsi="Times New Roman"/>
          <w:sz w:val="18"/>
          <w:szCs w:val="18"/>
          <w:b w:val="1"/>
          <w:bCs w:val="1"/>
          <w:i w:val="1"/>
          <w:iCs w:val="1"/>
          <w:color w:val="auto"/>
        </w:rPr>
        <w:t>Long-term Debt</w:t>
      </w:r>
    </w:p>
    <w:p>
      <w:pPr>
        <w:spacing w:after="0" w:line="225" w:lineRule="exact"/>
        <w:rPr>
          <w:sz w:val="20"/>
          <w:szCs w:val="20"/>
          <w:color w:val="auto"/>
        </w:rPr>
      </w:pPr>
    </w:p>
    <w:p>
      <w:pPr>
        <w:ind w:right="220" w:firstLine="405"/>
        <w:spacing w:after="0" w:line="263" w:lineRule="auto"/>
        <w:rPr>
          <w:sz w:val="20"/>
          <w:szCs w:val="20"/>
          <w:color w:val="auto"/>
        </w:rPr>
      </w:pPr>
      <w:r>
        <w:rPr>
          <w:rFonts w:ascii="Times New Roman" w:cs="Times New Roman" w:eastAsia="Times New Roman" w:hAnsi="Times New Roman"/>
          <w:sz w:val="18"/>
          <w:szCs w:val="18"/>
          <w:color w:val="auto"/>
        </w:rPr>
        <w:t xml:space="preserve">This footnote should be read in conjunction with the complete description under Note 10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 consolidated financial statements included in the Company's 2018 Form 10-K. Long-term debt consisted of the following:</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0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Letters of</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vMerge w:val="restart"/>
          </w:tcPr>
          <w:p>
            <w:pPr>
              <w:jc w:val="center"/>
              <w:ind w:right="11"/>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7"/>
                <w:szCs w:val="17"/>
                <w:color w:val="auto"/>
              </w:rPr>
            </w:pPr>
          </w:p>
        </w:tc>
        <w:tc>
          <w:tcPr>
            <w:tcW w:w="12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8"/>
              </w:rPr>
              <w:t>Credit</w:t>
            </w:r>
          </w:p>
        </w:tc>
        <w:tc>
          <w:tcPr>
            <w:tcW w:w="0" w:type="dxa"/>
            <w:vAlign w:val="bottom"/>
          </w:tcPr>
          <w:p>
            <w:pPr>
              <w:spacing w:after="0"/>
              <w:rPr>
                <w:sz w:val="1"/>
                <w:szCs w:val="1"/>
                <w:color w:val="auto"/>
              </w:rPr>
            </w:pPr>
          </w:p>
        </w:tc>
      </w:tr>
      <w:tr>
        <w:trPr>
          <w:trHeight w:val="164"/>
        </w:trPr>
        <w:tc>
          <w:tcPr>
            <w:tcW w:w="60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4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36"/>
              <w:spacing w:after="0" w:line="165" w:lineRule="exact"/>
              <w:rPr>
                <w:sz w:val="20"/>
                <w:szCs w:val="20"/>
                <w:color w:val="auto"/>
              </w:rPr>
            </w:pPr>
            <w:r>
              <w:rPr>
                <w:rFonts w:ascii="Times New Roman" w:cs="Times New Roman" w:eastAsia="Times New Roman" w:hAnsi="Times New Roman"/>
                <w:sz w:val="16"/>
                <w:szCs w:val="16"/>
                <w:b w:val="1"/>
                <w:bCs w:val="1"/>
                <w:color w:val="auto"/>
              </w:rPr>
              <w:t>Outstanding at</w:t>
            </w:r>
          </w:p>
        </w:tc>
        <w:tc>
          <w:tcPr>
            <w:tcW w:w="0" w:type="dxa"/>
            <w:vAlign w:val="bottom"/>
          </w:tcPr>
          <w:p>
            <w:pPr>
              <w:spacing w:after="0"/>
              <w:rPr>
                <w:sz w:val="1"/>
                <w:szCs w:val="1"/>
                <w:color w:val="auto"/>
              </w:rPr>
            </w:pPr>
          </w:p>
        </w:tc>
      </w:tr>
      <w:tr>
        <w:trPr>
          <w:trHeight w:val="203"/>
        </w:trPr>
        <w:tc>
          <w:tcPr>
            <w:tcW w:w="6080" w:type="dxa"/>
            <w:vAlign w:val="bottom"/>
          </w:tcPr>
          <w:p>
            <w:pPr>
              <w:spacing w:after="0"/>
              <w:rPr>
                <w:sz w:val="17"/>
                <w:szCs w:val="17"/>
                <w:color w:val="auto"/>
              </w:rPr>
            </w:pPr>
          </w:p>
        </w:tc>
        <w:tc>
          <w:tcPr>
            <w:tcW w:w="1280" w:type="dxa"/>
            <w:vAlign w:val="bottom"/>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2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2019, interest</w:t>
            </w:r>
          </w:p>
        </w:tc>
        <w:tc>
          <w:tcPr>
            <w:tcW w:w="120" w:type="dxa"/>
            <w:vAlign w:val="bottom"/>
          </w:tcPr>
          <w:p>
            <w:pPr>
              <w:spacing w:after="0"/>
              <w:rPr>
                <w:sz w:val="17"/>
                <w:szCs w:val="17"/>
                <w:color w:val="auto"/>
              </w:rPr>
            </w:pPr>
          </w:p>
        </w:tc>
        <w:tc>
          <w:tcPr>
            <w:tcW w:w="1240" w:type="dxa"/>
            <w:vAlign w:val="bottom"/>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rPr>
              <w:t>September 30,</w:t>
            </w:r>
          </w:p>
        </w:tc>
        <w:tc>
          <w:tcPr>
            <w:tcW w:w="0" w:type="dxa"/>
            <w:vAlign w:val="bottom"/>
          </w:tcPr>
          <w:p>
            <w:pPr>
              <w:spacing w:after="0"/>
              <w:rPr>
                <w:sz w:val="1"/>
                <w:szCs w:val="1"/>
                <w:color w:val="auto"/>
              </w:rPr>
            </w:pPr>
          </w:p>
        </w:tc>
      </w:tr>
      <w:tr>
        <w:trPr>
          <w:trHeight w:val="257"/>
        </w:trPr>
        <w:tc>
          <w:tcPr>
            <w:tcW w:w="6080" w:type="dxa"/>
            <w:vAlign w:val="bottom"/>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Borders>
              <w:bottom w:val="single" w:sz="8" w:color="auto"/>
            </w:tcBorders>
          </w:tcPr>
          <w:p>
            <w:pPr>
              <w:jc w:val="center"/>
              <w:spacing w:after="0" w:line="257" w:lineRule="exact"/>
              <w:rPr>
                <w:sz w:val="20"/>
                <w:szCs w:val="20"/>
                <w:color w:val="auto"/>
              </w:rPr>
            </w:pPr>
            <w:r>
              <w:rPr>
                <w:rFonts w:ascii="Times New Roman" w:cs="Times New Roman" w:eastAsia="Times New Roman" w:hAnsi="Times New Roman"/>
                <w:sz w:val="16"/>
                <w:szCs w:val="16"/>
                <w:b w:val="1"/>
                <w:bCs w:val="1"/>
                <w:color w:val="auto"/>
                <w:w w:val="93"/>
              </w:rPr>
              <w:t xml:space="preserve">rate % </w:t>
            </w:r>
            <w:r>
              <w:rPr>
                <w:rFonts w:ascii="Times New Roman" w:cs="Times New Roman" w:eastAsia="Times New Roman" w:hAnsi="Times New Roman"/>
                <w:sz w:val="27"/>
                <w:szCs w:val="27"/>
                <w:b w:val="1"/>
                <w:bCs w:val="1"/>
                <w:color w:val="auto"/>
                <w:w w:val="93"/>
                <w:vertAlign w:val="superscript"/>
              </w:rPr>
              <w:t>(a)</w:t>
            </w:r>
          </w:p>
        </w:tc>
        <w:tc>
          <w:tcPr>
            <w:tcW w:w="120" w:type="dxa"/>
            <w:vAlign w:val="bottom"/>
          </w:tcPr>
          <w:p>
            <w:pPr>
              <w:spacing w:after="0"/>
              <w:rPr>
                <w:sz w:val="22"/>
                <w:szCs w:val="22"/>
                <w:color w:val="auto"/>
              </w:rPr>
            </w:pPr>
          </w:p>
        </w:tc>
        <w:tc>
          <w:tcPr>
            <w:tcW w:w="1240" w:type="dxa"/>
            <w:vAlign w:val="bottom"/>
            <w:tcBorders>
              <w:bottom w:val="single" w:sz="8" w:color="auto"/>
            </w:tcBorders>
          </w:tcPr>
          <w:p>
            <w:pPr>
              <w:jc w:val="center"/>
              <w:ind w:right="36"/>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0" w:type="dxa"/>
            <w:vAlign w:val="bottom"/>
          </w:tcPr>
          <w:p>
            <w:pPr>
              <w:spacing w:after="0"/>
              <w:rPr>
                <w:sz w:val="1"/>
                <w:szCs w:val="1"/>
                <w:color w:val="auto"/>
              </w:rPr>
            </w:pPr>
          </w:p>
        </w:tc>
      </w:tr>
      <w:tr>
        <w:trPr>
          <w:trHeight w:val="210"/>
        </w:trPr>
        <w:tc>
          <w:tcPr>
            <w:tcW w:w="60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340" w:type="dxa"/>
            <w:vAlign w:val="bottom"/>
            <w:gridSpan w:val="2"/>
          </w:tcPr>
          <w:p>
            <w:pPr>
              <w:jc w:val="right"/>
              <w:ind w:right="351"/>
              <w:spacing w:after="0"/>
              <w:rPr>
                <w:sz w:val="20"/>
                <w:szCs w:val="20"/>
                <w:color w:val="auto"/>
              </w:rPr>
            </w:pPr>
            <w:r>
              <w:rPr>
                <w:rFonts w:ascii="Times New Roman" w:cs="Times New Roman" w:eastAsia="Times New Roman" w:hAnsi="Times New Roman"/>
                <w:sz w:val="18"/>
                <w:szCs w:val="18"/>
                <w:i w:val="1"/>
                <w:iCs w:val="1"/>
                <w:color w:val="auto"/>
                <w:w w:val="95"/>
              </w:rPr>
              <w:t>except rates)</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 Convertible Notes</w:t>
            </w:r>
          </w:p>
        </w:tc>
        <w:tc>
          <w:tcPr>
            <w:tcW w:w="240" w:type="dxa"/>
            <w:vAlign w:val="bottom"/>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220</w:t>
            </w:r>
          </w:p>
        </w:tc>
        <w:tc>
          <w:tcPr>
            <w:tcW w:w="13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2020 Convertible Notes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13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3.250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2024 Senior Notes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500</w:t>
            </w:r>
          </w:p>
        </w:tc>
        <w:tc>
          <w:tcPr>
            <w:tcW w:w="13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5.375</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2025 Senior Notes</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600</w:t>
            </w:r>
          </w:p>
        </w:tc>
        <w:tc>
          <w:tcPr>
            <w:tcW w:w="13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5.750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2026 Senior Notes</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350</w:t>
            </w:r>
          </w:p>
        </w:tc>
        <w:tc>
          <w:tcPr>
            <w:tcW w:w="13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5.000</w:t>
            </w: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60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Clearway Energy LLC and Clearway Energy Operating LLC Revolving Credit</w:t>
            </w:r>
          </w:p>
        </w:tc>
        <w:tc>
          <w:tcPr>
            <w:tcW w:w="2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1"/>
        </w:trPr>
        <w:tc>
          <w:tcPr>
            <w:tcW w:w="6080" w:type="dxa"/>
            <w:vAlign w:val="bottom"/>
          </w:tcPr>
          <w:p>
            <w:pPr>
              <w:spacing w:after="0" w:line="271" w:lineRule="exact"/>
              <w:rPr>
                <w:sz w:val="20"/>
                <w:szCs w:val="20"/>
                <w:color w:val="auto"/>
              </w:rPr>
            </w:pPr>
            <w:r>
              <w:rPr>
                <w:rFonts w:ascii="Times New Roman" w:cs="Times New Roman" w:eastAsia="Times New Roman" w:hAnsi="Times New Roman"/>
                <w:sz w:val="18"/>
                <w:szCs w:val="18"/>
                <w:color w:val="auto"/>
              </w:rPr>
              <w:t xml:space="preserve">Facility, due 2023 </w:t>
            </w:r>
            <w:r>
              <w:rPr>
                <w:rFonts w:ascii="Times New Roman" w:cs="Times New Roman" w:eastAsia="Times New Roman" w:hAnsi="Times New Roman"/>
                <w:sz w:val="30"/>
                <w:szCs w:val="30"/>
                <w:color w:val="auto"/>
                <w:vertAlign w:val="superscript"/>
              </w:rPr>
              <w:t>(b)</w:t>
            </w:r>
          </w:p>
        </w:tc>
        <w:tc>
          <w:tcPr>
            <w:tcW w:w="240" w:type="dxa"/>
            <w:vAlign w:val="bottom"/>
          </w:tcPr>
          <w:p>
            <w:pPr>
              <w:spacing w:after="0"/>
              <w:rPr>
                <w:sz w:val="23"/>
                <w:szCs w:val="23"/>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L+1.75</w:t>
            </w:r>
          </w:p>
        </w:tc>
        <w:tc>
          <w:tcPr>
            <w:tcW w:w="1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b w:val="1"/>
                <w:bCs w:val="1"/>
                <w:color w:val="auto"/>
              </w:rPr>
              <w:t>Project-level debt:</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57"/>
        </w:trPr>
        <w:tc>
          <w:tcPr>
            <w:tcW w:w="6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Agua Caliente Borrower 2, due 2038 </w:t>
            </w:r>
            <w:r>
              <w:rPr>
                <w:rFonts w:ascii="Times New Roman" w:cs="Times New Roman" w:eastAsia="Times New Roman" w:hAnsi="Times New Roman"/>
                <w:sz w:val="29"/>
                <w:szCs w:val="29"/>
                <w:color w:val="auto"/>
                <w:vertAlign w:val="superscript"/>
              </w:rPr>
              <w:t>(c)(d)</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100" w:type="dxa"/>
            <w:vAlign w:val="bottom"/>
          </w:tcPr>
          <w:p>
            <w:pPr>
              <w:spacing w:after="0"/>
              <w:rPr>
                <w:sz w:val="22"/>
                <w:szCs w:val="22"/>
                <w:color w:val="auto"/>
              </w:rPr>
            </w:pPr>
          </w:p>
        </w:tc>
        <w:tc>
          <w:tcPr>
            <w:tcW w:w="13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5.430</w:t>
            </w:r>
          </w:p>
        </w:tc>
        <w:tc>
          <w:tcPr>
            <w:tcW w:w="1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57"/>
        </w:trPr>
        <w:tc>
          <w:tcPr>
            <w:tcW w:w="6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Alpine, due 2022 </w:t>
            </w:r>
            <w:r>
              <w:rPr>
                <w:rFonts w:ascii="Times New Roman" w:cs="Times New Roman" w:eastAsia="Times New Roman" w:hAnsi="Times New Roman"/>
                <w:sz w:val="29"/>
                <w:szCs w:val="29"/>
                <w:color w:val="auto"/>
                <w:vertAlign w:val="superscript"/>
              </w:rPr>
              <w:t>(c)</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127</w:t>
            </w:r>
          </w:p>
        </w:tc>
        <w:tc>
          <w:tcPr>
            <w:tcW w:w="10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L+2.00</w:t>
            </w:r>
          </w:p>
        </w:tc>
        <w:tc>
          <w:tcPr>
            <w:tcW w:w="1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Alta Wind I - V lease financing arrangements, due 2034 and 2035</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886</w:t>
            </w:r>
          </w:p>
        </w:tc>
        <w:tc>
          <w:tcPr>
            <w:tcW w:w="13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5.696 - 7.015</w:t>
            </w:r>
          </w:p>
        </w:tc>
        <w:tc>
          <w:tcPr>
            <w:tcW w:w="1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Buckthorn Solar, due 2025</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L+1.750</w:t>
            </w:r>
          </w:p>
        </w:tc>
        <w:tc>
          <w:tcPr>
            <w:tcW w:w="1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57"/>
        </w:trPr>
        <w:tc>
          <w:tcPr>
            <w:tcW w:w="6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CVSR, due 2037 </w:t>
            </w:r>
            <w:r>
              <w:rPr>
                <w:rFonts w:ascii="Times New Roman" w:cs="Times New Roman" w:eastAsia="Times New Roman" w:hAnsi="Times New Roman"/>
                <w:sz w:val="29"/>
                <w:szCs w:val="29"/>
                <w:color w:val="auto"/>
                <w:vertAlign w:val="superscript"/>
              </w:rPr>
              <w:t>(c)</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720</w:t>
            </w:r>
          </w:p>
        </w:tc>
        <w:tc>
          <w:tcPr>
            <w:tcW w:w="13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2.339 - 3.775</w:t>
            </w:r>
          </w:p>
        </w:tc>
        <w:tc>
          <w:tcPr>
            <w:tcW w:w="120" w:type="dxa"/>
            <w:vAlign w:val="bottom"/>
          </w:tcPr>
          <w:p>
            <w:pPr>
              <w:spacing w:after="0"/>
              <w:rPr>
                <w:sz w:val="22"/>
                <w:szCs w:val="22"/>
                <w:color w:val="auto"/>
              </w:rPr>
            </w:pP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57"/>
        </w:trPr>
        <w:tc>
          <w:tcPr>
            <w:tcW w:w="60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CVSR Holdco Notes, due 2037 </w:t>
            </w:r>
            <w:r>
              <w:rPr>
                <w:rFonts w:ascii="Times New Roman" w:cs="Times New Roman" w:eastAsia="Times New Roman" w:hAnsi="Times New Roman"/>
                <w:sz w:val="29"/>
                <w:szCs w:val="29"/>
                <w:color w:val="auto"/>
                <w:vertAlign w:val="superscript"/>
              </w:rPr>
              <w:t>(c)</w:t>
            </w:r>
          </w:p>
        </w:tc>
        <w:tc>
          <w:tcPr>
            <w:tcW w:w="240" w:type="dxa"/>
            <w:vAlign w:val="bottom"/>
            <w:shd w:val="clear" w:color="auto" w:fill="CCEEFF"/>
          </w:tcPr>
          <w:p>
            <w:pPr>
              <w:spacing w:after="0"/>
              <w:rPr>
                <w:sz w:val="22"/>
                <w:szCs w:val="22"/>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12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188</w:t>
            </w:r>
          </w:p>
        </w:tc>
        <w:tc>
          <w:tcPr>
            <w:tcW w:w="1340" w:type="dxa"/>
            <w:vAlign w:val="bottom"/>
            <w:gridSpan w:val="2"/>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4.680</w:t>
            </w:r>
          </w:p>
        </w:tc>
        <w:tc>
          <w:tcPr>
            <w:tcW w:w="1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Duquesne, due 2059</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340" w:type="dxa"/>
            <w:vAlign w:val="bottom"/>
            <w:gridSpan w:val="2"/>
          </w:tcPr>
          <w:p>
            <w:pPr>
              <w:jc w:val="right"/>
              <w:ind w:right="11"/>
              <w:spacing w:after="0"/>
              <w:rPr>
                <w:sz w:val="20"/>
                <w:szCs w:val="20"/>
                <w:color w:val="auto"/>
              </w:rPr>
            </w:pPr>
            <w:r>
              <w:rPr>
                <w:rFonts w:ascii="Times New Roman" w:cs="Times New Roman" w:eastAsia="Times New Roman" w:hAnsi="Times New Roman"/>
                <w:sz w:val="18"/>
                <w:szCs w:val="18"/>
                <w:color w:val="auto"/>
              </w:rPr>
              <w:t>4.620</w:t>
            </w: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608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40" w:type="dxa"/>
            <w:vAlign w:val="bottom"/>
            <w:shd w:val="clear" w:color="auto" w:fill="CCEEFF"/>
          </w:tcPr>
          <w:p>
            <w:pPr>
              <w:jc w:val="right"/>
              <w:ind w:right="11"/>
              <w:spacing w:after="0" w:line="198" w:lineRule="exact"/>
              <w:rPr>
                <w:sz w:val="20"/>
                <w:szCs w:val="20"/>
                <w:color w:val="auto"/>
              </w:rPr>
            </w:pPr>
            <w:r>
              <w:rPr>
                <w:rFonts w:ascii="Times New Roman" w:cs="Times New Roman" w:eastAsia="Times New Roman" w:hAnsi="Times New Roman"/>
                <w:sz w:val="18"/>
                <w:szCs w:val="18"/>
                <w:color w:val="auto"/>
              </w:rPr>
              <w:t>L+1.75 -</w:t>
            </w: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El Segundo Energy Center, due 2023</w:t>
            </w: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303</w:t>
            </w:r>
          </w:p>
        </w:tc>
        <w:tc>
          <w:tcPr>
            <w:tcW w:w="1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352</w:t>
            </w:r>
          </w:p>
        </w:tc>
        <w:tc>
          <w:tcPr>
            <w:tcW w:w="10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L+2.375</w:t>
            </w:r>
          </w:p>
        </w:tc>
        <w:tc>
          <w:tcPr>
            <w:tcW w:w="1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138</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Energy Center Minneapolis Series D, E, F, G, H Notes, due 2025-2037</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328</w:t>
            </w:r>
          </w:p>
        </w:tc>
        <w:tc>
          <w:tcPr>
            <w:tcW w:w="10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various</w:t>
            </w:r>
          </w:p>
        </w:tc>
        <w:tc>
          <w:tcPr>
            <w:tcW w:w="120" w:type="dxa"/>
            <w:vAlign w:val="bottom"/>
          </w:tcPr>
          <w:p>
            <w:pPr>
              <w:spacing w:after="0"/>
              <w:rPr>
                <w:sz w:val="18"/>
                <w:szCs w:val="18"/>
                <w:color w:val="auto"/>
              </w:rPr>
            </w:pPr>
          </w:p>
        </w:tc>
        <w:tc>
          <w:tcPr>
            <w:tcW w:w="1240" w:type="dxa"/>
            <w:vAlign w:val="bottom"/>
          </w:tcPr>
          <w:p>
            <w:pPr>
              <w:jc w:val="right"/>
              <w:ind w:right="16"/>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Laredo Ridge, due 2028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L+2.125</w:t>
            </w:r>
          </w:p>
        </w:tc>
        <w:tc>
          <w:tcPr>
            <w:tcW w:w="1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57"/>
        </w:trPr>
        <w:tc>
          <w:tcPr>
            <w:tcW w:w="6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Kansas South, due 2030 </w:t>
            </w:r>
            <w:r>
              <w:rPr>
                <w:rFonts w:ascii="Times New Roman" w:cs="Times New Roman" w:eastAsia="Times New Roman" w:hAnsi="Times New Roman"/>
                <w:sz w:val="29"/>
                <w:szCs w:val="29"/>
                <w:color w:val="auto"/>
                <w:vertAlign w:val="superscript"/>
              </w:rPr>
              <w:t>(c)</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L+2.00</w:t>
            </w:r>
          </w:p>
        </w:tc>
        <w:tc>
          <w:tcPr>
            <w:tcW w:w="1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Kawailoa Solar Holdings LLC, due 2026</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L+1.375</w:t>
            </w:r>
          </w:p>
        </w:tc>
        <w:tc>
          <w:tcPr>
            <w:tcW w:w="1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57"/>
        </w:trPr>
        <w:tc>
          <w:tcPr>
            <w:tcW w:w="60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Marsh Landing, due 2023 </w:t>
            </w:r>
            <w:r>
              <w:rPr>
                <w:rFonts w:ascii="Times New Roman" w:cs="Times New Roman" w:eastAsia="Times New Roman" w:hAnsi="Times New Roman"/>
                <w:sz w:val="29"/>
                <w:szCs w:val="29"/>
                <w:color w:val="auto"/>
                <w:vertAlign w:val="superscript"/>
              </w:rPr>
              <w:t>(c)</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263</w:t>
            </w:r>
          </w:p>
        </w:tc>
        <w:tc>
          <w:tcPr>
            <w:tcW w:w="10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L+2.125</w:t>
            </w:r>
          </w:p>
        </w:tc>
        <w:tc>
          <w:tcPr>
            <w:tcW w:w="1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Oahu Solar Holdings LLC, due 2026</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L+1.375</w:t>
            </w:r>
          </w:p>
        </w:tc>
        <w:tc>
          <w:tcPr>
            <w:tcW w:w="1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Repowering Partnership Holdco LLC, due 2020</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L+0.85</w:t>
            </w:r>
          </w:p>
        </w:tc>
        <w:tc>
          <w:tcPr>
            <w:tcW w:w="1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South Trent Wind, due 2028</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L+1.350</w:t>
            </w:r>
          </w:p>
        </w:tc>
        <w:tc>
          <w:tcPr>
            <w:tcW w:w="1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12</w:t>
            </w:r>
          </w:p>
        </w:tc>
        <w:tc>
          <w:tcPr>
            <w:tcW w:w="0" w:type="dxa"/>
            <w:vAlign w:val="bottom"/>
          </w:tcPr>
          <w:p>
            <w:pPr>
              <w:spacing w:after="0"/>
              <w:rPr>
                <w:sz w:val="1"/>
                <w:szCs w:val="1"/>
                <w:color w:val="auto"/>
              </w:rPr>
            </w:pPr>
          </w:p>
        </w:tc>
      </w:tr>
      <w:tr>
        <w:trPr>
          <w:trHeight w:val="257"/>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Tapestry, due 2031</w:t>
            </w:r>
          </w:p>
        </w:tc>
        <w:tc>
          <w:tcPr>
            <w:tcW w:w="240" w:type="dxa"/>
            <w:vAlign w:val="bottom"/>
          </w:tcPr>
          <w:p>
            <w:pPr>
              <w:spacing w:after="0"/>
              <w:rPr>
                <w:sz w:val="22"/>
                <w:szCs w:val="22"/>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w:t>
            </w: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Pr>
          <w:p>
            <w:pPr>
              <w:spacing w:after="0"/>
              <w:rPr>
                <w:sz w:val="22"/>
                <w:szCs w:val="22"/>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L+1.375</w:t>
            </w:r>
          </w:p>
        </w:tc>
        <w:tc>
          <w:tcPr>
            <w:tcW w:w="1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Utah Solar Portfolio, due 2022</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267</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L+2.625</w:t>
            </w:r>
          </w:p>
        </w:tc>
        <w:tc>
          <w:tcPr>
            <w:tcW w:w="1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Viento, due 2023</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L+2.00</w:t>
            </w:r>
          </w:p>
        </w:tc>
        <w:tc>
          <w:tcPr>
            <w:tcW w:w="1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Walnut Creek, due 2023</w:t>
            </w:r>
          </w:p>
        </w:tc>
        <w:tc>
          <w:tcPr>
            <w:tcW w:w="2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222</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L+1.75</w:t>
            </w:r>
          </w:p>
        </w:tc>
        <w:tc>
          <w:tcPr>
            <w:tcW w:w="136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82</w:t>
            </w:r>
          </w:p>
        </w:tc>
        <w:tc>
          <w:tcPr>
            <w:tcW w:w="0" w:type="dxa"/>
            <w:vAlign w:val="bottom"/>
          </w:tcPr>
          <w:p>
            <w:pPr>
              <w:spacing w:after="0"/>
              <w:rPr>
                <w:sz w:val="1"/>
                <w:szCs w:val="1"/>
                <w:color w:val="auto"/>
              </w:rPr>
            </w:pPr>
          </w:p>
        </w:tc>
      </w:tr>
      <w:tr>
        <w:trPr>
          <w:trHeight w:val="216"/>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Other</w:t>
            </w:r>
          </w:p>
        </w:tc>
        <w:tc>
          <w:tcPr>
            <w:tcW w:w="24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4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various</w:t>
            </w:r>
          </w:p>
        </w:tc>
        <w:tc>
          <w:tcPr>
            <w:tcW w:w="1360" w:type="dxa"/>
            <w:vAlign w:val="bottom"/>
            <w:gridSpan w:val="2"/>
          </w:tcPr>
          <w:p>
            <w:pPr>
              <w:jc w:val="right"/>
              <w:ind w:right="16"/>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0"/>
        </w:trPr>
        <w:tc>
          <w:tcPr>
            <w:tcW w:w="60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Subtotal project-level debt:</w:t>
            </w:r>
          </w:p>
        </w:tc>
        <w:tc>
          <w:tcPr>
            <w:tcW w:w="24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4,329</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debt</w:t>
            </w:r>
          </w:p>
        </w:tc>
        <w:tc>
          <w:tcPr>
            <w:tcW w:w="24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6,044</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Less current maturities</w:t>
            </w:r>
          </w:p>
        </w:tc>
        <w:tc>
          <w:tcPr>
            <w:tcW w:w="24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(1,965)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(535)</w:t>
            </w:r>
          </w:p>
        </w:tc>
        <w:tc>
          <w:tcPr>
            <w:tcW w:w="10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8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Less net debt issuance costs</w:t>
            </w:r>
          </w:p>
        </w:tc>
        <w:tc>
          <w:tcPr>
            <w:tcW w:w="240" w:type="dxa"/>
            <w:vAlign w:val="bottom"/>
          </w:tcPr>
          <w:p>
            <w:pPr>
              <w:spacing w:after="0"/>
              <w:rPr>
                <w:sz w:val="18"/>
                <w:szCs w:val="18"/>
                <w:color w:val="auto"/>
              </w:rPr>
            </w:pP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(71)</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(61)</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6080" w:type="dxa"/>
            <w:vAlign w:val="bottom"/>
            <w:shd w:val="clear" w:color="auto" w:fill="CCEEFF"/>
          </w:tcPr>
          <w:p>
            <w:pPr>
              <w:ind w:left="180"/>
              <w:spacing w:after="0" w:line="243" w:lineRule="exact"/>
              <w:rPr>
                <w:sz w:val="20"/>
                <w:szCs w:val="20"/>
                <w:color w:val="auto"/>
              </w:rPr>
            </w:pPr>
            <w:r>
              <w:rPr>
                <w:rFonts w:ascii="Times New Roman" w:cs="Times New Roman" w:eastAsia="Times New Roman" w:hAnsi="Times New Roman"/>
                <w:sz w:val="17"/>
                <w:szCs w:val="17"/>
                <w:color w:val="auto"/>
              </w:rPr>
              <w:t xml:space="preserve">Less discounts </w:t>
            </w:r>
            <w:r>
              <w:rPr>
                <w:rFonts w:ascii="Times New Roman" w:cs="Times New Roman" w:eastAsia="Times New Roman" w:hAnsi="Times New Roman"/>
                <w:sz w:val="28"/>
                <w:szCs w:val="28"/>
                <w:color w:val="auto"/>
                <w:vertAlign w:val="superscript"/>
              </w:rPr>
              <w:t>(e)</w:t>
            </w:r>
          </w:p>
        </w:tc>
        <w:tc>
          <w:tcPr>
            <w:tcW w:w="240" w:type="dxa"/>
            <w:vAlign w:val="bottom"/>
            <w:shd w:val="clear" w:color="auto" w:fill="CCEEFF"/>
          </w:tcPr>
          <w:p>
            <w:pPr>
              <w:spacing w:after="0"/>
              <w:rPr>
                <w:sz w:val="21"/>
                <w:szCs w:val="21"/>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1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2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08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4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8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Total long-term debt</w:t>
            </w:r>
          </w:p>
        </w:tc>
        <w:tc>
          <w:tcPr>
            <w:tcW w:w="240" w:type="dxa"/>
            <w:vAlign w:val="bottom"/>
          </w:tcPr>
          <w:p>
            <w:pPr>
              <w:jc w:val="right"/>
              <w:ind w:right="76"/>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4,143</w:t>
            </w:r>
          </w:p>
        </w:tc>
        <w:tc>
          <w:tcPr>
            <w:tcW w:w="12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b w:val="1"/>
                <w:bCs w:val="1"/>
                <w:color w:val="auto"/>
              </w:rPr>
              <w:t>$</w:t>
            </w:r>
          </w:p>
        </w:tc>
        <w:tc>
          <w:tcPr>
            <w:tcW w:w="11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5,447</w:t>
            </w:r>
          </w:p>
        </w:tc>
        <w:tc>
          <w:tcPr>
            <w:tcW w:w="10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0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left="260" w:hanging="252"/>
        <w:spacing w:after="0" w:line="210" w:lineRule="auto"/>
        <w:tabs>
          <w:tab w:leader="none" w:pos="260" w:val="left"/>
        </w:tabs>
        <w:numPr>
          <w:ilvl w:val="0"/>
          <w:numId w:val="14"/>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As of September 30, 2019, L+ equals 3 month LIBOR plus x%, except for Viento, due 2023 and Kansas South, due 2030 where L+ equals 6 month LIBOR plus 2.00% and Utah Solar Portfolio, Kawailoa Solar Holdings LLC, Oahu Solar Holdings LLC, Repowering Partnership Holdco LLC where L+ equals 1 month LIBOR plus x%</w:t>
      </w:r>
    </w:p>
    <w:p>
      <w:pPr>
        <w:spacing w:after="0" w:line="2" w:lineRule="exact"/>
        <w:rPr>
          <w:rFonts w:ascii="Times New Roman" w:cs="Times New Roman" w:eastAsia="Times New Roman" w:hAnsi="Times New Roman"/>
          <w:sz w:val="30"/>
          <w:szCs w:val="30"/>
          <w:color w:val="auto"/>
          <w:vertAlign w:val="superscript"/>
        </w:rPr>
      </w:pPr>
    </w:p>
    <w:p>
      <w:pPr>
        <w:ind w:left="280" w:hanging="272"/>
        <w:spacing w:after="0" w:line="180" w:lineRule="auto"/>
        <w:tabs>
          <w:tab w:leader="none" w:pos="280" w:val="left"/>
        </w:tabs>
        <w:numPr>
          <w:ilvl w:val="0"/>
          <w:numId w:val="14"/>
        </w:numPr>
        <w:rPr>
          <w:rFonts w:ascii="Times New Roman" w:cs="Times New Roman" w:eastAsia="Times New Roman" w:hAnsi="Times New Roman"/>
          <w:sz w:val="25"/>
          <w:szCs w:val="25"/>
          <w:color w:val="auto"/>
          <w:vertAlign w:val="superscript"/>
        </w:rPr>
      </w:pPr>
      <w:r>
        <w:rPr>
          <w:rFonts w:ascii="Times New Roman" w:cs="Times New Roman" w:eastAsia="Times New Roman" w:hAnsi="Times New Roman"/>
          <w:sz w:val="16"/>
          <w:szCs w:val="16"/>
          <w:color w:val="auto"/>
        </w:rPr>
        <w:t>Applicable rate is determined by the borrower leverage ratio, as defined in the credit agreement</w:t>
      </w:r>
    </w:p>
    <w:p>
      <w:pPr>
        <w:spacing w:after="0" w:line="42" w:lineRule="exact"/>
        <w:rPr>
          <w:rFonts w:ascii="Times New Roman" w:cs="Times New Roman" w:eastAsia="Times New Roman" w:hAnsi="Times New Roman"/>
          <w:sz w:val="25"/>
          <w:szCs w:val="25"/>
          <w:color w:val="auto"/>
          <w:vertAlign w:val="superscript"/>
        </w:rPr>
      </w:pPr>
    </w:p>
    <w:p>
      <w:pPr>
        <w:ind w:left="260" w:hanging="252"/>
        <w:spacing w:after="0" w:line="186" w:lineRule="auto"/>
        <w:tabs>
          <w:tab w:leader="none" w:pos="26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Entities affected by PG&amp;E Bankruptcy, see further discussion below</w:t>
      </w:r>
    </w:p>
    <w:p>
      <w:pPr>
        <w:spacing w:after="0" w:line="56" w:lineRule="exact"/>
        <w:rPr>
          <w:rFonts w:ascii="Times New Roman" w:cs="Times New Roman" w:eastAsia="Times New Roman" w:hAnsi="Times New Roman"/>
          <w:sz w:val="24"/>
          <w:szCs w:val="24"/>
          <w:color w:val="auto"/>
          <w:vertAlign w:val="superscript"/>
        </w:rPr>
      </w:pPr>
    </w:p>
    <w:p>
      <w:pPr>
        <w:ind w:left="280" w:hanging="272"/>
        <w:spacing w:after="0" w:line="186" w:lineRule="auto"/>
        <w:tabs>
          <w:tab w:leader="none" w:pos="28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The Company repaid the debt on October 21, 2019, as further described below</w:t>
      </w:r>
    </w:p>
    <w:p>
      <w:pPr>
        <w:spacing w:after="0" w:line="42" w:lineRule="exact"/>
        <w:rPr>
          <w:rFonts w:ascii="Times New Roman" w:cs="Times New Roman" w:eastAsia="Times New Roman" w:hAnsi="Times New Roman"/>
          <w:sz w:val="24"/>
          <w:szCs w:val="24"/>
          <w:color w:val="auto"/>
          <w:vertAlign w:val="superscript"/>
        </w:rPr>
      </w:pPr>
    </w:p>
    <w:p>
      <w:pPr>
        <w:ind w:left="280" w:hanging="272"/>
        <w:spacing w:after="0" w:line="186" w:lineRule="auto"/>
        <w:tabs>
          <w:tab w:leader="none" w:pos="280" w:val="left"/>
        </w:tabs>
        <w:numPr>
          <w:ilvl w:val="0"/>
          <w:numId w:val="14"/>
        </w:numPr>
        <w:rPr>
          <w:rFonts w:ascii="Times New Roman" w:cs="Times New Roman" w:eastAsia="Times New Roman" w:hAnsi="Times New Roman"/>
          <w:sz w:val="24"/>
          <w:szCs w:val="24"/>
          <w:color w:val="auto"/>
          <w:vertAlign w:val="superscript"/>
        </w:rPr>
      </w:pPr>
      <w:r>
        <w:rPr>
          <w:rFonts w:ascii="Times New Roman" w:cs="Times New Roman" w:eastAsia="Times New Roman" w:hAnsi="Times New Roman"/>
          <w:sz w:val="15"/>
          <w:szCs w:val="15"/>
          <w:color w:val="auto"/>
        </w:rPr>
        <w:t>Discounts relate to the 2020 Convertible Notes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6" w:name="page27"/>
    <w:bookmarkEnd w:id="2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The financing arrangements listed above contain certain covenants, including financial covenants that the Company is required to be in compliance with during the term of the respective arrangement. As of September 30, 2019, the Company was not in compliance with certain covenants impacted by the PG&amp;E Bankruptcy, as discussed below. The discussion below describes material changes to or additions of long-term debt for the nine months ended September 30, 2019.</w:t>
      </w:r>
    </w:p>
    <w:p>
      <w:pPr>
        <w:spacing w:after="0" w:line="17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Clearway Energy LLC and Clearway Energy Operating LLC Revolving Credit Facility</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As of September 30, 2019, there were no outstanding borrowings under the revolving credit facility and the Company had $52 million of letters of credit outstanding. The Company had $40 million outstanding under the revolving credit facility and a total of $71 million in letters of credit outstanding as of November 6, 2019.</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2019 </w:t>
      </w:r>
      <w:r>
        <w:rPr>
          <w:rFonts w:ascii="Times New Roman" w:cs="Times New Roman" w:eastAsia="Times New Roman" w:hAnsi="Times New Roman"/>
          <w:sz w:val="18"/>
          <w:szCs w:val="18"/>
          <w:i w:val="1"/>
          <w:iCs w:val="1"/>
          <w:color w:val="auto"/>
        </w:rPr>
        <w:t>Convertible Notes Open Market Repurchases</w:t>
      </w:r>
    </w:p>
    <w:p>
      <w:pPr>
        <w:spacing w:after="0" w:line="227"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January 2019, the Company repurchased a combined aggregate principal amount of $50 million of the 2019 Convertible Notes in open market transactions. The repurchases were funded through a partial repayment of the intercompany note between Clearway Energy Operating LLC and Clearway Energy, Inc. The 2019 Convertible Notes matured on February 1, 2019 and the Company paid off the remaining balance of an aggregate principal amount of $170 million.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Project - level Debt</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PG&amp;E Bankruptcy</w:t>
      </w:r>
    </w:p>
    <w:p>
      <w:pPr>
        <w:spacing w:after="0" w:line="223"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As discussed in Note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on January 29, 2019, PG&amp;E filed for reorganization under Chapter 11 of the U.S. Bankruptcy Code in the U.S. Bankruptcy Court for the Northern District of California, or the Bankruptcy Court. Certain subsidiaries of the Company listed in the table above are parties to financing agreements consisting of non-recourse project-level debt and, in certain cases, non-recourse holding company debt. The PG&amp;E bankruptcy filing has triggered defaults under the PPAs with PG&amp;E and such related project-level financing agreements. As a result, the Company recorded approximately $1.3 billion of principal, net of the related unamortized debt issuance costs, with final maturity dates ranging from 2023 - 2038, as short-term debt as of September 30, 2019. In addition, distributions from these projects to Clearway Operating LLC are prohibited under the related debt agreements. As of November 6, 2019, the Company has entered into forbearance agreements for certain project-level financing arrangements, and continues to seek forbearance agreements for its other project-level financing arrangements affected by the PG&amp;E Bankruptcy.</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 xml:space="preserve">Agua Caliente Borrower </w:t>
      </w:r>
      <w:r>
        <w:rPr>
          <w:rFonts w:ascii="Times New Roman" w:cs="Times New Roman" w:eastAsia="Times New Roman" w:hAnsi="Times New Roman"/>
          <w:sz w:val="18"/>
          <w:szCs w:val="18"/>
          <w:color w:val="auto"/>
        </w:rPr>
        <w:t>2</w:t>
      </w:r>
      <w:r>
        <w:rPr>
          <w:rFonts w:ascii="Times New Roman" w:cs="Times New Roman" w:eastAsia="Times New Roman" w:hAnsi="Times New Roman"/>
          <w:sz w:val="18"/>
          <w:szCs w:val="18"/>
          <w:i w:val="1"/>
          <w:iCs w:val="1"/>
          <w:color w:val="auto"/>
        </w:rPr>
        <w:t xml:space="preserve"> debt Repayment</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October 21, 2019, the Company, through Agua Caliente Borrower 2 LLC, repaid $40 million of the outstanding notes balance, including accrued interest and premiums, issued under the Agua Caliente Holdco Financing Agreement. The repayment was funded with Company's existing liquidity.</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Repowering Partnership Holdco LLC</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June 14, 2019, as part of the Repowering Partnership, Repowering Partnership Holdco LLC entered into a financing agreement for non-recourse debt for a total commitment amount of $352 million related to the construction for the repowering activities at Wildorado and Elbow Creek. The debt consists of a construction loan at an interest rate of LIBOR plus 0.85% that matures on March 31, 2020. The construction loan is expected be paid at final completion with proceeds from the tax equity investor. Interest on the construction loan is payable monthly in arrears. The Company borrowings were utilized to repay $109 million of the outstanding balance, including accrued interest, under the Viento financing agreement, to reimburse Clearway Renew LLC for previous contributions into the Repowering Partnership and pay construction invoices.</w:t>
      </w:r>
    </w:p>
    <w:p>
      <w:pPr>
        <w:spacing w:after="0" w:line="18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Duquesne University</w:t>
      </w:r>
    </w:p>
    <w:p>
      <w:pPr>
        <w:spacing w:after="0" w:line="227" w:lineRule="exact"/>
        <w:rPr>
          <w:sz w:val="20"/>
          <w:szCs w:val="20"/>
          <w:color w:val="auto"/>
        </w:rPr>
      </w:pPr>
    </w:p>
    <w:p>
      <w:pPr>
        <w:jc w:val="both"/>
        <w:ind w:right="20" w:firstLine="486"/>
        <w:spacing w:after="0" w:line="266" w:lineRule="auto"/>
        <w:rPr>
          <w:sz w:val="20"/>
          <w:szCs w:val="20"/>
          <w:color w:val="auto"/>
        </w:rPr>
      </w:pPr>
      <w:r>
        <w:rPr>
          <w:rFonts w:ascii="Times New Roman" w:cs="Times New Roman" w:eastAsia="Times New Roman" w:hAnsi="Times New Roman"/>
          <w:sz w:val="18"/>
          <w:szCs w:val="18"/>
          <w:color w:val="auto"/>
        </w:rPr>
        <w:t>On May 1, 2019, as part of the Duquesne University district energy system acquisition, ECP Uptown Campus LLC issued non-recourse debt of $95 million, excluding financing fees. The debt consists of senior notes at an interest rate of 4.62% that mature on May 1, 2059. Interest on the notes are payable semi-annually in arrears. The proceeds of the debt, along with cash on hand, were utilized to fund the purchase price of the acquisition.</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Oahu Solar Holdings LLC</w:t>
      </w:r>
    </w:p>
    <w:p>
      <w:pPr>
        <w:spacing w:after="0" w:line="22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Due to the Company consolidating the Oahu Partnership, as further described in Note 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Accounted for by the Equity Method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the Company assumed non-recourse debt of $143 million related to Oahu Solar Holdings, LLC. The debt consists of a construction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loan and an ITC bridge loan with a total commitment amount of $162 million, both at an interest rate of LIBOR plus 1.375%. The construction loan will convert to a term loan upon completion of certain milestones with an expected maturity of October 2026, and the ITC bridge loan will be paid at term conversion with the final proceeds from the tax equity investor. Interest on the construction loan and ITC bridge loan is payable monthly in arrears and will convert to quarterly payments once the construction loan converts to a term loan.</w:t>
      </w:r>
    </w:p>
    <w:p>
      <w:pPr>
        <w:sectPr>
          <w:pgSz w:w="11900" w:h="16838" w:orient="portrait"/>
          <w:cols w:equalWidth="0" w:num="1">
            <w:col w:w="11420"/>
          </w:cols>
          <w:pgMar w:left="240" w:top="111" w:right="239" w:bottom="1440" w:gutter="0" w:footer="0" w:header="0"/>
        </w:sectPr>
      </w:pPr>
    </w:p>
    <w:p>
      <w:pPr>
        <w:spacing w:after="0" w:line="1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27" w:name="page28"/>
    <w:bookmarkEnd w:id="2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Kawailoa Solar Holdings LLC</w:t>
      </w:r>
    </w:p>
    <w:p>
      <w:pPr>
        <w:spacing w:after="0" w:line="223"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color w:val="auto"/>
        </w:rPr>
        <w:t xml:space="preserve">Due to the Company consolidating the Kawailoa Partnership, as further described in Note 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Accounted for by the Equity Method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Variable Interest Entities</w:t>
      </w:r>
      <w:r>
        <w:rPr>
          <w:rFonts w:ascii="Times New Roman" w:cs="Times New Roman" w:eastAsia="Times New Roman" w:hAnsi="Times New Roman"/>
          <w:sz w:val="18"/>
          <w:szCs w:val="18"/>
          <w:color w:val="auto"/>
        </w:rPr>
        <w:t>, the Company assumed non-recourse debt of $120 million related to Kawailoa Solar Holdings, LLC. The debt consists of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construction loan and an ITC bridge loan, with a total commitment amount of $137 million both at an interest rate of LIBOR plus 1.375%. The construction loan will convert to a term loan upon completion of certain milestones with an expected maturity of October 2026, and the ITC bridge loan will be paid at term conversion with the final proceeds from the tax equity investor. Interest on the construction loan and ITC bridge loan is payable monthly in arrears and will convert to quarterly payments once the construction loan converts to a term loan.</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South Trent Refinancing</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June 14, 2019, the Company, through South Trent Wind LLC, refinanced $49 million of non-recourse debt due 2020 at interest rate of LIBOR plus 1.625% by issuing $46 million of new non-recourse financing due 2028 at an interest rate of LIBOR plus 1.350%.</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Tapestry Refinancing</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April 29, 2019, the Company, through Tapestry Wind LLC, refinanced $147 million of non-recourse debt due 2021 at interest rate of LIBOR plus 1.75% by issuing $164 million of new non-recourse financing due 2031 at an interest rate of LIBOR plus 1.375%.</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28" w:name="page29"/>
    <w:bookmarkEnd w:id="2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8 — </w:t>
      </w:r>
      <w:r>
        <w:rPr>
          <w:rFonts w:ascii="Times New Roman" w:cs="Times New Roman" w:eastAsia="Times New Roman" w:hAnsi="Times New Roman"/>
          <w:sz w:val="18"/>
          <w:szCs w:val="18"/>
          <w:b w:val="1"/>
          <w:bCs w:val="1"/>
          <w:i w:val="1"/>
          <w:iCs w:val="1"/>
          <w:color w:val="auto"/>
        </w:rPr>
        <w:t>Earnings Per Share</w:t>
      </w:r>
    </w:p>
    <w:p>
      <w:pPr>
        <w:spacing w:after="0" w:line="22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Basic earnings per common share is computed by dividing net income by the weighted average number of common shares outstanding. Shares issued during the year are weighted for the portion of the year that they were outstanding. Diluted earnings per share is computed in a manner consistent with that of basic earnings per share while giving effect to all potentially dilutive common shares that were outstanding during the period.</w:t>
      </w:r>
    </w:p>
    <w:p>
      <w:pPr>
        <w:spacing w:after="0" w:line="176" w:lineRule="exact"/>
        <w:rPr>
          <w:sz w:val="20"/>
          <w:szCs w:val="20"/>
          <w:color w:val="auto"/>
        </w:rPr>
      </w:pPr>
    </w:p>
    <w:p>
      <w:pPr>
        <w:ind w:left="1780"/>
        <w:spacing w:after="0"/>
        <w:rPr>
          <w:sz w:val="20"/>
          <w:szCs w:val="20"/>
          <w:color w:val="auto"/>
        </w:rPr>
      </w:pPr>
      <w:r>
        <w:rPr>
          <w:rFonts w:ascii="Times New Roman" w:cs="Times New Roman" w:eastAsia="Times New Roman" w:hAnsi="Times New Roman"/>
          <w:sz w:val="18"/>
          <w:szCs w:val="18"/>
          <w:color w:val="auto"/>
        </w:rPr>
        <w:t>The reconciliation of Clearway Energy, Inc.'s basic and diluted earnings per share is shown in the following tables:</w:t>
      </w:r>
    </w:p>
    <w:p>
      <w:pPr>
        <w:spacing w:after="0" w:line="241"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5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2700" w:type="dxa"/>
            <w:vAlign w:val="bottom"/>
            <w:tcBorders>
              <w:bottom w:val="single" w:sz="8" w:color="auto"/>
            </w:tcBorders>
            <w:gridSpan w:val="5"/>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spacing w:after="0"/>
              <w:rPr>
                <w:sz w:val="18"/>
                <w:szCs w:val="18"/>
                <w:color w:val="auto"/>
              </w:rPr>
            </w:pPr>
          </w:p>
        </w:tc>
      </w:tr>
      <w:tr>
        <w:trPr>
          <w:trHeight w:val="209"/>
        </w:trPr>
        <w:tc>
          <w:tcPr>
            <w:tcW w:w="532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2019</w:t>
            </w:r>
          </w:p>
        </w:tc>
        <w:tc>
          <w:tcPr>
            <w:tcW w:w="9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gridSpan w:val="3"/>
          </w:tcPr>
          <w:p>
            <w:pPr>
              <w:jc w:val="right"/>
              <w:ind w:right="179"/>
              <w:spacing w:after="0"/>
              <w:rPr>
                <w:sz w:val="20"/>
                <w:szCs w:val="20"/>
                <w:color w:val="auto"/>
              </w:rPr>
            </w:pPr>
            <w:r>
              <w:rPr>
                <w:rFonts w:ascii="Times New Roman" w:cs="Times New Roman" w:eastAsia="Times New Roman" w:hAnsi="Times New Roman"/>
                <w:sz w:val="16"/>
                <w:szCs w:val="16"/>
                <w:b w:val="1"/>
                <w:bCs w:val="1"/>
                <w:color w:val="auto"/>
              </w:rPr>
              <w:t>2018</w:t>
            </w:r>
          </w:p>
        </w:tc>
        <w:tc>
          <w:tcPr>
            <w:tcW w:w="980" w:type="dxa"/>
            <w:vAlign w:val="bottom"/>
            <w:tcBorders>
              <w:bottom w:val="single" w:sz="8" w:color="auto"/>
            </w:tcBorders>
          </w:tcPr>
          <w:p>
            <w:pPr>
              <w:spacing w:after="0"/>
              <w:rPr>
                <w:sz w:val="18"/>
                <w:szCs w:val="18"/>
                <w:color w:val="auto"/>
              </w:rPr>
            </w:pPr>
          </w:p>
        </w:tc>
      </w:tr>
      <w:tr>
        <w:trPr>
          <w:trHeight w:val="184"/>
        </w:trPr>
        <w:tc>
          <w:tcPr>
            <w:tcW w:w="5320" w:type="dxa"/>
            <w:vAlign w:val="bottom"/>
          </w:tcPr>
          <w:p>
            <w:pPr>
              <w:spacing w:after="0"/>
              <w:rPr>
                <w:sz w:val="15"/>
                <w:szCs w:val="15"/>
                <w:color w:val="auto"/>
              </w:rPr>
            </w:pPr>
          </w:p>
        </w:tc>
        <w:tc>
          <w:tcPr>
            <w:tcW w:w="1280" w:type="dxa"/>
            <w:vAlign w:val="bottom"/>
            <w:gridSpan w:val="2"/>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Common Class</w:t>
            </w:r>
          </w:p>
        </w:tc>
        <w:tc>
          <w:tcPr>
            <w:tcW w:w="120" w:type="dxa"/>
            <w:vAlign w:val="bottom"/>
          </w:tcPr>
          <w:p>
            <w:pPr>
              <w:spacing w:after="0"/>
              <w:rPr>
                <w:sz w:val="15"/>
                <w:szCs w:val="15"/>
                <w:color w:val="auto"/>
              </w:rPr>
            </w:pPr>
          </w:p>
        </w:tc>
        <w:tc>
          <w:tcPr>
            <w:tcW w:w="1300" w:type="dxa"/>
            <w:vAlign w:val="bottom"/>
            <w:gridSpan w:val="2"/>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Common Class</w:t>
            </w:r>
          </w:p>
        </w:tc>
        <w:tc>
          <w:tcPr>
            <w:tcW w:w="100" w:type="dxa"/>
            <w:vAlign w:val="bottom"/>
          </w:tcPr>
          <w:p>
            <w:pPr>
              <w:spacing w:after="0"/>
              <w:rPr>
                <w:sz w:val="15"/>
                <w:szCs w:val="15"/>
                <w:color w:val="auto"/>
              </w:rPr>
            </w:pPr>
          </w:p>
        </w:tc>
        <w:tc>
          <w:tcPr>
            <w:tcW w:w="1300" w:type="dxa"/>
            <w:vAlign w:val="bottom"/>
            <w:gridSpan w:val="2"/>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Common Class</w:t>
            </w:r>
          </w:p>
        </w:tc>
        <w:tc>
          <w:tcPr>
            <w:tcW w:w="100" w:type="dxa"/>
            <w:vAlign w:val="bottom"/>
          </w:tcPr>
          <w:p>
            <w:pPr>
              <w:spacing w:after="0"/>
              <w:rPr>
                <w:sz w:val="15"/>
                <w:szCs w:val="15"/>
                <w:color w:val="auto"/>
              </w:rPr>
            </w:pPr>
          </w:p>
        </w:tc>
        <w:tc>
          <w:tcPr>
            <w:tcW w:w="1300" w:type="dxa"/>
            <w:vAlign w:val="bottom"/>
            <w:gridSpan w:val="2"/>
          </w:tcPr>
          <w:p>
            <w:pPr>
              <w:jc w:val="right"/>
              <w:ind w:right="92"/>
              <w:spacing w:after="0"/>
              <w:rPr>
                <w:sz w:val="20"/>
                <w:szCs w:val="20"/>
                <w:color w:val="auto"/>
              </w:rPr>
            </w:pPr>
            <w:r>
              <w:rPr>
                <w:rFonts w:ascii="Times New Roman" w:cs="Times New Roman" w:eastAsia="Times New Roman" w:hAnsi="Times New Roman"/>
                <w:sz w:val="16"/>
                <w:szCs w:val="16"/>
                <w:b w:val="1"/>
                <w:bCs w:val="1"/>
                <w:color w:val="auto"/>
              </w:rPr>
              <w:t>Common Class</w:t>
            </w:r>
          </w:p>
        </w:tc>
      </w:tr>
      <w:tr>
        <w:trPr>
          <w:trHeight w:val="218"/>
        </w:trPr>
        <w:tc>
          <w:tcPr>
            <w:tcW w:w="53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 except per share data) (a)</w:t>
            </w: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A</w:t>
            </w:r>
          </w:p>
        </w:tc>
        <w:tc>
          <w:tcPr>
            <w:tcW w:w="1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C</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4"/>
              <w:spacing w:after="0"/>
              <w:rPr>
                <w:sz w:val="20"/>
                <w:szCs w:val="20"/>
                <w:color w:val="auto"/>
              </w:rPr>
            </w:pPr>
            <w:r>
              <w:rPr>
                <w:rFonts w:ascii="Times New Roman" w:cs="Times New Roman" w:eastAsia="Times New Roman" w:hAnsi="Times New Roman"/>
                <w:sz w:val="16"/>
                <w:szCs w:val="16"/>
                <w:b w:val="1"/>
                <w:bCs w:val="1"/>
                <w:color w:val="auto"/>
              </w:rPr>
              <w:t>A</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552"/>
              <w:spacing w:after="0"/>
              <w:rPr>
                <w:sz w:val="20"/>
                <w:szCs w:val="20"/>
                <w:color w:val="auto"/>
              </w:rPr>
            </w:pPr>
            <w:r>
              <w:rPr>
                <w:rFonts w:ascii="Times New Roman" w:cs="Times New Roman" w:eastAsia="Times New Roman" w:hAnsi="Times New Roman"/>
                <w:sz w:val="16"/>
                <w:szCs w:val="16"/>
                <w:b w:val="1"/>
                <w:bCs w:val="1"/>
                <w:color w:val="auto"/>
              </w:rPr>
              <w:t>C</w:t>
            </w:r>
          </w:p>
        </w:tc>
      </w:tr>
      <w:tr>
        <w:trPr>
          <w:trHeight w:val="187"/>
        </w:trPr>
        <w:tc>
          <w:tcPr>
            <w:tcW w:w="5320" w:type="dxa"/>
            <w:vAlign w:val="bottom"/>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Basic earnings per share attributable to Clearway Energy, Inc.</w:t>
            </w:r>
          </w:p>
        </w:tc>
        <w:tc>
          <w:tcPr>
            <w:tcW w:w="3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r>
      <w:tr>
        <w:trPr>
          <w:trHeight w:val="238"/>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stockholders</w:t>
            </w:r>
          </w:p>
        </w:tc>
        <w:tc>
          <w:tcPr>
            <w:tcW w:w="30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r>
      <w:tr>
        <w:trPr>
          <w:trHeight w:val="216"/>
        </w:trPr>
        <w:tc>
          <w:tcPr>
            <w:tcW w:w="5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income attributable to Clearway Energy, Inc.</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12</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27</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5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3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Borders>
              <w:bottom w:val="single" w:sz="8" w:color="CCEEFF"/>
            </w:tcBorders>
            <w:shd w:val="clear" w:color="auto" w:fill="CCEEFF"/>
          </w:tcPr>
          <w:p>
            <w:pPr>
              <w:spacing w:after="0"/>
              <w:rPr>
                <w:sz w:val="18"/>
                <w:szCs w:val="18"/>
                <w:color w:val="auto"/>
              </w:rPr>
            </w:pPr>
          </w:p>
        </w:tc>
        <w:tc>
          <w:tcPr>
            <w:tcW w:w="32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69</w:t>
            </w:r>
          </w:p>
        </w:tc>
      </w:tr>
      <w:tr>
        <w:trPr>
          <w:trHeight w:val="210"/>
        </w:trPr>
        <w:tc>
          <w:tcPr>
            <w:tcW w:w="5320" w:type="dxa"/>
            <w:vAlign w:val="bottom"/>
          </w:tcPr>
          <w:p>
            <w:pPr>
              <w:ind w:left="320"/>
              <w:spacing w:after="0"/>
              <w:rPr>
                <w:sz w:val="20"/>
                <w:szCs w:val="20"/>
                <w:color w:val="auto"/>
              </w:rPr>
            </w:pPr>
            <w:r>
              <w:rPr>
                <w:rFonts w:ascii="Times New Roman" w:cs="Times New Roman" w:eastAsia="Times New Roman" w:hAnsi="Times New Roman"/>
                <w:sz w:val="18"/>
                <w:szCs w:val="18"/>
                <w:b w:val="1"/>
                <w:bCs w:val="1"/>
                <w:color w:val="auto"/>
              </w:rPr>
              <w:t>Earnings per weighted average common share — basic</w:t>
            </w:r>
          </w:p>
        </w:tc>
        <w:tc>
          <w:tcPr>
            <w:tcW w:w="30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0.36</w:t>
            </w:r>
          </w:p>
        </w:tc>
        <w:tc>
          <w:tcPr>
            <w:tcW w:w="440" w:type="dxa"/>
            <w:vAlign w:val="bottom"/>
            <w:gridSpan w:val="2"/>
          </w:tcPr>
          <w:p>
            <w:pPr>
              <w:jc w:val="right"/>
              <w:ind w:right="15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32"/>
              <w:spacing w:after="0"/>
              <w:rPr>
                <w:sz w:val="20"/>
                <w:szCs w:val="20"/>
                <w:color w:val="auto"/>
              </w:rPr>
            </w:pPr>
            <w:r>
              <w:rPr>
                <w:rFonts w:ascii="Times New Roman" w:cs="Times New Roman" w:eastAsia="Times New Roman" w:hAnsi="Times New Roman"/>
                <w:sz w:val="18"/>
                <w:szCs w:val="18"/>
                <w:color w:val="auto"/>
              </w:rPr>
              <w:t>0.36</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0.20</w:t>
            </w:r>
          </w:p>
        </w:tc>
        <w:tc>
          <w:tcPr>
            <w:tcW w:w="420" w:type="dxa"/>
            <w:vAlign w:val="bottom"/>
            <w:gridSpan w:val="2"/>
          </w:tcPr>
          <w:p>
            <w:pPr>
              <w:jc w:val="right"/>
              <w:ind w:right="139"/>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tcPr>
          <w:p>
            <w:pPr>
              <w:jc w:val="right"/>
              <w:ind w:right="12"/>
              <w:spacing w:after="0"/>
              <w:rPr>
                <w:sz w:val="20"/>
                <w:szCs w:val="20"/>
                <w:color w:val="auto"/>
              </w:rPr>
            </w:pPr>
            <w:r>
              <w:rPr>
                <w:rFonts w:ascii="Times New Roman" w:cs="Times New Roman" w:eastAsia="Times New Roman" w:hAnsi="Times New Roman"/>
                <w:sz w:val="18"/>
                <w:szCs w:val="18"/>
                <w:color w:val="auto"/>
              </w:rPr>
              <w:t>0.20</w:t>
            </w:r>
          </w:p>
        </w:tc>
      </w:tr>
      <w:tr>
        <w:trPr>
          <w:trHeight w:val="20"/>
        </w:trPr>
        <w:tc>
          <w:tcPr>
            <w:tcW w:w="532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0</wp:posOffset>
            </wp:positionV>
            <wp:extent cx="6877685" cy="2743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877685" cy="274320"/>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p>
      <w:pPr>
        <w:ind w:left="300"/>
        <w:spacing w:after="0" w:line="250" w:lineRule="auto"/>
        <w:rPr>
          <w:sz w:val="20"/>
          <w:szCs w:val="20"/>
          <w:color w:val="auto"/>
        </w:rPr>
      </w:pPr>
      <w:r>
        <w:rPr>
          <w:rFonts w:ascii="Times New Roman" w:cs="Times New Roman" w:eastAsia="Times New Roman" w:hAnsi="Times New Roman"/>
          <w:sz w:val="18"/>
          <w:szCs w:val="18"/>
          <w:b w:val="1"/>
          <w:bCs w:val="1"/>
          <w:color w:val="auto"/>
        </w:rPr>
        <w:t>Diluted earnings per share attributable to Clearway Energy, Inc. common stockholders</w:t>
      </w:r>
    </w:p>
    <w:p>
      <w:pPr>
        <w:spacing w:after="0" w:line="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8"/>
          <w:szCs w:val="18"/>
          <w:color w:val="auto"/>
        </w:rPr>
        <w:t>Net income attributable to Clearway Energy, Inc.</w:t>
      </w:r>
    </w:p>
    <w:p>
      <w:pPr>
        <w:spacing w:after="0" w:line="9" w:lineRule="exact"/>
        <w:rPr>
          <w:sz w:val="20"/>
          <w:szCs w:val="20"/>
          <w:color w:val="auto"/>
        </w:rPr>
      </w:pPr>
    </w:p>
    <w:p>
      <w:pPr>
        <w:ind w:left="300" w:right="280" w:firstLine="324"/>
        <w:spacing w:after="0" w:line="261" w:lineRule="auto"/>
        <w:rPr>
          <w:sz w:val="20"/>
          <w:szCs w:val="20"/>
          <w:color w:val="auto"/>
        </w:rPr>
      </w:pPr>
      <w:r>
        <w:rPr>
          <w:rFonts w:ascii="Times New Roman" w:cs="Times New Roman" w:eastAsia="Times New Roman" w:hAnsi="Times New Roman"/>
          <w:sz w:val="18"/>
          <w:szCs w:val="18"/>
          <w:color w:val="auto"/>
        </w:rPr>
        <w:t>Weighted average number of common shares outstanding — diluted</w:t>
      </w:r>
    </w:p>
    <w:p>
      <w:pPr>
        <w:jc w:val="center"/>
        <w:ind w:left="340"/>
        <w:spacing w:after="0"/>
        <w:rPr>
          <w:sz w:val="20"/>
          <w:szCs w:val="20"/>
          <w:color w:val="auto"/>
        </w:rPr>
      </w:pPr>
      <w:r>
        <w:rPr>
          <w:rFonts w:ascii="Times New Roman" w:cs="Times New Roman" w:eastAsia="Times New Roman" w:hAnsi="Times New Roman"/>
          <w:sz w:val="18"/>
          <w:szCs w:val="18"/>
          <w:b w:val="1"/>
          <w:bCs w:val="1"/>
          <w:color w:val="auto"/>
        </w:rPr>
        <w:t>Earnings per weighted average common share — diluted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6"/>
          <w:szCs w:val="16"/>
          <w:i w:val="1"/>
          <w:iCs w:val="1"/>
          <w:color w:val="auto"/>
        </w:rPr>
        <w:t>(In millions, except per share data) (a)</w:t>
      </w:r>
    </w:p>
    <w:p>
      <w:pPr>
        <w:spacing w:after="0" w:line="20" w:lineRule="exact"/>
        <w:rPr>
          <w:sz w:val="20"/>
          <w:szCs w:val="20"/>
          <w:color w:val="auto"/>
        </w:rPr>
      </w:pPr>
      <w:r>
        <w:rPr>
          <w:sz w:val="20"/>
          <w:szCs w:val="20"/>
          <w:color w:val="auto"/>
        </w:rPr>
        <w:br w:type="column"/>
      </w:r>
    </w:p>
    <w:p>
      <w:pPr>
        <w:spacing w:after="0" w:line="394"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480" w:type="dxa"/>
            <w:vAlign w:val="bottom"/>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c>
          <w:tcPr>
            <w:tcW w:w="600" w:type="dxa"/>
            <w:vAlign w:val="bottom"/>
            <w:gridSpan w:val="2"/>
          </w:tcPr>
          <w:p>
            <w:pPr>
              <w:jc w:val="right"/>
              <w:ind w:right="315"/>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w:t>
            </w:r>
          </w:p>
        </w:tc>
        <w:tc>
          <w:tcPr>
            <w:tcW w:w="580" w:type="dxa"/>
            <w:vAlign w:val="bottom"/>
            <w:gridSpan w:val="2"/>
          </w:tcPr>
          <w:p>
            <w:pPr>
              <w:jc w:val="right"/>
              <w:ind w:right="29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419"/>
        </w:trPr>
        <w:tc>
          <w:tcPr>
            <w:tcW w:w="48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69</w:t>
            </w:r>
          </w:p>
        </w:tc>
      </w:tr>
      <w:tr>
        <w:trPr>
          <w:trHeight w:val="210"/>
        </w:trPr>
        <w:tc>
          <w:tcPr>
            <w:tcW w:w="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0.36</w:t>
            </w:r>
          </w:p>
        </w:tc>
        <w:tc>
          <w:tcPr>
            <w:tcW w:w="120" w:type="dxa"/>
            <w:vAlign w:val="bottom"/>
          </w:tcPr>
          <w:p>
            <w:pPr>
              <w:spacing w:after="0"/>
              <w:rPr>
                <w:sz w:val="18"/>
                <w:szCs w:val="18"/>
                <w:color w:val="auto"/>
              </w:rPr>
            </w:pPr>
          </w:p>
        </w:tc>
        <w:tc>
          <w:tcPr>
            <w:tcW w:w="480" w:type="dxa"/>
            <w:vAlign w:val="bottom"/>
            <w:tcBorders>
              <w:bottom w:val="single" w:sz="8" w:color="auto"/>
            </w:tcBorders>
          </w:tcPr>
          <w:p>
            <w:pPr>
              <w:jc w:val="right"/>
              <w:ind w:right="315"/>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0.36</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c>
          <w:tcPr>
            <w:tcW w:w="100" w:type="dxa"/>
            <w:vAlign w:val="bottom"/>
          </w:tcPr>
          <w:p>
            <w:pPr>
              <w:spacing w:after="0"/>
              <w:rPr>
                <w:sz w:val="18"/>
                <w:szCs w:val="18"/>
                <w:color w:val="auto"/>
              </w:rPr>
            </w:pPr>
          </w:p>
        </w:tc>
        <w:tc>
          <w:tcPr>
            <w:tcW w:w="480" w:type="dxa"/>
            <w:vAlign w:val="bottom"/>
            <w:tcBorders>
              <w:bottom w:val="single" w:sz="8" w:color="auto"/>
            </w:tcBorders>
          </w:tcPr>
          <w:p>
            <w:pPr>
              <w:jc w:val="right"/>
              <w:ind w:right="29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0.20</w:t>
            </w:r>
          </w:p>
        </w:tc>
      </w:tr>
      <w:tr>
        <w:trPr>
          <w:trHeight w:val="20"/>
        </w:trPr>
        <w:tc>
          <w:tcPr>
            <w:tcW w:w="4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-3382645</wp:posOffset>
            </wp:positionH>
            <wp:positionV relativeFrom="paragraph">
              <wp:posOffset>-436880</wp:posOffset>
            </wp:positionV>
            <wp:extent cx="6877685" cy="2743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77685" cy="274320"/>
                    </a:xfrm>
                    <a:prstGeom prst="rect">
                      <a:avLst/>
                    </a:prstGeom>
                    <a:noFill/>
                  </pic:spPr>
                </pic:pic>
              </a:graphicData>
            </a:graphic>
          </wp:anchor>
        </w:drawing>
      </w:r>
    </w:p>
    <w:p>
      <w:pPr>
        <w:spacing w:after="0" w:line="200" w:lineRule="exact"/>
        <w:rPr>
          <w:sz w:val="20"/>
          <w:szCs w:val="20"/>
          <w:color w:val="auto"/>
        </w:rPr>
      </w:pPr>
    </w:p>
    <w:p>
      <w:pPr>
        <w:spacing w:after="0" w:line="210" w:lineRule="exact"/>
        <w:rPr>
          <w:sz w:val="20"/>
          <w:szCs w:val="20"/>
          <w:color w:val="auto"/>
        </w:rPr>
      </w:pPr>
    </w:p>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p>
      <w:pPr>
        <w:spacing w:after="0" w:line="28"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1120" w:type="dxa"/>
            <w:vAlign w:val="bottom"/>
            <w:tcBorders>
              <w:top w:val="single" w:sz="8" w:color="auto"/>
              <w:bottom w:val="single" w:sz="8" w:color="auto"/>
            </w:tcBorders>
          </w:tcPr>
          <w:p>
            <w:pPr>
              <w:spacing w:after="0"/>
              <w:rPr>
                <w:sz w:val="18"/>
                <w:szCs w:val="18"/>
                <w:color w:val="auto"/>
              </w:rPr>
            </w:pPr>
          </w:p>
        </w:tc>
        <w:tc>
          <w:tcPr>
            <w:tcW w:w="1580" w:type="dxa"/>
            <w:vAlign w:val="bottom"/>
            <w:tcBorders>
              <w:top w:val="single" w:sz="8" w:color="auto"/>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w w:val="99"/>
              </w:rPr>
              <w:t>2019</w:t>
            </w:r>
          </w:p>
        </w:tc>
        <w:tc>
          <w:tcPr>
            <w:tcW w:w="100" w:type="dxa"/>
            <w:vAlign w:val="bottom"/>
            <w:tcBorders>
              <w:top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spacing w:after="0"/>
              <w:rPr>
                <w:sz w:val="18"/>
                <w:szCs w:val="18"/>
                <w:color w:val="auto"/>
              </w:rPr>
            </w:pPr>
          </w:p>
        </w:tc>
        <w:tc>
          <w:tcPr>
            <w:tcW w:w="1560" w:type="dxa"/>
            <w:vAlign w:val="bottom"/>
            <w:tcBorders>
              <w:top w:val="single" w:sz="8" w:color="auto"/>
              <w:bottom w:val="single" w:sz="8" w:color="auto"/>
            </w:tcBorders>
          </w:tcPr>
          <w:p>
            <w:pPr>
              <w:jc w:val="right"/>
              <w:ind w:right="1159"/>
              <w:spacing w:after="0"/>
              <w:rPr>
                <w:sz w:val="20"/>
                <w:szCs w:val="20"/>
                <w:color w:val="auto"/>
              </w:rPr>
            </w:pPr>
            <w:r>
              <w:rPr>
                <w:rFonts w:ascii="Times New Roman" w:cs="Times New Roman" w:eastAsia="Times New Roman" w:hAnsi="Times New Roman"/>
                <w:sz w:val="16"/>
                <w:szCs w:val="16"/>
                <w:b w:val="1"/>
                <w:bCs w:val="1"/>
                <w:color w:val="auto"/>
                <w:w w:val="93"/>
              </w:rPr>
              <w:t>2018</w:t>
            </w:r>
          </w:p>
        </w:tc>
      </w:tr>
      <w:tr>
        <w:trPr>
          <w:trHeight w:val="183"/>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Class</w:t>
            </w:r>
          </w:p>
        </w:tc>
        <w:tc>
          <w:tcPr>
            <w:tcW w:w="158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Common Class</w:t>
            </w:r>
          </w:p>
        </w:tc>
        <w:tc>
          <w:tcPr>
            <w:tcW w:w="100" w:type="dxa"/>
            <w:vAlign w:val="bottom"/>
          </w:tcPr>
          <w:p>
            <w:pPr>
              <w:spacing w:after="0"/>
              <w:rPr>
                <w:sz w:val="15"/>
                <w:szCs w:val="15"/>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Common Class</w:t>
            </w:r>
          </w:p>
        </w:tc>
        <w:tc>
          <w:tcPr>
            <w:tcW w:w="156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Common Class</w:t>
            </w:r>
          </w:p>
        </w:tc>
      </w:tr>
      <w:tr>
        <w:trPr>
          <w:trHeight w:val="212"/>
        </w:trPr>
        <w:tc>
          <w:tcPr>
            <w:tcW w:w="11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86"/>
              </w:rPr>
              <w:t>A</w:t>
            </w:r>
          </w:p>
        </w:tc>
        <w:tc>
          <w:tcPr>
            <w:tcW w:w="1580" w:type="dxa"/>
            <w:vAlign w:val="bottom"/>
          </w:tcPr>
          <w:p>
            <w:pPr>
              <w:jc w:val="center"/>
              <w:ind w:left="99"/>
              <w:spacing w:after="0"/>
              <w:rPr>
                <w:sz w:val="20"/>
                <w:szCs w:val="20"/>
                <w:color w:val="auto"/>
              </w:rPr>
            </w:pPr>
            <w:r>
              <w:rPr>
                <w:rFonts w:ascii="Times New Roman" w:cs="Times New Roman" w:eastAsia="Times New Roman" w:hAnsi="Times New Roman"/>
                <w:sz w:val="16"/>
                <w:szCs w:val="16"/>
                <w:b w:val="1"/>
                <w:bCs w:val="1"/>
                <w:color w:val="auto"/>
              </w:rPr>
              <w:t>C</w:t>
            </w:r>
          </w:p>
        </w:tc>
        <w:tc>
          <w:tcPr>
            <w:tcW w:w="10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A</w:t>
            </w:r>
          </w:p>
        </w:tc>
        <w:tc>
          <w:tcPr>
            <w:tcW w:w="1560" w:type="dxa"/>
            <w:vAlign w:val="bottom"/>
          </w:tcPr>
          <w:p>
            <w:pPr>
              <w:jc w:val="center"/>
              <w:ind w:left="79"/>
              <w:spacing w:after="0"/>
              <w:rPr>
                <w:sz w:val="20"/>
                <w:szCs w:val="20"/>
                <w:color w:val="auto"/>
              </w:rPr>
            </w:pPr>
            <w:r>
              <w:rPr>
                <w:rFonts w:ascii="Times New Roman" w:cs="Times New Roman" w:eastAsia="Times New Roman" w:hAnsi="Times New Roman"/>
                <w:sz w:val="16"/>
                <w:szCs w:val="16"/>
                <w:b w:val="1"/>
                <w:bCs w:val="1"/>
                <w:color w:val="auto"/>
              </w:rPr>
              <w:t>C</w:t>
            </w:r>
          </w:p>
        </w:tc>
      </w:tr>
    </w:tbl>
    <w:p>
      <w:pPr>
        <w:spacing w:after="0" w:line="6" w:lineRule="exact"/>
        <w:rPr>
          <w:sz w:val="20"/>
          <w:szCs w:val="20"/>
          <w:color w:val="auto"/>
        </w:rPr>
      </w:pPr>
    </w:p>
    <w:p>
      <w:pPr>
        <w:sectPr>
          <w:pgSz w:w="11900" w:h="16838" w:orient="portrait"/>
          <w:cols w:equalWidth="0" w:num="2">
            <w:col w:w="5260" w:space="360"/>
            <w:col w:w="5800"/>
          </w:cols>
          <w:pgMar w:left="240" w:top="111" w:right="239" w:bottom="1440" w:gutter="0" w:footer="0" w:header="0"/>
          <w:type w:val="continuous"/>
        </w:sectPr>
      </w:pPr>
    </w:p>
    <w:tbl>
      <w:tblPr>
        <w:tblLayout w:type="fixed"/>
        <w:tblInd w:w="300" w:type="dxa"/>
        <w:tblCellMar>
          <w:top w:w="0" w:type="dxa"/>
          <w:left w:w="0" w:type="dxa"/>
          <w:bottom w:w="0" w:type="dxa"/>
          <w:right w:w="0" w:type="dxa"/>
        </w:tblCellMar>
      </w:tblPr>
      <w:tr>
        <w:trPr>
          <w:trHeight w:val="187"/>
        </w:trPr>
        <w:tc>
          <w:tcPr>
            <w:tcW w:w="5320" w:type="dxa"/>
            <w:vAlign w:val="bottom"/>
            <w:tcBorders>
              <w:top w:val="single" w:sz="8" w:color="CCEEFF"/>
            </w:tcBorders>
            <w:shd w:val="clear" w:color="auto" w:fill="CCEEFF"/>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Basic earnings per share attributable to Clearway Energy, Inc.</w:t>
            </w:r>
          </w:p>
        </w:tc>
        <w:tc>
          <w:tcPr>
            <w:tcW w:w="44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20" w:type="dxa"/>
            <w:vAlign w:val="bottom"/>
            <w:tcBorders>
              <w:top w:val="single" w:sz="8" w:color="CCEEFF"/>
            </w:tcBorders>
            <w:shd w:val="clear" w:color="auto" w:fill="CCEEFF"/>
          </w:tcPr>
          <w:p>
            <w:pPr>
              <w:spacing w:after="0"/>
              <w:rPr>
                <w:sz w:val="16"/>
                <w:szCs w:val="16"/>
                <w:color w:val="auto"/>
              </w:rPr>
            </w:pPr>
          </w:p>
        </w:tc>
        <w:tc>
          <w:tcPr>
            <w:tcW w:w="460" w:type="dxa"/>
            <w:vAlign w:val="bottom"/>
            <w:tcBorders>
              <w:top w:val="single" w:sz="8" w:color="auto"/>
            </w:tcBorders>
            <w:shd w:val="clear" w:color="auto" w:fill="CCEEFF"/>
          </w:tcPr>
          <w:p>
            <w:pPr>
              <w:spacing w:after="0"/>
              <w:rPr>
                <w:sz w:val="16"/>
                <w:szCs w:val="16"/>
                <w:color w:val="auto"/>
              </w:rPr>
            </w:pPr>
          </w:p>
        </w:tc>
        <w:tc>
          <w:tcPr>
            <w:tcW w:w="84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480" w:type="dxa"/>
            <w:vAlign w:val="bottom"/>
            <w:tcBorders>
              <w:top w:val="single" w:sz="8" w:color="auto"/>
            </w:tcBorders>
            <w:shd w:val="clear" w:color="auto" w:fill="CCEEFF"/>
          </w:tcPr>
          <w:p>
            <w:pPr>
              <w:spacing w:after="0"/>
              <w:rPr>
                <w:sz w:val="16"/>
                <w:szCs w:val="16"/>
                <w:color w:val="auto"/>
              </w:rPr>
            </w:pPr>
          </w:p>
        </w:tc>
        <w:tc>
          <w:tcPr>
            <w:tcW w:w="820" w:type="dxa"/>
            <w:vAlign w:val="bottom"/>
            <w:tcBorders>
              <w:top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stockholders</w:t>
            </w: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(loss) income attributable to Clearway Energy, Inc.</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76</w:t>
            </w:r>
          </w:p>
        </w:tc>
        <w:tc>
          <w:tcPr>
            <w:tcW w:w="0" w:type="dxa"/>
            <w:vAlign w:val="bottom"/>
          </w:tcPr>
          <w:p>
            <w:pPr>
              <w:spacing w:after="0"/>
              <w:rPr>
                <w:sz w:val="1"/>
                <w:szCs w:val="1"/>
                <w:color w:val="auto"/>
              </w:rPr>
            </w:pPr>
          </w:p>
        </w:tc>
      </w:tr>
      <w:tr>
        <w:trPr>
          <w:trHeight w:val="198"/>
        </w:trPr>
        <w:tc>
          <w:tcPr>
            <w:tcW w:w="532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 — basic</w:t>
            </w:r>
          </w:p>
        </w:tc>
        <w:tc>
          <w:tcPr>
            <w:tcW w:w="4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67</w:t>
            </w:r>
          </w:p>
        </w:tc>
        <w:tc>
          <w:tcPr>
            <w:tcW w:w="0" w:type="dxa"/>
            <w:vAlign w:val="bottom"/>
          </w:tcPr>
          <w:p>
            <w:pPr>
              <w:spacing w:after="0"/>
              <w:rPr>
                <w:sz w:val="1"/>
                <w:szCs w:val="1"/>
                <w:color w:val="auto"/>
              </w:rPr>
            </w:pPr>
          </w:p>
        </w:tc>
      </w:tr>
      <w:tr>
        <w:trPr>
          <w:trHeight w:val="221"/>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and diluted</w:t>
            </w: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320" w:type="dxa"/>
            <w:vAlign w:val="bottom"/>
          </w:tcPr>
          <w:p>
            <w:pPr>
              <w:ind w:left="320"/>
              <w:spacing w:after="0" w:line="188" w:lineRule="exact"/>
              <w:rPr>
                <w:sz w:val="20"/>
                <w:szCs w:val="20"/>
                <w:color w:val="auto"/>
              </w:rPr>
            </w:pPr>
            <w:r>
              <w:rPr>
                <w:rFonts w:ascii="Times New Roman" w:cs="Times New Roman" w:eastAsia="Times New Roman" w:hAnsi="Times New Roman"/>
                <w:sz w:val="18"/>
                <w:szCs w:val="18"/>
                <w:b w:val="1"/>
                <w:bCs w:val="1"/>
                <w:color w:val="auto"/>
              </w:rPr>
              <w:t>(Losses) Earnings per weighted average common share —</w:t>
            </w:r>
          </w:p>
        </w:tc>
        <w:tc>
          <w:tcPr>
            <w:tcW w:w="440" w:type="dxa"/>
            <w:vAlign w:val="bottom"/>
            <w:vMerge w:val="restart"/>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5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5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5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0" w:type="dxa"/>
            <w:vAlign w:val="bottom"/>
          </w:tcPr>
          <w:p>
            <w:pPr>
              <w:spacing w:after="0"/>
              <w:rPr>
                <w:sz w:val="1"/>
                <w:szCs w:val="1"/>
                <w:color w:val="auto"/>
              </w:rPr>
            </w:pPr>
          </w:p>
        </w:tc>
      </w:tr>
      <w:tr>
        <w:trPr>
          <w:trHeight w:val="198"/>
        </w:trPr>
        <w:tc>
          <w:tcPr>
            <w:tcW w:w="53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basic</w:t>
            </w:r>
          </w:p>
        </w:tc>
        <w:tc>
          <w:tcPr>
            <w:tcW w:w="4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5320" w:type="dxa"/>
            <w:vAlign w:val="bottom"/>
            <w:shd w:val="clear" w:color="auto" w:fill="CCEEFF"/>
          </w:tcPr>
          <w:p>
            <w:pPr>
              <w:spacing w:after="0" w:line="175" w:lineRule="exact"/>
              <w:rPr>
                <w:sz w:val="20"/>
                <w:szCs w:val="20"/>
                <w:color w:val="auto"/>
              </w:rPr>
            </w:pPr>
            <w:r>
              <w:rPr>
                <w:rFonts w:ascii="Times New Roman" w:cs="Times New Roman" w:eastAsia="Times New Roman" w:hAnsi="Times New Roman"/>
                <w:sz w:val="18"/>
                <w:szCs w:val="18"/>
                <w:b w:val="1"/>
                <w:bCs w:val="1"/>
                <w:color w:val="auto"/>
              </w:rPr>
              <w:t>Diluted earnings per share attributable to Clearway Energy, Inc.</w:t>
            </w:r>
          </w:p>
        </w:tc>
        <w:tc>
          <w:tcPr>
            <w:tcW w:w="44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8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8"/>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common stockholders</w:t>
            </w:r>
          </w:p>
        </w:tc>
        <w:tc>
          <w:tcPr>
            <w:tcW w:w="4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Net (loss) income attributable to Clearway Energy, Inc.</w:t>
            </w:r>
          </w:p>
        </w:tc>
        <w:tc>
          <w:tcPr>
            <w:tcW w:w="440" w:type="dxa"/>
            <w:vAlign w:val="bottom"/>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40</w:t>
            </w:r>
          </w:p>
        </w:tc>
        <w:tc>
          <w:tcPr>
            <w:tcW w:w="580" w:type="dxa"/>
            <w:vAlign w:val="bottom"/>
            <w:gridSpan w:val="2"/>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85</w:t>
            </w:r>
          </w:p>
        </w:tc>
        <w:tc>
          <w:tcPr>
            <w:tcW w:w="0" w:type="dxa"/>
            <w:vAlign w:val="bottom"/>
          </w:tcPr>
          <w:p>
            <w:pPr>
              <w:spacing w:after="0"/>
              <w:rPr>
                <w:sz w:val="1"/>
                <w:szCs w:val="1"/>
                <w:color w:val="auto"/>
              </w:rPr>
            </w:pPr>
          </w:p>
        </w:tc>
      </w:tr>
      <w:tr>
        <w:trPr>
          <w:trHeight w:val="198"/>
        </w:trPr>
        <w:tc>
          <w:tcPr>
            <w:tcW w:w="5320" w:type="dxa"/>
            <w:vAlign w:val="bottom"/>
            <w:shd w:val="clear" w:color="auto" w:fill="CCEEFF"/>
          </w:tcPr>
          <w:p>
            <w:pPr>
              <w:ind w:left="320"/>
              <w:spacing w:after="0" w:line="198" w:lineRule="exact"/>
              <w:rPr>
                <w:sz w:val="20"/>
                <w:szCs w:val="20"/>
                <w:color w:val="auto"/>
              </w:rPr>
            </w:pPr>
            <w:r>
              <w:rPr>
                <w:rFonts w:ascii="Times New Roman" w:cs="Times New Roman" w:eastAsia="Times New Roman" w:hAnsi="Times New Roman"/>
                <w:sz w:val="18"/>
                <w:szCs w:val="18"/>
                <w:color w:val="auto"/>
              </w:rPr>
              <w:t>Weighted average number of common shares outstanding —</w:t>
            </w:r>
          </w:p>
        </w:tc>
        <w:tc>
          <w:tcPr>
            <w:tcW w:w="44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840" w:type="dxa"/>
            <w:vAlign w:val="bottom"/>
            <w:vMerge w:val="restart"/>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73</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8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w:t>
            </w:r>
          </w:p>
        </w:tc>
        <w:tc>
          <w:tcPr>
            <w:tcW w:w="0" w:type="dxa"/>
            <w:vAlign w:val="bottom"/>
          </w:tcPr>
          <w:p>
            <w:pPr>
              <w:spacing w:after="0"/>
              <w:rPr>
                <w:sz w:val="1"/>
                <w:szCs w:val="1"/>
                <w:color w:val="auto"/>
              </w:rPr>
            </w:pPr>
          </w:p>
        </w:tc>
      </w:tr>
      <w:tr>
        <w:trPr>
          <w:trHeight w:val="221"/>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5320" w:type="dxa"/>
            <w:vAlign w:val="bottom"/>
          </w:tcPr>
          <w:p>
            <w:pPr>
              <w:ind w:left="320"/>
              <w:spacing w:after="0" w:line="188" w:lineRule="exact"/>
              <w:rPr>
                <w:sz w:val="20"/>
                <w:szCs w:val="20"/>
                <w:color w:val="auto"/>
              </w:rPr>
            </w:pPr>
            <w:r>
              <w:rPr>
                <w:rFonts w:ascii="Times New Roman" w:cs="Times New Roman" w:eastAsia="Times New Roman" w:hAnsi="Times New Roman"/>
                <w:sz w:val="18"/>
                <w:szCs w:val="18"/>
                <w:b w:val="1"/>
                <w:bCs w:val="1"/>
                <w:color w:val="auto"/>
              </w:rPr>
              <w:t>(Losses) Earnings per weighted average common share —</w:t>
            </w:r>
          </w:p>
        </w:tc>
        <w:tc>
          <w:tcPr>
            <w:tcW w:w="440" w:type="dxa"/>
            <w:vAlign w:val="bottom"/>
            <w:vMerge w:val="restart"/>
          </w:tcPr>
          <w:p>
            <w:pPr>
              <w:jc w:val="right"/>
              <w:ind w:right="275"/>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5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(0.04)</w:t>
            </w:r>
          </w:p>
        </w:tc>
        <w:tc>
          <w:tcPr>
            <w:tcW w:w="5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1.14</w:t>
            </w:r>
          </w:p>
        </w:tc>
        <w:tc>
          <w:tcPr>
            <w:tcW w:w="5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vMerge w:val="restart"/>
          </w:tcPr>
          <w:p>
            <w:pPr>
              <w:jc w:val="right"/>
              <w:ind w:right="10"/>
              <w:spacing w:after="0"/>
              <w:rPr>
                <w:sz w:val="20"/>
                <w:szCs w:val="20"/>
                <w:color w:val="auto"/>
              </w:rPr>
            </w:pPr>
            <w:r>
              <w:rPr>
                <w:rFonts w:ascii="Times New Roman" w:cs="Times New Roman" w:eastAsia="Times New Roman" w:hAnsi="Times New Roman"/>
                <w:sz w:val="18"/>
                <w:szCs w:val="18"/>
                <w:color w:val="auto"/>
              </w:rPr>
              <w:t>1.10</w:t>
            </w:r>
          </w:p>
        </w:tc>
        <w:tc>
          <w:tcPr>
            <w:tcW w:w="0" w:type="dxa"/>
            <w:vAlign w:val="bottom"/>
          </w:tcPr>
          <w:p>
            <w:pPr>
              <w:spacing w:after="0"/>
              <w:rPr>
                <w:sz w:val="1"/>
                <w:szCs w:val="1"/>
                <w:color w:val="auto"/>
              </w:rPr>
            </w:pPr>
          </w:p>
        </w:tc>
      </w:tr>
      <w:tr>
        <w:trPr>
          <w:trHeight w:val="198"/>
        </w:trPr>
        <w:tc>
          <w:tcPr>
            <w:tcW w:w="53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diluted</w:t>
            </w:r>
          </w:p>
        </w:tc>
        <w:tc>
          <w:tcPr>
            <w:tcW w:w="440" w:type="dxa"/>
            <w:vAlign w:val="bottom"/>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840" w:type="dxa"/>
            <w:vAlign w:val="bottom"/>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580" w:type="dxa"/>
            <w:vAlign w:val="bottom"/>
            <w:gridSpan w:val="2"/>
            <w:vMerge w:val="continue"/>
          </w:tcPr>
          <w:p>
            <w:pPr>
              <w:spacing w:after="0"/>
              <w:rPr>
                <w:sz w:val="17"/>
                <w:szCs w:val="17"/>
                <w:color w:val="auto"/>
              </w:rPr>
            </w:pPr>
          </w:p>
        </w:tc>
        <w:tc>
          <w:tcPr>
            <w:tcW w:w="8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620" w:right="2060" w:hanging="5126"/>
        <w:spacing w:after="0"/>
        <w:tabs>
          <w:tab w:leader="none" w:pos="694" w:val="left"/>
        </w:tabs>
        <w:numPr>
          <w:ilvl w:val="0"/>
          <w:numId w:val="1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Basic and diluted earnings per share might not recalculate due to presenting values in millions rather than whole dollars. 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294640</wp:posOffset>
            </wp:positionV>
            <wp:extent cx="72466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29" w:name="page30"/>
    <w:bookmarkEnd w:id="29"/>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following table summarizes the Company's outstanding equity instruments that are anti-dilutive and were not included in the computation of the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Company's diluted earnings per share:</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5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2720" w:type="dxa"/>
            <w:vAlign w:val="bottom"/>
            <w:tcBorders>
              <w:bottom w:val="single" w:sz="8" w:color="auto"/>
            </w:tcBorders>
            <w:gridSpan w:val="4"/>
          </w:tcPr>
          <w:p>
            <w:pPr>
              <w:jc w:val="right"/>
              <w:ind w:right="9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80" w:type="dxa"/>
            <w:vAlign w:val="bottom"/>
          </w:tcPr>
          <w:p>
            <w:pPr>
              <w:spacing w:after="0"/>
              <w:rPr>
                <w:sz w:val="18"/>
                <w:szCs w:val="18"/>
                <w:color w:val="auto"/>
              </w:rPr>
            </w:pPr>
          </w:p>
        </w:tc>
        <w:tc>
          <w:tcPr>
            <w:tcW w:w="2720" w:type="dxa"/>
            <w:vAlign w:val="bottom"/>
            <w:tcBorders>
              <w:bottom w:val="single" w:sz="8" w:color="auto"/>
            </w:tcBorders>
            <w:gridSpan w:val="3"/>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580" w:type="dxa"/>
            <w:vAlign w:val="bottom"/>
          </w:tcPr>
          <w:p>
            <w:pPr>
              <w:spacing w:after="0"/>
              <w:rPr>
                <w:sz w:val="18"/>
                <w:szCs w:val="18"/>
                <w:color w:val="auto"/>
              </w:rPr>
            </w:pPr>
          </w:p>
        </w:tc>
      </w:tr>
      <w:tr>
        <w:trPr>
          <w:trHeight w:val="209"/>
        </w:trPr>
        <w:tc>
          <w:tcPr>
            <w:tcW w:w="5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960" w:type="dxa"/>
            <w:vAlign w:val="bottom"/>
          </w:tcPr>
          <w:p>
            <w:pPr>
              <w:jc w:val="right"/>
              <w:ind w:right="119"/>
              <w:spacing w:after="0"/>
              <w:rPr>
                <w:sz w:val="20"/>
                <w:szCs w:val="20"/>
                <w:color w:val="auto"/>
              </w:rPr>
            </w:pPr>
            <w:r>
              <w:rPr>
                <w:rFonts w:ascii="Times New Roman" w:cs="Times New Roman" w:eastAsia="Times New Roman" w:hAnsi="Times New Roman"/>
                <w:sz w:val="16"/>
                <w:szCs w:val="16"/>
                <w:b w:val="1"/>
                <w:bCs w:val="1"/>
                <w:color w:val="auto"/>
              </w:rPr>
              <w:t>2019</w:t>
            </w:r>
          </w:p>
        </w:tc>
        <w:tc>
          <w:tcPr>
            <w:tcW w:w="340" w:type="dxa"/>
            <w:vAlign w:val="bottom"/>
          </w:tcPr>
          <w:p>
            <w:pPr>
              <w:spacing w:after="0"/>
              <w:rPr>
                <w:sz w:val="18"/>
                <w:szCs w:val="18"/>
                <w:color w:val="auto"/>
              </w:rPr>
            </w:pPr>
          </w:p>
        </w:tc>
        <w:tc>
          <w:tcPr>
            <w:tcW w:w="1420" w:type="dxa"/>
            <w:vAlign w:val="bottom"/>
            <w:gridSpan w:val="2"/>
          </w:tcPr>
          <w:p>
            <w:pPr>
              <w:jc w:val="right"/>
              <w:ind w:right="450"/>
              <w:spacing w:after="0"/>
              <w:rPr>
                <w:sz w:val="20"/>
                <w:szCs w:val="20"/>
                <w:color w:val="auto"/>
              </w:rPr>
            </w:pPr>
            <w:r>
              <w:rPr>
                <w:rFonts w:ascii="Times New Roman" w:cs="Times New Roman" w:eastAsia="Times New Roman" w:hAnsi="Times New Roman"/>
                <w:sz w:val="16"/>
                <w:szCs w:val="16"/>
                <w:b w:val="1"/>
                <w:bCs w:val="1"/>
                <w:color w:val="auto"/>
              </w:rPr>
              <w:t>2018</w:t>
            </w:r>
          </w:p>
        </w:tc>
        <w:tc>
          <w:tcPr>
            <w:tcW w:w="80" w:type="dxa"/>
            <w:vAlign w:val="bottom"/>
          </w:tcPr>
          <w:p>
            <w:pPr>
              <w:spacing w:after="0"/>
              <w:rPr>
                <w:sz w:val="18"/>
                <w:szCs w:val="18"/>
                <w:color w:val="auto"/>
              </w:rPr>
            </w:pPr>
          </w:p>
        </w:tc>
        <w:tc>
          <w:tcPr>
            <w:tcW w:w="1320" w:type="dxa"/>
            <w:vAlign w:val="bottom"/>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2019</w:t>
            </w:r>
          </w:p>
        </w:tc>
        <w:tc>
          <w:tcPr>
            <w:tcW w:w="1400" w:type="dxa"/>
            <w:vAlign w:val="bottom"/>
            <w:gridSpan w:val="2"/>
          </w:tcPr>
          <w:p>
            <w:pPr>
              <w:jc w:val="right"/>
              <w:ind w:right="540"/>
              <w:spacing w:after="0"/>
              <w:rPr>
                <w:sz w:val="20"/>
                <w:szCs w:val="20"/>
                <w:color w:val="auto"/>
              </w:rPr>
            </w:pPr>
            <w:r>
              <w:rPr>
                <w:rFonts w:ascii="Times New Roman" w:cs="Times New Roman" w:eastAsia="Times New Roman" w:hAnsi="Times New Roman"/>
                <w:sz w:val="16"/>
                <w:szCs w:val="16"/>
                <w:b w:val="1"/>
                <w:bCs w:val="1"/>
                <w:color w:val="auto"/>
              </w:rPr>
              <w:t>2018</w:t>
            </w:r>
          </w:p>
        </w:tc>
        <w:tc>
          <w:tcPr>
            <w:tcW w:w="580" w:type="dxa"/>
            <w:vAlign w:val="bottom"/>
          </w:tcPr>
          <w:p>
            <w:pPr>
              <w:spacing w:after="0"/>
              <w:rPr>
                <w:sz w:val="18"/>
                <w:szCs w:val="18"/>
                <w:color w:val="auto"/>
              </w:rPr>
            </w:pPr>
          </w:p>
        </w:tc>
      </w:tr>
      <w:tr>
        <w:trPr>
          <w:trHeight w:val="213"/>
        </w:trPr>
        <w:tc>
          <w:tcPr>
            <w:tcW w:w="580" w:type="dxa"/>
            <w:vAlign w:val="bottom"/>
          </w:tcPr>
          <w:p>
            <w:pPr>
              <w:spacing w:after="0"/>
              <w:rPr>
                <w:sz w:val="18"/>
                <w:szCs w:val="18"/>
                <w:color w:val="auto"/>
              </w:rPr>
            </w:pPr>
          </w:p>
        </w:tc>
        <w:tc>
          <w:tcPr>
            <w:tcW w:w="4740" w:type="dxa"/>
            <w:vAlign w:val="bottom"/>
          </w:tcPr>
          <w:p>
            <w:pPr>
              <w:spacing w:after="0"/>
              <w:rPr>
                <w:sz w:val="18"/>
                <w:szCs w:val="18"/>
                <w:color w:val="auto"/>
              </w:rPr>
            </w:pPr>
          </w:p>
        </w:tc>
        <w:tc>
          <w:tcPr>
            <w:tcW w:w="960" w:type="dxa"/>
            <w:vAlign w:val="bottom"/>
            <w:tcBorders>
              <w:top w:val="single" w:sz="8" w:color="auto"/>
            </w:tcBorders>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80" w:type="dxa"/>
            <w:vAlign w:val="bottom"/>
          </w:tcPr>
          <w:p>
            <w:pPr>
              <w:spacing w:after="0"/>
              <w:rPr>
                <w:sz w:val="18"/>
                <w:szCs w:val="18"/>
                <w:color w:val="auto"/>
              </w:rPr>
            </w:pPr>
          </w:p>
        </w:tc>
        <w:tc>
          <w:tcPr>
            <w:tcW w:w="1320" w:type="dxa"/>
            <w:vAlign w:val="bottom"/>
            <w:tcBorders>
              <w:top w:val="single" w:sz="8" w:color="auto"/>
            </w:tcBorders>
          </w:tcPr>
          <w:p>
            <w:pPr>
              <w:jc w:val="right"/>
              <w:ind w:right="536"/>
              <w:spacing w:after="0"/>
              <w:rPr>
                <w:sz w:val="20"/>
                <w:szCs w:val="20"/>
                <w:color w:val="auto"/>
              </w:rPr>
            </w:pPr>
            <w:r>
              <w:rPr>
                <w:rFonts w:ascii="Times New Roman" w:cs="Times New Roman" w:eastAsia="Times New Roman" w:hAnsi="Times New Roman"/>
                <w:sz w:val="18"/>
                <w:szCs w:val="18"/>
                <w:i w:val="1"/>
                <w:iCs w:val="1"/>
                <w:color w:val="auto"/>
                <w:w w:val="95"/>
              </w:rPr>
              <w:t>of shares)</w:t>
            </w:r>
          </w:p>
        </w:tc>
        <w:tc>
          <w:tcPr>
            <w:tcW w:w="8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580" w:type="dxa"/>
            <w:vAlign w:val="bottom"/>
          </w:tcPr>
          <w:p>
            <w:pPr>
              <w:spacing w:after="0"/>
              <w:rPr>
                <w:sz w:val="18"/>
                <w:szCs w:val="18"/>
                <w:color w:val="auto"/>
              </w:rPr>
            </w:pPr>
          </w:p>
        </w:tc>
      </w:tr>
      <w:tr>
        <w:trPr>
          <w:trHeight w:val="216"/>
        </w:trPr>
        <w:tc>
          <w:tcPr>
            <w:tcW w:w="580" w:type="dxa"/>
            <w:vAlign w:val="bottom"/>
          </w:tcPr>
          <w:p>
            <w:pPr>
              <w:spacing w:after="0"/>
              <w:rPr>
                <w:sz w:val="18"/>
                <w:szCs w:val="18"/>
                <w:color w:val="auto"/>
              </w:rPr>
            </w:pPr>
          </w:p>
        </w:tc>
        <w:tc>
          <w:tcPr>
            <w:tcW w:w="5700" w:type="dxa"/>
            <w:vAlign w:val="bottom"/>
            <w:gridSpan w:val="2"/>
            <w:shd w:val="clear" w:color="auto" w:fill="CCEEFF"/>
          </w:tcPr>
          <w:p>
            <w:pPr>
              <w:jc w:val="right"/>
              <w:ind w:right="2479"/>
              <w:spacing w:after="0"/>
              <w:rPr>
                <w:sz w:val="20"/>
                <w:szCs w:val="20"/>
                <w:color w:val="auto"/>
              </w:rPr>
            </w:pPr>
            <w:r>
              <w:rPr>
                <w:rFonts w:ascii="Times New Roman" w:cs="Times New Roman" w:eastAsia="Times New Roman" w:hAnsi="Times New Roman"/>
                <w:sz w:val="18"/>
                <w:szCs w:val="18"/>
                <w:color w:val="auto"/>
                <w:w w:val="99"/>
              </w:rPr>
              <w:t>2020 Convertible Notes - Common Class C</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gridSpan w:val="2"/>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w:t>
            </w:r>
          </w:p>
        </w:tc>
        <w:tc>
          <w:tcPr>
            <w:tcW w:w="1400" w:type="dxa"/>
            <w:vAlign w:val="bottom"/>
            <w:gridSpan w:val="2"/>
            <w:shd w:val="clear" w:color="auto" w:fill="CCEEFF"/>
          </w:tcPr>
          <w:p>
            <w:pPr>
              <w:jc w:val="right"/>
              <w:ind w:right="16"/>
              <w:spacing w:after="0"/>
              <w:rPr>
                <w:sz w:val="20"/>
                <w:szCs w:val="20"/>
                <w:color w:val="auto"/>
              </w:rPr>
            </w:pPr>
            <w:r>
              <w:rPr>
                <w:rFonts w:ascii="Times New Roman" w:cs="Times New Roman" w:eastAsia="Times New Roman" w:hAnsi="Times New Roman"/>
                <w:sz w:val="18"/>
                <w:szCs w:val="18"/>
                <w:color w:val="auto"/>
              </w:rPr>
              <w:t>2</w:t>
            </w:r>
          </w:p>
        </w:tc>
        <w:tc>
          <w:tcPr>
            <w:tcW w:w="14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rPr>
                <w:sz w:val="18"/>
                <w:szCs w:val="18"/>
                <w:color w:val="auto"/>
              </w:rPr>
            </w:pPr>
          </w:p>
        </w:tc>
      </w:tr>
      <w:tr>
        <w:trPr>
          <w:trHeight w:val="648"/>
        </w:trPr>
        <w:tc>
          <w:tcPr>
            <w:tcW w:w="580" w:type="dxa"/>
            <w:vAlign w:val="bottom"/>
          </w:tcPr>
          <w:p>
            <w:pPr>
              <w:spacing w:after="0"/>
              <w:rPr>
                <w:sz w:val="24"/>
                <w:szCs w:val="24"/>
                <w:color w:val="auto"/>
              </w:rPr>
            </w:pPr>
          </w:p>
        </w:tc>
        <w:tc>
          <w:tcPr>
            <w:tcW w:w="5700" w:type="dxa"/>
            <w:vAlign w:val="bottom"/>
            <w:gridSpan w:val="2"/>
          </w:tcPr>
          <w:p>
            <w:pPr>
              <w:jc w:val="right"/>
              <w:ind w:right="399"/>
              <w:spacing w:after="0"/>
              <w:rPr>
                <w:sz w:val="20"/>
                <w:szCs w:val="20"/>
                <w:color w:val="auto"/>
              </w:rPr>
            </w:pPr>
            <w:r>
              <w:rPr>
                <w:rFonts w:ascii="Times New Roman" w:cs="Times New Roman" w:eastAsia="Times New Roman" w:hAnsi="Times New Roman"/>
                <w:sz w:val="18"/>
                <w:szCs w:val="18"/>
                <w:color w:val="auto"/>
              </w:rPr>
              <w:t>34</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580" w:type="dxa"/>
            <w:vAlign w:val="bottom"/>
          </w:tcPr>
          <w:p>
            <w:pPr>
              <w:spacing w:after="0"/>
              <w:rPr>
                <w:sz w:val="24"/>
                <w:szCs w:val="24"/>
                <w:color w:val="auto"/>
              </w:rPr>
            </w:pPr>
          </w:p>
        </w:tc>
      </w:tr>
      <w:tr>
        <w:trPr>
          <w:trHeight w:val="115"/>
        </w:trPr>
        <w:tc>
          <w:tcPr>
            <w:tcW w:w="580" w:type="dxa"/>
            <w:vAlign w:val="bottom"/>
            <w:tcBorders>
              <w:bottom w:val="single" w:sz="8" w:color="auto"/>
            </w:tcBorders>
          </w:tcPr>
          <w:p>
            <w:pPr>
              <w:spacing w:after="0"/>
              <w:rPr>
                <w:sz w:val="10"/>
                <w:szCs w:val="10"/>
                <w:color w:val="auto"/>
              </w:rPr>
            </w:pPr>
          </w:p>
        </w:tc>
        <w:tc>
          <w:tcPr>
            <w:tcW w:w="4740" w:type="dxa"/>
            <w:vAlign w:val="bottom"/>
            <w:tcBorders>
              <w:bottom w:val="single" w:sz="8" w:color="auto"/>
            </w:tcBorders>
          </w:tcPr>
          <w:p>
            <w:pPr>
              <w:spacing w:after="0"/>
              <w:rPr>
                <w:sz w:val="10"/>
                <w:szCs w:val="10"/>
                <w:color w:val="auto"/>
              </w:rPr>
            </w:pPr>
          </w:p>
        </w:tc>
        <w:tc>
          <w:tcPr>
            <w:tcW w:w="960" w:type="dxa"/>
            <w:vAlign w:val="bottom"/>
            <w:tcBorders>
              <w:bottom w:val="single" w:sz="8" w:color="auto"/>
            </w:tcBorders>
          </w:tcPr>
          <w:p>
            <w:pPr>
              <w:spacing w:after="0"/>
              <w:rPr>
                <w:sz w:val="10"/>
                <w:szCs w:val="10"/>
                <w:color w:val="auto"/>
              </w:rPr>
            </w:pPr>
          </w:p>
        </w:tc>
        <w:tc>
          <w:tcPr>
            <w:tcW w:w="34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80" w:type="dxa"/>
            <w:vAlign w:val="bottom"/>
            <w:tcBorders>
              <w:bottom w:val="single" w:sz="8" w:color="auto"/>
            </w:tcBorders>
          </w:tcPr>
          <w:p>
            <w:pPr>
              <w:spacing w:after="0"/>
              <w:rPr>
                <w:sz w:val="10"/>
                <w:szCs w:val="10"/>
                <w:color w:val="auto"/>
              </w:rPr>
            </w:pPr>
          </w:p>
        </w:tc>
        <w:tc>
          <w:tcPr>
            <w:tcW w:w="132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r>
    </w:tbl>
    <w:p>
      <w:pPr>
        <w:sectPr>
          <w:pgSz w:w="11900" w:h="16838" w:orient="portrait"/>
          <w:cols w:equalWidth="0" w:num="1">
            <w:col w:w="11420"/>
          </w:cols>
          <w:pgMar w:left="240" w:top="111" w:right="239" w:bottom="1440" w:gutter="0" w:footer="0" w:header="0"/>
        </w:sectPr>
      </w:pPr>
    </w:p>
    <w:bookmarkStart w:id="30" w:name="page31"/>
    <w:bookmarkEnd w:id="30"/>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9 — </w:t>
      </w:r>
      <w:r>
        <w:rPr>
          <w:rFonts w:ascii="Times New Roman" w:cs="Times New Roman" w:eastAsia="Times New Roman" w:hAnsi="Times New Roman"/>
          <w:sz w:val="18"/>
          <w:szCs w:val="18"/>
          <w:b w:val="1"/>
          <w:bCs w:val="1"/>
          <w:i w:val="1"/>
          <w:iCs w:val="1"/>
          <w:color w:val="auto"/>
        </w:rPr>
        <w:t>Segment Reporting</w:t>
      </w:r>
    </w:p>
    <w:p>
      <w:pPr>
        <w:spacing w:after="0" w:line="229"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The Company’s segment structure reflects how management currently operates and allocates resources. The Company's businesses are segregated based on conventional power generation, renewable businesses which consist of solar and wind, and the thermal and chilled water business. The Corporate segment reflects the Company's corporate costs. The Company's chief operating decision maker, its Chief Executive Officer, evaluates the performance of its segments based on operational measures including adjusted earnings before interest, taxes, depreciation and amortization, or Adjusted EBITDA, and CAFD, as well as economic gross margin and net income (loss).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3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7"/>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Three months ended September 30, 2019</w:t>
            </w:r>
          </w:p>
        </w:tc>
        <w:tc>
          <w:tcPr>
            <w:tcW w:w="12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90</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operations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Development costs</w:t>
            </w:r>
          </w:p>
        </w:tc>
        <w:tc>
          <w:tcPr>
            <w:tcW w:w="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benefit</w:t>
            </w:r>
          </w:p>
        </w:tc>
        <w:tc>
          <w:tcPr>
            <w:tcW w:w="3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38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41</w:t>
            </w: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3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w:t>
            </w:r>
          </w:p>
        </w:tc>
        <w:tc>
          <w:tcPr>
            <w:tcW w:w="2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35</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1,766</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6,330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632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110</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8,838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00" w:type="dxa"/>
            <w:vAlign w:val="bottom"/>
            <w:shd w:val="clear" w:color="auto" w:fill="CCEEFF"/>
          </w:tcPr>
          <w:p>
            <w:pPr>
              <w:spacing w:after="0" w:line="20" w:lineRule="exact"/>
              <w:rPr>
                <w:sz w:val="1"/>
                <w:szCs w:val="1"/>
                <w:color w:val="auto"/>
              </w:rPr>
            </w:pPr>
          </w:p>
        </w:tc>
        <w:tc>
          <w:tcPr>
            <w:tcW w:w="38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0"/>
        </w:trPr>
        <w:tc>
          <w:tcPr>
            <w:tcW w:w="2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7"/>
          </w:tcPr>
          <w:p>
            <w:pPr>
              <w:jc w:val="right"/>
              <w:ind w:right="551"/>
              <w:spacing w:after="0"/>
              <w:rPr>
                <w:sz w:val="20"/>
                <w:szCs w:val="20"/>
                <w:color w:val="auto"/>
              </w:rPr>
            </w:pPr>
            <w:r>
              <w:rPr>
                <w:rFonts w:ascii="Times New Roman" w:cs="Times New Roman" w:eastAsia="Times New Roman" w:hAnsi="Times New Roman"/>
                <w:sz w:val="16"/>
                <w:szCs w:val="16"/>
                <w:b w:val="1"/>
                <w:bCs w:val="1"/>
                <w:color w:val="auto"/>
              </w:rPr>
              <w:t>Three months ended September 30, 2018</w:t>
            </w: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3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32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51"/>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71"/>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91"/>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Revenues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87</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152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53</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operations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26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Acquisition-related transaction and integration costs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Development costs</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 net</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38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5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43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5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39</w:t>
            </w: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49</w:t>
            </w: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4300" w:type="dxa"/>
            <w:vAlign w:val="bottom"/>
            <w:tcBorders>
              <w:top w:val="single" w:sz="8" w:color="CCEEFF"/>
            </w:tcBorders>
          </w:tcPr>
          <w:p>
            <w:pPr>
              <w:spacing w:after="0"/>
              <w:rPr>
                <w:sz w:val="24"/>
                <w:szCs w:val="24"/>
                <w:color w:val="auto"/>
              </w:rPr>
            </w:pPr>
          </w:p>
        </w:tc>
        <w:tc>
          <w:tcPr>
            <w:tcW w:w="38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111"/>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4300" w:type="dxa"/>
            <w:vAlign w:val="bottom"/>
            <w:tcBorders>
              <w:bottom w:val="single" w:sz="8" w:color="auto"/>
            </w:tcBorders>
          </w:tcPr>
          <w:p>
            <w:pPr>
              <w:spacing w:after="0"/>
              <w:rPr>
                <w:sz w:val="10"/>
                <w:szCs w:val="10"/>
                <w:color w:val="auto"/>
              </w:rPr>
            </w:pPr>
          </w:p>
        </w:tc>
        <w:tc>
          <w:tcPr>
            <w:tcW w:w="3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80" w:type="dxa"/>
            <w:vAlign w:val="bottom"/>
            <w:tcBorders>
              <w:bottom w:val="single" w:sz="8" w:color="auto"/>
            </w:tcBorders>
          </w:tcPr>
          <w:p>
            <w:pPr>
              <w:spacing w:after="0"/>
              <w:rPr>
                <w:sz w:val="10"/>
                <w:szCs w:val="10"/>
                <w:color w:val="auto"/>
              </w:rPr>
            </w:pPr>
          </w:p>
        </w:tc>
        <w:tc>
          <w:tcPr>
            <w:tcW w:w="10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60" w:type="dxa"/>
            <w:vAlign w:val="bottom"/>
            <w:tcBorders>
              <w:bottom w:val="single" w:sz="8" w:color="auto"/>
            </w:tcBorders>
          </w:tcPr>
          <w:p>
            <w:pPr>
              <w:spacing w:after="0"/>
              <w:rPr>
                <w:sz w:val="10"/>
                <w:szCs w:val="10"/>
                <w:color w:val="auto"/>
              </w:rPr>
            </w:pPr>
          </w:p>
        </w:tc>
        <w:tc>
          <w:tcPr>
            <w:tcW w:w="10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24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31" w:name="page32"/>
    <w:bookmarkEnd w:id="31"/>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3820" w:type="dxa"/>
            <w:vAlign w:val="bottom"/>
            <w:tcBorders>
              <w:bottom w:val="single" w:sz="8" w:color="auto"/>
            </w:tcBorders>
            <w:gridSpan w:val="9"/>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Nine months ended September 30, 2019</w:t>
            </w:r>
          </w:p>
        </w:tc>
        <w:tc>
          <w:tcPr>
            <w:tcW w:w="120" w:type="dxa"/>
            <w:vAlign w:val="bottom"/>
            <w:tcBorders>
              <w:bottom w:val="single" w:sz="8" w:color="auto"/>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392</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operations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losses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Acquisition-related transaction and integration costs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Development costs</w:t>
            </w:r>
          </w:p>
        </w:tc>
        <w:tc>
          <w:tcPr>
            <w:tcW w:w="2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120" w:type="dxa"/>
            <w:vAlign w:val="bottom"/>
            <w:tcBorders>
              <w:bottom w:val="single" w:sz="8" w:color="auto"/>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auto"/>
              <w:right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080" w:type="dxa"/>
            <w:vAlign w:val="bottom"/>
            <w:tcBorders>
              <w:bottom w:val="single" w:sz="8" w:color="auto"/>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right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(213)</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(13)</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benefit</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Borders>
              <w:right w:val="single" w:sz="8" w:color="CCEEFF"/>
            </w:tcBorders>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(70)</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0"/>
        </w:trPr>
        <w:tc>
          <w:tcPr>
            <w:tcW w:w="20" w:type="dxa"/>
            <w:vAlign w:val="bottom"/>
          </w:tcPr>
          <w:p>
            <w:pPr>
              <w:spacing w:after="0"/>
              <w:rPr>
                <w:sz w:val="24"/>
                <w:szCs w:val="24"/>
                <w:color w:val="auto"/>
              </w:rPr>
            </w:pPr>
          </w:p>
        </w:tc>
        <w:tc>
          <w:tcPr>
            <w:tcW w:w="44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3820" w:type="dxa"/>
            <w:vAlign w:val="bottom"/>
            <w:tcBorders>
              <w:bottom w:val="single" w:sz="8" w:color="auto"/>
            </w:tcBorders>
            <w:gridSpan w:val="9"/>
          </w:tcPr>
          <w:p>
            <w:pPr>
              <w:jc w:val="right"/>
              <w:ind w:right="591"/>
              <w:spacing w:after="0"/>
              <w:rPr>
                <w:sz w:val="20"/>
                <w:szCs w:val="20"/>
                <w:color w:val="auto"/>
              </w:rPr>
            </w:pPr>
            <w:r>
              <w:rPr>
                <w:rFonts w:ascii="Times New Roman" w:cs="Times New Roman" w:eastAsia="Times New Roman" w:hAnsi="Times New Roman"/>
                <w:sz w:val="16"/>
                <w:szCs w:val="16"/>
                <w:b w:val="1"/>
                <w:bCs w:val="1"/>
                <w:color w:val="auto"/>
              </w:rPr>
              <w:t>Nine months ended September 30, 2018</w:t>
            </w:r>
          </w:p>
        </w:tc>
        <w:tc>
          <w:tcPr>
            <w:tcW w:w="1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44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8"/>
        </w:trPr>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211"/>
              <w:spacing w:after="0"/>
              <w:rPr>
                <w:sz w:val="20"/>
                <w:szCs w:val="20"/>
                <w:color w:val="auto"/>
              </w:rPr>
            </w:pPr>
            <w:r>
              <w:rPr>
                <w:rFonts w:ascii="Times New Roman" w:cs="Times New Roman" w:eastAsia="Times New Roman" w:hAnsi="Times New Roman"/>
                <w:sz w:val="16"/>
                <w:szCs w:val="16"/>
                <w:b w:val="1"/>
                <w:bCs w:val="1"/>
                <w:color w:val="auto"/>
              </w:rPr>
              <w:t>Corporate</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4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3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251</w:t>
            </w: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427</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146</w:t>
            </w: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operations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154</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Acquisition-related transaction and integration costs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Development costs</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 (Loss)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131</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167</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(37)</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293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income, net</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(95)</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w:t>
            </w: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(64)</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Income tax expense</w:t>
            </w:r>
          </w:p>
        </w:tc>
        <w:tc>
          <w:tcPr>
            <w:tcW w:w="24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24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w:t>
            </w:r>
          </w:p>
        </w:tc>
        <w:tc>
          <w:tcPr>
            <w:tcW w:w="100" w:type="dxa"/>
            <w:vAlign w:val="bottom"/>
            <w:tcBorders>
              <w:right w:val="single" w:sz="8" w:color="CCEEFF"/>
            </w:tcBorders>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right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131</w:t>
            </w:r>
          </w:p>
        </w:tc>
        <w:tc>
          <w:tcPr>
            <w:tcW w:w="3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Borders>
              <w:right w:val="single" w:sz="8" w:color="CCEEFF"/>
            </w:tcBorders>
            <w:shd w:val="clear" w:color="auto" w:fill="CCEEFF"/>
          </w:tcPr>
          <w:p>
            <w:pPr>
              <w:spacing w:after="0"/>
              <w:rPr>
                <w:sz w:val="19"/>
                <w:szCs w:val="19"/>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(117)</w:t>
            </w:r>
          </w:p>
        </w:tc>
        <w:tc>
          <w:tcPr>
            <w:tcW w:w="3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145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44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9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8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 xml:space="preserve">Note 10 — </w:t>
            </w:r>
            <w:r>
              <w:rPr>
                <w:rFonts w:ascii="Times New Roman" w:cs="Times New Roman" w:eastAsia="Times New Roman" w:hAnsi="Times New Roman"/>
                <w:sz w:val="18"/>
                <w:szCs w:val="18"/>
                <w:b w:val="1"/>
                <w:bCs w:val="1"/>
                <w:i w:val="1"/>
                <w:iCs w:val="1"/>
                <w:color w:val="auto"/>
              </w:rPr>
              <w:t>Income Taxes</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46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i w:val="1"/>
                <w:iCs w:val="1"/>
                <w:color w:val="auto"/>
              </w:rPr>
              <w:t>Effective Tax Rate</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44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The income tax provision consisted of the following:</w:t>
            </w:r>
          </w:p>
        </w:tc>
        <w:tc>
          <w:tcPr>
            <w:tcW w:w="2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740" w:type="dxa"/>
            <w:vAlign w:val="bottom"/>
            <w:gridSpan w:val="8"/>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w w:val="99"/>
              </w:rPr>
              <w:t>Three months ended September 30,</w:t>
            </w:r>
          </w:p>
        </w:tc>
        <w:tc>
          <w:tcPr>
            <w:tcW w:w="2680" w:type="dxa"/>
            <w:vAlign w:val="bottom"/>
            <w:gridSpan w:val="6"/>
            <w:vMerge w:val="restart"/>
          </w:tcPr>
          <w:p>
            <w:pPr>
              <w:ind w:left="8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44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740" w:type="dxa"/>
            <w:vAlign w:val="bottom"/>
            <w:gridSpan w:val="8"/>
            <w:vMerge w:val="continue"/>
          </w:tcPr>
          <w:p>
            <w:pPr>
              <w:spacing w:after="0"/>
              <w:rPr>
                <w:sz w:val="18"/>
                <w:szCs w:val="18"/>
                <w:color w:val="auto"/>
              </w:rPr>
            </w:pPr>
          </w:p>
        </w:tc>
        <w:tc>
          <w:tcPr>
            <w:tcW w:w="2680" w:type="dxa"/>
            <w:vAlign w:val="bottom"/>
            <w:gridSpan w:val="6"/>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 except percentages)</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00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bottom w:val="single" w:sz="8" w:color="auto"/>
            </w:tcBorders>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980" w:type="dxa"/>
            <w:vAlign w:val="bottom"/>
            <w:tcBorders>
              <w:top w:val="single" w:sz="8" w:color="auto"/>
              <w:bottom w:val="single" w:sz="8" w:color="auto"/>
            </w:tcBorders>
          </w:tcPr>
          <w:p>
            <w:pPr>
              <w:ind w:left="10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1080" w:type="dxa"/>
            <w:vAlign w:val="bottom"/>
            <w:tcBorders>
              <w:top w:val="single" w:sz="8" w:color="auto"/>
              <w:bottom w:val="single" w:sz="8" w:color="auto"/>
            </w:tcBorders>
          </w:tcPr>
          <w:p>
            <w:pPr>
              <w:jc w:val="right"/>
              <w:ind w:right="51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top w:val="single" w:sz="8" w:color="auto"/>
            </w:tcBorders>
          </w:tcPr>
          <w:p>
            <w:pPr>
              <w:spacing w:after="0"/>
              <w:rPr>
                <w:sz w:val="18"/>
                <w:szCs w:val="18"/>
                <w:color w:val="auto"/>
              </w:rPr>
            </w:pPr>
          </w:p>
        </w:tc>
        <w:tc>
          <w:tcPr>
            <w:tcW w:w="220" w:type="dxa"/>
            <w:vAlign w:val="bottom"/>
            <w:tcBorders>
              <w:top w:val="single" w:sz="8" w:color="auto"/>
              <w:bottom w:val="single" w:sz="8" w:color="auto"/>
            </w:tcBorders>
          </w:tcPr>
          <w:p>
            <w:pPr>
              <w:spacing w:after="0"/>
              <w:rPr>
                <w:sz w:val="18"/>
                <w:szCs w:val="18"/>
                <w:color w:val="auto"/>
              </w:rPr>
            </w:pPr>
          </w:p>
        </w:tc>
        <w:tc>
          <w:tcPr>
            <w:tcW w:w="1020" w:type="dxa"/>
            <w:vAlign w:val="bottom"/>
            <w:tcBorders>
              <w:top w:val="single" w:sz="8" w:color="auto"/>
              <w:bottom w:val="single" w:sz="8" w:color="auto"/>
            </w:tcBorders>
          </w:tcPr>
          <w:p>
            <w:pPr>
              <w:jc w:val="right"/>
              <w:ind w:right="471"/>
              <w:spacing w:after="0"/>
              <w:rPr>
                <w:sz w:val="20"/>
                <w:szCs w:val="20"/>
                <w:color w:val="auto"/>
              </w:rPr>
            </w:pPr>
            <w:r>
              <w:rPr>
                <w:rFonts w:ascii="Times New Roman" w:cs="Times New Roman" w:eastAsia="Times New Roman" w:hAnsi="Times New Roman"/>
                <w:sz w:val="16"/>
                <w:szCs w:val="16"/>
                <w:b w:val="1"/>
                <w:bCs w:val="1"/>
                <w:color w:val="auto"/>
              </w:rPr>
              <w:t>2018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Income (Loss) Before Income Taxes</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3"/>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60</w:t>
            </w:r>
          </w:p>
        </w:tc>
        <w:tc>
          <w:tcPr>
            <w:tcW w:w="100" w:type="dxa"/>
            <w:vAlign w:val="bottom"/>
            <w:tcBorders>
              <w:right w:val="single" w:sz="8" w:color="CCEEFF"/>
            </w:tcBorders>
            <w:shd w:val="clear" w:color="auto" w:fill="CCEEFF"/>
          </w:tcPr>
          <w:p>
            <w:pPr>
              <w:spacing w:after="0"/>
              <w:rPr>
                <w:sz w:val="18"/>
                <w:szCs w:val="18"/>
                <w:color w:val="auto"/>
              </w:rPr>
            </w:pPr>
          </w:p>
        </w:tc>
        <w:tc>
          <w:tcPr>
            <w:tcW w:w="2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w w:val="88"/>
              </w:rPr>
              <w:t>$</w:t>
            </w:r>
          </w:p>
        </w:tc>
        <w:tc>
          <w:tcPr>
            <w:tcW w:w="1080" w:type="dxa"/>
            <w:vAlign w:val="bottom"/>
            <w:tcBorders>
              <w:right w:val="single" w:sz="8" w:color="CCEEFF"/>
            </w:tcBorders>
            <w:shd w:val="clear" w:color="auto" w:fill="CCEEFF"/>
          </w:tcPr>
          <w:p>
            <w:pPr>
              <w:jc w:val="right"/>
              <w:ind w:right="51"/>
              <w:spacing w:after="0"/>
              <w:rPr>
                <w:sz w:val="20"/>
                <w:szCs w:val="20"/>
                <w:color w:val="auto"/>
              </w:rPr>
            </w:pPr>
            <w:r>
              <w:rPr>
                <w:rFonts w:ascii="Times New Roman" w:cs="Times New Roman" w:eastAsia="Times New Roman" w:hAnsi="Times New Roman"/>
                <w:sz w:val="18"/>
                <w:szCs w:val="18"/>
                <w:color w:val="auto"/>
              </w:rPr>
              <w:t>(62)</w:t>
            </w:r>
          </w:p>
        </w:tc>
        <w:tc>
          <w:tcPr>
            <w:tcW w:w="3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ind w:right="71"/>
              <w:spacing w:after="0"/>
              <w:rPr>
                <w:sz w:val="20"/>
                <w:szCs w:val="20"/>
                <w:color w:val="auto"/>
              </w:rPr>
            </w:pPr>
            <w:r>
              <w:rPr>
                <w:rFonts w:ascii="Times New Roman" w:cs="Times New Roman" w:eastAsia="Times New Roman" w:hAnsi="Times New Roman"/>
                <w:sz w:val="18"/>
                <w:szCs w:val="18"/>
                <w:color w:val="auto"/>
              </w:rPr>
              <w:t>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jc w:val="right"/>
              <w:ind w:right="51"/>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20" w:type="dxa"/>
            <w:vAlign w:val="bottom"/>
          </w:tcPr>
          <w:p>
            <w:pPr>
              <w:jc w:val="right"/>
              <w:ind w:right="71"/>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Effective income tax rate</w:t>
            </w: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20" w:type="dxa"/>
            <w:vAlign w:val="bottom"/>
            <w:tcBorders>
              <w:right w:val="single" w:sz="8" w:color="CCEEFF"/>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00" w:type="dxa"/>
            <w:vAlign w:val="bottom"/>
            <w:tcBorders>
              <w:righ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12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and nine months ended September 30, 2019 and 2018, the overall effective tax rate was different than the statutory rate of 21% primarily due to taxable earnings and losses allocated to partners' interest in Clearway Energy LLC, which includes the effects of applying HLBV method of accounting for book purposes for certain partnerships.</w:t>
      </w:r>
    </w:p>
    <w:p>
      <w:pPr>
        <w:spacing w:after="0" w:line="176"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tax purposes, Clearway Energy LLC is treated as a partnership, therefore, the Company and CEG each record their respective share of taxable income or loss.</w:t>
      </w:r>
    </w:p>
    <w:p>
      <w:pPr>
        <w:sectPr>
          <w:pgSz w:w="11900" w:h="16838" w:orient="portrait"/>
          <w:cols w:equalWidth="0" w:num="1">
            <w:col w:w="11420"/>
          </w:cols>
          <w:pgMar w:left="240" w:top="111" w:right="239" w:bottom="1440" w:gutter="0" w:footer="0" w:header="0"/>
        </w:sectPr>
      </w:pP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32" w:name="page33"/>
    <w:bookmarkEnd w:id="32"/>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11 — </w:t>
      </w:r>
      <w:r>
        <w:rPr>
          <w:rFonts w:ascii="Times New Roman" w:cs="Times New Roman" w:eastAsia="Times New Roman" w:hAnsi="Times New Roman"/>
          <w:sz w:val="18"/>
          <w:szCs w:val="18"/>
          <w:b w:val="1"/>
          <w:bCs w:val="1"/>
          <w:i w:val="1"/>
          <w:iCs w:val="1"/>
          <w:color w:val="auto"/>
        </w:rPr>
        <w:t>Related Party Transactions</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In addition to the transactions and relationships described elsewhere in the notes to the consolidated financial statements, certain subsidiaries of CEG provide services to the Company's project entities. Amounts due to CEG subsidiaries are recorded as accounts payable - affiliate and amounts due to the Company from CEG subsidiaries are recorded as accounts receivable - affiliate in the Company's balance sheet. The disclosures below summarize the Company's material related party transactions with CEG and its subsidiaries that are included in the Company's operating revenues and operating costs.</w:t>
      </w:r>
    </w:p>
    <w:p>
      <w:pPr>
        <w:spacing w:after="0" w:line="176" w:lineRule="exact"/>
        <w:rPr>
          <w:sz w:val="20"/>
          <w:szCs w:val="20"/>
          <w:color w:val="auto"/>
        </w:rPr>
      </w:pPr>
    </w:p>
    <w:p>
      <w:pPr>
        <w:jc w:val="both"/>
        <w:ind w:firstLine="486"/>
        <w:spacing w:after="0" w:line="268" w:lineRule="auto"/>
        <w:rPr>
          <w:sz w:val="20"/>
          <w:szCs w:val="20"/>
          <w:color w:val="auto"/>
        </w:rPr>
      </w:pPr>
      <w:r>
        <w:rPr>
          <w:rFonts w:ascii="Times New Roman" w:cs="Times New Roman" w:eastAsia="Times New Roman" w:hAnsi="Times New Roman"/>
          <w:sz w:val="18"/>
          <w:szCs w:val="18"/>
          <w:color w:val="auto"/>
        </w:rPr>
        <w:t xml:space="preserve">As discussed in Note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xml:space="preserve"> on August 31, 2018, NRG sold 100% of its interest in CEG to GIP, and as a result, CEG and its subsidiaries are considered related parties during the period ended September 30, 2019, and NRG and its subsidiaries were considered related parties during the period ended September 30, 2018.</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Related Party Transactions with CEG entities</w:t>
      </w:r>
    </w:p>
    <w:p>
      <w:pPr>
        <w:spacing w:after="0" w:line="225" w:lineRule="exact"/>
        <w:rPr>
          <w:sz w:val="20"/>
          <w:szCs w:val="20"/>
          <w:color w:val="auto"/>
        </w:rPr>
      </w:pPr>
    </w:p>
    <w:p>
      <w:pPr>
        <w:jc w:val="both"/>
        <w:ind w:firstLine="486"/>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Services Agreements by and between the Company and Clearway Renewable Operation &amp; Maintenance LLC (formerly NRG Renew Operation &amp; Maintenance LLC) and other CEG subsidiaries</w:t>
      </w:r>
    </w:p>
    <w:p>
      <w:pPr>
        <w:spacing w:after="0" w:line="15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Various wholly-owned subsidiaries of the Company in the Renewables segment are party to services agreements with Clearway Renewable Operation</w:t>
      </w:r>
    </w:p>
    <w:p>
      <w:pPr>
        <w:spacing w:after="0" w:line="27" w:lineRule="exact"/>
        <w:rPr>
          <w:sz w:val="20"/>
          <w:szCs w:val="20"/>
          <w:color w:val="auto"/>
        </w:rPr>
      </w:pPr>
    </w:p>
    <w:p>
      <w:pPr>
        <w:jc w:val="both"/>
        <w:ind w:firstLine="8"/>
        <w:spacing w:after="0" w:line="253" w:lineRule="auto"/>
        <w:tabs>
          <w:tab w:leader="none" w:pos="216"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LLC (formerly NRG Renew Operation &amp; Maintenance LLC), or RENOM, a wholly-owned subsidiary of CEG, as well as other CEG subsidiaries, which provides operation and maintenance, or O&amp;M, and administrative services to these subsidiaries. The Company incurred total expenses for these services of $8 million and $22 million for each of the three and nine months ended September 30, 2019, respectively. The Company incurred total expenses for these services of $7 million and $22 million for each of the three and nine months ended September 30, 2018, respectively. There was a balance of $8 million and $6 million due to RENOM as of September 30, 2019 and December 31, 2018, respectively.</w:t>
      </w:r>
    </w:p>
    <w:p>
      <w:pPr>
        <w:spacing w:after="0" w:line="18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CEG Master Services Agreements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Following the consummation of the GIP Transaction, Clearway Energy, Inc. along with Clearway Energy LLC and Clearway Energy Operating LLC entered into Master Services Agreements with CEG, pursuant to which CEG and certain of its affiliates or third party service providers began providing certain services to the Company, including operational and administrative services, which include human resources, information systems, external affairs, accounting, procurement and risk management services, and the Company began providing certain services to CEG, including accounting, internal audit, tax and treasury services, in exchange for the payment of fees in respect of such services.</w:t>
      </w:r>
    </w:p>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Amounts due to CEG or its subsidiaries are recorded as accounts payable - affiliate and amounts due to the Company from CEG and subsidiaries are recorded as accounts receivable - affiliate on the Company's consolidated balance sheet.</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u w:val="single" w:color="auto"/>
          <w:color w:val="auto"/>
        </w:rPr>
        <w:t>Related Party Transactions with NRG prior to the GIP Transaction</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following transactions relate to the period prior to sale of NRG's interest in CEG to GIP on August 31, 2018 and therefore were considered to be related party transactions for all the periods prior to August 31, 2018.</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Power Purchase Agreements (PPAs) between the Company and NRG Power Marketing</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Elbow Creek and Dover were parties to PPAs with NRG Power Marketing, a wholly-owned subsidiary of NRG, and generated revenue under the PPAs, which were recorded to operating revenue in the Company's consolidated statements of operations. For the two and eight months ended August 31, 2018, Elbow Creek and Dover, collectively, generated revenue of $2 million and $8 million, respectively. Dover's PPA with NRG Power Marketing ended as of December 31, 2018.</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Energy Marketing Services Agreement by and between Thermal entities and NRG Power Marketing</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Energy Center Dover LLC, Energy Center Minneapolis, Energy Center Phoenix LLC, and Energy Center Paxton LLC, or Thermal entities, which are subsidiaries of the Company, are parties to Energy Marketing Services Agreements with NRG Power Marketing. Under the agreements, NRG Power Marketing procures fuel and fuel transportation for the operation of the Thermal entities. For the two and eight months ended August 31, 2018, the Thermal entities purchased $1 million and $7 million, respectively, of natural gas from NRG Power Marketing.</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3" w:name="page34"/>
    <w:bookmarkEnd w:id="33"/>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O&amp;M Services Agreements by and between the Company's subsidiaries and NRG</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Certain of the Company's subsidiaries are party to O&amp;M Service Agreements with NRG, pursuant to which NRG subsidiaries provide necessary and appropriate services to operate and maintain the subsidiaries' plant operations. NRG was reimbursed for the provided services, as well as for all reasonable and related expenses and expenditures, and payments to third parties for services and materials rendered to or on behalf of the parties to the agreements. The fees incurred under these agreements were $7 million and $27 million and for the two and eight months ended August 31, 2018, respectively.</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O&amp;M Services Agreements by and between GenConn and NRG</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GenConn incurs fees under two O&amp;M agreements with wholly-owned subsidiaries of NRG. For the two and eight months ended August 31, 2018, the aggregate fees incurred under the agreements were $1 million and $4 million, respectively.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Project Administrative Services Agreement by and between ESEC and NRG West Coast LLC</w:t>
      </w:r>
    </w:p>
    <w:p>
      <w:pPr>
        <w:spacing w:after="0" w:line="22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During 2018, ESEC, NRG West Coast LLC and NRG Power Marketing LLC, or PML, entered into confirmation agreements under the Project Administration Services Agreement between ESEC and NRG West Coast LLC, whereby PML purchased California Carbon Allowances which ESEC could subsequently purchase for the purposes of ESEC’s compliance with the California Cap-and-Trade Program. ESEC reimbursed costs under these agreements of $7 million and $11 million for the two and eight months ended August 31, 2018.</w:t>
      </w:r>
    </w:p>
    <w:p>
      <w:pPr>
        <w:spacing w:after="0" w:line="1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Administrative Services Agreement by and between Marsh Landing and NRG West Coast LLC</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Marsh Landing is a party to an administrative services agreement with NRG West Coast LLC, a wholly owned subsidiary of NRG. The Company reimbursed costs under the agreement of $2 million and $11 million for the two and eight months ended August 31, 2018, respectively.</w:t>
      </w:r>
    </w:p>
    <w:p>
      <w:pPr>
        <w:spacing w:after="0" w:line="15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Management Services Agreement by and between the Company and NRG</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Prior to the GIP Transaction, NRG provided the Company with various operational, management, and administrative services, which include human resources, accounting, tax, legal, information systems, treasury, and risk management, as set forth in the Management Services Agreement. Costs incurred under this agreement for the two and eight months ended August 31, 2018 were $2 million and $7 million, respectively. The costs incurred under the Management Services Agreement included certain direct expenses incurred by NRG on behalf of the Company in addition to the base management fee. Subsequent to the GIP Transaction, the Company entered into the NRG TSA pursuant to which NRG or certain of its affiliates began providing certain services to the Company following the consummation of the GIP Transaction, in exchange for the payment of a fee in respect of such services. Expenses related to the NRG TSA are recorded in transaction and integration costs in the consolidated statements of operations.</w:t>
      </w:r>
    </w:p>
    <w:p>
      <w:pPr>
        <w:spacing w:after="0" w:line="189" w:lineRule="exact"/>
        <w:rPr>
          <w:sz w:val="20"/>
          <w:szCs w:val="20"/>
          <w:color w:val="auto"/>
        </w:rPr>
      </w:pPr>
    </w:p>
    <w:p>
      <w:pPr>
        <w:jc w:val="both"/>
        <w:ind w:firstLine="486"/>
        <w:spacing w:after="0" w:line="261" w:lineRule="auto"/>
        <w:rPr>
          <w:sz w:val="20"/>
          <w:szCs w:val="20"/>
          <w:color w:val="auto"/>
        </w:rPr>
      </w:pPr>
      <w:r>
        <w:rPr>
          <w:rFonts w:ascii="Times New Roman" w:cs="Times New Roman" w:eastAsia="Times New Roman" w:hAnsi="Times New Roman"/>
          <w:sz w:val="18"/>
          <w:szCs w:val="18"/>
          <w:color w:val="auto"/>
        </w:rPr>
        <w:t xml:space="preserve">On August 31, 2018, in connection with the consummation of the GIP Transaction, the Company entered into a Termination Agreement with Clearway Energy LLC, Clearway Energy Operating LLC and NRG terminating the Management Services Agreement, dated as of July 22, 2013 by and among the Company, Clearway Energy LLC, Clearway Energy Operating LLC and NRG. Concurrently with entering into the Termination Agreement on August 31, 2018, the Company entered into a Transition Services Agreement with NRG, as further described in Note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sectPr>
      </w:pPr>
    </w:p>
    <w:bookmarkStart w:id="34" w:name="page35"/>
    <w:bookmarkEnd w:id="34"/>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12 — </w:t>
      </w:r>
      <w:r>
        <w:rPr>
          <w:rFonts w:ascii="Times New Roman" w:cs="Times New Roman" w:eastAsia="Times New Roman" w:hAnsi="Times New Roman"/>
          <w:sz w:val="18"/>
          <w:szCs w:val="18"/>
          <w:b w:val="1"/>
          <w:bCs w:val="1"/>
          <w:i w:val="1"/>
          <w:iCs w:val="1"/>
          <w:color w:val="auto"/>
        </w:rPr>
        <w:t>Contingencies</w:t>
      </w:r>
    </w:p>
    <w:p>
      <w:pPr>
        <w:spacing w:after="0" w:line="225"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color w:val="auto"/>
        </w:rPr>
        <w:t xml:space="preserve">This note should be read in conjunction with the complete description under Note 16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Commitments and Contingencies</w:t>
      </w:r>
      <w:r>
        <w:rPr>
          <w:rFonts w:ascii="Times New Roman" w:cs="Times New Roman" w:eastAsia="Times New Roman" w:hAnsi="Times New Roman"/>
          <w:sz w:val="18"/>
          <w:szCs w:val="18"/>
          <w:color w:val="auto"/>
        </w:rPr>
        <w:t>, to the Company's 2018 Form 10-K.</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Contingencies</w:t>
      </w:r>
    </w:p>
    <w:p>
      <w:pPr>
        <w:spacing w:after="0" w:line="229" w:lineRule="exact"/>
        <w:rPr>
          <w:sz w:val="20"/>
          <w:szCs w:val="20"/>
          <w:color w:val="auto"/>
        </w:rPr>
      </w:pPr>
    </w:p>
    <w:p>
      <w:pPr>
        <w:jc w:val="both"/>
        <w:ind w:firstLine="486"/>
        <w:spacing w:after="0" w:line="254" w:lineRule="auto"/>
        <w:rPr>
          <w:sz w:val="20"/>
          <w:szCs w:val="20"/>
          <w:color w:val="auto"/>
        </w:rPr>
      </w:pPr>
      <w:r>
        <w:rPr>
          <w:rFonts w:ascii="Times New Roman" w:cs="Times New Roman" w:eastAsia="Times New Roman" w:hAnsi="Times New Roman"/>
          <w:sz w:val="18"/>
          <w:szCs w:val="18"/>
          <w:color w:val="auto"/>
        </w:rPr>
        <w:t>The Company's material legal proceedings are described below. The Company believes that it has valid defenses to these legal proceedings and intends to defend them vigorously. The Company records reserves for estimated losses from contingencies when information available indicates that a loss is probable and the amount of the loss, or range of loss, can be reasonably estimated. As applicable, the Company has established an adequate reserve for the matters discussed below. In addition, legal costs are expensed as incurred. Management assesses such matters based on current information and makes a judgment concerning its potential outcome, considering the nature of the claim, the amount and nature of damages sought, and the probability of success. The Company is unable to predict the outcome of the legal proceedings below or reasonably estimate the scope or amount of any associated costs and potential liabilities. As additional information becomes available, management adjusts its assessment and estimates of such contingencies accordingly. Because litigation is subject to inherent uncertainties and unfavorable rulings or developments, it is possible that the ultimate resolution of the Company's liabilities and contingencies could be at amounts that are different from its currently recorded reserves and that such difference could be material.</w:t>
      </w:r>
    </w:p>
    <w:p>
      <w:pPr>
        <w:spacing w:after="0" w:line="189"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to the legal proceedings noted below, the Company and its subsidiaries are party to other litigation or legal proceedings arising in the ordinary course of business. In management's opinion, the disposition of these ordinary course matters will not materially adversely affect the Company's consolidated financial position, results of operations, or cash flows.</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Nebraska Public Power District Litigation</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On January 11, 2019, Nebraska Public Power District, or NPPD, sent written notice to certain of the Company’s subsidiaries which own the Laredo Ridge and Elkhorn Ridge wind projects alleging an event of default under each of the PPAs between NPPD and the projects. NPPD alleges that the Company moved forward with certain transactions without obtaining the consent of NPPD. NPPD threatened to terminate the applicable PPAs by February 11, 2019 if the alleged default was not cured. The Company filed a motion for a temporary restraining order and preliminary injunction in the U.S. District Court for the District of Nebraska relating to the Laredo Ridge project, and a similar motion in the District Court of Knox County, Nebraska for the Elkhorn Ridge project, to enjoin NPPD from taking any actions related to the PPAs. On February 19, 2019, the U.S. District Court in the Laredo Ridge matter approved a stipulation between the parties to provide for an injunction preventing NPPD from terminating the PPA pending disposition of the litigation. On February 26, 2019, the Knox County District Court approved a similar stipulation relating to the Elkhorn Ridge project. Additionally, Elkhorn Ridge was added as a third-party defendant to the litigation in the U.S. District Court. On September 23, 2019, NPPD filed amended complaints in the U.S. District Court, to which Laredo Ridge and Elkhorn Ridge responded on October 7, 2019. The Company believes the allegations of NPPD are meritless and the Company is vigorously defending its rights under the PPAs.</w:t>
      </w:r>
    </w:p>
    <w:p>
      <w:pPr>
        <w:spacing w:after="0" w:line="19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Buckthorn Solar Litigation</w:t>
      </w:r>
    </w:p>
    <w:p>
      <w:pPr>
        <w:spacing w:after="0" w:line="227" w:lineRule="exact"/>
        <w:rPr>
          <w:sz w:val="20"/>
          <w:szCs w:val="20"/>
          <w:color w:val="auto"/>
        </w:rPr>
      </w:pPr>
    </w:p>
    <w:p>
      <w:pPr>
        <w:jc w:val="both"/>
        <w:ind w:firstLine="486"/>
        <w:spacing w:after="0" w:line="256" w:lineRule="auto"/>
        <w:rPr>
          <w:sz w:val="20"/>
          <w:szCs w:val="20"/>
          <w:color w:val="auto"/>
        </w:rPr>
      </w:pPr>
      <w:r>
        <w:rPr>
          <w:rFonts w:ascii="Times New Roman" w:cs="Times New Roman" w:eastAsia="Times New Roman" w:hAnsi="Times New Roman"/>
          <w:sz w:val="18"/>
          <w:szCs w:val="18"/>
          <w:color w:val="auto"/>
        </w:rPr>
        <w:t>On October 8, 2019, the City of Georgetown, Texas, or Georgetown, filed a petition in the District Court of Williamson County, Texas naming Buckthorn Westex, LLC, the Company’s subsidiary that owns the Buckthorn Westex solar project, as the defendant, alleging fraud by nondisclosure and breach of contract in connection with the project and the PPA, and seeking (i) rescission and/or cancellation of the PPA, (ii) declaratory judgment that the alleged breaches constitute an event of default under the PPA entitling Georgetown to terminate, and (iii) recovery of all damages, costs of court, and attorneys’ fees. Buckthorn Westex believes the allegations of Georgetown are meritless, and Buckthorn Westex is vigorously defending its rights under the PPA.</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5" w:name="page36"/>
    <w:bookmarkEnd w:id="35"/>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Note 13 — </w:t>
      </w:r>
      <w:r>
        <w:rPr>
          <w:rFonts w:ascii="Times New Roman" w:cs="Times New Roman" w:eastAsia="Times New Roman" w:hAnsi="Times New Roman"/>
          <w:sz w:val="18"/>
          <w:szCs w:val="18"/>
          <w:b w:val="1"/>
          <w:bCs w:val="1"/>
          <w:i w:val="1"/>
          <w:iCs w:val="1"/>
          <w:color w:val="auto"/>
        </w:rPr>
        <w:t>Leases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Adoption of Topic </w:t>
      </w:r>
      <w:r>
        <w:rPr>
          <w:rFonts w:ascii="Times New Roman" w:cs="Times New Roman" w:eastAsia="Times New Roman" w:hAnsi="Times New Roman"/>
          <w:sz w:val="18"/>
          <w:szCs w:val="18"/>
          <w:b w:val="1"/>
          <w:bCs w:val="1"/>
          <w:color w:val="auto"/>
        </w:rPr>
        <w:t>842</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adopted ASU No. 2019-01, Leases (Topic 842), or Topic 842, on January 1, 2019 using the modified retrospective transition method and therefore, prior period financial information has not been adjusted and continues to be reflected in accordance with the Company’s historical accounting policy. Topic 842 requires the establishment of a lease liability and related right-of-use, or ROU, asset for all leases with a term longer than 12 months. The Company elected certain of the permitted practical expedients, including the expedient that permits the Company to retain its existing lease assessment and classification. The Company also elected to account for lease and non-lease components for specific asset classes as a single lease component.</w:t>
      </w:r>
    </w:p>
    <w:p>
      <w:pPr>
        <w:spacing w:after="0" w:line="184"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adoption of the standard resulted in the recording of operating lease liabilities of $174 million and related ROU assets of $168 million. There was no impact to the Company’s consolidated statement of operations or cash flows. The Company utilized its incremental borrowing rate at adoption date, ranging from 4.04% - 4.67%, to determine the amount of the lease liabilities.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Accounting for Leases</w:t>
      </w:r>
    </w:p>
    <w:p>
      <w:pPr>
        <w:spacing w:after="0" w:line="229" w:lineRule="exact"/>
        <w:rPr>
          <w:sz w:val="20"/>
          <w:szCs w:val="20"/>
          <w:color w:val="auto"/>
        </w:rPr>
      </w:pPr>
    </w:p>
    <w:p>
      <w:pPr>
        <w:jc w:val="both"/>
        <w:ind w:right="20" w:firstLine="486"/>
        <w:spacing w:after="0" w:line="282" w:lineRule="auto"/>
        <w:rPr>
          <w:sz w:val="20"/>
          <w:szCs w:val="20"/>
          <w:color w:val="auto"/>
        </w:rPr>
      </w:pPr>
      <w:r>
        <w:rPr>
          <w:rFonts w:ascii="Times New Roman" w:cs="Times New Roman" w:eastAsia="Times New Roman" w:hAnsi="Times New Roman"/>
          <w:sz w:val="18"/>
          <w:szCs w:val="18"/>
          <w:color w:val="auto"/>
        </w:rPr>
        <w:t>The Company evaluates each arrangement at inception to determine if it contains a lease. All of the Company’s leases are operating leases as of September 30, 2019.</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Lessee</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records its operating lease liabilities at the present value at lease commencement date of the lease payments over the lease term. Lease payments include fixed payment amounts, as well as variable rate payments based on an index initially measured at lease commencement date. Variable payments, including payments based on future performance and based on index changes, are recorded as the expense is incurred. The Company determines the relevant lease term by evaluating whether renewal and termination options are reasonably to certain to be exercised. The Company uses its incremental borrowing rate to calculate the present value of the lease payments, based on information available at the lease commencement date.</w:t>
      </w:r>
    </w:p>
    <w:p>
      <w:pPr>
        <w:spacing w:after="0" w:line="184"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The Company’s leases consist of land leases for numerous operating asset locations, real estate leases and equipment leases. The terms and conditions for these leases vary by the type of underlying asset.</w:t>
      </w:r>
    </w:p>
    <w:p>
      <w:pPr>
        <w:spacing w:after="0" w:line="1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Lease expense for the three and nine months ended September 30, 2019 was comprised of the following:</w:t>
      </w:r>
    </w:p>
    <w:p>
      <w:pPr>
        <w:spacing w:after="0" w:line="200" w:lineRule="exact"/>
        <w:rPr>
          <w:sz w:val="20"/>
          <w:szCs w:val="20"/>
          <w:color w:val="auto"/>
        </w:rPr>
      </w:pPr>
    </w:p>
    <w:p>
      <w:pPr>
        <w:spacing w:after="0" w:line="240" w:lineRule="exact"/>
        <w:rPr>
          <w:sz w:val="20"/>
          <w:szCs w:val="20"/>
          <w:color w:val="auto"/>
        </w:rPr>
      </w:pPr>
    </w:p>
    <w:tbl>
      <w:tblPr>
        <w:tblLayout w:type="fixed"/>
        <w:tblInd w:w="1140" w:type="dxa"/>
        <w:tblCellMar>
          <w:top w:w="0" w:type="dxa"/>
          <w:left w:w="0" w:type="dxa"/>
          <w:bottom w:w="0" w:type="dxa"/>
          <w:right w:w="0" w:type="dxa"/>
        </w:tblCellMar>
      </w:tblPr>
      <w:tr>
        <w:trPr>
          <w:trHeight w:val="200"/>
        </w:trPr>
        <w:tc>
          <w:tcPr>
            <w:tcW w:w="5900" w:type="dxa"/>
            <w:vAlign w:val="bottom"/>
          </w:tcPr>
          <w:p>
            <w:pPr>
              <w:spacing w:after="0"/>
              <w:rPr>
                <w:sz w:val="17"/>
                <w:szCs w:val="17"/>
                <w:color w:val="auto"/>
              </w:rPr>
            </w:pPr>
          </w:p>
        </w:tc>
        <w:tc>
          <w:tcPr>
            <w:tcW w:w="1880" w:type="dxa"/>
            <w:vAlign w:val="bottom"/>
            <w:tcBorders>
              <w:top w:val="single" w:sz="8" w:color="auto"/>
            </w:tcBorders>
          </w:tcPr>
          <w:p>
            <w:pPr>
              <w:jc w:val="right"/>
              <w:ind w:right="57"/>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3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Borders>
              <w:top w:val="single" w:sz="8" w:color="auto"/>
            </w:tcBorders>
          </w:tcPr>
          <w:p>
            <w:pPr>
              <w:spacing w:after="0"/>
              <w:rPr>
                <w:sz w:val="17"/>
                <w:szCs w:val="17"/>
                <w:color w:val="auto"/>
              </w:rPr>
            </w:pPr>
          </w:p>
        </w:tc>
        <w:tc>
          <w:tcPr>
            <w:tcW w:w="1880" w:type="dxa"/>
            <w:vAlign w:val="bottom"/>
            <w:tcBorders>
              <w:top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Nine months ended</w:t>
            </w:r>
          </w:p>
        </w:tc>
      </w:tr>
      <w:tr>
        <w:trPr>
          <w:trHeight w:val="218"/>
        </w:trPr>
        <w:tc>
          <w:tcPr>
            <w:tcW w:w="59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880" w:type="dxa"/>
            <w:vAlign w:val="bottom"/>
            <w:tcBorders>
              <w:bottom w:val="single" w:sz="8" w:color="auto"/>
            </w:tcBorders>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334"/>
              <w:spacing w:after="0"/>
              <w:rPr>
                <w:sz w:val="20"/>
                <w:szCs w:val="20"/>
                <w:color w:val="auto"/>
              </w:rPr>
            </w:pPr>
            <w:r>
              <w:rPr>
                <w:rFonts w:ascii="Times New Roman" w:cs="Times New Roman" w:eastAsia="Times New Roman" w:hAnsi="Times New Roman"/>
                <w:sz w:val="16"/>
                <w:szCs w:val="16"/>
                <w:b w:val="1"/>
                <w:bCs w:val="1"/>
                <w:color w:val="auto"/>
              </w:rPr>
              <w:t>September 30, 2019</w:t>
            </w:r>
          </w:p>
        </w:tc>
      </w:tr>
      <w:tr>
        <w:trPr>
          <w:trHeight w:val="210"/>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lease cost</w:t>
            </w:r>
          </w:p>
        </w:tc>
        <w:tc>
          <w:tcPr>
            <w:tcW w:w="1880" w:type="dxa"/>
            <w:vAlign w:val="bottom"/>
            <w:shd w:val="clear" w:color="auto" w:fill="CCEEFF"/>
          </w:tcPr>
          <w:p>
            <w:pPr>
              <w:jc w:val="right"/>
              <w:ind w:right="1717"/>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6</w:t>
            </w: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Variable lease cost</w:t>
            </w:r>
          </w:p>
        </w:tc>
        <w:tc>
          <w:tcPr>
            <w:tcW w:w="188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3</w:t>
            </w:r>
          </w:p>
        </w:tc>
        <w:tc>
          <w:tcPr>
            <w:tcW w:w="10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18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10</w:t>
            </w:r>
          </w:p>
        </w:tc>
      </w:tr>
      <w:tr>
        <w:trPr>
          <w:trHeight w:val="230"/>
        </w:trPr>
        <w:tc>
          <w:tcPr>
            <w:tcW w:w="5900" w:type="dxa"/>
            <w:vAlign w:val="bottom"/>
            <w:shd w:val="clear" w:color="auto" w:fill="CCEEFF"/>
          </w:tcPr>
          <w:p>
            <w:pPr>
              <w:ind w:left="980"/>
              <w:spacing w:after="0"/>
              <w:rPr>
                <w:sz w:val="20"/>
                <w:szCs w:val="20"/>
                <w:color w:val="auto"/>
              </w:rPr>
            </w:pPr>
            <w:r>
              <w:rPr>
                <w:rFonts w:ascii="Times New Roman" w:cs="Times New Roman" w:eastAsia="Times New Roman" w:hAnsi="Times New Roman"/>
                <w:sz w:val="18"/>
                <w:szCs w:val="18"/>
                <w:b w:val="1"/>
                <w:bCs w:val="1"/>
                <w:color w:val="auto"/>
              </w:rPr>
              <w:t>Total lease cost</w:t>
            </w:r>
          </w:p>
        </w:tc>
        <w:tc>
          <w:tcPr>
            <w:tcW w:w="1880" w:type="dxa"/>
            <w:vAlign w:val="bottom"/>
            <w:shd w:val="clear" w:color="auto" w:fill="CCEEFF"/>
          </w:tcPr>
          <w:p>
            <w:pPr>
              <w:jc w:val="right"/>
              <w:ind w:right="1717"/>
              <w:spacing w:after="0"/>
              <w:rPr>
                <w:sz w:val="20"/>
                <w:szCs w:val="20"/>
                <w:color w:val="auto"/>
              </w:rPr>
            </w:pPr>
            <w:r>
              <w:rPr>
                <w:rFonts w:ascii="Times New Roman" w:cs="Times New Roman" w:eastAsia="Times New Roman" w:hAnsi="Times New Roman"/>
                <w:sz w:val="17"/>
                <w:szCs w:val="17"/>
                <w:color w:val="auto"/>
                <w:w w:val="70"/>
              </w:rPr>
              <w:t>$</w:t>
            </w:r>
          </w:p>
        </w:tc>
        <w:tc>
          <w:tcPr>
            <w:tcW w:w="3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3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8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16</w:t>
            </w:r>
          </w:p>
        </w:tc>
      </w:tr>
      <w:tr>
        <w:trPr>
          <w:trHeight w:val="20"/>
        </w:trPr>
        <w:tc>
          <w:tcPr>
            <w:tcW w:w="5900" w:type="dxa"/>
            <w:vAlign w:val="bottom"/>
            <w:tcBorders>
              <w:top w:val="single" w:sz="8" w:color="CCEEFF"/>
            </w:tcBorders>
            <w:shd w:val="clear" w:color="auto" w:fill="CCEEFF"/>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c>
          <w:tcPr>
            <w:tcW w:w="3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188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sectPr>
          <w:pgSz w:w="11900" w:h="16838" w:orient="portrait"/>
          <w:cols w:equalWidth="0" w:num="1">
            <w:col w:w="11420"/>
          </w:cols>
          <w:pgMar w:left="240" w:top="111" w:right="239" w:bottom="1440" w:gutter="0" w:footer="0" w:header="0"/>
        </w:sectPr>
      </w:pPr>
    </w:p>
    <w:p>
      <w:pPr>
        <w:ind w:left="500"/>
        <w:spacing w:after="0"/>
        <w:rPr>
          <w:sz w:val="20"/>
          <w:szCs w:val="20"/>
          <w:color w:val="auto"/>
        </w:rPr>
      </w:pPr>
      <w:r>
        <w:rPr>
          <w:rFonts w:ascii="Times New Roman" w:cs="Times New Roman" w:eastAsia="Times New Roman" w:hAnsi="Times New Roman"/>
          <w:sz w:val="17"/>
          <w:szCs w:val="17"/>
          <w:color w:val="auto"/>
        </w:rPr>
        <w:t>Operating lease information as of September 30, 2019 was as follows:</w:t>
      </w:r>
    </w:p>
    <w:p>
      <w:pPr>
        <w:spacing w:after="0" w:line="25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6"/>
          <w:szCs w:val="16"/>
          <w:i w:val="1"/>
          <w:iCs w:val="1"/>
          <w:color w:val="auto"/>
        </w:rPr>
        <w:t>(In millions, except term and rate)</w:t>
      </w:r>
    </w:p>
    <w:p>
      <w:pPr>
        <w:spacing w:after="0" w:line="2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ROU Assets - operating leases, net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-127000</wp:posOffset>
            </wp:positionV>
            <wp:extent cx="6877685" cy="13716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13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 xml:space="preserve">Short-term lease liability - operating leases </w:t>
      </w:r>
      <w:r>
        <w:rPr>
          <w:rFonts w:ascii="Times New Roman" w:cs="Times New Roman" w:eastAsia="Times New Roman" w:hAnsi="Times New Roman"/>
          <w:sz w:val="30"/>
          <w:szCs w:val="30"/>
          <w:color w:val="auto"/>
          <w:vertAlign w:val="superscript"/>
        </w:rPr>
        <w: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-172085</wp:posOffset>
            </wp:positionV>
            <wp:extent cx="6877685" cy="16319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ind w:left="500"/>
        <w:spacing w:after="0"/>
        <w:rPr>
          <w:sz w:val="20"/>
          <w:szCs w:val="20"/>
          <w:color w:val="auto"/>
        </w:rPr>
      </w:pPr>
      <w:r>
        <w:rPr>
          <w:rFonts w:ascii="Times New Roman" w:cs="Times New Roman" w:eastAsia="Times New Roman" w:hAnsi="Times New Roman"/>
          <w:sz w:val="18"/>
          <w:szCs w:val="18"/>
          <w:color w:val="auto"/>
        </w:rPr>
        <w:t>Long-term lease liability -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4445</wp:posOffset>
            </wp:positionV>
            <wp:extent cx="6877685" cy="16319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77685" cy="163195"/>
                    </a:xfrm>
                    <a:prstGeom prst="rect">
                      <a:avLst/>
                    </a:prstGeom>
                    <a:noFill/>
                  </pic:spPr>
                </pic:pic>
              </a:graphicData>
            </a:graphic>
          </wp:anchor>
        </w:drawing>
      </w:r>
    </w:p>
    <w:p>
      <w:pPr>
        <w:spacing w:after="0" w:line="6"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b w:val="1"/>
          <w:bCs w:val="1"/>
          <w:color w:val="auto"/>
        </w:rPr>
        <w:t>Total lease liability</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Cash paid for operating leases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-119380</wp:posOffset>
            </wp:positionV>
            <wp:extent cx="6877685" cy="13716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Weighted average remaining lease term</w:t>
      </w:r>
    </w:p>
    <w:p>
      <w:pPr>
        <w:spacing w:after="0" w:line="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Weighted average discount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313690</wp:posOffset>
            </wp:positionH>
            <wp:positionV relativeFrom="paragraph">
              <wp:posOffset>-130810</wp:posOffset>
            </wp:positionV>
            <wp:extent cx="6877685" cy="13716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1249" w:hanging="1249"/>
        <w:spacing w:after="0"/>
        <w:tabs>
          <w:tab w:leader="none" w:pos="1249"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w:t>
      </w:r>
    </w:p>
    <w:p>
      <w:pPr>
        <w:spacing w:after="0" w:line="266"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color w:val="auto"/>
        </w:rPr>
        <w:t>6</w:t>
      </w:r>
    </w:p>
    <w:p>
      <w:pPr>
        <w:spacing w:after="0" w:line="27" w:lineRule="exact"/>
        <w:rPr>
          <w:sz w:val="20"/>
          <w:szCs w:val="20"/>
          <w:color w:val="auto"/>
        </w:rPr>
      </w:pPr>
    </w:p>
    <w:p>
      <w:pPr>
        <w:jc w:val="right"/>
        <w:ind w:right="260"/>
        <w:spacing w:after="0"/>
        <w:rPr>
          <w:sz w:val="20"/>
          <w:szCs w:val="20"/>
          <w:color w:val="auto"/>
        </w:rPr>
      </w:pPr>
      <w:r>
        <w:rPr>
          <w:rFonts w:ascii="Times New Roman" w:cs="Times New Roman" w:eastAsia="Times New Roman" w:hAnsi="Times New Roman"/>
          <w:sz w:val="18"/>
          <w:szCs w:val="18"/>
          <w:color w:val="auto"/>
        </w:rPr>
        <w:t>193</w:t>
      </w:r>
    </w:p>
    <w:p>
      <w:pPr>
        <w:spacing w:after="0" w:line="9" w:lineRule="exact"/>
        <w:rPr>
          <w:sz w:val="20"/>
          <w:szCs w:val="20"/>
          <w:color w:val="auto"/>
        </w:rPr>
      </w:pPr>
    </w:p>
    <w:p>
      <w:pPr>
        <w:ind w:left="1249" w:hanging="1249"/>
        <w:spacing w:after="0"/>
        <w:tabs>
          <w:tab w:leader="none" w:pos="1249"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106362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063625" cy="8890"/>
                    </a:xfrm>
                    <a:prstGeom prst="rect">
                      <a:avLst/>
                    </a:prstGeom>
                    <a:noFill/>
                  </pic:spPr>
                </pic:pic>
              </a:graphicData>
            </a:graphic>
          </wp:anchor>
        </w:drawing>
      </w:r>
    </w:p>
    <w:p>
      <w:pPr>
        <w:spacing w:after="0" w:line="241" w:lineRule="exact"/>
        <w:rPr>
          <w:sz w:val="20"/>
          <w:szCs w:val="20"/>
          <w:color w:val="auto"/>
        </w:rPr>
      </w:pPr>
    </w:p>
    <w:tbl>
      <w:tblPr>
        <w:tblLayout w:type="fixed"/>
        <w:tblInd w:w="9" w:type="dxa"/>
        <w:tblCellMar>
          <w:top w:w="0" w:type="dxa"/>
          <w:left w:w="0" w:type="dxa"/>
          <w:bottom w:w="0" w:type="dxa"/>
          <w:right w:w="0" w:type="dxa"/>
        </w:tblCellMar>
      </w:tblPr>
      <w:tr>
        <w:trPr>
          <w:trHeight w:val="234"/>
        </w:trPr>
        <w:tc>
          <w:tcPr>
            <w:tcW w:w="740" w:type="dxa"/>
            <w:vAlign w:val="bottom"/>
          </w:tcPr>
          <w:p>
            <w:pPr>
              <w:jc w:val="right"/>
              <w:ind w:right="575"/>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r>
    </w:tbl>
    <w:p>
      <w:pPr>
        <w:ind w:left="1329"/>
        <w:spacing w:after="0"/>
        <w:rPr>
          <w:sz w:val="20"/>
          <w:szCs w:val="20"/>
          <w:color w:val="auto"/>
        </w:rPr>
      </w:pPr>
      <w:r>
        <w:rPr>
          <w:rFonts w:ascii="Times New Roman" w:cs="Times New Roman" w:eastAsia="Times New Roman" w:hAnsi="Times New Roman"/>
          <w:sz w:val="18"/>
          <w:szCs w:val="18"/>
          <w:color w:val="auto"/>
        </w:rPr>
        <w:t>24</w:t>
      </w:r>
    </w:p>
    <w:p>
      <w:pPr>
        <w:spacing w:after="0" w:line="9" w:lineRule="exact"/>
        <w:rPr>
          <w:sz w:val="20"/>
          <w:szCs w:val="20"/>
          <w:color w:val="auto"/>
        </w:rPr>
      </w:pPr>
    </w:p>
    <w:p>
      <w:pPr>
        <w:ind w:left="1289"/>
        <w:spacing w:after="0"/>
        <w:rPr>
          <w:sz w:val="20"/>
          <w:szCs w:val="20"/>
          <w:color w:val="auto"/>
        </w:rPr>
      </w:pPr>
      <w:r>
        <w:rPr>
          <w:rFonts w:ascii="Times New Roman" w:cs="Times New Roman" w:eastAsia="Times New Roman" w:hAnsi="Times New Roman"/>
          <w:sz w:val="18"/>
          <w:szCs w:val="18"/>
          <w:color w:val="auto"/>
        </w:rPr>
        <w:t>4.4%</w:t>
      </w:r>
    </w:p>
    <w:p>
      <w:pPr>
        <w:spacing w:after="0" w:line="200" w:lineRule="exact"/>
        <w:rPr>
          <w:sz w:val="20"/>
          <w:szCs w:val="20"/>
          <w:color w:val="auto"/>
        </w:rPr>
      </w:pPr>
    </w:p>
    <w:p>
      <w:pPr>
        <w:sectPr>
          <w:pgSz w:w="11900" w:h="16838" w:orient="portrait"/>
          <w:cols w:equalWidth="0" w:num="2">
            <w:col w:w="8931" w:space="720"/>
            <w:col w:w="1769"/>
          </w:cols>
          <w:pgMar w:left="240" w:top="111" w:right="239" w:bottom="1440" w:gutter="0" w:footer="0" w:header="0"/>
          <w:type w:val="continuous"/>
        </w:sectPr>
      </w:pPr>
    </w:p>
    <w:p>
      <w:pPr>
        <w:spacing w:after="0" w:line="47" w:lineRule="exact"/>
        <w:rPr>
          <w:sz w:val="20"/>
          <w:szCs w:val="20"/>
          <w:color w:val="auto"/>
        </w:rPr>
      </w:pPr>
    </w:p>
    <w:p>
      <w:pPr>
        <w:ind w:right="100" w:firstLine="494"/>
        <w:spacing w:after="0" w:line="213" w:lineRule="auto"/>
        <w:tabs>
          <w:tab w:leader="none" w:pos="698" w:val="left"/>
        </w:tabs>
        <w:numPr>
          <w:ilvl w:val="0"/>
          <w:numId w:val="19"/>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Short-term lease liability balances are included within the accrued expenses and other current liabilities line item of the consolidated balance sheets as of September 30, 2019.</w:t>
      </w:r>
    </w:p>
    <w:p>
      <w:pPr>
        <w:spacing w:after="0" w:line="1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1" w:right="239" w:bottom="1440" w:gutter="0" w:footer="0" w:header="0"/>
          <w:type w:val="continuous"/>
        </w:sectPr>
      </w:pPr>
    </w:p>
    <w:bookmarkStart w:id="36" w:name="page37"/>
    <w:bookmarkEnd w:id="36"/>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Maturities of operating lease liabilities as of September 30, 2019 are as follows:</w:t>
      </w:r>
    </w:p>
    <w:p>
      <w:pPr>
        <w:spacing w:after="0" w:line="241" w:lineRule="exact"/>
        <w:rPr>
          <w:sz w:val="20"/>
          <w:szCs w:val="20"/>
          <w:color w:val="auto"/>
        </w:rPr>
      </w:pPr>
    </w:p>
    <w:tbl>
      <w:tblPr>
        <w:tblLayout w:type="fixed"/>
        <w:tblInd w:w="500" w:type="dxa"/>
        <w:tblCellMar>
          <w:top w:w="0" w:type="dxa"/>
          <w:left w:w="0" w:type="dxa"/>
          <w:bottom w:w="0" w:type="dxa"/>
          <w:right w:w="0" w:type="dxa"/>
        </w:tblCellMar>
      </w:tblPr>
      <w:tr>
        <w:trPr>
          <w:trHeight w:val="212"/>
        </w:trPr>
        <w:tc>
          <w:tcPr>
            <w:tcW w:w="92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640" w:type="dxa"/>
            <w:vAlign w:val="bottom"/>
          </w:tcPr>
          <w:p>
            <w:pPr>
              <w:spacing w:after="0"/>
              <w:rPr>
                <w:sz w:val="18"/>
                <w:szCs w:val="18"/>
                <w:color w:val="auto"/>
              </w:rPr>
            </w:pPr>
          </w:p>
        </w:tc>
        <w:tc>
          <w:tcPr>
            <w:tcW w:w="980" w:type="dxa"/>
            <w:vAlign w:val="bottom"/>
          </w:tcPr>
          <w:p>
            <w:pPr>
              <w:spacing w:after="0"/>
              <w:rPr>
                <w:sz w:val="18"/>
                <w:szCs w:val="18"/>
                <w:color w:val="auto"/>
              </w:rPr>
            </w:pPr>
          </w:p>
        </w:tc>
      </w:tr>
      <w:tr>
        <w:trPr>
          <w:trHeight w:val="222"/>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6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14</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267</w:t>
            </w:r>
          </w:p>
        </w:tc>
      </w:tr>
      <w:tr>
        <w:trPr>
          <w:trHeight w:val="210"/>
        </w:trPr>
        <w:tc>
          <w:tcPr>
            <w:tcW w:w="92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326</w:t>
            </w:r>
          </w:p>
        </w:tc>
      </w:tr>
      <w:tr>
        <w:trPr>
          <w:trHeight w:val="216"/>
        </w:trPr>
        <w:tc>
          <w:tcPr>
            <w:tcW w:w="920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Less imputed interest</w:t>
            </w: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(127)</w:t>
            </w:r>
          </w:p>
        </w:tc>
      </w:tr>
      <w:tr>
        <w:trPr>
          <w:trHeight w:val="250"/>
        </w:trPr>
        <w:tc>
          <w:tcPr>
            <w:tcW w:w="9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liability - operating leases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199</w:t>
            </w:r>
          </w:p>
        </w:tc>
      </w:tr>
      <w:tr>
        <w:trPr>
          <w:trHeight w:val="629"/>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Future minimum lease commitments under operating leases as of December 31, 2018 are as follows:</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426"/>
        </w:trPr>
        <w:tc>
          <w:tcPr>
            <w:tcW w:w="920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6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22"/>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2019</w:t>
            </w:r>
          </w:p>
        </w:tc>
        <w:tc>
          <w:tcPr>
            <w:tcW w:w="640" w:type="dxa"/>
            <w:vAlign w:val="bottom"/>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6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640" w:type="dxa"/>
            <w:vAlign w:val="bottom"/>
          </w:tcPr>
          <w:p>
            <w:pPr>
              <w:spacing w:after="0"/>
              <w:rPr>
                <w:sz w:val="18"/>
                <w:szCs w:val="18"/>
                <w:color w:val="auto"/>
              </w:rPr>
            </w:pPr>
          </w:p>
        </w:tc>
        <w:tc>
          <w:tcPr>
            <w:tcW w:w="9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r>
      <w:tr>
        <w:trPr>
          <w:trHeight w:val="216"/>
        </w:trPr>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640" w:type="dxa"/>
            <w:vAlign w:val="bottom"/>
            <w:shd w:val="clear" w:color="auto" w:fill="CCEEFF"/>
          </w:tcPr>
          <w:p>
            <w:pPr>
              <w:spacing w:after="0"/>
              <w:rPr>
                <w:sz w:val="18"/>
                <w:szCs w:val="18"/>
                <w:color w:val="auto"/>
              </w:rPr>
            </w:pPr>
          </w:p>
        </w:tc>
        <w:tc>
          <w:tcPr>
            <w:tcW w:w="9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w:t>
            </w:r>
          </w:p>
        </w:tc>
      </w:tr>
      <w:tr>
        <w:trPr>
          <w:trHeight w:val="216"/>
        </w:trPr>
        <w:tc>
          <w:tcPr>
            <w:tcW w:w="920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Thereafter</w:t>
            </w:r>
          </w:p>
        </w:tc>
        <w:tc>
          <w:tcPr>
            <w:tcW w:w="64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207</w:t>
            </w:r>
          </w:p>
        </w:tc>
      </w:tr>
      <w:tr>
        <w:trPr>
          <w:trHeight w:val="250"/>
        </w:trPr>
        <w:tc>
          <w:tcPr>
            <w:tcW w:w="9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lease payments</w:t>
            </w:r>
          </w:p>
        </w:tc>
        <w:tc>
          <w:tcPr>
            <w:tcW w:w="640" w:type="dxa"/>
            <w:vAlign w:val="bottom"/>
            <w:tcBorders>
              <w:bottom w:val="single" w:sz="8" w:color="auto"/>
            </w:tcBorders>
            <w:shd w:val="clear" w:color="auto" w:fill="CCEEFF"/>
          </w:tcPr>
          <w:p>
            <w:pPr>
              <w:jc w:val="right"/>
              <w:ind w:right="45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271</w:t>
            </w:r>
          </w:p>
        </w:tc>
      </w:tr>
    </w:tbl>
    <w:p>
      <w:pPr>
        <w:spacing w:after="0" w:line="19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Oahu Solar Lease Agreements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Oahu Solar projects are party to various land lease agreements with a wholly owned subsidiary of CEG. The projects are leasing the land for a period of 35 years, with the ability to renew the lease for two additional five year periods. The Company has a lease liability of $21 million and corresponding right-of-use asset of $19 million related to the leases as of September 30, 2019.</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Lessor</w:t>
      </w:r>
    </w:p>
    <w:p>
      <w:pPr>
        <w:spacing w:after="0" w:line="229"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 xml:space="preserve">The majority of the Company’s revenue is obtained through PPAs or other contractual agreements that are accounted for as leases. These leases are comprised of both fixed payments and variable payments contingent upon volumes or performance metrics. The terms of the leases are further described in Item 2 — MD&amp;A, </w:t>
      </w:r>
      <w:r>
        <w:rPr>
          <w:rFonts w:ascii="Times New Roman" w:cs="Times New Roman" w:eastAsia="Times New Roman" w:hAnsi="Times New Roman"/>
          <w:sz w:val="18"/>
          <w:szCs w:val="18"/>
          <w:i w:val="1"/>
          <w:iCs w:val="1"/>
          <w:color w:val="auto"/>
        </w:rPr>
        <w:t>Introduction, Environmental, Regulatory</w:t>
      </w:r>
      <w:r>
        <w:rPr>
          <w:rFonts w:ascii="Times New Roman" w:cs="Times New Roman" w:eastAsia="Times New Roman" w:hAnsi="Times New Roman"/>
          <w:sz w:val="18"/>
          <w:szCs w:val="18"/>
          <w:color w:val="auto"/>
        </w:rPr>
        <w:t xml:space="preserve"> of this Form 10-Q. Many of the leases have renewal options at the end of the lease term. Termination may be allowed under specific circumstances in the lease arrangements, such as under an event of default. All of the Company’s leases are operating leases. Certain of these leases have both lease and non-lease components, and the Company allocates the transaction price to the components based on standalone selling prices. As disclosed in Note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the following amounts of energy and capacity revenue are related to the Company’s leases: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3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Three months ended September 30, 2019</w:t>
            </w:r>
          </w:p>
        </w:tc>
        <w:tc>
          <w:tcPr>
            <w:tcW w:w="120" w:type="dxa"/>
            <w:vAlign w:val="bottom"/>
          </w:tcPr>
          <w:p>
            <w:pPr>
              <w:spacing w:after="0"/>
              <w:rPr>
                <w:sz w:val="18"/>
                <w:szCs w:val="18"/>
                <w:color w:val="auto"/>
              </w:rPr>
            </w:pPr>
          </w:p>
        </w:tc>
        <w:tc>
          <w:tcPr>
            <w:tcW w:w="1180" w:type="dxa"/>
            <w:vAlign w:val="bottom"/>
            <w:vMerge w:val="restart"/>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3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160</w:t>
            </w:r>
          </w:p>
        </w:tc>
        <w:tc>
          <w:tcPr>
            <w:tcW w:w="1100" w:type="dxa"/>
            <w:vAlign w:val="bottom"/>
            <w:gridSpan w:val="2"/>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163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89</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89</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91</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160</w:t>
            </w:r>
          </w:p>
        </w:tc>
        <w:tc>
          <w:tcPr>
            <w:tcW w:w="1100" w:type="dxa"/>
            <w:vAlign w:val="bottom"/>
            <w:gridSpan w:val="2"/>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252</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07"/>
        </w:trPr>
        <w:tc>
          <w:tcPr>
            <w:tcW w:w="532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6"/>
                <w:szCs w:val="16"/>
                <w:b w:val="1"/>
                <w:bCs w:val="1"/>
                <w:color w:val="auto"/>
              </w:rPr>
              <w:t>Nine months ended September 30, 2019</w:t>
            </w: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vMerge w:val="restart"/>
          </w:tcPr>
          <w:p>
            <w:pPr>
              <w:jc w:val="center"/>
              <w:ind w:right="133"/>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3"/>
        </w:trPr>
        <w:tc>
          <w:tcPr>
            <w:tcW w:w="532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2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8"/>
        </w:trPr>
        <w:tc>
          <w:tcPr>
            <w:tcW w:w="5320" w:type="dxa"/>
            <w:vAlign w:val="bottom"/>
            <w:vMerge w:val="continue"/>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center"/>
              <w:ind w:right="113"/>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212"/>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00" w:type="dxa"/>
            <w:vAlign w:val="bottom"/>
          </w:tcPr>
          <w:p>
            <w:pPr>
              <w:spacing w:after="0"/>
              <w:rPr>
                <w:sz w:val="18"/>
                <w:szCs w:val="18"/>
                <w:color w:val="auto"/>
              </w:rPr>
            </w:pPr>
          </w:p>
        </w:tc>
        <w:tc>
          <w:tcPr>
            <w:tcW w:w="1000" w:type="dxa"/>
            <w:vAlign w:val="bottom"/>
            <w:tcBorders>
              <w:bottom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3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432"/>
              <w:spacing w:after="0"/>
              <w:rPr>
                <w:sz w:val="20"/>
                <w:szCs w:val="20"/>
                <w:color w:val="auto"/>
              </w:rPr>
            </w:pPr>
            <w:r>
              <w:rPr>
                <w:rFonts w:ascii="Times New Roman" w:cs="Times New Roman" w:eastAsia="Times New Roman" w:hAnsi="Times New Roman"/>
                <w:sz w:val="16"/>
                <w:szCs w:val="16"/>
                <w:b w:val="1"/>
                <w:bCs w:val="1"/>
                <w:color w:val="auto"/>
              </w:rPr>
              <w:t>Total</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416</w:t>
            </w:r>
          </w:p>
        </w:tc>
        <w:tc>
          <w:tcPr>
            <w:tcW w:w="1100" w:type="dxa"/>
            <w:vAlign w:val="bottom"/>
            <w:gridSpan w:val="2"/>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422</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Times New Roman" w:cs="Times New Roman" w:eastAsia="Times New Roman" w:hAnsi="Times New Roman"/>
                <w:sz w:val="18"/>
                <w:szCs w:val="18"/>
                <w:color w:val="auto"/>
              </w:rPr>
              <w:t>Capacity revenue</w:t>
            </w:r>
          </w:p>
        </w:tc>
        <w:tc>
          <w:tcPr>
            <w:tcW w:w="120" w:type="dxa"/>
            <w:vAlign w:val="bottom"/>
            <w:tcBorders>
              <w:bottom w:val="single" w:sz="8" w:color="auto"/>
            </w:tcBorders>
          </w:tcPr>
          <w:p>
            <w:pPr>
              <w:spacing w:after="0"/>
              <w:rPr>
                <w:sz w:val="18"/>
                <w:szCs w:val="18"/>
                <w:color w:val="auto"/>
              </w:rPr>
            </w:pPr>
          </w:p>
        </w:tc>
        <w:tc>
          <w:tcPr>
            <w:tcW w:w="118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6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253</w:t>
            </w:r>
          </w:p>
        </w:tc>
        <w:tc>
          <w:tcPr>
            <w:tcW w:w="5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32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Operating revenue</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257</w:t>
            </w:r>
          </w:p>
        </w:tc>
        <w:tc>
          <w:tcPr>
            <w:tcW w:w="2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CEEFF"/>
          </w:tcPr>
          <w:p>
            <w:pPr>
              <w:jc w:val="right"/>
              <w:ind w:right="32"/>
              <w:spacing w:after="0"/>
              <w:rPr>
                <w:sz w:val="20"/>
                <w:szCs w:val="20"/>
                <w:color w:val="auto"/>
              </w:rPr>
            </w:pPr>
            <w:r>
              <w:rPr>
                <w:rFonts w:ascii="Times New Roman" w:cs="Times New Roman" w:eastAsia="Times New Roman" w:hAnsi="Times New Roman"/>
                <w:sz w:val="18"/>
                <w:szCs w:val="18"/>
                <w:color w:val="auto"/>
              </w:rPr>
              <w:t>416</w:t>
            </w:r>
          </w:p>
        </w:tc>
        <w:tc>
          <w:tcPr>
            <w:tcW w:w="1100" w:type="dxa"/>
            <w:vAlign w:val="bottom"/>
            <w:gridSpan w:val="2"/>
            <w:shd w:val="clear" w:color="auto" w:fill="CCEEFF"/>
          </w:tcPr>
          <w:p>
            <w:pPr>
              <w:jc w:val="right"/>
              <w:ind w:right="839"/>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2</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12"/>
              <w:spacing w:after="0"/>
              <w:rPr>
                <w:sz w:val="20"/>
                <w:szCs w:val="20"/>
                <w:color w:val="auto"/>
              </w:rPr>
            </w:pPr>
            <w:r>
              <w:rPr>
                <w:rFonts w:ascii="Times New Roman" w:cs="Times New Roman" w:eastAsia="Times New Roman" w:hAnsi="Times New Roman"/>
                <w:sz w:val="18"/>
                <w:szCs w:val="18"/>
                <w:color w:val="auto"/>
              </w:rPr>
              <w:t>675</w:t>
            </w:r>
          </w:p>
        </w:tc>
        <w:tc>
          <w:tcPr>
            <w:tcW w:w="5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53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180" w:type="dxa"/>
            <w:vAlign w:val="bottom"/>
            <w:tcBorders>
              <w:top w:val="single" w:sz="8" w:color="auto"/>
            </w:tcBorders>
          </w:tcPr>
          <w:p>
            <w:pPr>
              <w:jc w:val="right"/>
              <w:ind w:right="733"/>
              <w:spacing w:after="0"/>
              <w:rPr>
                <w:sz w:val="20"/>
                <w:szCs w:val="20"/>
                <w:color w:val="auto"/>
              </w:rPr>
            </w:pPr>
            <w:r>
              <w:rPr>
                <w:rFonts w:ascii="Times New Roman" w:cs="Times New Roman" w:eastAsia="Times New Roman" w:hAnsi="Times New Roman"/>
                <w:sz w:val="18"/>
                <w:szCs w:val="18"/>
                <w:color w:val="auto"/>
              </w:rPr>
              <w:t>41</w:t>
            </w:r>
          </w:p>
        </w:tc>
        <w:tc>
          <w:tcPr>
            <w:tcW w:w="120" w:type="dxa"/>
            <w:vAlign w:val="bottom"/>
            <w:tcBorders>
              <w:top w:val="single" w:sz="8" w:color="CCEEFF"/>
            </w:tcBorders>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16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532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180" w:type="dxa"/>
            <w:vAlign w:val="bottom"/>
            <w:tcBorders>
              <w:bottom w:val="single" w:sz="8" w:color="auto"/>
            </w:tcBorders>
          </w:tcPr>
          <w:p>
            <w:pPr>
              <w:spacing w:after="0"/>
              <w:rPr>
                <w:sz w:val="10"/>
                <w:szCs w:val="10"/>
                <w:color w:val="auto"/>
              </w:rPr>
            </w:pPr>
          </w:p>
        </w:tc>
        <w:tc>
          <w:tcPr>
            <w:tcW w:w="120" w:type="dxa"/>
            <w:vAlign w:val="bottom"/>
            <w:tcBorders>
              <w:bottom w:val="single" w:sz="8" w:color="auto"/>
            </w:tcBorders>
          </w:tcPr>
          <w:p>
            <w:pPr>
              <w:spacing w:after="0"/>
              <w:rPr>
                <w:sz w:val="10"/>
                <w:szCs w:val="10"/>
                <w:color w:val="auto"/>
              </w:rPr>
            </w:pPr>
          </w:p>
        </w:tc>
        <w:tc>
          <w:tcPr>
            <w:tcW w:w="140" w:type="dxa"/>
            <w:vAlign w:val="bottom"/>
            <w:tcBorders>
              <w:bottom w:val="single" w:sz="8" w:color="auto"/>
            </w:tcBorders>
          </w:tcPr>
          <w:p>
            <w:pPr>
              <w:spacing w:after="0"/>
              <w:rPr>
                <w:sz w:val="10"/>
                <w:szCs w:val="10"/>
                <w:color w:val="auto"/>
              </w:rPr>
            </w:pPr>
          </w:p>
        </w:tc>
        <w:tc>
          <w:tcPr>
            <w:tcW w:w="116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1000" w:type="dxa"/>
            <w:vAlign w:val="bottom"/>
            <w:tcBorders>
              <w:bottom w:val="single" w:sz="8" w:color="auto"/>
            </w:tcBorders>
          </w:tcPr>
          <w:p>
            <w:pPr>
              <w:spacing w:after="0"/>
              <w:rPr>
                <w:sz w:val="10"/>
                <w:szCs w:val="10"/>
                <w:color w:val="auto"/>
              </w:rPr>
            </w:pPr>
          </w:p>
        </w:tc>
        <w:tc>
          <w:tcPr>
            <w:tcW w:w="300" w:type="dxa"/>
            <w:vAlign w:val="bottom"/>
            <w:tcBorders>
              <w:bottom w:val="single" w:sz="8" w:color="auto"/>
            </w:tcBorders>
          </w:tcPr>
          <w:p>
            <w:pPr>
              <w:spacing w:after="0"/>
              <w:rPr>
                <w:sz w:val="10"/>
                <w:szCs w:val="10"/>
                <w:color w:val="auto"/>
              </w:rPr>
            </w:pPr>
          </w:p>
        </w:tc>
        <w:tc>
          <w:tcPr>
            <w:tcW w:w="100" w:type="dxa"/>
            <w:vAlign w:val="bottom"/>
            <w:tcBorders>
              <w:bottom w:val="single" w:sz="8" w:color="auto"/>
            </w:tcBorders>
          </w:tcPr>
          <w:p>
            <w:pPr>
              <w:spacing w:after="0"/>
              <w:rPr>
                <w:sz w:val="10"/>
                <w:szCs w:val="10"/>
                <w:color w:val="auto"/>
              </w:rPr>
            </w:pPr>
          </w:p>
        </w:tc>
        <w:tc>
          <w:tcPr>
            <w:tcW w:w="260" w:type="dxa"/>
            <w:vAlign w:val="bottom"/>
            <w:tcBorders>
              <w:bottom w:val="single" w:sz="8" w:color="auto"/>
            </w:tcBorders>
          </w:tcPr>
          <w:p>
            <w:pPr>
              <w:spacing w:after="0"/>
              <w:rPr>
                <w:sz w:val="10"/>
                <w:szCs w:val="10"/>
                <w:color w:val="auto"/>
              </w:rPr>
            </w:pPr>
          </w:p>
        </w:tc>
        <w:tc>
          <w:tcPr>
            <w:tcW w:w="1040" w:type="dxa"/>
            <w:vAlign w:val="bottom"/>
            <w:tcBorders>
              <w:bottom w:val="single" w:sz="8" w:color="auto"/>
            </w:tcBorders>
          </w:tcPr>
          <w:p>
            <w:pPr>
              <w:spacing w:after="0"/>
              <w:rPr>
                <w:sz w:val="10"/>
                <w:szCs w:val="10"/>
                <w:color w:val="auto"/>
              </w:rPr>
            </w:pPr>
          </w:p>
        </w:tc>
        <w:tc>
          <w:tcPr>
            <w:tcW w:w="58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11" w:right="239" w:bottom="1440" w:gutter="0" w:footer="0" w:header="0"/>
        </w:sectPr>
      </w:pPr>
    </w:p>
    <w:bookmarkStart w:id="37" w:name="page38"/>
    <w:bookmarkEnd w:id="37"/>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Minimum future rent payments under the operating leases for the remaining periods as of September 30, 2019:</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75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Remainder of 2019</w:t>
            </w:r>
          </w:p>
        </w:tc>
        <w:tc>
          <w:tcPr>
            <w:tcW w:w="62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91</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2020</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337</w:t>
            </w:r>
          </w:p>
        </w:tc>
      </w:tr>
      <w:tr>
        <w:trPr>
          <w:trHeight w:val="216"/>
        </w:trPr>
        <w:tc>
          <w:tcPr>
            <w:tcW w:w="20" w:type="dxa"/>
            <w:vAlign w:val="bottom"/>
          </w:tcPr>
          <w:p>
            <w:pPr>
              <w:spacing w:after="0"/>
              <w:rPr>
                <w:sz w:val="18"/>
                <w:szCs w:val="18"/>
                <w:color w:val="auto"/>
              </w:rPr>
            </w:pPr>
          </w:p>
        </w:tc>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2021</w:t>
            </w:r>
          </w:p>
        </w:tc>
        <w:tc>
          <w:tcPr>
            <w:tcW w:w="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341</w:t>
            </w:r>
          </w:p>
        </w:tc>
      </w:tr>
      <w:tr>
        <w:trPr>
          <w:trHeight w:val="216"/>
        </w:trPr>
        <w:tc>
          <w:tcPr>
            <w:tcW w:w="20" w:type="dxa"/>
            <w:vAlign w:val="bottom"/>
          </w:tcPr>
          <w:p>
            <w:pPr>
              <w:spacing w:after="0"/>
              <w:rPr>
                <w:sz w:val="18"/>
                <w:szCs w:val="18"/>
                <w:color w:val="auto"/>
              </w:rPr>
            </w:pPr>
          </w:p>
        </w:tc>
        <w:tc>
          <w:tcPr>
            <w:tcW w:w="7480" w:type="dxa"/>
            <w:vAlign w:val="bottom"/>
          </w:tcPr>
          <w:p>
            <w:pPr>
              <w:spacing w:after="0"/>
              <w:rPr>
                <w:sz w:val="20"/>
                <w:szCs w:val="20"/>
                <w:color w:val="auto"/>
              </w:rPr>
            </w:pPr>
            <w:r>
              <w:rPr>
                <w:rFonts w:ascii="Times New Roman" w:cs="Times New Roman" w:eastAsia="Times New Roman" w:hAnsi="Times New Roman"/>
                <w:sz w:val="18"/>
                <w:szCs w:val="18"/>
                <w:color w:val="auto"/>
              </w:rPr>
              <w:t>2022</w:t>
            </w: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346</w:t>
            </w:r>
          </w:p>
        </w:tc>
      </w:tr>
      <w:tr>
        <w:trPr>
          <w:trHeight w:val="216"/>
        </w:trPr>
        <w:tc>
          <w:tcPr>
            <w:tcW w:w="20" w:type="dxa"/>
            <w:vAlign w:val="bottom"/>
          </w:tcPr>
          <w:p>
            <w:pPr>
              <w:spacing w:after="0"/>
              <w:rPr>
                <w:sz w:val="18"/>
                <w:szCs w:val="18"/>
                <w:color w:val="auto"/>
              </w:rPr>
            </w:pPr>
          </w:p>
        </w:tc>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2023</w:t>
            </w:r>
          </w:p>
        </w:tc>
        <w:tc>
          <w:tcPr>
            <w:tcW w:w="20" w:type="dxa"/>
            <w:vAlign w:val="bottom"/>
            <w:tcBorders>
              <w:bottom w:val="single" w:sz="8" w:color="CCEEFF"/>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154</w:t>
            </w:r>
          </w:p>
        </w:tc>
      </w:tr>
      <w:tr>
        <w:trPr>
          <w:trHeight w:val="210"/>
        </w:trPr>
        <w:tc>
          <w:tcPr>
            <w:tcW w:w="20" w:type="dxa"/>
            <w:vAlign w:val="bottom"/>
          </w:tcPr>
          <w:p>
            <w:pPr>
              <w:spacing w:after="0"/>
              <w:rPr>
                <w:sz w:val="18"/>
                <w:szCs w:val="18"/>
                <w:color w:val="auto"/>
              </w:rPr>
            </w:pPr>
          </w:p>
        </w:tc>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Total lease payments</w:t>
            </w:r>
          </w:p>
        </w:tc>
        <w:tc>
          <w:tcPr>
            <w:tcW w:w="620" w:type="dxa"/>
            <w:vAlign w:val="bottom"/>
            <w:tcBorders>
              <w:bottom w:val="single" w:sz="8" w:color="auto"/>
            </w:tcBorders>
            <w:gridSpan w:val="2"/>
          </w:tcPr>
          <w:p>
            <w:pPr>
              <w:jc w:val="right"/>
              <w:ind w:right="52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1,269</w:t>
            </w:r>
          </w:p>
        </w:tc>
      </w:tr>
      <w:tr>
        <w:trPr>
          <w:trHeight w:val="20"/>
        </w:trPr>
        <w:tc>
          <w:tcPr>
            <w:tcW w:w="20" w:type="dxa"/>
            <w:vAlign w:val="bottom"/>
          </w:tcPr>
          <w:p>
            <w:pPr>
              <w:spacing w:after="0" w:line="20" w:lineRule="exact"/>
              <w:rPr>
                <w:sz w:val="1"/>
                <w:szCs w:val="1"/>
                <w:color w:val="auto"/>
              </w:rPr>
            </w:pPr>
          </w:p>
        </w:tc>
        <w:tc>
          <w:tcPr>
            <w:tcW w:w="7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Property, plant and equipment, net related to the Company’s operating leases were as follows as of September 30, 2019:</w:t>
      </w:r>
    </w:p>
    <w:p>
      <w:pPr>
        <w:spacing w:after="0" w:line="241" w:lineRule="exact"/>
        <w:rPr>
          <w:sz w:val="20"/>
          <w:szCs w:val="20"/>
          <w:color w:val="auto"/>
        </w:rPr>
      </w:pPr>
    </w:p>
    <w:tbl>
      <w:tblPr>
        <w:tblLayout w:type="fixed"/>
        <w:tblInd w:w="1140" w:type="dxa"/>
        <w:tblCellMar>
          <w:top w:w="0" w:type="dxa"/>
          <w:left w:w="0" w:type="dxa"/>
          <w:bottom w:w="0" w:type="dxa"/>
          <w:right w:w="0" w:type="dxa"/>
        </w:tblCellMar>
      </w:tblPr>
      <w:tr>
        <w:trPr>
          <w:trHeight w:val="212"/>
        </w:trPr>
        <w:tc>
          <w:tcPr>
            <w:tcW w:w="506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24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50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Property, plant and equipment</w:t>
            </w:r>
          </w:p>
        </w:tc>
        <w:tc>
          <w:tcPr>
            <w:tcW w:w="3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6,230</w:t>
            </w:r>
          </w:p>
        </w:tc>
      </w:tr>
      <w:tr>
        <w:trPr>
          <w:trHeight w:val="216"/>
        </w:trPr>
        <w:tc>
          <w:tcPr>
            <w:tcW w:w="20" w:type="dxa"/>
            <w:vAlign w:val="bottom"/>
          </w:tcPr>
          <w:p>
            <w:pPr>
              <w:spacing w:after="0"/>
              <w:rPr>
                <w:sz w:val="18"/>
                <w:szCs w:val="18"/>
                <w:color w:val="auto"/>
              </w:rPr>
            </w:pPr>
          </w:p>
        </w:tc>
        <w:tc>
          <w:tcPr>
            <w:tcW w:w="5040" w:type="dxa"/>
            <w:vAlign w:val="bottom"/>
          </w:tcPr>
          <w:p>
            <w:pPr>
              <w:spacing w:after="0"/>
              <w:rPr>
                <w:sz w:val="20"/>
                <w:szCs w:val="20"/>
                <w:color w:val="auto"/>
              </w:rPr>
            </w:pPr>
            <w:r>
              <w:rPr>
                <w:rFonts w:ascii="Times New Roman" w:cs="Times New Roman" w:eastAsia="Times New Roman" w:hAnsi="Times New Roman"/>
                <w:sz w:val="18"/>
                <w:szCs w:val="18"/>
                <w:color w:val="auto"/>
              </w:rPr>
              <w:t>Accumulated depreciation</w:t>
            </w:r>
          </w:p>
        </w:tc>
        <w:tc>
          <w:tcPr>
            <w:tcW w:w="2460" w:type="dxa"/>
            <w:vAlign w:val="bottom"/>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(1,600)</w:t>
            </w:r>
          </w:p>
        </w:tc>
      </w:tr>
      <w:tr>
        <w:trPr>
          <w:trHeight w:val="230"/>
        </w:trPr>
        <w:tc>
          <w:tcPr>
            <w:tcW w:w="20" w:type="dxa"/>
            <w:vAlign w:val="bottom"/>
          </w:tcPr>
          <w:p>
            <w:pPr>
              <w:spacing w:after="0"/>
              <w:rPr>
                <w:sz w:val="19"/>
                <w:szCs w:val="19"/>
                <w:color w:val="auto"/>
              </w:rPr>
            </w:pPr>
          </w:p>
        </w:tc>
        <w:tc>
          <w:tcPr>
            <w:tcW w:w="504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Net property, plant and equipment</w:t>
            </w:r>
          </w:p>
        </w:tc>
        <w:tc>
          <w:tcPr>
            <w:tcW w:w="304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4,629</w:t>
            </w:r>
          </w:p>
        </w:tc>
      </w:tr>
      <w:tr>
        <w:trPr>
          <w:trHeight w:val="20"/>
        </w:trPr>
        <w:tc>
          <w:tcPr>
            <w:tcW w:w="20" w:type="dxa"/>
            <w:vAlign w:val="bottom"/>
          </w:tcPr>
          <w:p>
            <w:pPr>
              <w:spacing w:after="0" w:line="20" w:lineRule="exact"/>
              <w:rPr>
                <w:sz w:val="1"/>
                <w:szCs w:val="1"/>
                <w:color w:val="auto"/>
              </w:rPr>
            </w:pPr>
          </w:p>
        </w:tc>
        <w:tc>
          <w:tcPr>
            <w:tcW w:w="5040" w:type="dxa"/>
            <w:vAlign w:val="bottom"/>
            <w:tcBorders>
              <w:top w:val="single" w:sz="8" w:color="CCEEFF"/>
            </w:tcBorders>
            <w:shd w:val="clear" w:color="auto" w:fill="CCEEFF"/>
          </w:tcPr>
          <w:p>
            <w:pPr>
              <w:spacing w:after="0" w:line="20" w:lineRule="exact"/>
              <w:rPr>
                <w:sz w:val="1"/>
                <w:szCs w:val="1"/>
                <w:color w:val="auto"/>
              </w:rPr>
            </w:pPr>
          </w:p>
        </w:tc>
        <w:tc>
          <w:tcPr>
            <w:tcW w:w="2460" w:type="dxa"/>
            <w:vAlign w:val="bottom"/>
            <w:tcBorders>
              <w:top w:val="single" w:sz="8" w:color="CCEEFF"/>
            </w:tcBorders>
            <w:shd w:val="clear" w:color="auto" w:fill="CCEEFF"/>
          </w:tcPr>
          <w:p>
            <w:pPr>
              <w:spacing w:after="0" w:line="20" w:lineRule="exact"/>
              <w:rPr>
                <w:sz w:val="1"/>
                <w:szCs w:val="1"/>
                <w:color w:val="auto"/>
              </w:rPr>
            </w:pPr>
          </w:p>
        </w:tc>
        <w:tc>
          <w:tcPr>
            <w:tcW w:w="58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r>
    </w:tbl>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14 — Asset Impairments</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The Company recorded an impairment loss of $19 million related to a facility in the Thermal segment during the second quarter of 2019. The fair value of the facility was determined using an income approach by applying a discounted cash flow methodology to the long-term budgets for each respective plant. The income approach utilized estimates of discounted future cash flows, which were Level 3 fair value measurement and include key inputs, such as forecasted power prices, operations and maintenance expense, and discount rates. The Company measured the impairment loss as the difference between the carrying amount and the fair value of the assets.</w:t>
      </w:r>
    </w:p>
    <w:p>
      <w:pPr>
        <w:spacing w:after="0" w:line="1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85725</wp:posOffset>
            </wp:positionV>
            <wp:extent cx="72466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46620" cy="171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38" w:name="page39"/>
    <w:bookmarkEnd w:id="38"/>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Management's Discussion and Analysis of Financial Condition and the Results of Operations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discussion analyzes the Company's historical financial condition and results of operations.</w:t>
      </w:r>
    </w:p>
    <w:p>
      <w:pPr>
        <w:spacing w:after="0" w:line="225"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As you read this discussion and analysis, refer to the Company's Consolidated Financial Statements to this Form 10-Q, which present the results of operations for the nine months ended September 30, 2019 and 2018. Also refer to the Company's 2018 Form 10-K, which includes detailed discussions of various items impacting the Company's business, results of operations and financial condition.</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discussion and analysis below has been organized as follows:</w:t>
      </w:r>
    </w:p>
    <w:p>
      <w:pPr>
        <w:spacing w:after="0" w:line="225" w:lineRule="exact"/>
        <w:rPr>
          <w:sz w:val="20"/>
          <w:szCs w:val="20"/>
          <w:color w:val="auto"/>
        </w:rPr>
      </w:pPr>
    </w:p>
    <w:p>
      <w:pPr>
        <w:ind w:left="1460" w:right="480" w:hanging="480"/>
        <w:spacing w:after="0" w:line="282" w:lineRule="auto"/>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Executive Summary, including a description of the business and significant events that are important to understanding the results of operations and financial condition;</w:t>
      </w:r>
    </w:p>
    <w:p>
      <w:pPr>
        <w:spacing w:after="0" w:line="161" w:lineRule="exact"/>
        <w:rPr>
          <w:rFonts w:ascii="Times New Roman" w:cs="Times New Roman" w:eastAsia="Times New Roman" w:hAnsi="Times New Roman"/>
          <w:sz w:val="18"/>
          <w:szCs w:val="18"/>
          <w:color w:val="auto"/>
        </w:rPr>
      </w:pPr>
    </w:p>
    <w:p>
      <w:pPr>
        <w:ind w:left="1460" w:hanging="480"/>
        <w:spacing w:after="0"/>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Known trends that may affect the Company’s results of operations and financial condition in the future;</w:t>
      </w:r>
    </w:p>
    <w:p>
      <w:pPr>
        <w:spacing w:after="0" w:line="225"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Results of operations, including an explanation of significant differences between the periods in the specific line items of the consolidated statements of income;</w:t>
      </w:r>
    </w:p>
    <w:p>
      <w:pPr>
        <w:spacing w:after="0" w:line="161" w:lineRule="exact"/>
        <w:rPr>
          <w:rFonts w:ascii="Times New Roman" w:cs="Times New Roman" w:eastAsia="Times New Roman" w:hAnsi="Times New Roman"/>
          <w:sz w:val="18"/>
          <w:szCs w:val="18"/>
          <w:color w:val="auto"/>
        </w:rPr>
      </w:pPr>
    </w:p>
    <w:p>
      <w:pPr>
        <w:ind w:left="1460" w:right="300" w:hanging="480"/>
        <w:spacing w:after="0" w:line="282" w:lineRule="auto"/>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condition addressing liquidity position, sources and uses of cash, capital resources and requirements, commitments, and off-balance sheet arrangements; and</w:t>
      </w:r>
    </w:p>
    <w:p>
      <w:pPr>
        <w:spacing w:after="0" w:line="161" w:lineRule="exact"/>
        <w:rPr>
          <w:rFonts w:ascii="Times New Roman" w:cs="Times New Roman" w:eastAsia="Times New Roman" w:hAnsi="Times New Roman"/>
          <w:sz w:val="18"/>
          <w:szCs w:val="18"/>
          <w:color w:val="auto"/>
        </w:rPr>
      </w:pPr>
    </w:p>
    <w:p>
      <w:pPr>
        <w:ind w:left="1460" w:right="20" w:hanging="480"/>
        <w:spacing w:after="0" w:line="282" w:lineRule="auto"/>
        <w:tabs>
          <w:tab w:leader="none" w:pos="14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Critical accounting policies which are most important to both the portrayal of the Company's financial condition and results of operations, and which require management's most difficult, subjective or complex judgment.</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Executive Summary</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Introduction and Overview</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Clearway Energy, Inc. together with its consolidated subsidiaries, or the Company, is a publicly-traded energy infrastructure investor in and owner of modern, sustainable and long-term contracted assets across North America. The Company is indirectly owned by Global Infrastructure Partners III. Global Infrastructure Management, LLC is an independent fund manager of funds that invests in infrastructure assets in the energy and transport sectors, and Global Infrastructure Partners III is its third equity fund. The Company is sponsored by GIP through GIP's portfolio company, CEG.</w:t>
      </w:r>
    </w:p>
    <w:p>
      <w:pPr>
        <w:spacing w:after="0" w:line="180"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The Company’s environmentally-sound asset portfolio includes over 5,330 MW of wind, solar and natural gas-fired power generation facilities, as well as district energy systems. Through this diversified and contracted portfolio, the Company endeavors to provide its investors with stable and growing dividend income. Substantially all of the Company's generation assets are under long-term contractual arrangements for the output or capacity from these assets. The weighted average remaining contract duration of these offtake agreements was approximately 14 years as of September 30, 2019 based on CAFD. The Company also owns thermal infrastructure assets with an aggregate steam and chilled water capacity of 1,530 net MWt and electric generation capacity of 139 net MW.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8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As of September 30, 2019, the Company's operating assets are comprised of the following projects:</w:t>
      </w: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ind w:left="360"/>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580" w:type="dxa"/>
            <w:vAlign w:val="bottom"/>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Net Capacity (MW)</w:t>
            </w:r>
          </w:p>
        </w:tc>
        <w:tc>
          <w:tcPr>
            <w:tcW w:w="100" w:type="dxa"/>
            <w:vAlign w:val="bottom"/>
          </w:tcPr>
          <w:p>
            <w:pPr>
              <w:spacing w:after="0"/>
              <w:rPr>
                <w:sz w:val="17"/>
                <w:szCs w:val="17"/>
                <w:color w:val="auto"/>
              </w:rPr>
            </w:pPr>
          </w:p>
        </w:tc>
        <w:tc>
          <w:tcPr>
            <w:tcW w:w="4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5"/>
        </w:trPr>
        <w:tc>
          <w:tcPr>
            <w:tcW w:w="20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Projects</w:t>
            </w:r>
          </w:p>
        </w:tc>
        <w:tc>
          <w:tcPr>
            <w:tcW w:w="120" w:type="dxa"/>
            <w:vAlign w:val="bottom"/>
          </w:tcPr>
          <w:p>
            <w:pPr>
              <w:spacing w:after="0"/>
              <w:rPr>
                <w:sz w:val="18"/>
                <w:szCs w:val="18"/>
                <w:color w:val="auto"/>
              </w:rPr>
            </w:pPr>
          </w:p>
        </w:tc>
        <w:tc>
          <w:tcPr>
            <w:tcW w:w="1160" w:type="dxa"/>
            <w:vAlign w:val="bottom"/>
          </w:tcPr>
          <w:p>
            <w:pPr>
              <w:ind w:left="340"/>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80" w:type="dxa"/>
            <w:vAlign w:val="bottom"/>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Offtake Counterparty</w:t>
            </w:r>
          </w:p>
        </w:tc>
        <w:tc>
          <w:tcPr>
            <w:tcW w:w="100" w:type="dxa"/>
            <w:vAlign w:val="bottom"/>
          </w:tcPr>
          <w:p>
            <w:pPr>
              <w:spacing w:after="0"/>
              <w:rPr>
                <w:sz w:val="18"/>
                <w:szCs w:val="18"/>
                <w:color w:val="auto"/>
              </w:rPr>
            </w:pPr>
          </w:p>
        </w:tc>
        <w:tc>
          <w:tcPr>
            <w:tcW w:w="148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Expiration</w:t>
            </w:r>
          </w:p>
        </w:tc>
      </w:tr>
      <w:tr>
        <w:trPr>
          <w:trHeight w:val="213"/>
        </w:trPr>
        <w:tc>
          <w:tcPr>
            <w:tcW w:w="20" w:type="dxa"/>
            <w:vAlign w:val="bottom"/>
          </w:tcPr>
          <w:p>
            <w:pPr>
              <w:spacing w:after="0"/>
              <w:rPr>
                <w:sz w:val="18"/>
                <w:szCs w:val="18"/>
                <w:color w:val="auto"/>
              </w:rPr>
            </w:pPr>
          </w:p>
        </w:tc>
        <w:tc>
          <w:tcPr>
            <w:tcW w:w="20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Conventional</w:t>
            </w:r>
          </w:p>
        </w:tc>
        <w:tc>
          <w:tcPr>
            <w:tcW w:w="120" w:type="dxa"/>
            <w:vAlign w:val="bottom"/>
            <w:shd w:val="clear" w:color="auto" w:fill="CCEEFF"/>
          </w:tcPr>
          <w:p>
            <w:pPr>
              <w:spacing w:after="0"/>
              <w:rPr>
                <w:sz w:val="18"/>
                <w:szCs w:val="18"/>
                <w:color w:val="auto"/>
              </w:rPr>
            </w:pPr>
          </w:p>
        </w:tc>
        <w:tc>
          <w:tcPr>
            <w:tcW w:w="1160" w:type="dxa"/>
            <w:vAlign w:val="bottom"/>
            <w:tcBorders>
              <w:top w:val="single" w:sz="8" w:color="auto"/>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2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tcBorders>
              <w:top w:val="single" w:sz="8" w:color="auto"/>
            </w:tcBorders>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El Segundo</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550</w:t>
            </w:r>
          </w:p>
        </w:tc>
        <w:tc>
          <w:tcPr>
            <w:tcW w:w="10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GenConn Devon</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c>
          <w:tcPr>
            <w:tcW w:w="4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Connecticut Light &amp; Power</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2040</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GenConn Middletown</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Connecticut Light &amp; Power</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2041</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Marsh Landing</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720</w:t>
            </w:r>
          </w:p>
        </w:tc>
        <w:tc>
          <w:tcPr>
            <w:tcW w:w="100" w:type="dxa"/>
            <w:vAlign w:val="bottom"/>
            <w:shd w:val="clear" w:color="auto" w:fill="CCEEFF"/>
          </w:tcPr>
          <w:p>
            <w:pPr>
              <w:spacing w:after="0"/>
              <w:rPr>
                <w:sz w:val="18"/>
                <w:szCs w:val="18"/>
                <w:color w:val="auto"/>
              </w:rPr>
            </w:pPr>
          </w:p>
        </w:tc>
        <w:tc>
          <w:tcPr>
            <w:tcW w:w="4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Pacific Gas and Electric</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30"/>
        </w:trPr>
        <w:tc>
          <w:tcPr>
            <w:tcW w:w="2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Walnut Creek</w:t>
            </w:r>
          </w:p>
        </w:tc>
        <w:tc>
          <w:tcPr>
            <w:tcW w:w="12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00" w:type="dxa"/>
            <w:vAlign w:val="bottom"/>
          </w:tcPr>
          <w:p>
            <w:pPr>
              <w:spacing w:after="0"/>
              <w:rPr>
                <w:sz w:val="19"/>
                <w:szCs w:val="19"/>
                <w:color w:val="auto"/>
              </w:rPr>
            </w:pPr>
          </w:p>
        </w:tc>
        <w:tc>
          <w:tcPr>
            <w:tcW w:w="1580" w:type="dxa"/>
            <w:vAlign w:val="bottom"/>
            <w:tcBorders>
              <w:bottom w:val="single" w:sz="8" w:color="auto"/>
            </w:tcBorders>
          </w:tcPr>
          <w:p>
            <w:pPr>
              <w:jc w:val="right"/>
              <w:ind w:right="20"/>
              <w:spacing w:after="0"/>
              <w:rPr>
                <w:sz w:val="20"/>
                <w:szCs w:val="20"/>
                <w:color w:val="auto"/>
              </w:rPr>
            </w:pPr>
            <w:r>
              <w:rPr>
                <w:rFonts w:ascii="Times New Roman" w:cs="Times New Roman" w:eastAsia="Times New Roman" w:hAnsi="Times New Roman"/>
                <w:sz w:val="18"/>
                <w:szCs w:val="18"/>
                <w:color w:val="auto"/>
              </w:rPr>
              <w:t>485</w:t>
            </w:r>
          </w:p>
        </w:tc>
        <w:tc>
          <w:tcPr>
            <w:tcW w:w="100" w:type="dxa"/>
            <w:vAlign w:val="bottom"/>
          </w:tcPr>
          <w:p>
            <w:pPr>
              <w:spacing w:after="0"/>
              <w:rPr>
                <w:sz w:val="19"/>
                <w:szCs w:val="19"/>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2023</w:t>
            </w:r>
          </w:p>
        </w:tc>
      </w:tr>
      <w:tr>
        <w:trPr>
          <w:trHeight w:val="223"/>
        </w:trPr>
        <w:tc>
          <w:tcPr>
            <w:tcW w:w="20" w:type="dxa"/>
            <w:vAlign w:val="bottom"/>
          </w:tcPr>
          <w:p>
            <w:pPr>
              <w:spacing w:after="0"/>
              <w:rPr>
                <w:sz w:val="19"/>
                <w:szCs w:val="19"/>
                <w:color w:val="auto"/>
              </w:rPr>
            </w:pPr>
          </w:p>
        </w:tc>
        <w:tc>
          <w:tcPr>
            <w:tcW w:w="20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1,945</w:t>
            </w:r>
          </w:p>
        </w:tc>
        <w:tc>
          <w:tcPr>
            <w:tcW w:w="100" w:type="dxa"/>
            <w:vAlign w:val="bottom"/>
            <w:shd w:val="clear" w:color="auto" w:fill="CCEEFF"/>
          </w:tcPr>
          <w:p>
            <w:pPr>
              <w:spacing w:after="0"/>
              <w:rPr>
                <w:sz w:val="19"/>
                <w:szCs w:val="19"/>
                <w:color w:val="auto"/>
              </w:rPr>
            </w:pPr>
          </w:p>
        </w:tc>
        <w:tc>
          <w:tcPr>
            <w:tcW w:w="4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r>
      <w:tr>
        <w:trPr>
          <w:trHeight w:val="210"/>
        </w:trPr>
        <w:tc>
          <w:tcPr>
            <w:tcW w:w="20" w:type="dxa"/>
            <w:vAlign w:val="bottom"/>
          </w:tcPr>
          <w:p>
            <w:pPr>
              <w:spacing w:after="0"/>
              <w:rPr>
                <w:sz w:val="18"/>
                <w:szCs w:val="18"/>
                <w:color w:val="auto"/>
              </w:rPr>
            </w:pPr>
          </w:p>
        </w:tc>
        <w:tc>
          <w:tcPr>
            <w:tcW w:w="2060" w:type="dxa"/>
            <w:vAlign w:val="bottom"/>
            <w:tcBorders>
              <w:top w:val="single" w:sz="8" w:color="CCEEFF"/>
            </w:tcBorders>
          </w:tcPr>
          <w:p>
            <w:pPr>
              <w:spacing w:after="0"/>
              <w:rPr>
                <w:sz w:val="20"/>
                <w:szCs w:val="20"/>
                <w:color w:val="auto"/>
              </w:rPr>
            </w:pPr>
            <w:r>
              <w:rPr>
                <w:rFonts w:ascii="Times New Roman" w:cs="Times New Roman" w:eastAsia="Times New Roman" w:hAnsi="Times New Roman"/>
                <w:sz w:val="18"/>
                <w:szCs w:val="18"/>
                <w:i w:val="1"/>
                <w:iCs w:val="1"/>
                <w:color w:val="auto"/>
              </w:rPr>
              <w:t>Utility Scale Solar</w:t>
            </w:r>
          </w:p>
        </w:tc>
        <w:tc>
          <w:tcPr>
            <w:tcW w:w="120" w:type="dxa"/>
            <w:vAlign w:val="bottom"/>
            <w:tcBorders>
              <w:top w:val="single" w:sz="8" w:color="CCEEFF"/>
            </w:tcBorders>
          </w:tcPr>
          <w:p>
            <w:pPr>
              <w:spacing w:after="0"/>
              <w:rPr>
                <w:sz w:val="18"/>
                <w:szCs w:val="18"/>
                <w:color w:val="auto"/>
              </w:rPr>
            </w:pPr>
          </w:p>
        </w:tc>
        <w:tc>
          <w:tcPr>
            <w:tcW w:w="1160" w:type="dxa"/>
            <w:vAlign w:val="bottom"/>
            <w:tcBorders>
              <w:top w:val="single" w:sz="8" w:color="CCEEFF"/>
            </w:tcBorders>
          </w:tcPr>
          <w:p>
            <w:pPr>
              <w:spacing w:after="0"/>
              <w:rPr>
                <w:sz w:val="18"/>
                <w:szCs w:val="18"/>
                <w:color w:val="auto"/>
              </w:rPr>
            </w:pPr>
          </w:p>
        </w:tc>
        <w:tc>
          <w:tcPr>
            <w:tcW w:w="48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58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4220" w:type="dxa"/>
            <w:vAlign w:val="bottom"/>
            <w:tcBorders>
              <w:top w:val="single" w:sz="8" w:color="CCEEFF"/>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c>
          <w:tcPr>
            <w:tcW w:w="1480" w:type="dxa"/>
            <w:vAlign w:val="bottom"/>
            <w:tcBorders>
              <w:top w:val="single" w:sz="8" w:color="CCEEFF"/>
            </w:tcBorders>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Agua Caliente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4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Pacific Gas and Electric</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2039</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Alpine</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Pacific Gas and Electric</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Avenal</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23</w:t>
            </w:r>
          </w:p>
        </w:tc>
        <w:tc>
          <w:tcPr>
            <w:tcW w:w="100" w:type="dxa"/>
            <w:vAlign w:val="bottom"/>
            <w:shd w:val="clear" w:color="auto" w:fill="CCEEFF"/>
          </w:tcPr>
          <w:p>
            <w:pPr>
              <w:spacing w:after="0"/>
              <w:rPr>
                <w:sz w:val="18"/>
                <w:szCs w:val="18"/>
                <w:color w:val="auto"/>
              </w:rPr>
            </w:pPr>
          </w:p>
        </w:tc>
        <w:tc>
          <w:tcPr>
            <w:tcW w:w="4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Pacific Gas and Electric</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Avra Valley</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Tucson Electric Power</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Blythe</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shd w:val="clear" w:color="auto" w:fill="CCEEFF"/>
          </w:tcPr>
          <w:p>
            <w:pPr>
              <w:spacing w:after="0"/>
              <w:rPr>
                <w:sz w:val="18"/>
                <w:szCs w:val="18"/>
                <w:color w:val="auto"/>
              </w:rPr>
            </w:pPr>
          </w:p>
        </w:tc>
        <w:tc>
          <w:tcPr>
            <w:tcW w:w="4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Borrego</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26</w:t>
            </w:r>
          </w:p>
        </w:tc>
        <w:tc>
          <w:tcPr>
            <w:tcW w:w="10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San Diego Gas and Electric</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2038</w:t>
            </w:r>
          </w:p>
        </w:tc>
      </w:tr>
      <w:tr>
        <w:trPr>
          <w:trHeight w:val="257"/>
        </w:trPr>
        <w:tc>
          <w:tcPr>
            <w:tcW w:w="20" w:type="dxa"/>
            <w:vAlign w:val="bottom"/>
          </w:tcPr>
          <w:p>
            <w:pPr>
              <w:spacing w:after="0"/>
              <w:rPr>
                <w:sz w:val="22"/>
                <w:szCs w:val="22"/>
                <w:color w:val="auto"/>
              </w:rPr>
            </w:pPr>
          </w:p>
        </w:tc>
        <w:tc>
          <w:tcPr>
            <w:tcW w:w="206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Buckthorn Solar </w:t>
            </w:r>
            <w:r>
              <w:rPr>
                <w:rFonts w:ascii="Times New Roman" w:cs="Times New Roman" w:eastAsia="Times New Roman" w:hAnsi="Times New Roman"/>
                <w:sz w:val="29"/>
                <w:szCs w:val="29"/>
                <w:color w:val="auto"/>
                <w:vertAlign w:val="superscript"/>
              </w:rPr>
              <w:t>(b)</w:t>
            </w:r>
          </w:p>
        </w:tc>
        <w:tc>
          <w:tcPr>
            <w:tcW w:w="120" w:type="dxa"/>
            <w:vAlign w:val="bottom"/>
            <w:shd w:val="clear" w:color="auto" w:fill="CCEEFF"/>
          </w:tcPr>
          <w:p>
            <w:pPr>
              <w:spacing w:after="0"/>
              <w:rPr>
                <w:sz w:val="22"/>
                <w:szCs w:val="22"/>
                <w:color w:val="auto"/>
              </w:rPr>
            </w:pPr>
          </w:p>
        </w:tc>
        <w:tc>
          <w:tcPr>
            <w:tcW w:w="1160" w:type="dxa"/>
            <w:vAlign w:val="bottom"/>
            <w:shd w:val="clear" w:color="auto" w:fill="CCEEFF"/>
          </w:tcPr>
          <w:p>
            <w:pPr>
              <w:spacing w:after="0"/>
              <w:rPr>
                <w:sz w:val="22"/>
                <w:szCs w:val="22"/>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154</w:t>
            </w:r>
          </w:p>
        </w:tc>
        <w:tc>
          <w:tcPr>
            <w:tcW w:w="100" w:type="dxa"/>
            <w:vAlign w:val="bottom"/>
            <w:shd w:val="clear" w:color="auto" w:fill="CCEEFF"/>
          </w:tcPr>
          <w:p>
            <w:pPr>
              <w:spacing w:after="0"/>
              <w:rPr>
                <w:sz w:val="22"/>
                <w:szCs w:val="22"/>
                <w:color w:val="auto"/>
              </w:rPr>
            </w:pPr>
          </w:p>
        </w:tc>
        <w:tc>
          <w:tcPr>
            <w:tcW w:w="4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City of Georgetown, TX</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2043</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CVSR</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250</w:t>
            </w:r>
          </w:p>
        </w:tc>
        <w:tc>
          <w:tcPr>
            <w:tcW w:w="10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Pacific Gas and Electric</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2038</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Desert Sunlight 250</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8"/>
                <w:szCs w:val="18"/>
                <w:color w:val="auto"/>
              </w:rPr>
            </w:pPr>
          </w:p>
        </w:tc>
        <w:tc>
          <w:tcPr>
            <w:tcW w:w="4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2034</w:t>
            </w:r>
          </w:p>
        </w:tc>
      </w:tr>
      <w:tr>
        <w:trPr>
          <w:trHeight w:val="216"/>
        </w:trPr>
        <w:tc>
          <w:tcPr>
            <w:tcW w:w="20" w:type="dxa"/>
            <w:vAlign w:val="bottom"/>
          </w:tcPr>
          <w:p>
            <w:pPr>
              <w:spacing w:after="0"/>
              <w:rPr>
                <w:sz w:val="18"/>
                <w:szCs w:val="18"/>
                <w:color w:val="auto"/>
              </w:rPr>
            </w:pPr>
          </w:p>
        </w:tc>
        <w:tc>
          <w:tcPr>
            <w:tcW w:w="2060" w:type="dxa"/>
            <w:vAlign w:val="bottom"/>
          </w:tcPr>
          <w:p>
            <w:pPr>
              <w:spacing w:after="0"/>
              <w:rPr>
                <w:sz w:val="20"/>
                <w:szCs w:val="20"/>
                <w:color w:val="auto"/>
              </w:rPr>
            </w:pPr>
            <w:r>
              <w:rPr>
                <w:rFonts w:ascii="Times New Roman" w:cs="Times New Roman" w:eastAsia="Times New Roman" w:hAnsi="Times New Roman"/>
                <w:sz w:val="18"/>
                <w:szCs w:val="18"/>
                <w:color w:val="auto"/>
              </w:rPr>
              <w:t>Desert Sunlight 300</w:t>
            </w:r>
          </w:p>
        </w:tc>
        <w:tc>
          <w:tcPr>
            <w:tcW w:w="12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75</w:t>
            </w:r>
          </w:p>
        </w:tc>
        <w:tc>
          <w:tcPr>
            <w:tcW w:w="100" w:type="dxa"/>
            <w:vAlign w:val="bottom"/>
          </w:tcPr>
          <w:p>
            <w:pPr>
              <w:spacing w:after="0"/>
              <w:rPr>
                <w:sz w:val="18"/>
                <w:szCs w:val="18"/>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Pacific Gas and Electric</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2039</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Kansas South</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4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Pacific Gas and Electric</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r>
      <w:tr>
        <w:trPr>
          <w:trHeight w:val="257"/>
        </w:trPr>
        <w:tc>
          <w:tcPr>
            <w:tcW w:w="20" w:type="dxa"/>
            <w:vAlign w:val="bottom"/>
          </w:tcPr>
          <w:p>
            <w:pPr>
              <w:spacing w:after="0"/>
              <w:rPr>
                <w:sz w:val="22"/>
                <w:szCs w:val="22"/>
                <w:color w:val="auto"/>
              </w:rPr>
            </w:pPr>
          </w:p>
        </w:tc>
        <w:tc>
          <w:tcPr>
            <w:tcW w:w="206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Oahu Solar Projects </w:t>
            </w:r>
            <w:r>
              <w:rPr>
                <w:rFonts w:ascii="Times New Roman" w:cs="Times New Roman" w:eastAsia="Times New Roman" w:hAnsi="Times New Roman"/>
                <w:sz w:val="29"/>
                <w:szCs w:val="29"/>
                <w:color w:val="auto"/>
                <w:vertAlign w:val="superscript"/>
              </w:rPr>
              <w:t>(b)</w:t>
            </w:r>
          </w:p>
        </w:tc>
        <w:tc>
          <w:tcPr>
            <w:tcW w:w="120" w:type="dxa"/>
            <w:vAlign w:val="bottom"/>
          </w:tcPr>
          <w:p>
            <w:pPr>
              <w:spacing w:after="0"/>
              <w:rPr>
                <w:sz w:val="22"/>
                <w:szCs w:val="22"/>
                <w:color w:val="auto"/>
              </w:rPr>
            </w:pPr>
          </w:p>
        </w:tc>
        <w:tc>
          <w:tcPr>
            <w:tcW w:w="1160" w:type="dxa"/>
            <w:vAlign w:val="bottom"/>
          </w:tcPr>
          <w:p>
            <w:pPr>
              <w:spacing w:after="0"/>
              <w:rPr>
                <w:sz w:val="22"/>
                <w:szCs w:val="22"/>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w:t>
            </w:r>
          </w:p>
        </w:tc>
        <w:tc>
          <w:tcPr>
            <w:tcW w:w="16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58</w:t>
            </w:r>
          </w:p>
        </w:tc>
        <w:tc>
          <w:tcPr>
            <w:tcW w:w="100" w:type="dxa"/>
            <w:vAlign w:val="bottom"/>
          </w:tcPr>
          <w:p>
            <w:pPr>
              <w:spacing w:after="0"/>
              <w:rPr>
                <w:sz w:val="22"/>
                <w:szCs w:val="22"/>
                <w:color w:val="auto"/>
              </w:rPr>
            </w:pPr>
          </w:p>
        </w:tc>
        <w:tc>
          <w:tcPr>
            <w:tcW w:w="42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Hawaiian Electric Company, Inc.</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2041</w:t>
            </w:r>
          </w:p>
        </w:tc>
      </w:tr>
      <w:tr>
        <w:trPr>
          <w:trHeight w:val="216"/>
        </w:trPr>
        <w:tc>
          <w:tcPr>
            <w:tcW w:w="20" w:type="dxa"/>
            <w:vAlign w:val="bottom"/>
          </w:tcPr>
          <w:p>
            <w:pPr>
              <w:spacing w:after="0"/>
              <w:rPr>
                <w:sz w:val="18"/>
                <w:szCs w:val="18"/>
                <w:color w:val="auto"/>
              </w:rPr>
            </w:pPr>
          </w:p>
        </w:tc>
        <w:tc>
          <w:tcPr>
            <w:tcW w:w="2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Roadrunner</w:t>
            </w:r>
          </w:p>
        </w:tc>
        <w:tc>
          <w:tcPr>
            <w:tcW w:w="12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6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18"/>
                <w:szCs w:val="18"/>
                <w:color w:val="auto"/>
              </w:rPr>
            </w:pPr>
          </w:p>
        </w:tc>
        <w:tc>
          <w:tcPr>
            <w:tcW w:w="42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El Paso Electric</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r>
    </w:tbl>
    <w:p>
      <w:pPr>
        <w:sectPr>
          <w:pgSz w:w="11900" w:h="16838" w:orient="portrait"/>
          <w:cols w:equalWidth="0" w:num="1">
            <w:col w:w="11420"/>
          </w:cols>
          <w:pgMar w:left="240" w:top="112" w:right="239" w:bottom="0" w:gutter="0" w:footer="0" w:header="0"/>
        </w:sectPr>
      </w:pPr>
    </w:p>
    <w:bookmarkStart w:id="39" w:name="page40"/>
    <w:bookmarkEnd w:id="3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TA High Desert</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39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9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2033</w:t>
            </w:r>
          </w:p>
        </w:tc>
      </w:tr>
      <w:tr>
        <w:trPr>
          <w:trHeight w:val="243"/>
        </w:trPr>
        <w:tc>
          <w:tcPr>
            <w:tcW w:w="264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Utah Solar Portfolio </w:t>
            </w:r>
            <w:r>
              <w:rPr>
                <w:rFonts w:ascii="Times New Roman" w:cs="Times New Roman" w:eastAsia="Times New Roman" w:hAnsi="Times New Roman"/>
                <w:sz w:val="28"/>
                <w:szCs w:val="28"/>
                <w:color w:val="auto"/>
                <w:vertAlign w:val="superscript"/>
              </w:rPr>
              <w:t>(b) (e)</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50%</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265</w:t>
            </w:r>
          </w:p>
        </w:tc>
        <w:tc>
          <w:tcPr>
            <w:tcW w:w="3940" w:type="dxa"/>
            <w:vAlign w:val="bottom"/>
            <w:tcBorders>
              <w:bottom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9"/>
              </w:rPr>
              <w:t>PacifiCorp</w:t>
            </w:r>
          </w:p>
        </w:tc>
        <w:tc>
          <w:tcPr>
            <w:tcW w:w="1960" w:type="dxa"/>
            <w:vAlign w:val="bottom"/>
            <w:tcBorders>
              <w:bottom w:val="single" w:sz="8" w:color="CCEEFF"/>
            </w:tcBorders>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2036</w:t>
            </w:r>
          </w:p>
        </w:tc>
      </w:tr>
      <w:tr>
        <w:trPr>
          <w:trHeight w:val="223"/>
        </w:trPr>
        <w:tc>
          <w:tcPr>
            <w:tcW w:w="2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1,133</w:t>
            </w:r>
          </w:p>
        </w:tc>
        <w:tc>
          <w:tcPr>
            <w:tcW w:w="39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1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Distributed Solar</w:t>
            </w:r>
          </w:p>
        </w:tc>
        <w:tc>
          <w:tcPr>
            <w:tcW w:w="1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57"/>
        </w:trPr>
        <w:tc>
          <w:tcPr>
            <w:tcW w:w="26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Apple I LLC Projects </w:t>
            </w:r>
            <w:r>
              <w:rPr>
                <w:rFonts w:ascii="Times New Roman" w:cs="Times New Roman" w:eastAsia="Times New Roman" w:hAnsi="Times New Roman"/>
                <w:sz w:val="29"/>
                <w:szCs w:val="29"/>
                <w:color w:val="auto"/>
                <w:vertAlign w:val="superscript"/>
              </w:rPr>
              <w:t>(h)</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39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4"/>
              </w:rPr>
              <w:t>Various</w:t>
            </w:r>
          </w:p>
        </w:tc>
        <w:tc>
          <w:tcPr>
            <w:tcW w:w="19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2032</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AZ DG Solar Projects</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w:t>
            </w:r>
          </w:p>
        </w:tc>
        <w:tc>
          <w:tcPr>
            <w:tcW w:w="39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4"/>
              </w:rPr>
              <w:t>Various</w:t>
            </w:r>
          </w:p>
        </w:tc>
        <w:tc>
          <w:tcPr>
            <w:tcW w:w="1960" w:type="dxa"/>
            <w:vAlign w:val="bottom"/>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2025 - 2033</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SPP Projects</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25</w:t>
            </w:r>
          </w:p>
        </w:tc>
        <w:tc>
          <w:tcPr>
            <w:tcW w:w="39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w w:val="94"/>
              </w:rPr>
              <w:t>Various</w:t>
            </w:r>
          </w:p>
        </w:tc>
        <w:tc>
          <w:tcPr>
            <w:tcW w:w="1960" w:type="dxa"/>
            <w:vAlign w:val="bottom"/>
          </w:tcPr>
          <w:p>
            <w:pPr>
              <w:jc w:val="center"/>
              <w:ind w:left="290"/>
              <w:spacing w:after="0"/>
              <w:rPr>
                <w:sz w:val="20"/>
                <w:szCs w:val="20"/>
                <w:color w:val="auto"/>
              </w:rPr>
            </w:pPr>
            <w:r>
              <w:rPr>
                <w:rFonts w:ascii="Times New Roman" w:cs="Times New Roman" w:eastAsia="Times New Roman" w:hAnsi="Times New Roman"/>
                <w:sz w:val="18"/>
                <w:szCs w:val="18"/>
                <w:color w:val="auto"/>
                <w:w w:val="98"/>
              </w:rPr>
              <w:t>2026 - 2037</w:t>
            </w:r>
          </w:p>
        </w:tc>
      </w:tr>
      <w:tr>
        <w:trPr>
          <w:trHeight w:val="230"/>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DG Projects</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w:t>
            </w:r>
          </w:p>
        </w:tc>
        <w:tc>
          <w:tcPr>
            <w:tcW w:w="3940" w:type="dxa"/>
            <w:vAlign w:val="bottom"/>
            <w:tcBorders>
              <w:bottom w:val="single" w:sz="8" w:color="CCEEFF"/>
            </w:tcBorders>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w w:val="94"/>
              </w:rPr>
              <w:t>Various</w:t>
            </w:r>
          </w:p>
        </w:tc>
        <w:tc>
          <w:tcPr>
            <w:tcW w:w="1960" w:type="dxa"/>
            <w:vAlign w:val="bottom"/>
            <w:tcBorders>
              <w:bottom w:val="single" w:sz="8" w:color="CCEEFF"/>
            </w:tcBorders>
            <w:shd w:val="clear" w:color="auto" w:fill="CCEEFF"/>
          </w:tcPr>
          <w:p>
            <w:pPr>
              <w:jc w:val="center"/>
              <w:ind w:left="290"/>
              <w:spacing w:after="0"/>
              <w:rPr>
                <w:sz w:val="20"/>
                <w:szCs w:val="20"/>
                <w:color w:val="auto"/>
              </w:rPr>
            </w:pPr>
            <w:r>
              <w:rPr>
                <w:rFonts w:ascii="Times New Roman" w:cs="Times New Roman" w:eastAsia="Times New Roman" w:hAnsi="Times New Roman"/>
                <w:sz w:val="18"/>
                <w:szCs w:val="18"/>
                <w:color w:val="auto"/>
                <w:w w:val="98"/>
              </w:rPr>
              <w:t>2023 - 2040</w:t>
            </w:r>
          </w:p>
        </w:tc>
      </w:tr>
      <w:tr>
        <w:trPr>
          <w:trHeight w:val="223"/>
        </w:trPr>
        <w:tc>
          <w:tcPr>
            <w:tcW w:w="26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58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52</w:t>
            </w:r>
          </w:p>
        </w:tc>
        <w:tc>
          <w:tcPr>
            <w:tcW w:w="3940" w:type="dxa"/>
            <w:vAlign w:val="bottom"/>
          </w:tcPr>
          <w:p>
            <w:pPr>
              <w:spacing w:after="0"/>
              <w:rPr>
                <w:sz w:val="19"/>
                <w:szCs w:val="19"/>
                <w:color w:val="auto"/>
              </w:rPr>
            </w:pPr>
          </w:p>
        </w:tc>
        <w:tc>
          <w:tcPr>
            <w:tcW w:w="1960" w:type="dxa"/>
            <w:vAlign w:val="bottom"/>
          </w:tcPr>
          <w:p>
            <w:pPr>
              <w:spacing w:after="0"/>
              <w:rPr>
                <w:sz w:val="19"/>
                <w:szCs w:val="19"/>
                <w:color w:val="auto"/>
              </w:rPr>
            </w:pPr>
          </w:p>
        </w:tc>
      </w:tr>
      <w:tr>
        <w:trPr>
          <w:trHeight w:val="210"/>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Wind</w:t>
            </w:r>
          </w:p>
        </w:tc>
        <w:tc>
          <w:tcPr>
            <w:tcW w:w="1300" w:type="dxa"/>
            <w:vAlign w:val="bottom"/>
            <w:shd w:val="clear" w:color="auto" w:fill="CCEEFF"/>
          </w:tcPr>
          <w:p>
            <w:pPr>
              <w:spacing w:after="0"/>
              <w:rPr>
                <w:sz w:val="18"/>
                <w:szCs w:val="18"/>
                <w:color w:val="auto"/>
              </w:rPr>
            </w:pPr>
          </w:p>
        </w:tc>
        <w:tc>
          <w:tcPr>
            <w:tcW w:w="1580" w:type="dxa"/>
            <w:vAlign w:val="bottom"/>
            <w:shd w:val="clear" w:color="auto" w:fill="CCEEFF"/>
          </w:tcPr>
          <w:p>
            <w:pPr>
              <w:spacing w:after="0"/>
              <w:rPr>
                <w:sz w:val="18"/>
                <w:szCs w:val="18"/>
                <w:color w:val="auto"/>
              </w:rPr>
            </w:pPr>
          </w:p>
        </w:tc>
        <w:tc>
          <w:tcPr>
            <w:tcW w:w="3940" w:type="dxa"/>
            <w:vAlign w:val="bottom"/>
            <w:shd w:val="clear" w:color="auto" w:fill="CCEEFF"/>
          </w:tcPr>
          <w:p>
            <w:pPr>
              <w:spacing w:after="0"/>
              <w:rPr>
                <w:sz w:val="18"/>
                <w:szCs w:val="18"/>
                <w:color w:val="auto"/>
              </w:rPr>
            </w:pPr>
          </w:p>
        </w:tc>
        <w:tc>
          <w:tcPr>
            <w:tcW w:w="1960" w:type="dxa"/>
            <w:vAlign w:val="bottom"/>
            <w:shd w:val="clear" w:color="auto" w:fill="CCEEFF"/>
          </w:tcPr>
          <w:p>
            <w:pPr>
              <w:spacing w:after="0"/>
              <w:rPr>
                <w:sz w:val="18"/>
                <w:szCs w:val="18"/>
                <w:color w:val="auto"/>
              </w:rPr>
            </w:pP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Alta I</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39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9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2035</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Alta II</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39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9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2035</w:t>
            </w:r>
          </w:p>
        </w:tc>
      </w:tr>
      <w:tr>
        <w:trPr>
          <w:trHeight w:val="216"/>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Alta III</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150</w:t>
            </w:r>
          </w:p>
        </w:tc>
        <w:tc>
          <w:tcPr>
            <w:tcW w:w="39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9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2035</w:t>
            </w:r>
          </w:p>
        </w:tc>
      </w:tr>
      <w:tr>
        <w:trPr>
          <w:trHeight w:val="216"/>
        </w:trPr>
        <w:tc>
          <w:tcPr>
            <w:tcW w:w="26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Alta IV</w:t>
            </w:r>
          </w:p>
        </w:tc>
        <w:tc>
          <w:tcPr>
            <w:tcW w:w="130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102</w:t>
            </w:r>
          </w:p>
        </w:tc>
        <w:tc>
          <w:tcPr>
            <w:tcW w:w="3940" w:type="dxa"/>
            <w:vAlign w:val="bottom"/>
            <w:shd w:val="clear" w:color="auto" w:fill="CCEEFF"/>
          </w:tcPr>
          <w:p>
            <w:pPr>
              <w:jc w:val="center"/>
              <w:ind w:left="390"/>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960" w:type="dxa"/>
            <w:vAlign w:val="bottom"/>
            <w:shd w:val="clear" w:color="auto" w:fill="CCEEFF"/>
          </w:tcPr>
          <w:p>
            <w:pPr>
              <w:jc w:val="center"/>
              <w:ind w:left="310"/>
              <w:spacing w:after="0"/>
              <w:rPr>
                <w:sz w:val="20"/>
                <w:szCs w:val="20"/>
                <w:color w:val="auto"/>
              </w:rPr>
            </w:pPr>
            <w:r>
              <w:rPr>
                <w:rFonts w:ascii="Times New Roman" w:cs="Times New Roman" w:eastAsia="Times New Roman" w:hAnsi="Times New Roman"/>
                <w:sz w:val="18"/>
                <w:szCs w:val="18"/>
                <w:color w:val="auto"/>
                <w:w w:val="99"/>
              </w:rPr>
              <w:t>2035</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8"/>
                <w:szCs w:val="18"/>
                <w:color w:val="auto"/>
              </w:rPr>
              <w:t>Alta V</w:t>
            </w:r>
          </w:p>
        </w:tc>
        <w:tc>
          <w:tcPr>
            <w:tcW w:w="13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100%</w:t>
            </w:r>
          </w:p>
        </w:tc>
        <w:tc>
          <w:tcPr>
            <w:tcW w:w="15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168</w:t>
            </w:r>
          </w:p>
        </w:tc>
        <w:tc>
          <w:tcPr>
            <w:tcW w:w="3940" w:type="dxa"/>
            <w:vAlign w:val="bottom"/>
          </w:tcPr>
          <w:p>
            <w:pPr>
              <w:jc w:val="center"/>
              <w:ind w:left="390"/>
              <w:spacing w:after="0"/>
              <w:rPr>
                <w:sz w:val="20"/>
                <w:szCs w:val="20"/>
                <w:color w:val="auto"/>
              </w:rPr>
            </w:pPr>
            <w:r>
              <w:rPr>
                <w:rFonts w:ascii="Times New Roman" w:cs="Times New Roman" w:eastAsia="Times New Roman" w:hAnsi="Times New Roman"/>
                <w:sz w:val="18"/>
                <w:szCs w:val="18"/>
                <w:color w:val="auto"/>
              </w:rPr>
              <w:t>Southern California Edison</w:t>
            </w:r>
          </w:p>
        </w:tc>
        <w:tc>
          <w:tcPr>
            <w:tcW w:w="1960" w:type="dxa"/>
            <w:vAlign w:val="bottom"/>
          </w:tcPr>
          <w:p>
            <w:pPr>
              <w:jc w:val="center"/>
              <w:ind w:left="310"/>
              <w:spacing w:after="0"/>
              <w:rPr>
                <w:sz w:val="20"/>
                <w:szCs w:val="20"/>
                <w:color w:val="auto"/>
              </w:rPr>
            </w:pPr>
            <w:r>
              <w:rPr>
                <w:rFonts w:ascii="Times New Roman" w:cs="Times New Roman" w:eastAsia="Times New Roman" w:hAnsi="Times New Roman"/>
                <w:sz w:val="18"/>
                <w:szCs w:val="18"/>
                <w:color w:val="auto"/>
                <w:w w:val="99"/>
              </w:rPr>
              <w:t>2035</w:t>
            </w:r>
          </w:p>
        </w:tc>
      </w:tr>
      <w:tr>
        <w:trPr>
          <w:trHeight w:val="414"/>
        </w:trPr>
        <w:tc>
          <w:tcPr>
            <w:tcW w:w="26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3940" w:type="dxa"/>
            <w:vAlign w:val="bottom"/>
          </w:tcPr>
          <w:p>
            <w:pPr>
              <w:jc w:val="right"/>
              <w:ind w:right="3570"/>
              <w:spacing w:after="0"/>
              <w:rPr>
                <w:sz w:val="20"/>
                <w:szCs w:val="20"/>
                <w:color w:val="auto"/>
              </w:rPr>
            </w:pPr>
            <w:r>
              <w:rPr>
                <w:rFonts w:ascii="Times New Roman" w:cs="Times New Roman" w:eastAsia="Times New Roman" w:hAnsi="Times New Roman"/>
                <w:sz w:val="18"/>
                <w:szCs w:val="18"/>
                <w:color w:val="auto"/>
              </w:rPr>
              <w:t>45</w:t>
            </w:r>
          </w:p>
        </w:tc>
        <w:tc>
          <w:tcPr>
            <w:tcW w:w="19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6"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 w:type="dxa"/>
            <w:vAlign w:val="bottom"/>
          </w:tcPr>
          <w:p>
            <w:pPr>
              <w:spacing w:after="0"/>
              <w:rPr>
                <w:sz w:val="16"/>
                <w:szCs w:val="16"/>
                <w:color w:val="auto"/>
              </w:rPr>
            </w:pPr>
          </w:p>
        </w:tc>
        <w:tc>
          <w:tcPr>
            <w:tcW w:w="19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40" w:type="dxa"/>
            <w:vAlign w:val="bottom"/>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Percentage</w:t>
            </w:r>
          </w:p>
        </w:tc>
        <w:tc>
          <w:tcPr>
            <w:tcW w:w="120" w:type="dxa"/>
            <w:vAlign w:val="bottom"/>
          </w:tcPr>
          <w:p>
            <w:pPr>
              <w:spacing w:after="0"/>
              <w:rPr>
                <w:sz w:val="16"/>
                <w:szCs w:val="16"/>
                <w:color w:val="auto"/>
              </w:rPr>
            </w:pPr>
          </w:p>
        </w:tc>
        <w:tc>
          <w:tcPr>
            <w:tcW w:w="158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Net Capacity (MW)</w:t>
            </w:r>
          </w:p>
        </w:tc>
        <w:tc>
          <w:tcPr>
            <w:tcW w:w="10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5"/>
        </w:trPr>
        <w:tc>
          <w:tcPr>
            <w:tcW w:w="20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Projects</w:t>
            </w:r>
          </w:p>
        </w:tc>
        <w:tc>
          <w:tcPr>
            <w:tcW w:w="120" w:type="dxa"/>
            <w:vAlign w:val="bottom"/>
          </w:tcPr>
          <w:p>
            <w:pPr>
              <w:spacing w:after="0"/>
              <w:rPr>
                <w:sz w:val="18"/>
                <w:szCs w:val="18"/>
                <w:color w:val="auto"/>
              </w:rPr>
            </w:pPr>
          </w:p>
        </w:tc>
        <w:tc>
          <w:tcPr>
            <w:tcW w:w="1640" w:type="dxa"/>
            <w:vAlign w:val="bottom"/>
          </w:tcPr>
          <w:p>
            <w:pPr>
              <w:jc w:val="right"/>
              <w:ind w:right="436"/>
              <w:spacing w:after="0"/>
              <w:rPr>
                <w:sz w:val="20"/>
                <w:szCs w:val="20"/>
                <w:color w:val="auto"/>
              </w:rPr>
            </w:pPr>
            <w:r>
              <w:rPr>
                <w:rFonts w:ascii="Times New Roman" w:cs="Times New Roman" w:eastAsia="Times New Roman" w:hAnsi="Times New Roman"/>
                <w:sz w:val="16"/>
                <w:szCs w:val="16"/>
                <w:b w:val="1"/>
                <w:bCs w:val="1"/>
                <w:color w:val="auto"/>
              </w:rPr>
              <w:t>Ownership</w:t>
            </w:r>
          </w:p>
        </w:tc>
        <w:tc>
          <w:tcPr>
            <w:tcW w:w="120" w:type="dxa"/>
            <w:vAlign w:val="bottom"/>
          </w:tcPr>
          <w:p>
            <w:pPr>
              <w:spacing w:after="0"/>
              <w:rPr>
                <w:sz w:val="18"/>
                <w:szCs w:val="18"/>
                <w:color w:val="auto"/>
              </w:rPr>
            </w:pPr>
          </w:p>
        </w:tc>
        <w:tc>
          <w:tcPr>
            <w:tcW w:w="1580" w:type="dxa"/>
            <w:vAlign w:val="bottom"/>
          </w:tcPr>
          <w:p>
            <w:pPr>
              <w:jc w:val="right"/>
              <w:ind w:right="694"/>
              <w:spacing w:after="0"/>
              <w:rPr>
                <w:sz w:val="20"/>
                <w:szCs w:val="20"/>
                <w:color w:val="auto"/>
              </w:rPr>
            </w:pPr>
            <w:r>
              <w:rPr>
                <w:rFonts w:ascii="Times New Roman" w:cs="Times New Roman" w:eastAsia="Times New Roman" w:hAnsi="Times New Roman"/>
                <w:sz w:val="14"/>
                <w:szCs w:val="14"/>
                <w:b w:val="1"/>
                <w:bCs w:val="1"/>
                <w:color w:val="auto"/>
              </w:rPr>
              <w:t>(a)</w:t>
            </w:r>
          </w:p>
        </w:tc>
        <w:tc>
          <w:tcPr>
            <w:tcW w:w="10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Offtake Counterparty</w:t>
            </w:r>
          </w:p>
        </w:tc>
        <w:tc>
          <w:tcPr>
            <w:tcW w:w="100" w:type="dxa"/>
            <w:vAlign w:val="bottom"/>
          </w:tcPr>
          <w:p>
            <w:pPr>
              <w:spacing w:after="0"/>
              <w:rPr>
                <w:sz w:val="18"/>
                <w:szCs w:val="18"/>
                <w:color w:val="auto"/>
              </w:rPr>
            </w:pPr>
          </w:p>
        </w:tc>
        <w:tc>
          <w:tcPr>
            <w:tcW w:w="1480" w:type="dxa"/>
            <w:vAlign w:val="bottom"/>
          </w:tcPr>
          <w:p>
            <w:pPr>
              <w:jc w:val="center"/>
              <w:ind w:right="12"/>
              <w:spacing w:after="0"/>
              <w:rPr>
                <w:sz w:val="20"/>
                <w:szCs w:val="20"/>
                <w:color w:val="auto"/>
              </w:rPr>
            </w:pPr>
            <w:r>
              <w:rPr>
                <w:rFonts w:ascii="Times New Roman" w:cs="Times New Roman" w:eastAsia="Times New Roman" w:hAnsi="Times New Roman"/>
                <w:sz w:val="16"/>
                <w:szCs w:val="16"/>
                <w:b w:val="1"/>
                <w:bCs w:val="1"/>
                <w:color w:val="auto"/>
              </w:rPr>
              <w:t>Expiration</w:t>
            </w:r>
          </w:p>
        </w:tc>
        <w:tc>
          <w:tcPr>
            <w:tcW w:w="0" w:type="dxa"/>
            <w:vAlign w:val="bottom"/>
          </w:tcPr>
          <w:p>
            <w:pPr>
              <w:spacing w:after="0"/>
              <w:rPr>
                <w:sz w:val="1"/>
                <w:szCs w:val="1"/>
                <w:color w:val="auto"/>
              </w:rPr>
            </w:pPr>
          </w:p>
        </w:tc>
      </w:tr>
      <w:tr>
        <w:trPr>
          <w:trHeight w:val="253"/>
        </w:trPr>
        <w:tc>
          <w:tcPr>
            <w:tcW w:w="20" w:type="dxa"/>
            <w:vAlign w:val="bottom"/>
          </w:tcPr>
          <w:p>
            <w:pPr>
              <w:spacing w:after="0"/>
              <w:rPr>
                <w:sz w:val="22"/>
                <w:szCs w:val="22"/>
                <w:color w:val="auto"/>
              </w:rPr>
            </w:pPr>
          </w:p>
        </w:tc>
        <w:tc>
          <w:tcPr>
            <w:tcW w:w="1980" w:type="dxa"/>
            <w:vAlign w:val="bottom"/>
            <w:tcBorders>
              <w:top w:val="single" w:sz="8" w:color="auto"/>
            </w:tcBorders>
            <w:shd w:val="clear" w:color="auto" w:fill="CCEEFF"/>
          </w:tcPr>
          <w:p>
            <w:pPr>
              <w:spacing w:after="0" w:line="253" w:lineRule="exact"/>
              <w:rPr>
                <w:sz w:val="20"/>
                <w:szCs w:val="20"/>
                <w:color w:val="auto"/>
              </w:rPr>
            </w:pPr>
            <w:r>
              <w:rPr>
                <w:rFonts w:ascii="Times New Roman" w:cs="Times New Roman" w:eastAsia="Times New Roman" w:hAnsi="Times New Roman"/>
                <w:sz w:val="18"/>
                <w:szCs w:val="18"/>
                <w:color w:val="auto"/>
              </w:rPr>
              <w:t xml:space="preserve">Alta X </w:t>
            </w:r>
            <w:r>
              <w:rPr>
                <w:rFonts w:ascii="Times New Roman" w:cs="Times New Roman" w:eastAsia="Times New Roman" w:hAnsi="Times New Roman"/>
                <w:sz w:val="29"/>
                <w:szCs w:val="29"/>
                <w:color w:val="auto"/>
                <w:vertAlign w:val="superscript"/>
              </w:rPr>
              <w:t>(b)</w:t>
            </w:r>
          </w:p>
        </w:tc>
        <w:tc>
          <w:tcPr>
            <w:tcW w:w="120" w:type="dxa"/>
            <w:vAlign w:val="bottom"/>
            <w:shd w:val="clear" w:color="auto" w:fill="CCEEFF"/>
          </w:tcPr>
          <w:p>
            <w:pPr>
              <w:spacing w:after="0"/>
              <w:rPr>
                <w:sz w:val="22"/>
                <w:szCs w:val="22"/>
                <w:color w:val="auto"/>
              </w:rPr>
            </w:pPr>
          </w:p>
        </w:tc>
        <w:tc>
          <w:tcPr>
            <w:tcW w:w="16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137</w:t>
            </w:r>
          </w:p>
        </w:tc>
        <w:tc>
          <w:tcPr>
            <w:tcW w:w="100" w:type="dxa"/>
            <w:vAlign w:val="bottom"/>
            <w:shd w:val="clear" w:color="auto" w:fill="CCEEFF"/>
          </w:tcPr>
          <w:p>
            <w:pPr>
              <w:spacing w:after="0"/>
              <w:rPr>
                <w:sz w:val="22"/>
                <w:szCs w:val="22"/>
                <w:color w:val="auto"/>
              </w:rPr>
            </w:pPr>
          </w:p>
        </w:tc>
        <w:tc>
          <w:tcPr>
            <w:tcW w:w="42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Southern California Edison</w:t>
            </w:r>
          </w:p>
        </w:tc>
        <w:tc>
          <w:tcPr>
            <w:tcW w:w="100" w:type="dxa"/>
            <w:vAlign w:val="bottom"/>
            <w:shd w:val="clear" w:color="auto" w:fill="CCEEFF"/>
          </w:tcPr>
          <w:p>
            <w:pPr>
              <w:spacing w:after="0"/>
              <w:rPr>
                <w:sz w:val="22"/>
                <w:szCs w:val="22"/>
                <w:color w:val="auto"/>
              </w:rPr>
            </w:pPr>
          </w:p>
        </w:tc>
        <w:tc>
          <w:tcPr>
            <w:tcW w:w="1480" w:type="dxa"/>
            <w:vAlign w:val="bottom"/>
            <w:tcBorders>
              <w:top w:val="single" w:sz="8" w:color="auto"/>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Alta XI </w:t>
            </w:r>
            <w:r>
              <w:rPr>
                <w:rFonts w:ascii="Times New Roman" w:cs="Times New Roman" w:eastAsia="Times New Roman" w:hAnsi="Times New Roman"/>
                <w:sz w:val="29"/>
                <w:szCs w:val="29"/>
                <w:color w:val="auto"/>
                <w:vertAlign w:val="superscript"/>
              </w:rPr>
              <w:t>(b)</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7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22"/>
                <w:szCs w:val="22"/>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Southern California Edison</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Buffalo Bear</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7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Western Farmers Electric Co-operative</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Crosswinds</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7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21</w:t>
            </w:r>
          </w:p>
        </w:tc>
        <w:tc>
          <w:tcPr>
            <w:tcW w:w="10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Corn Belt Power Cooperative</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Elbow Creek </w:t>
            </w:r>
            <w:r>
              <w:rPr>
                <w:rFonts w:ascii="Times New Roman" w:cs="Times New Roman" w:eastAsia="Times New Roman" w:hAnsi="Times New Roman"/>
                <w:sz w:val="29"/>
                <w:szCs w:val="29"/>
                <w:color w:val="auto"/>
                <w:vertAlign w:val="superscript"/>
              </w:rPr>
              <w:t>(f) (g)</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7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122</w:t>
            </w:r>
          </w:p>
        </w:tc>
        <w:tc>
          <w:tcPr>
            <w:tcW w:w="100" w:type="dxa"/>
            <w:vAlign w:val="bottom"/>
            <w:shd w:val="clear" w:color="auto" w:fill="CCEEFF"/>
          </w:tcPr>
          <w:p>
            <w:pPr>
              <w:spacing w:after="0"/>
              <w:rPr>
                <w:sz w:val="22"/>
                <w:szCs w:val="22"/>
                <w:color w:val="auto"/>
              </w:rPr>
            </w:pPr>
          </w:p>
        </w:tc>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NRG Power Marketing LLC</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Elkhorn Ridge</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66.70%</w:t>
            </w:r>
          </w:p>
        </w:tc>
        <w:tc>
          <w:tcPr>
            <w:tcW w:w="17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54</w:t>
            </w:r>
          </w:p>
        </w:tc>
        <w:tc>
          <w:tcPr>
            <w:tcW w:w="10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Nebraska Public Power District</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Forward</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7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Constellation NewEnergy, Inc.</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Goat Wind</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7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150</w:t>
            </w:r>
          </w:p>
        </w:tc>
        <w:tc>
          <w:tcPr>
            <w:tcW w:w="10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Dow Pipeline Company</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Hardin</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7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Interstate Power and Light Company</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Laredo Ridge</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7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80</w:t>
            </w:r>
          </w:p>
        </w:tc>
        <w:tc>
          <w:tcPr>
            <w:tcW w:w="10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Nebraska Public Power District</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Lookout</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7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38</w:t>
            </w:r>
          </w:p>
        </w:tc>
        <w:tc>
          <w:tcPr>
            <w:tcW w:w="10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Southern Maryland Electric Cooperative</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Odin</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99.90%</w:t>
            </w:r>
          </w:p>
        </w:tc>
        <w:tc>
          <w:tcPr>
            <w:tcW w:w="17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Missouri River Energy Services</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19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6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280" w:type="dxa"/>
            <w:vAlign w:val="bottom"/>
            <w:shd w:val="clear" w:color="auto" w:fill="CCEEFF"/>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Maryland Department of General Services and University</w:t>
            </w:r>
          </w:p>
        </w:tc>
        <w:tc>
          <w:tcPr>
            <w:tcW w:w="10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Pinnacle</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7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55</w:t>
            </w:r>
          </w:p>
        </w:tc>
        <w:tc>
          <w:tcPr>
            <w:tcW w:w="100" w:type="dxa"/>
            <w:vAlign w:val="bottom"/>
            <w:shd w:val="clear" w:color="auto" w:fill="CCEEFF"/>
          </w:tcPr>
          <w:p>
            <w:pPr>
              <w:spacing w:after="0"/>
              <w:rPr>
                <w:sz w:val="20"/>
                <w:szCs w:val="20"/>
                <w:color w:val="auto"/>
              </w:rPr>
            </w:pPr>
          </w:p>
        </w:tc>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System of Maryland</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San Juan Mesa</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17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90</w:t>
            </w:r>
          </w:p>
        </w:tc>
        <w:tc>
          <w:tcPr>
            <w:tcW w:w="10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Southwestern Public Service Company</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Sleeping Bear</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7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95</w:t>
            </w:r>
          </w:p>
        </w:tc>
        <w:tc>
          <w:tcPr>
            <w:tcW w:w="10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Public Service Company of Oklahoma</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South Trent</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7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AEP Energy Partners</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Spanish Fork</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7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shd w:val="clear" w:color="auto" w:fill="CCEEFF"/>
          </w:tcPr>
          <w:p>
            <w:pPr>
              <w:spacing w:after="0"/>
              <w:rPr>
                <w:sz w:val="18"/>
                <w:szCs w:val="18"/>
                <w:color w:val="auto"/>
              </w:rPr>
            </w:pPr>
          </w:p>
        </w:tc>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PacifiCorp</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2028</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8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Spring Canyon II </w:t>
            </w:r>
            <w:r>
              <w:rPr>
                <w:rFonts w:ascii="Times New Roman" w:cs="Times New Roman" w:eastAsia="Times New Roman" w:hAnsi="Times New Roman"/>
                <w:sz w:val="29"/>
                <w:szCs w:val="29"/>
                <w:color w:val="auto"/>
                <w:vertAlign w:val="superscript"/>
              </w:rPr>
              <w:t>(b)</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90.10%</w:t>
            </w:r>
          </w:p>
        </w:tc>
        <w:tc>
          <w:tcPr>
            <w:tcW w:w="17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22"/>
                <w:szCs w:val="22"/>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Platte River Power Authority</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2039</w:t>
            </w: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198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color w:val="auto"/>
              </w:rPr>
              <w:t xml:space="preserve">Spring Canyon III </w:t>
            </w:r>
            <w:r>
              <w:rPr>
                <w:rFonts w:ascii="Times New Roman" w:cs="Times New Roman" w:eastAsia="Times New Roman" w:hAnsi="Times New Roman"/>
                <w:sz w:val="29"/>
                <w:szCs w:val="29"/>
                <w:color w:val="auto"/>
                <w:vertAlign w:val="superscript"/>
              </w:rPr>
              <w:t>(b)</w:t>
            </w:r>
          </w:p>
        </w:tc>
        <w:tc>
          <w:tcPr>
            <w:tcW w:w="17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90.10%</w:t>
            </w:r>
          </w:p>
        </w:tc>
        <w:tc>
          <w:tcPr>
            <w:tcW w:w="170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2"/>
                <w:szCs w:val="22"/>
                <w:color w:val="auto"/>
              </w:rPr>
            </w:pPr>
          </w:p>
        </w:tc>
        <w:tc>
          <w:tcPr>
            <w:tcW w:w="42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Platte River Power Authority</w:t>
            </w:r>
          </w:p>
        </w:tc>
        <w:tc>
          <w:tcPr>
            <w:tcW w:w="15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Taloga</w:t>
            </w:r>
          </w:p>
        </w:tc>
        <w:tc>
          <w:tcPr>
            <w:tcW w:w="1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7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130</w:t>
            </w:r>
          </w:p>
        </w:tc>
        <w:tc>
          <w:tcPr>
            <w:tcW w:w="100" w:type="dxa"/>
            <w:vAlign w:val="bottom"/>
          </w:tcPr>
          <w:p>
            <w:pPr>
              <w:spacing w:after="0"/>
              <w:rPr>
                <w:sz w:val="18"/>
                <w:szCs w:val="18"/>
                <w:color w:val="auto"/>
              </w:rPr>
            </w:pPr>
          </w:p>
        </w:tc>
        <w:tc>
          <w:tcPr>
            <w:tcW w:w="42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Oklahoma Gas &amp; Electric</w:t>
            </w:r>
          </w:p>
        </w:tc>
        <w:tc>
          <w:tcPr>
            <w:tcW w:w="158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99"/>
              </w:rPr>
              <w:t>2031</w:t>
            </w: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1980" w:type="dxa"/>
            <w:vAlign w:val="bottom"/>
            <w:tcBorders>
              <w:bottom w:val="single" w:sz="8" w:color="CCEEFF"/>
            </w:tcBorders>
            <w:shd w:val="clear" w:color="auto" w:fill="CCEEFF"/>
          </w:tcPr>
          <w:p>
            <w:pPr>
              <w:spacing w:after="0" w:line="243" w:lineRule="exact"/>
              <w:rPr>
                <w:sz w:val="20"/>
                <w:szCs w:val="20"/>
                <w:color w:val="auto"/>
              </w:rPr>
            </w:pPr>
            <w:r>
              <w:rPr>
                <w:rFonts w:ascii="Times New Roman" w:cs="Times New Roman" w:eastAsia="Times New Roman" w:hAnsi="Times New Roman"/>
                <w:sz w:val="17"/>
                <w:szCs w:val="17"/>
                <w:color w:val="auto"/>
              </w:rPr>
              <w:t xml:space="preserve">Wildorado </w:t>
            </w:r>
            <w:r>
              <w:rPr>
                <w:rFonts w:ascii="Times New Roman" w:cs="Times New Roman" w:eastAsia="Times New Roman" w:hAnsi="Times New Roman"/>
                <w:sz w:val="28"/>
                <w:szCs w:val="28"/>
                <w:color w:val="auto"/>
                <w:vertAlign w:val="superscript"/>
              </w:rPr>
              <w:t>(f)</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161</w:t>
            </w:r>
          </w:p>
        </w:tc>
        <w:tc>
          <w:tcPr>
            <w:tcW w:w="100" w:type="dxa"/>
            <w:vAlign w:val="bottom"/>
            <w:tcBorders>
              <w:bottom w:val="single" w:sz="8" w:color="CCEEFF"/>
            </w:tcBorders>
            <w:shd w:val="clear" w:color="auto" w:fill="CCEEFF"/>
          </w:tcPr>
          <w:p>
            <w:pPr>
              <w:spacing w:after="0"/>
              <w:rPr>
                <w:sz w:val="21"/>
                <w:szCs w:val="21"/>
                <w:color w:val="auto"/>
              </w:rPr>
            </w:pPr>
          </w:p>
        </w:tc>
        <w:tc>
          <w:tcPr>
            <w:tcW w:w="4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Southwestern Public Service Company</w:t>
            </w:r>
          </w:p>
        </w:tc>
        <w:tc>
          <w:tcPr>
            <w:tcW w:w="1580" w:type="dxa"/>
            <w:vAlign w:val="bottom"/>
            <w:tcBorders>
              <w:bottom w:val="single" w:sz="8" w:color="CCEEFF"/>
            </w:tcBorders>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2027</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700" w:type="dxa"/>
            <w:vAlign w:val="bottom"/>
            <w:gridSpan w:val="2"/>
          </w:tcPr>
          <w:p>
            <w:pPr>
              <w:jc w:val="right"/>
              <w:ind w:right="34"/>
              <w:spacing w:after="0"/>
              <w:rPr>
                <w:sz w:val="20"/>
                <w:szCs w:val="20"/>
                <w:color w:val="auto"/>
              </w:rPr>
            </w:pPr>
            <w:r>
              <w:rPr>
                <w:rFonts w:ascii="Times New Roman" w:cs="Times New Roman" w:eastAsia="Times New Roman" w:hAnsi="Times New Roman"/>
                <w:sz w:val="18"/>
                <w:szCs w:val="18"/>
                <w:color w:val="auto"/>
              </w:rPr>
              <w:t>2,200</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i w:val="1"/>
                <w:iCs w:val="1"/>
                <w:color w:val="auto"/>
              </w:rPr>
              <w:t>Thermal</w:t>
            </w:r>
          </w:p>
        </w:tc>
        <w:tc>
          <w:tcPr>
            <w:tcW w:w="120" w:type="dxa"/>
            <w:vAlign w:val="bottom"/>
            <w:shd w:val="clear" w:color="auto" w:fill="CCEEFF"/>
          </w:tcPr>
          <w:p>
            <w:pPr>
              <w:spacing w:after="0"/>
              <w:rPr>
                <w:sz w:val="18"/>
                <w:szCs w:val="18"/>
                <w:color w:val="auto"/>
              </w:rPr>
            </w:pPr>
          </w:p>
        </w:tc>
        <w:tc>
          <w:tcPr>
            <w:tcW w:w="1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8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1"/>
        </w:trPr>
        <w:tc>
          <w:tcPr>
            <w:tcW w:w="20" w:type="dxa"/>
            <w:vAlign w:val="bottom"/>
          </w:tcPr>
          <w:p>
            <w:pPr>
              <w:spacing w:after="0"/>
              <w:rPr>
                <w:sz w:val="17"/>
                <w:szCs w:val="17"/>
                <w:color w:val="auto"/>
              </w:rPr>
            </w:pPr>
          </w:p>
        </w:tc>
        <w:tc>
          <w:tcPr>
            <w:tcW w:w="19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Energy Center Dover LLC</w:t>
            </w:r>
          </w:p>
        </w:tc>
        <w:tc>
          <w:tcPr>
            <w:tcW w:w="1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700" w:type="dxa"/>
            <w:vAlign w:val="bottom"/>
            <w:gridSpan w:val="2"/>
            <w:vMerge w:val="restart"/>
          </w:tcPr>
          <w:p>
            <w:pPr>
              <w:jc w:val="right"/>
              <w:ind w:right="34"/>
              <w:spacing w:after="0"/>
              <w:rPr>
                <w:sz w:val="20"/>
                <w:szCs w:val="20"/>
                <w:color w:val="auto"/>
              </w:rPr>
            </w:pPr>
            <w:r>
              <w:rPr>
                <w:rFonts w:ascii="Times New Roman" w:cs="Times New Roman" w:eastAsia="Times New Roman" w:hAnsi="Times New Roman"/>
                <w:sz w:val="18"/>
                <w:szCs w:val="18"/>
                <w:color w:val="auto"/>
              </w:rPr>
              <w:t>103</w:t>
            </w:r>
          </w:p>
        </w:tc>
        <w:tc>
          <w:tcPr>
            <w:tcW w:w="100" w:type="dxa"/>
            <w:vAlign w:val="bottom"/>
          </w:tcPr>
          <w:p>
            <w:pPr>
              <w:spacing w:after="0"/>
              <w:rPr>
                <w:sz w:val="17"/>
                <w:szCs w:val="17"/>
                <w:color w:val="auto"/>
              </w:rPr>
            </w:pPr>
          </w:p>
        </w:tc>
        <w:tc>
          <w:tcPr>
            <w:tcW w:w="42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Power sold into PJM markets</w:t>
            </w:r>
          </w:p>
        </w:tc>
        <w:tc>
          <w:tcPr>
            <w:tcW w:w="15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8"/>
                <w:szCs w:val="18"/>
                <w:color w:val="auto"/>
                <w:w w:val="99"/>
              </w:rPr>
              <w:t>2021</w:t>
            </w:r>
          </w:p>
        </w:tc>
        <w:tc>
          <w:tcPr>
            <w:tcW w:w="0" w:type="dxa"/>
            <w:vAlign w:val="bottom"/>
          </w:tcPr>
          <w:p>
            <w:pPr>
              <w:spacing w:after="0"/>
              <w:rPr>
                <w:sz w:val="1"/>
                <w:szCs w:val="1"/>
                <w:color w:val="auto"/>
              </w:rPr>
            </w:pPr>
          </w:p>
        </w:tc>
      </w:tr>
      <w:tr>
        <w:trPr>
          <w:trHeight w:val="217"/>
        </w:trPr>
        <w:tc>
          <w:tcPr>
            <w:tcW w:w="2000" w:type="dxa"/>
            <w:vAlign w:val="bottom"/>
            <w:gridSpan w:val="2"/>
          </w:tcPr>
          <w:p>
            <w:pPr>
              <w:spacing w:after="0"/>
              <w:rPr>
                <w:sz w:val="20"/>
                <w:szCs w:val="20"/>
                <w:color w:val="auto"/>
              </w:rPr>
            </w:pPr>
            <w:r>
              <w:rPr>
                <w:rFonts w:ascii="Times New Roman" w:cs="Times New Roman" w:eastAsia="Times New Roman" w:hAnsi="Times New Roman"/>
                <w:sz w:val="15"/>
                <w:szCs w:val="15"/>
                <w:color w:val="auto"/>
              </w:rPr>
              <w:t>(h)</w:t>
            </w:r>
          </w:p>
        </w:tc>
        <w:tc>
          <w:tcPr>
            <w:tcW w:w="1760" w:type="dxa"/>
            <w:vAlign w:val="bottom"/>
            <w:gridSpan w:val="2"/>
            <w:vMerge w:val="continue"/>
          </w:tcPr>
          <w:p>
            <w:pPr>
              <w:spacing w:after="0"/>
              <w:rPr>
                <w:sz w:val="18"/>
                <w:szCs w:val="18"/>
                <w:color w:val="auto"/>
              </w:rPr>
            </w:pPr>
          </w:p>
        </w:tc>
        <w:tc>
          <w:tcPr>
            <w:tcW w:w="170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4280" w:type="dxa"/>
            <w:vAlign w:val="bottom"/>
            <w:vMerge w:val="continue"/>
          </w:tcPr>
          <w:p>
            <w:pPr>
              <w:spacing w:after="0"/>
              <w:rPr>
                <w:sz w:val="18"/>
                <w:szCs w:val="18"/>
                <w:color w:val="auto"/>
              </w:rPr>
            </w:pPr>
          </w:p>
        </w:tc>
        <w:tc>
          <w:tcPr>
            <w:tcW w:w="1580" w:type="dxa"/>
            <w:vAlign w:val="bottom"/>
            <w:gridSpan w:val="2"/>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Thermal generation</w:t>
            </w:r>
          </w:p>
        </w:tc>
        <w:tc>
          <w:tcPr>
            <w:tcW w:w="1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19"/>
                <w:szCs w:val="19"/>
                <w:color w:val="auto"/>
              </w:rPr>
            </w:pPr>
          </w:p>
        </w:tc>
        <w:tc>
          <w:tcPr>
            <w:tcW w:w="158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36</w:t>
            </w:r>
          </w:p>
        </w:tc>
        <w:tc>
          <w:tcPr>
            <w:tcW w:w="100" w:type="dxa"/>
            <w:vAlign w:val="bottom"/>
            <w:tcBorders>
              <w:bottom w:val="single" w:sz="8" w:color="CCEEFF"/>
            </w:tcBorders>
            <w:shd w:val="clear" w:color="auto" w:fill="CCEEFF"/>
          </w:tcPr>
          <w:p>
            <w:pPr>
              <w:spacing w:after="0"/>
              <w:rPr>
                <w:sz w:val="19"/>
                <w:szCs w:val="19"/>
                <w:color w:val="auto"/>
              </w:rPr>
            </w:pPr>
          </w:p>
        </w:tc>
        <w:tc>
          <w:tcPr>
            <w:tcW w:w="42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100" w:type="dxa"/>
            <w:vAlign w:val="bottom"/>
            <w:tcBorders>
              <w:bottom w:val="single" w:sz="8" w:color="CCEEFF"/>
            </w:tcBorders>
            <w:shd w:val="clear" w:color="auto" w:fill="CCEEFF"/>
          </w:tcPr>
          <w:p>
            <w:pPr>
              <w:spacing w:after="0"/>
              <w:rPr>
                <w:sz w:val="19"/>
                <w:szCs w:val="19"/>
                <w:color w:val="auto"/>
              </w:rPr>
            </w:pPr>
          </w:p>
        </w:tc>
        <w:tc>
          <w:tcPr>
            <w:tcW w:w="1480" w:type="dxa"/>
            <w:vAlign w:val="bottom"/>
            <w:tcBorders>
              <w:bottom w:val="single" w:sz="8" w:color="CCEEFF"/>
            </w:tcBorders>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4"/>
              </w:rPr>
              <w:t>Various</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19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9"/>
                <w:szCs w:val="19"/>
                <w:color w:val="auto"/>
              </w:rPr>
            </w:pPr>
          </w:p>
        </w:tc>
        <w:tc>
          <w:tcPr>
            <w:tcW w:w="4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1980" w:type="dxa"/>
            <w:vAlign w:val="bottom"/>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Total net generation</w:t>
            </w:r>
          </w:p>
        </w:tc>
        <w:tc>
          <w:tcPr>
            <w:tcW w:w="120" w:type="dxa"/>
            <w:vAlign w:val="bottom"/>
            <w:shd w:val="clear" w:color="auto" w:fill="CCEEFF"/>
          </w:tcPr>
          <w:p>
            <w:pPr>
              <w:spacing w:after="0"/>
              <w:rPr>
                <w:sz w:val="16"/>
                <w:szCs w:val="16"/>
                <w:color w:val="auto"/>
              </w:rPr>
            </w:pPr>
          </w:p>
        </w:tc>
        <w:tc>
          <w:tcPr>
            <w:tcW w:w="1640" w:type="dxa"/>
            <w:vAlign w:val="bottom"/>
            <w:shd w:val="clear" w:color="auto" w:fill="CCEEFF"/>
          </w:tcPr>
          <w:p>
            <w:pPr>
              <w:spacing w:after="0"/>
              <w:rPr>
                <w:sz w:val="16"/>
                <w:szCs w:val="16"/>
                <w:color w:val="auto"/>
              </w:rPr>
            </w:pPr>
          </w:p>
        </w:tc>
        <w:tc>
          <w:tcPr>
            <w:tcW w:w="1700" w:type="dxa"/>
            <w:vAlign w:val="bottom"/>
            <w:gridSpan w:val="2"/>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5,469</w:t>
            </w:r>
          </w:p>
        </w:tc>
        <w:tc>
          <w:tcPr>
            <w:tcW w:w="100" w:type="dxa"/>
            <w:vAlign w:val="bottom"/>
            <w:shd w:val="clear" w:color="auto" w:fill="CCEEFF"/>
          </w:tcPr>
          <w:p>
            <w:pPr>
              <w:spacing w:after="0"/>
              <w:rPr>
                <w:sz w:val="16"/>
                <w:szCs w:val="16"/>
                <w:color w:val="auto"/>
              </w:rPr>
            </w:pPr>
          </w:p>
        </w:tc>
        <w:tc>
          <w:tcPr>
            <w:tcW w:w="42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1980" w:type="dxa"/>
            <w:vAlign w:val="bottom"/>
            <w:shd w:val="clear" w:color="auto" w:fill="CCEEFF"/>
          </w:tcPr>
          <w:p>
            <w:pPr>
              <w:spacing w:after="0" w:line="231" w:lineRule="exact"/>
              <w:rPr>
                <w:sz w:val="20"/>
                <w:szCs w:val="20"/>
                <w:color w:val="auto"/>
              </w:rPr>
            </w:pPr>
            <w:r>
              <w:rPr>
                <w:rFonts w:ascii="Times New Roman" w:cs="Times New Roman" w:eastAsia="Times New Roman" w:hAnsi="Times New Roman"/>
                <w:sz w:val="16"/>
                <w:szCs w:val="16"/>
                <w:color w:val="auto"/>
              </w:rPr>
              <w:t>capacity</w:t>
            </w:r>
            <w:r>
              <w:rPr>
                <w:rFonts w:ascii="Times New Roman" w:cs="Times New Roman" w:eastAsia="Times New Roman" w:hAnsi="Times New Roman"/>
                <w:sz w:val="26"/>
                <w:szCs w:val="26"/>
                <w:color w:val="auto"/>
                <w:vertAlign w:val="superscript"/>
              </w:rPr>
              <w:t>(c)</w:t>
            </w:r>
          </w:p>
        </w:tc>
        <w:tc>
          <w:tcPr>
            <w:tcW w:w="120" w:type="dxa"/>
            <w:vAlign w:val="bottom"/>
            <w:shd w:val="clear" w:color="auto" w:fill="CCEEFF"/>
          </w:tcPr>
          <w:p>
            <w:pPr>
              <w:spacing w:after="0"/>
              <w:rPr>
                <w:sz w:val="23"/>
                <w:szCs w:val="23"/>
                <w:color w:val="auto"/>
              </w:rPr>
            </w:pPr>
          </w:p>
        </w:tc>
        <w:tc>
          <w:tcPr>
            <w:tcW w:w="1640" w:type="dxa"/>
            <w:vAlign w:val="bottom"/>
            <w:shd w:val="clear" w:color="auto" w:fill="CCEEFF"/>
          </w:tcPr>
          <w:p>
            <w:pPr>
              <w:spacing w:after="0"/>
              <w:rPr>
                <w:sz w:val="23"/>
                <w:szCs w:val="23"/>
                <w:color w:val="auto"/>
              </w:rPr>
            </w:pPr>
          </w:p>
        </w:tc>
        <w:tc>
          <w:tcPr>
            <w:tcW w:w="1700" w:type="dxa"/>
            <w:vAlign w:val="bottom"/>
            <w:gridSpan w:val="2"/>
            <w:vMerge w:val="continue"/>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48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98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640" w:type="dxa"/>
            <w:vAlign w:val="bottom"/>
            <w:tcBorders>
              <w:top w:val="single" w:sz="8" w:color="CCEEFF"/>
            </w:tcBorders>
          </w:tcPr>
          <w:p>
            <w:pPr>
              <w:spacing w:after="0"/>
              <w:rPr>
                <w:sz w:val="17"/>
                <w:szCs w:val="17"/>
                <w:color w:val="auto"/>
              </w:rPr>
            </w:pPr>
          </w:p>
        </w:tc>
        <w:tc>
          <w:tcPr>
            <w:tcW w:w="120" w:type="dxa"/>
            <w:vAlign w:val="bottom"/>
            <w:tcBorders>
              <w:top w:val="single" w:sz="8" w:color="CCEEFF"/>
            </w:tcBorders>
          </w:tcPr>
          <w:p>
            <w:pPr>
              <w:spacing w:after="0"/>
              <w:rPr>
                <w:sz w:val="17"/>
                <w:szCs w:val="17"/>
                <w:color w:val="auto"/>
              </w:rPr>
            </w:pPr>
          </w:p>
        </w:tc>
        <w:tc>
          <w:tcPr>
            <w:tcW w:w="1580" w:type="dxa"/>
            <w:vAlign w:val="bottom"/>
            <w:tcBorders>
              <w:top w:val="single" w:sz="8" w:color="auto"/>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4280" w:type="dxa"/>
            <w:vAlign w:val="bottom"/>
            <w:tcBorders>
              <w:top w:val="single" w:sz="8" w:color="CCEEFF"/>
            </w:tcBorders>
          </w:tcPr>
          <w:p>
            <w:pPr>
              <w:spacing w:after="0"/>
              <w:rPr>
                <w:sz w:val="17"/>
                <w:szCs w:val="17"/>
                <w:color w:val="auto"/>
              </w:rPr>
            </w:pPr>
          </w:p>
        </w:tc>
        <w:tc>
          <w:tcPr>
            <w:tcW w:w="100" w:type="dxa"/>
            <w:vAlign w:val="bottom"/>
            <w:tcBorders>
              <w:top w:val="single" w:sz="8" w:color="CCEEFF"/>
            </w:tcBorders>
          </w:tcPr>
          <w:p>
            <w:pPr>
              <w:spacing w:after="0"/>
              <w:rPr>
                <w:sz w:val="17"/>
                <w:szCs w:val="17"/>
                <w:color w:val="auto"/>
              </w:rPr>
            </w:pPr>
          </w:p>
        </w:tc>
        <w:tc>
          <w:tcPr>
            <w:tcW w:w="1480" w:type="dxa"/>
            <w:vAlign w:val="bottom"/>
            <w:tcBorders>
              <w:top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01"/>
        </w:trPr>
        <w:tc>
          <w:tcPr>
            <w:tcW w:w="20" w:type="dxa"/>
            <w:vAlign w:val="bottom"/>
            <w:vMerge w:val="continue"/>
          </w:tcPr>
          <w:p>
            <w:pPr>
              <w:spacing w:after="0"/>
              <w:rPr>
                <w:sz w:val="17"/>
                <w:szCs w:val="17"/>
                <w:color w:val="auto"/>
              </w:rPr>
            </w:pPr>
          </w:p>
        </w:tc>
        <w:tc>
          <w:tcPr>
            <w:tcW w:w="1980" w:type="dxa"/>
            <w:vAlign w:val="bottom"/>
            <w:shd w:val="clear" w:color="auto" w:fill="CCEEFF"/>
          </w:tcPr>
          <w:p>
            <w:pPr>
              <w:spacing w:after="0" w:line="201" w:lineRule="exact"/>
              <w:rPr>
                <w:sz w:val="20"/>
                <w:szCs w:val="20"/>
                <w:color w:val="auto"/>
              </w:rPr>
            </w:pPr>
            <w:r>
              <w:rPr>
                <w:rFonts w:ascii="Times New Roman" w:cs="Times New Roman" w:eastAsia="Times New Roman" w:hAnsi="Times New Roman"/>
                <w:sz w:val="18"/>
                <w:szCs w:val="18"/>
                <w:color w:val="auto"/>
              </w:rPr>
              <w:t>Thermal equivalent MWt</w:t>
            </w:r>
          </w:p>
        </w:tc>
        <w:tc>
          <w:tcPr>
            <w:tcW w:w="176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vMerge w:val="restart"/>
            <w:shd w:val="clear" w:color="auto" w:fill="CCEEFF"/>
          </w:tcPr>
          <w:p>
            <w:pPr>
              <w:spacing w:after="0"/>
              <w:rPr>
                <w:sz w:val="17"/>
                <w:szCs w:val="17"/>
                <w:color w:val="auto"/>
              </w:rPr>
            </w:pPr>
          </w:p>
        </w:tc>
        <w:tc>
          <w:tcPr>
            <w:tcW w:w="1580" w:type="dxa"/>
            <w:vAlign w:val="bottom"/>
            <w:vMerge w:val="restart"/>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1,530</w:t>
            </w:r>
          </w:p>
        </w:tc>
        <w:tc>
          <w:tcPr>
            <w:tcW w:w="100" w:type="dxa"/>
            <w:vAlign w:val="bottom"/>
            <w:shd w:val="clear" w:color="auto" w:fill="CCEEFF"/>
          </w:tcPr>
          <w:p>
            <w:pPr>
              <w:spacing w:after="0"/>
              <w:rPr>
                <w:sz w:val="17"/>
                <w:szCs w:val="17"/>
                <w:color w:val="auto"/>
              </w:rPr>
            </w:pPr>
          </w:p>
        </w:tc>
        <w:tc>
          <w:tcPr>
            <w:tcW w:w="42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8"/>
              </w:rPr>
              <w:t>Various</w:t>
            </w:r>
          </w:p>
        </w:tc>
        <w:tc>
          <w:tcPr>
            <w:tcW w:w="100" w:type="dxa"/>
            <w:vAlign w:val="bottom"/>
            <w:shd w:val="clear" w:color="auto" w:fill="CCEEFF"/>
          </w:tcPr>
          <w:p>
            <w:pPr>
              <w:spacing w:after="0"/>
              <w:rPr>
                <w:sz w:val="17"/>
                <w:szCs w:val="17"/>
                <w:color w:val="auto"/>
              </w:rPr>
            </w:pPr>
          </w:p>
        </w:tc>
        <w:tc>
          <w:tcPr>
            <w:tcW w:w="1480" w:type="dxa"/>
            <w:vAlign w:val="bottom"/>
            <w:vMerge w:val="restart"/>
            <w:shd w:val="clear" w:color="auto" w:fill="CCEEFF"/>
          </w:tcPr>
          <w:p>
            <w:pPr>
              <w:jc w:val="center"/>
              <w:ind w:right="12"/>
              <w:spacing w:after="0"/>
              <w:rPr>
                <w:sz w:val="20"/>
                <w:szCs w:val="20"/>
                <w:color w:val="auto"/>
              </w:rPr>
            </w:pPr>
            <w:r>
              <w:rPr>
                <w:rFonts w:ascii="Times New Roman" w:cs="Times New Roman" w:eastAsia="Times New Roman" w:hAnsi="Times New Roman"/>
                <w:sz w:val="18"/>
                <w:szCs w:val="18"/>
                <w:color w:val="auto"/>
                <w:w w:val="94"/>
              </w:rPr>
              <w:t>Various</w:t>
            </w: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1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5"/>
                <w:szCs w:val="15"/>
                <w:color w:val="auto"/>
              </w:rPr>
              <w:t>(d)</w:t>
            </w:r>
          </w:p>
        </w:tc>
        <w:tc>
          <w:tcPr>
            <w:tcW w:w="1760" w:type="dxa"/>
            <w:vAlign w:val="bottom"/>
            <w:tcBorders>
              <w:bottom w:val="single" w:sz="8" w:color="CCEEFF"/>
            </w:tcBorders>
            <w:gridSpan w:val="2"/>
            <w:vMerge w:val="continue"/>
            <w:shd w:val="clear" w:color="auto" w:fill="CCEEFF"/>
          </w:tcPr>
          <w:p>
            <w:pPr>
              <w:spacing w:after="0"/>
              <w:rPr>
                <w:sz w:val="18"/>
                <w:szCs w:val="18"/>
                <w:color w:val="auto"/>
              </w:rPr>
            </w:pPr>
          </w:p>
        </w:tc>
        <w:tc>
          <w:tcPr>
            <w:tcW w:w="120" w:type="dxa"/>
            <w:vAlign w:val="bottom"/>
            <w:tcBorders>
              <w:bottom w:val="single" w:sz="8" w:color="CCEEFF"/>
            </w:tcBorders>
            <w:vMerge w:val="continue"/>
            <w:shd w:val="clear" w:color="auto" w:fill="CCEEFF"/>
          </w:tcPr>
          <w:p>
            <w:pPr>
              <w:spacing w:after="0"/>
              <w:rPr>
                <w:sz w:val="18"/>
                <w:szCs w:val="18"/>
                <w:color w:val="auto"/>
              </w:rPr>
            </w:pPr>
          </w:p>
        </w:tc>
        <w:tc>
          <w:tcPr>
            <w:tcW w:w="1580" w:type="dxa"/>
            <w:vAlign w:val="bottom"/>
            <w:tcBorders>
              <w:bottom w:val="single" w:sz="8" w:color="auto"/>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280" w:type="dxa"/>
            <w:vAlign w:val="bottom"/>
            <w:tcBorders>
              <w:bottom w:val="single" w:sz="8" w:color="CCEEFF"/>
            </w:tcBorders>
            <w:vMerge w:val="continue"/>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CCEEFF"/>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38" w:lineRule="exact"/>
        <w:rPr>
          <w:sz w:val="20"/>
          <w:szCs w:val="20"/>
          <w:color w:val="auto"/>
        </w:rPr>
      </w:pPr>
    </w:p>
    <w:p>
      <w:pPr>
        <w:ind w:firstLine="8"/>
        <w:spacing w:after="0" w:line="208" w:lineRule="auto"/>
        <w:tabs>
          <w:tab w:leader="none" w:pos="217" w:val="left"/>
        </w:tabs>
        <w:numPr>
          <w:ilvl w:val="0"/>
          <w:numId w:val="2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Net capacity represents the maximum, or rated, generating capacity of the facility multiplied by the Company's percentage ownership in the facility as of September 30, 2019.</w:t>
      </w:r>
    </w:p>
    <w:p>
      <w:pPr>
        <w:spacing w:after="0" w:line="2" w:lineRule="exact"/>
        <w:rPr>
          <w:rFonts w:ascii="Times New Roman" w:cs="Times New Roman" w:eastAsia="Times New Roman" w:hAnsi="Times New Roman"/>
          <w:sz w:val="28"/>
          <w:szCs w:val="28"/>
          <w:color w:val="auto"/>
          <w:vertAlign w:val="superscript"/>
        </w:rPr>
      </w:pPr>
    </w:p>
    <w:p>
      <w:pPr>
        <w:ind w:left="220" w:hanging="212"/>
        <w:spacing w:after="0" w:line="198" w:lineRule="auto"/>
        <w:tabs>
          <w:tab w:leader="none" w:pos="220"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Projects are part of tax equity arrangements.</w:t>
      </w:r>
    </w:p>
    <w:p>
      <w:pPr>
        <w:spacing w:after="0" w:line="42" w:lineRule="exact"/>
        <w:rPr>
          <w:rFonts w:ascii="Times New Roman" w:cs="Times New Roman" w:eastAsia="Times New Roman" w:hAnsi="Times New Roman"/>
          <w:sz w:val="27"/>
          <w:szCs w:val="27"/>
          <w:color w:val="auto"/>
          <w:vertAlign w:val="superscript"/>
        </w:rPr>
      </w:pPr>
    </w:p>
    <w:p>
      <w:pPr>
        <w:ind w:right="20" w:firstLine="8"/>
        <w:spacing w:after="0" w:line="191" w:lineRule="auto"/>
        <w:tabs>
          <w:tab w:leader="none" w:pos="224" w:val="left"/>
        </w:tabs>
        <w:numPr>
          <w:ilvl w:val="0"/>
          <w:numId w:val="21"/>
        </w:numPr>
        <w:rPr>
          <w:rFonts w:ascii="Times New Roman" w:cs="Times New Roman" w:eastAsia="Times New Roman" w:hAnsi="Times New Roman"/>
          <w:sz w:val="29"/>
          <w:szCs w:val="29"/>
          <w:color w:val="auto"/>
          <w:vertAlign w:val="superscript"/>
        </w:rPr>
      </w:pPr>
      <w:r>
        <w:rPr>
          <w:rFonts w:ascii="Times New Roman" w:cs="Times New Roman" w:eastAsia="Times New Roman" w:hAnsi="Times New Roman"/>
          <w:sz w:val="18"/>
          <w:szCs w:val="18"/>
          <w:color w:val="auto"/>
        </w:rPr>
        <w:t>The Company's total generation capacity is net of 6 MWs for noncontrolling interest for Spring Canyon II and III. The Company's generation capacity including this noncontrolling interest was 5,475 MWs.</w:t>
      </w:r>
    </w:p>
    <w:p>
      <w:pPr>
        <w:spacing w:after="0" w:line="22" w:lineRule="exact"/>
        <w:rPr>
          <w:rFonts w:ascii="Times New Roman" w:cs="Times New Roman" w:eastAsia="Times New Roman" w:hAnsi="Times New Roman"/>
          <w:sz w:val="29"/>
          <w:szCs w:val="29"/>
          <w:color w:val="auto"/>
          <w:vertAlign w:val="superscript"/>
        </w:rPr>
      </w:pPr>
    </w:p>
    <w:p>
      <w:pPr>
        <w:ind w:right="20" w:firstLine="8"/>
        <w:spacing w:after="0" w:line="223" w:lineRule="auto"/>
        <w:tabs>
          <w:tab w:leader="none" w:pos="212" w:val="left"/>
        </w:tabs>
        <w:numPr>
          <w:ilvl w:val="0"/>
          <w:numId w:val="21"/>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For thermal energy, net capacity represents MWt for steam or chilled water and excludes 44 MWt available under the right-to-use provisions contained in agreements between two of the Company's thermal facilities and certain of its customers.</w:t>
      </w:r>
    </w:p>
    <w:p>
      <w:pPr>
        <w:spacing w:after="0" w:line="23" w:lineRule="exact"/>
        <w:rPr>
          <w:rFonts w:ascii="Times New Roman" w:cs="Times New Roman" w:eastAsia="Times New Roman" w:hAnsi="Times New Roman"/>
          <w:sz w:val="26"/>
          <w:szCs w:val="26"/>
          <w:color w:val="auto"/>
          <w:vertAlign w:val="superscript"/>
        </w:rPr>
      </w:pPr>
    </w:p>
    <w:p>
      <w:pPr>
        <w:ind w:right="320" w:firstLine="8"/>
        <w:spacing w:after="0" w:line="213" w:lineRule="auto"/>
        <w:tabs>
          <w:tab w:leader="none" w:pos="212"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Represents interests in Four Brothers Solar, LLC, Granite Mountain Holdings, LLC, and Iron Springs Holdings, LLC, all acquired as part of the March 2017 Drop Down Assets (ownership percentage is based upon cash to be distributed).</w:t>
      </w:r>
    </w:p>
    <w:p>
      <w:pPr>
        <w:spacing w:after="0" w:line="1" w:lineRule="exact"/>
        <w:rPr>
          <w:rFonts w:ascii="Times New Roman" w:cs="Times New Roman" w:eastAsia="Times New Roman" w:hAnsi="Times New Roman"/>
          <w:sz w:val="27"/>
          <w:szCs w:val="27"/>
          <w:color w:val="auto"/>
          <w:vertAlign w:val="superscript"/>
        </w:rPr>
      </w:pPr>
    </w:p>
    <w:p>
      <w:pPr>
        <w:ind w:left="200" w:hanging="192"/>
        <w:spacing w:after="0" w:line="191" w:lineRule="auto"/>
        <w:tabs>
          <w:tab w:leader="none" w:pos="200" w:val="left"/>
        </w:tabs>
        <w:numPr>
          <w:ilvl w:val="0"/>
          <w:numId w:val="21"/>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Projects are part of Repowering Partnership.</w:t>
      </w:r>
    </w:p>
    <w:p>
      <w:pPr>
        <w:spacing w:after="0" w:line="42" w:lineRule="exact"/>
        <w:rPr>
          <w:rFonts w:ascii="Times New Roman" w:cs="Times New Roman" w:eastAsia="Times New Roman" w:hAnsi="Times New Roman"/>
          <w:sz w:val="28"/>
          <w:szCs w:val="28"/>
          <w:color w:val="auto"/>
          <w:vertAlign w:val="superscript"/>
        </w:rPr>
      </w:pPr>
    </w:p>
    <w:p>
      <w:pPr>
        <w:ind w:right="40" w:firstLine="8"/>
        <w:spacing w:after="0" w:line="204" w:lineRule="auto"/>
        <w:tabs>
          <w:tab w:leader="none" w:pos="220"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In addition, the Company will sell power under a market-based hedge contract provided by an investment grade bank counterparty, which is effective from November 1, 2022, through October 31, 2029.</w:t>
      </w:r>
    </w:p>
    <w:p>
      <w:pPr>
        <w:ind w:left="220" w:hanging="212"/>
        <w:spacing w:after="0" w:line="198" w:lineRule="auto"/>
        <w:tabs>
          <w:tab w:leader="none" w:pos="220" w:val="left"/>
        </w:tabs>
        <w:numPr>
          <w:ilvl w:val="0"/>
          <w:numId w:val="21"/>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7"/>
          <w:szCs w:val="17"/>
          <w:color w:val="auto"/>
        </w:rPr>
        <w:t xml:space="preserve">Includes assets recorded as held for sale as of September 30, 2019, as further described in Note 3 </w:t>
      </w:r>
      <w:r>
        <w:rPr>
          <w:rFonts w:ascii="Times New Roman" w:cs="Times New Roman" w:eastAsia="Times New Roman" w:hAnsi="Times New Roman"/>
          <w:sz w:val="17"/>
          <w:szCs w:val="17"/>
          <w:b w:val="1"/>
          <w:bCs w:val="1"/>
          <w:color w:val="auto"/>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Acquisitions and Dispositions</w:t>
      </w:r>
      <w:r>
        <w:rPr>
          <w:rFonts w:ascii="Times New Roman" w:cs="Times New Roman" w:eastAsia="Times New Roman" w:hAnsi="Times New Roman"/>
          <w:sz w:val="17"/>
          <w:szCs w:val="17"/>
          <w:color w:val="auto"/>
        </w:rPr>
        <w:t xml:space="preserve"> of this Form 10-Q.</w:t>
      </w:r>
    </w:p>
    <w:p>
      <w:pPr>
        <w:spacing w:after="0" w:line="198"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addition to the facilities owned or leased in the table above, the Company is party to partnerships which own or purchase solar power generation projects, as well as other ancillary related assets from a related party via intermediate funds. The Company does not consolidate these partnerships and accounts for them as equity method investments. The Company's net interest in these projects is 268 MW based on cash to be distributed pursuant to the</w:t>
      </w:r>
    </w:p>
    <w:p>
      <w:pPr>
        <w:sectPr>
          <w:pgSz w:w="11900" w:h="16838" w:orient="portrait"/>
          <w:cols w:equalWidth="0" w:num="1">
            <w:col w:w="11420"/>
          </w:cols>
          <w:pgMar w:left="240" w:top="121" w:right="239" w:bottom="0" w:gutter="0" w:footer="0" w:header="0"/>
        </w:sectPr>
      </w:pPr>
    </w:p>
    <w:bookmarkStart w:id="40" w:name="page41"/>
    <w:bookmarkEnd w:id="40"/>
    <w:p>
      <w:pPr>
        <w:spacing w:after="0" w:line="4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color w:val="auto"/>
        </w:rPr>
        <w:t xml:space="preserve">partnership agreements as of September 30, 2019. For further discussions, see Item 15, Note 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Accounted for by the Equity Method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Variable Interest Entities </w:t>
      </w:r>
      <w:r>
        <w:rPr>
          <w:rFonts w:ascii="Times New Roman" w:cs="Times New Roman" w:eastAsia="Times New Roman" w:hAnsi="Times New Roman"/>
          <w:sz w:val="18"/>
          <w:szCs w:val="18"/>
          <w:color w:val="auto"/>
        </w:rPr>
        <w:t>of this Form 10-Q and Item 1, Note 5</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Investments Accounted for by the Equity Method and Variable Interest Entities </w:t>
      </w:r>
      <w:r>
        <w:rPr>
          <w:rFonts w:ascii="Times New Roman" w:cs="Times New Roman" w:eastAsia="Times New Roman" w:hAnsi="Times New Roman"/>
          <w:sz w:val="18"/>
          <w:szCs w:val="18"/>
          <w:color w:val="auto"/>
        </w:rPr>
        <w:t>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consolidated financial statements included in the Company's 2018 Form 10-K.</w:t>
      </w:r>
    </w:p>
    <w:p>
      <w:pPr>
        <w:spacing w:after="0" w:line="1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Significant Events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Pacific Gas and Electric Company Bankruptcy</w:t>
      </w:r>
    </w:p>
    <w:p>
      <w:pPr>
        <w:spacing w:after="0" w:line="227" w:lineRule="exact"/>
        <w:rPr>
          <w:sz w:val="20"/>
          <w:szCs w:val="20"/>
          <w:color w:val="auto"/>
        </w:rPr>
      </w:pPr>
    </w:p>
    <w:p>
      <w:pPr>
        <w:jc w:val="both"/>
        <w:ind w:left="820" w:hanging="326"/>
        <w:spacing w:after="0" w:line="254" w:lineRule="auto"/>
        <w:tabs>
          <w:tab w:leader="none" w:pos="82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January 29, 2019, PG&amp;E filed for reorganization under Chapter 11 of the U.S. Bankruptcy Code in the U.S. Bankruptcy Court for the Northern District of California, or the Bankruptcy Court. Certain subsidiaries of the Company, which hold interests in 6 solar facilities totaling 480 MW and Marsh Landing with capacity of 720 MW, sell the output of their facilities to PG&amp;E under long-term PPAs. The Company consolidates three of the solar facilities and Marsh Landing and records its interest in the other solar facilities as equity method investments. As of September 30, 2019, the Company had $147 million in restricted cash, $1.4 billion of property, plant and equipment, net, $370 million investments in unconsolidated affiliates and $1.3 billion of borrowings with final maturity dates ranging from 2023 - 2038 related to these facilities. The related subsidiaries of the Company are parties to financing agreements consisting of non-recourse project-level debt and, in certain cases, non-recourse holding company debt. The PG&amp;E Bankruptcy has triggered defaults under the PPAs with PG&amp;E and such related financing agreements, as further discussed in Item 1, Note 7</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As a result, the Company recorded approximately $1.3 billion of principal, net of the related unamortized debt issuance costs, with final maturity dates ranging from 2023 - 2038, as short-term debt.</w:t>
      </w:r>
    </w:p>
    <w:p>
      <w:pPr>
        <w:spacing w:after="0" w:line="186" w:lineRule="exact"/>
        <w:rPr>
          <w:rFonts w:ascii="Times New Roman" w:cs="Times New Roman" w:eastAsia="Times New Roman" w:hAnsi="Times New Roman"/>
          <w:sz w:val="18"/>
          <w:szCs w:val="18"/>
          <w:color w:val="auto"/>
        </w:rPr>
      </w:pPr>
    </w:p>
    <w:p>
      <w:pPr>
        <w:jc w:val="both"/>
        <w:ind w:left="820"/>
        <w:spacing w:after="0" w:line="25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of November 6, 2019, the Company's contracts with PG&amp;E have operated in the normal course and the Company currently expects these contracts to continue as such. On September 23, 2019, PG&amp;E filed the </w:t>
      </w:r>
      <w:r>
        <w:rPr>
          <w:rFonts w:ascii="Times New Roman" w:cs="Times New Roman" w:eastAsia="Times New Roman" w:hAnsi="Times New Roman"/>
          <w:sz w:val="18"/>
          <w:szCs w:val="18"/>
          <w:i w:val="1"/>
          <w:iCs w:val="1"/>
          <w:color w:val="auto"/>
        </w:rPr>
        <w:t>Debtors' First Amended Joint Chapter 11 Plan of Reorganization,</w:t>
      </w:r>
      <w:r>
        <w:rPr>
          <w:rFonts w:ascii="Times New Roman" w:cs="Times New Roman" w:eastAsia="Times New Roman" w:hAnsi="Times New Roman"/>
          <w:sz w:val="18"/>
          <w:szCs w:val="18"/>
          <w:color w:val="auto"/>
        </w:rPr>
        <w:t xml:space="preserve"> or the PG&amp;E Plan, which would provide for PG&amp;E to assume all of its PPAs with the Company. The PG&amp;E Plan is not expected to be considered for confirmation by the Bankruptcy Court until the conclusion of a proceeding to estimate PG&amp;E’s liability for prior wildfires, now pending before the United States District Court for the Northern District of California, and scheduled for trial commencing on February 18, 2020. Additionally, on October 9, 2019, the Bankruptcy Court entered an order terminating the period in which PG&amp;E had the exclusive right to prosecute a plan of reorganization. On October 17, 2019, an ad hoc group of senior noteholders filed a competing plan of reorganization, which would also provide for PG&amp;E to assume all of its PPAs with the Company. As of November 6, 2019, the Company has entered into forbearance agreements for certain project-level financing arrangements, and continues to seek forbearance agreements for its other project-level financing arrangements affected by the PG&amp;E Bankruptcy. The Company continues to assess the potential future impacts of the PG&amp;E bankruptcy filing as events occur.</w:t>
      </w:r>
    </w:p>
    <w:p>
      <w:pPr>
        <w:spacing w:after="0" w:line="18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Financing and Equity Activities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Carlsbad Energy Center Financing</w:t>
      </w:r>
    </w:p>
    <w:p>
      <w:pPr>
        <w:spacing w:after="0" w:line="227" w:lineRule="exact"/>
        <w:rPr>
          <w:sz w:val="20"/>
          <w:szCs w:val="20"/>
          <w:color w:val="auto"/>
        </w:rPr>
      </w:pPr>
    </w:p>
    <w:p>
      <w:pPr>
        <w:ind w:left="820" w:right="200" w:hanging="326"/>
        <w:spacing w:after="0" w:line="277" w:lineRule="auto"/>
        <w:tabs>
          <w:tab w:leader="none" w:pos="901"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On November 4, 2019, Carlsbad Energy Holdings LLC, a subsidiary of GIP and owner of the 527 MW Carlsbad Energy Center, or Carlsbad, issued $216 million of senior secured, non-recourse notes. The notes bear an interest rate of 4.21%, and are fully amortizing over 19 years. The Company previously executed an equity backstop agreement with GIP for the future acquisition of Carlsbad. Pursuant to the terms previously agreed by and between the Company and GIP, the Company maintains the option until August 2020 to acquire Carlsbad from GIP. Should the Company not exercise the call right to acquire the asset by August 2020, Carlsbad will become part of the Company's ROFO pipeline thereafter.</w:t>
      </w:r>
    </w:p>
    <w:p>
      <w:pPr>
        <w:spacing w:after="0" w:line="16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Agua Caliente Borrower 2 Debt Repayment</w:t>
      </w:r>
    </w:p>
    <w:p>
      <w:pPr>
        <w:spacing w:after="0" w:line="227" w:lineRule="exact"/>
        <w:rPr>
          <w:sz w:val="20"/>
          <w:szCs w:val="20"/>
          <w:color w:val="auto"/>
        </w:rPr>
      </w:pPr>
    </w:p>
    <w:p>
      <w:pPr>
        <w:jc w:val="both"/>
        <w:ind w:left="820" w:hanging="326"/>
        <w:spacing w:after="0" w:line="266" w:lineRule="auto"/>
        <w:tabs>
          <w:tab w:leader="none" w:pos="901"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October 21, 2019, the Company, through Agua Caliente Borrower 2 LLC, repaid $40 million of the outstanding notes balance, including accrued interest and premiums, issued under the Agua Caliente Holdco Financing Agreement. The repayment was funded with Company's existing liquidity.</w:t>
      </w:r>
    </w:p>
    <w:p>
      <w:pPr>
        <w:spacing w:after="0" w:line="174"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i w:val="1"/>
          <w:iCs w:val="1"/>
          <w:color w:val="auto"/>
        </w:rPr>
        <w:t>Thermal Activities</w:t>
      </w:r>
    </w:p>
    <w:p>
      <w:pPr>
        <w:spacing w:after="0" w:line="22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 of Energy Center Dover LLC and Energy Center Smyrna LLC assets</w:t>
      </w:r>
    </w:p>
    <w:p>
      <w:pPr>
        <w:spacing w:after="0" w:line="218" w:lineRule="exact"/>
        <w:rPr>
          <w:sz w:val="20"/>
          <w:szCs w:val="20"/>
          <w:color w:val="auto"/>
        </w:rPr>
      </w:pPr>
    </w:p>
    <w:p>
      <w:pPr>
        <w:ind w:left="820" w:right="120" w:hanging="326"/>
        <w:spacing w:after="0" w:line="239" w:lineRule="auto"/>
        <w:tabs>
          <w:tab w:leader="none" w:pos="82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On September 5, 2019, the Company entered into a purchase and sale agreement with DB Energy Assets, LLC to sell 100% of its interests in Energy Center Dover LLC and Energy Center Smyrna LLC. The transaction is subject to standard regulatory approvals and the completion of certain maintenance activities. The related assets and liabilities were recorded as held for sale as of September 30, 2019.</w:t>
      </w:r>
    </w:p>
    <w:p>
      <w:pPr>
        <w:spacing w:after="0" w:line="188"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Agreements with Cayo Largo</w:t>
      </w:r>
    </w:p>
    <w:p>
      <w:pPr>
        <w:spacing w:after="0" w:line="218" w:lineRule="exact"/>
        <w:rPr>
          <w:sz w:val="20"/>
          <w:szCs w:val="20"/>
          <w:color w:val="auto"/>
        </w:rPr>
      </w:pPr>
    </w:p>
    <w:p>
      <w:pPr>
        <w:ind w:left="820" w:right="140" w:hanging="326"/>
        <w:spacing w:after="0" w:line="236" w:lineRule="auto"/>
        <w:tabs>
          <w:tab w:leader="none" w:pos="82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22"/>
          <w:szCs w:val="22"/>
          <w:color w:val="auto"/>
        </w:rPr>
        <w:t>On September 29, 2019, the Company entered into a tolling agreement with Cayo Largo LLC to supply electricity, chilled water, hot water and natural gas to Cayo Largo LLC's customer through a dedicated combined heat and power facility to be constructed by the Company. The Company anticipates the project to total $13 million in capital expenditures and is expected to commence commercial operations in the fourth quarter of 2020. The Company incurred $3 million of capital expenditures recorded in the property, plant and equipment, net on the Company's consolidated balances sheet as of September 30, 2019.</w:t>
      </w:r>
    </w:p>
    <w:p>
      <w:pPr>
        <w:spacing w:after="0" w:line="18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CEG ROFO Agreement Amendment</w:t>
      </w:r>
    </w:p>
    <w:p>
      <w:pPr>
        <w:spacing w:after="0" w:line="223" w:lineRule="exact"/>
        <w:rPr>
          <w:sz w:val="20"/>
          <w:szCs w:val="20"/>
          <w:color w:val="auto"/>
        </w:rPr>
      </w:pPr>
    </w:p>
    <w:p>
      <w:pPr>
        <w:jc w:val="both"/>
        <w:ind w:left="820" w:hanging="326"/>
        <w:spacing w:after="0" w:line="259" w:lineRule="auto"/>
        <w:tabs>
          <w:tab w:leader="none" w:pos="820" w:val="left"/>
        </w:tabs>
        <w:numPr>
          <w:ilvl w:val="0"/>
          <w:numId w:val="27"/>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 xml:space="preserve">On August 1, 2019, the CEG ROFO Agreement was amended to grant the Company a right of first offer for four additional projects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Rattlesnake, a 144 MW utility scale wind facility located in Washington State with an expected COD in 2020; Black Rock, a 110 MW utility scale wind facility located in West Virginia with an expected COD in 2021; Repowering 2.0, which will consist of membership interests in one or more partnerships formed to repower Company wind assets using turbines provided by CEG; and Wildflower, a 100 MW utility scale solar facility located in Mississippi with an expected COD in 2021.</w:t>
      </w:r>
    </w:p>
    <w:p>
      <w:pPr>
        <w:sectPr>
          <w:pgSz w:w="11900" w:h="16885" w:orient="portrait"/>
          <w:cols w:equalWidth="0" w:num="1">
            <w:col w:w="11420"/>
          </w:cols>
          <w:pgMar w:left="240" w:top="117" w:right="239" w:bottom="0" w:gutter="0" w:footer="0" w:header="0"/>
        </w:sectPr>
      </w:pPr>
    </w:p>
    <w:bookmarkStart w:id="41" w:name="page42"/>
    <w:bookmarkEnd w:id="41"/>
    <w:p>
      <w:pPr>
        <w:spacing w:after="0" w:line="6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Drop Down Offer</w:t>
      </w:r>
    </w:p>
    <w:p>
      <w:pPr>
        <w:spacing w:after="0" w:line="227" w:lineRule="exact"/>
        <w:rPr>
          <w:sz w:val="20"/>
          <w:szCs w:val="20"/>
          <w:color w:val="auto"/>
        </w:rPr>
      </w:pPr>
    </w:p>
    <w:p>
      <w:pPr>
        <w:jc w:val="both"/>
        <w:ind w:left="820" w:hanging="326"/>
        <w:spacing w:after="0" w:line="266" w:lineRule="auto"/>
        <w:tabs>
          <w:tab w:leader="none" w:pos="82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June 18, 2019, CEG offered the Company the opportunity to purchase 100% of CEG's interests in Mesquite Star Pledgor LLC, which owns the Mesquite Star wind project, a 419 MW utility scale wind facility expected to reach COD in 2020. On August 1, 2019, CEG and the Company agreed to extend the negotiation period for the Mesquite Star project. The Company elected not to pursue this investment.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Environmental Matters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The Company is subject to a wide range of environmental laws in the development, construction, ownership and operation of projects. These laws generally require that governmental permits and approvals be obtained before construction and during operation of facilities. The Company is also subject to laws regarding the protection of wildlife, including migratory birds, eagles, and threatened and endangered species. Federal and state environmental laws have historically become more stringent over time, although this trend could change in the future.</w:t>
      </w:r>
    </w:p>
    <w:p>
      <w:pPr>
        <w:spacing w:after="0" w:line="180"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June 2019, the EPA finalized the Affordable Clean Energy (ACE) rule which establishes emission guidelines for states to develop plans to address greenhouse gas emissions from existing power plants. The ACE rule also reinforces the state’s broad discretion in establishing and applying emissions standards to new emission sources. The ACE rule replaces the 2015 Clean Power Plan. The ACE rule is not expected to have a material impact on the Company’s conventional generation assets.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Regulatory Matters</w:t>
      </w:r>
    </w:p>
    <w:p>
      <w:pPr>
        <w:spacing w:after="0" w:line="227" w:lineRule="exact"/>
        <w:rPr>
          <w:sz w:val="20"/>
          <w:szCs w:val="20"/>
          <w:color w:val="auto"/>
        </w:rPr>
      </w:pPr>
    </w:p>
    <w:p>
      <w:pPr>
        <w:jc w:val="both"/>
        <w:ind w:firstLine="432"/>
        <w:spacing w:after="0" w:line="284" w:lineRule="auto"/>
        <w:rPr>
          <w:sz w:val="20"/>
          <w:szCs w:val="20"/>
          <w:color w:val="auto"/>
        </w:rPr>
      </w:pPr>
      <w:r>
        <w:rPr>
          <w:rFonts w:ascii="Times New Roman" w:cs="Times New Roman" w:eastAsia="Times New Roman" w:hAnsi="Times New Roman"/>
          <w:sz w:val="18"/>
          <w:szCs w:val="18"/>
          <w:color w:val="auto"/>
        </w:rPr>
        <w:t xml:space="preserve">The Company’s regulatory matters are described in the Company’s 2018 Form 10-K in Item 1, </w:t>
      </w:r>
      <w:r>
        <w:rPr>
          <w:rFonts w:ascii="Times New Roman" w:cs="Times New Roman" w:eastAsia="Times New Roman" w:hAnsi="Times New Roman"/>
          <w:sz w:val="18"/>
          <w:szCs w:val="18"/>
          <w:i w:val="1"/>
          <w:iCs w:val="1"/>
          <w:color w:val="auto"/>
        </w:rPr>
        <w:t>Business</w:t>
      </w:r>
      <w:r>
        <w:rPr>
          <w:rFonts w:ascii="Times New Roman" w:cs="Times New Roman" w:eastAsia="Times New Roman" w:hAnsi="Times New Roman"/>
          <w:sz w:val="18"/>
          <w:szCs w:val="18"/>
          <w:color w:val="auto"/>
        </w:rPr>
        <w:t xml:space="preserve"> — </w:t>
      </w:r>
      <w:r>
        <w:rPr>
          <w:rFonts w:ascii="Times New Roman" w:cs="Times New Roman" w:eastAsia="Times New Roman" w:hAnsi="Times New Roman"/>
          <w:sz w:val="18"/>
          <w:szCs w:val="18"/>
          <w:i w:val="1"/>
          <w:iCs w:val="1"/>
          <w:color w:val="auto"/>
        </w:rPr>
        <w:t>Regulatory Matters</w:t>
      </w:r>
      <w:r>
        <w:rPr>
          <w:rFonts w:ascii="Times New Roman" w:cs="Times New Roman" w:eastAsia="Times New Roman" w:hAnsi="Times New Roman"/>
          <w:sz w:val="18"/>
          <w:szCs w:val="18"/>
          <w:color w:val="auto"/>
        </w:rPr>
        <w:t xml:space="preserve"> and Item 1A, </w:t>
      </w:r>
      <w:r>
        <w:rPr>
          <w:rFonts w:ascii="Times New Roman" w:cs="Times New Roman" w:eastAsia="Times New Roman" w:hAnsi="Times New Roman"/>
          <w:sz w:val="18"/>
          <w:szCs w:val="18"/>
          <w:i w:val="1"/>
          <w:iCs w:val="1"/>
          <w:color w:val="auto"/>
        </w:rPr>
        <w:t>Risk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Factors.</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Trends Affecting Results of Operations and Future Business Performance</w:t>
      </w:r>
    </w:p>
    <w:p>
      <w:pPr>
        <w:spacing w:after="0" w:line="227" w:lineRule="exact"/>
        <w:rPr>
          <w:sz w:val="20"/>
          <w:szCs w:val="20"/>
          <w:color w:val="auto"/>
        </w:rPr>
      </w:pPr>
    </w:p>
    <w:p>
      <w:pPr>
        <w:jc w:val="both"/>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The Company’s trends are described in the Company’s 2018 Form 10-K in Item 7, </w:t>
      </w:r>
      <w:r>
        <w:rPr>
          <w:rFonts w:ascii="Times New Roman" w:cs="Times New Roman" w:eastAsia="Times New Roman" w:hAnsi="Times New Roman"/>
          <w:sz w:val="18"/>
          <w:szCs w:val="18"/>
          <w:i w:val="1"/>
          <w:iCs w:val="1"/>
          <w:color w:val="auto"/>
        </w:rPr>
        <w:t>Management’s Discussion and Analysis of Financial Condition and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Results of Operations - Trends Affecting Results of Operations and Future Business Performance </w:t>
      </w:r>
      <w:r>
        <w:rPr>
          <w:rFonts w:ascii="Times New Roman" w:cs="Times New Roman" w:eastAsia="Times New Roman" w:hAnsi="Times New Roman"/>
          <w:sz w:val="18"/>
          <w:szCs w:val="18"/>
          <w:color w:val="auto"/>
        </w:rPr>
        <w:t>as well as below</w:t>
      </w:r>
      <w:r>
        <w:rPr>
          <w:rFonts w:ascii="Times New Roman" w:cs="Times New Roman" w:eastAsia="Times New Roman" w:hAnsi="Times New Roman"/>
          <w:sz w:val="18"/>
          <w:szCs w:val="18"/>
          <w:i w:val="1"/>
          <w:iCs w:val="1"/>
          <w:color w:val="auto"/>
        </w:rPr>
        <w:t>.</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Consolidated Results of Operations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following table provides selected financial information:</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20" w:type="dxa"/>
            <w:vAlign w:val="bottom"/>
          </w:tcPr>
          <w:p>
            <w:pPr>
              <w:spacing w:after="0"/>
              <w:rPr>
                <w:sz w:val="18"/>
                <w:szCs w:val="18"/>
                <w:color w:val="auto"/>
              </w:rPr>
            </w:pPr>
          </w:p>
        </w:tc>
        <w:tc>
          <w:tcPr>
            <w:tcW w:w="3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140" w:type="dxa"/>
            <w:vAlign w:val="bottom"/>
            <w:tcBorders>
              <w:bottom w:val="single" w:sz="8" w:color="auto"/>
            </w:tcBorders>
            <w:gridSpan w:val="8"/>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24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3360" w:type="dxa"/>
            <w:vAlign w:val="bottom"/>
            <w:tcBorders>
              <w:bottom w:val="single" w:sz="8" w:color="auto"/>
            </w:tcBorders>
            <w:gridSpan w:val="10"/>
          </w:tcPr>
          <w:p>
            <w:pPr>
              <w:jc w:val="right"/>
              <w:ind w:right="66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c>
          <w:tcPr>
            <w:tcW w:w="0" w:type="dxa"/>
            <w:vAlign w:val="bottom"/>
          </w:tcPr>
          <w:p>
            <w:pPr>
              <w:spacing w:after="0"/>
              <w:rPr>
                <w:sz w:val="1"/>
                <w:szCs w:val="1"/>
                <w:color w:val="auto"/>
              </w:rPr>
            </w:pPr>
          </w:p>
        </w:tc>
      </w:tr>
      <w:tr>
        <w:trPr>
          <w:trHeight w:val="226"/>
        </w:trPr>
        <w:tc>
          <w:tcPr>
            <w:tcW w:w="39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2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6"/>
                <w:szCs w:val="16"/>
                <w:b w:val="1"/>
                <w:bCs w:val="1"/>
                <w:color w:val="auto"/>
              </w:rPr>
              <w:t>2019</w:t>
            </w:r>
          </w:p>
        </w:tc>
        <w:tc>
          <w:tcPr>
            <w:tcW w:w="10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250"/>
              <w:spacing w:after="0"/>
              <w:rPr>
                <w:sz w:val="20"/>
                <w:szCs w:val="20"/>
                <w:color w:val="auto"/>
              </w:rPr>
            </w:pPr>
            <w:r>
              <w:rPr>
                <w:rFonts w:ascii="Times New Roman" w:cs="Times New Roman" w:eastAsia="Times New Roman" w:hAnsi="Times New Roman"/>
                <w:sz w:val="16"/>
                <w:szCs w:val="16"/>
                <w:b w:val="1"/>
                <w:bCs w:val="1"/>
                <w:color w:val="auto"/>
              </w:rPr>
              <w:t>2018</w:t>
            </w:r>
          </w:p>
        </w:tc>
        <w:tc>
          <w:tcPr>
            <w:tcW w:w="1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Revenues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34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w:t>
            </w:r>
          </w:p>
        </w:tc>
        <w:tc>
          <w:tcPr>
            <w:tcW w:w="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298</w:t>
            </w:r>
          </w:p>
        </w:tc>
        <w:tc>
          <w:tcPr>
            <w:tcW w:w="920" w:type="dxa"/>
            <w:vAlign w:val="bottom"/>
            <w:gridSpan w:val="2"/>
          </w:tcPr>
          <w:p>
            <w:pPr>
              <w:jc w:val="right"/>
              <w:ind w:right="619"/>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830</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847</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Other revenues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 amortization</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(18)</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Mark-to-market economic hedging activities</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revenues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292</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797</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824</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Costs and Expenses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fuels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Operations and maintenance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45</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144</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costs of operations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51</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112</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84</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285</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Impairment losses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Transaction and integration costs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(17)</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Development costs</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ind w:left="320"/>
              <w:spacing w:after="0"/>
              <w:rPr>
                <w:sz w:val="20"/>
                <w:szCs w:val="20"/>
                <w:color w:val="auto"/>
              </w:rPr>
            </w:pPr>
            <w:r>
              <w:rPr>
                <w:rFonts w:ascii="Times New Roman" w:cs="Times New Roman" w:eastAsia="Times New Roman" w:hAnsi="Times New Roman"/>
                <w:sz w:val="18"/>
                <w:szCs w:val="18"/>
                <w:color w:val="auto"/>
              </w:rPr>
              <w:t>Total operating costs and expenses</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206</w:t>
            </w:r>
          </w:p>
        </w:tc>
        <w:tc>
          <w:tcPr>
            <w:tcW w:w="12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4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192</w:t>
            </w:r>
          </w:p>
        </w:tc>
        <w:tc>
          <w:tcPr>
            <w:tcW w:w="120" w:type="dxa"/>
            <w:vAlign w:val="bottom"/>
          </w:tcPr>
          <w:p>
            <w:pPr>
              <w:spacing w:after="0"/>
              <w:rPr>
                <w:sz w:val="18"/>
                <w:szCs w:val="18"/>
                <w:color w:val="auto"/>
              </w:rPr>
            </w:pPr>
          </w:p>
        </w:tc>
        <w:tc>
          <w:tcPr>
            <w:tcW w:w="80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w:t>
            </w:r>
          </w:p>
        </w:tc>
        <w:tc>
          <w:tcPr>
            <w:tcW w:w="100" w:type="dxa"/>
            <w:vAlign w:val="bottom"/>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579</w:t>
            </w:r>
          </w:p>
        </w:tc>
        <w:tc>
          <w:tcPr>
            <w:tcW w:w="12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920" w:type="dxa"/>
            <w:vAlign w:val="bottom"/>
            <w:tcBorders>
              <w:bottom w:val="single" w:sz="8" w:color="auto"/>
            </w:tcBorders>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531</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Operating Income</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4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100</w:t>
            </w:r>
          </w:p>
        </w:tc>
        <w:tc>
          <w:tcPr>
            <w:tcW w:w="120" w:type="dxa"/>
            <w:vAlign w:val="bottom"/>
            <w:tcBorders>
              <w:bottom w:val="single" w:sz="8" w:color="CCEEFF"/>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spacing w:after="0"/>
              <w:rPr>
                <w:sz w:val="18"/>
                <w:szCs w:val="18"/>
                <w:color w:val="auto"/>
              </w:rPr>
            </w:pPr>
          </w:p>
        </w:tc>
        <w:tc>
          <w:tcPr>
            <w:tcW w:w="360" w:type="dxa"/>
            <w:vAlign w:val="bottom"/>
            <w:tcBorders>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(10)</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218</w:t>
            </w:r>
          </w:p>
        </w:tc>
        <w:tc>
          <w:tcPr>
            <w:tcW w:w="12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20" w:type="dxa"/>
            <w:vAlign w:val="bottom"/>
            <w:tcBorders>
              <w:bottom w:val="single" w:sz="8" w:color="auto"/>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293</w:t>
            </w:r>
          </w:p>
        </w:tc>
        <w:tc>
          <w:tcPr>
            <w:tcW w:w="10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960" w:type="dxa"/>
            <w:vAlign w:val="bottom"/>
            <w:tcBorders>
              <w:bottom w:val="single" w:sz="8" w:color="auto"/>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(75)</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Other Income (Expense)</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Equity in earnings of unconsolidated affiliates</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52</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65</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Other income, net</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Loss on debt extinguishment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3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388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Interest expense</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w:t>
            </w:r>
          </w:p>
        </w:tc>
        <w:tc>
          <w:tcPr>
            <w:tcW w:w="12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(74)</w:t>
            </w:r>
          </w:p>
        </w:tc>
        <w:tc>
          <w:tcPr>
            <w:tcW w:w="120" w:type="dxa"/>
            <w:vAlign w:val="bottom"/>
            <w:tcBorders>
              <w:bottom w:val="single" w:sz="8" w:color="CCEEFF"/>
            </w:tcBorders>
          </w:tcPr>
          <w:p>
            <w:pPr>
              <w:spacing w:after="0"/>
              <w:rPr>
                <w:sz w:val="20"/>
                <w:szCs w:val="20"/>
                <w:color w:val="auto"/>
              </w:rPr>
            </w:pPr>
          </w:p>
        </w:tc>
        <w:tc>
          <w:tcPr>
            <w:tcW w:w="80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(32)</w:t>
            </w:r>
          </w:p>
        </w:tc>
        <w:tc>
          <w:tcPr>
            <w:tcW w:w="100" w:type="dxa"/>
            <w:vAlign w:val="bottom"/>
            <w:tcBorders>
              <w:bottom w:val="single" w:sz="8" w:color="CCEEFF"/>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(337)</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(200)</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3880" w:type="dxa"/>
            <w:vAlign w:val="bottom"/>
            <w:tcBorders>
              <w:bottom w:val="single" w:sz="8" w:color="CCEEFF"/>
            </w:tcBorders>
            <w:shd w:val="clear" w:color="auto" w:fill="CCEEFF"/>
          </w:tcPr>
          <w:p>
            <w:pPr>
              <w:ind w:left="320"/>
              <w:spacing w:after="0" w:line="203" w:lineRule="exact"/>
              <w:rPr>
                <w:sz w:val="20"/>
                <w:szCs w:val="20"/>
                <w:color w:val="auto"/>
              </w:rPr>
            </w:pPr>
            <w:r>
              <w:rPr>
                <w:rFonts w:ascii="Times New Roman" w:cs="Times New Roman" w:eastAsia="Times New Roman" w:hAnsi="Times New Roman"/>
                <w:sz w:val="18"/>
                <w:szCs w:val="18"/>
                <w:color w:val="auto"/>
              </w:rPr>
              <w:t>Total other expense, net</w:t>
            </w: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(66)</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(40)</w:t>
            </w:r>
          </w:p>
        </w:tc>
        <w:tc>
          <w:tcPr>
            <w:tcW w:w="12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w w:val="73"/>
              </w:rPr>
              <w:t>(26)</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(280)</w:t>
            </w:r>
          </w:p>
        </w:tc>
        <w:tc>
          <w:tcPr>
            <w:tcW w:w="10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(131)</w:t>
            </w:r>
          </w:p>
        </w:tc>
        <w:tc>
          <w:tcPr>
            <w:tcW w:w="12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(149)</w:t>
            </w:r>
          </w:p>
        </w:tc>
        <w:tc>
          <w:tcPr>
            <w:tcW w:w="100" w:type="dxa"/>
            <w:vAlign w:val="bottom"/>
            <w:tcBorders>
              <w:bottom w:val="single" w:sz="8" w:color="auto"/>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Income (Loss) Before Income Taxes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24</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(36)</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(62)</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Income tax (benefit) expense</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11</w:t>
            </w:r>
          </w:p>
        </w:tc>
        <w:tc>
          <w:tcPr>
            <w:tcW w:w="120" w:type="dxa"/>
            <w:vAlign w:val="bottom"/>
            <w:shd w:val="clear" w:color="auto" w:fill="CCEEFF"/>
          </w:tcPr>
          <w:p>
            <w:pPr>
              <w:spacing w:after="0"/>
              <w:rPr>
                <w:sz w:val="19"/>
                <w:szCs w:val="19"/>
                <w:color w:val="auto"/>
              </w:rPr>
            </w:pPr>
          </w:p>
        </w:tc>
        <w:tc>
          <w:tcPr>
            <w:tcW w:w="80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(22)</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(14)</w:t>
            </w:r>
          </w:p>
        </w:tc>
        <w:tc>
          <w:tcPr>
            <w:tcW w:w="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88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Net Income (Loss)</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(14)</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(193)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880" w:type="dxa"/>
            <w:vAlign w:val="bottom"/>
            <w:shd w:val="clear" w:color="auto" w:fill="CCEEFF"/>
          </w:tcPr>
          <w:p>
            <w:pPr>
              <w:ind w:left="160"/>
              <w:spacing w:after="0" w:line="198" w:lineRule="exact"/>
              <w:rPr>
                <w:sz w:val="20"/>
                <w:szCs w:val="20"/>
                <w:color w:val="auto"/>
              </w:rPr>
            </w:pPr>
            <w:r>
              <w:rPr>
                <w:rFonts w:ascii="Times New Roman" w:cs="Times New Roman" w:eastAsia="Times New Roman" w:hAnsi="Times New Roman"/>
                <w:sz w:val="18"/>
                <w:szCs w:val="18"/>
                <w:color w:val="auto"/>
              </w:rPr>
              <w:t>Less: Pre-acquisition net income of Drop Down</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4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3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9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96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8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Assets</w:t>
            </w: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800" w:type="dxa"/>
            <w:vAlign w:val="bottom"/>
            <w:tcBorders>
              <w:bottom w:val="single" w:sz="8" w:color="auto"/>
            </w:tcBorders>
            <w:shd w:val="clear" w:color="auto" w:fill="CCEEFF"/>
          </w:tcPr>
          <w:p>
            <w:pPr>
              <w:spacing w:after="0"/>
              <w:rPr>
                <w:sz w:val="19"/>
                <w:szCs w:val="19"/>
                <w:color w:val="auto"/>
              </w:rPr>
            </w:pPr>
          </w:p>
        </w:tc>
        <w:tc>
          <w:tcPr>
            <w:tcW w:w="36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gridSpan w:val="2"/>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gridSpan w:val="2"/>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gridSpan w:val="2"/>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3880" w:type="dxa"/>
            <w:vAlign w:val="bottom"/>
          </w:tcPr>
          <w:p>
            <w:pPr>
              <w:spacing w:after="0" w:line="188" w:lineRule="exact"/>
              <w:rPr>
                <w:sz w:val="20"/>
                <w:szCs w:val="20"/>
                <w:color w:val="auto"/>
              </w:rPr>
            </w:pPr>
            <w:r>
              <w:rPr>
                <w:rFonts w:ascii="Times New Roman" w:cs="Times New Roman" w:eastAsia="Times New Roman" w:hAnsi="Times New Roman"/>
                <w:sz w:val="18"/>
                <w:szCs w:val="18"/>
                <w:b w:val="1"/>
                <w:bCs w:val="1"/>
                <w:color w:val="auto"/>
              </w:rPr>
              <w:t>Net Income (Loss) Excluding Pre-acquisition Net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8"/>
        </w:trPr>
        <w:tc>
          <w:tcPr>
            <w:tcW w:w="39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Income of Drop Down Assets</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49</w:t>
            </w:r>
          </w:p>
        </w:tc>
        <w:tc>
          <w:tcPr>
            <w:tcW w:w="1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6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w w:val="93"/>
              </w:rPr>
              <w:t>(14)</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(48)</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141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(189)</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8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Less: (Loss) Income attributable to noncontrolling</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28</w:t>
            </w:r>
          </w:p>
        </w:tc>
        <w:tc>
          <w:tcPr>
            <w:tcW w:w="1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w w:val="93"/>
              </w:rPr>
              <w:t>(32)</w:t>
            </w:r>
          </w:p>
        </w:tc>
        <w:tc>
          <w:tcPr>
            <w:tcW w:w="1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w:t>
            </w:r>
          </w:p>
        </w:tc>
        <w:tc>
          <w:tcPr>
            <w:tcW w:w="1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(68)</w:t>
            </w: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38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8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335" w:right="239" w:bottom="0" w:gutter="0" w:footer="0" w:header="0"/>
        </w:sectPr>
      </w:pPr>
    </w:p>
    <w:bookmarkStart w:id="42" w:name="page43"/>
    <w:bookmarkEnd w:id="4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40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interests</w:t>
            </w:r>
          </w:p>
        </w:tc>
        <w:tc>
          <w:tcPr>
            <w:tcW w:w="480" w:type="dxa"/>
            <w:vAlign w:val="bottom"/>
            <w:tcBorders>
              <w:bottom w:val="single" w:sz="8" w:color="auto"/>
            </w:tcBorders>
            <w:shd w:val="clear" w:color="auto" w:fill="CCEEFF"/>
          </w:tcPr>
          <w:p>
            <w:pPr>
              <w:spacing w:after="0"/>
              <w:rPr>
                <w:sz w:val="17"/>
                <w:szCs w:val="17"/>
                <w:color w:val="auto"/>
              </w:rPr>
            </w:pPr>
          </w:p>
        </w:tc>
        <w:tc>
          <w:tcPr>
            <w:tcW w:w="68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620" w:type="dxa"/>
            <w:vAlign w:val="bottom"/>
            <w:tcBorders>
              <w:bottom w:val="single" w:sz="8" w:color="auto"/>
            </w:tcBorders>
            <w:shd w:val="clear" w:color="auto" w:fill="CCEEFF"/>
          </w:tcPr>
          <w:p>
            <w:pPr>
              <w:spacing w:after="0"/>
              <w:rPr>
                <w:sz w:val="17"/>
                <w:szCs w:val="17"/>
                <w:color w:val="auto"/>
              </w:rPr>
            </w:pPr>
          </w:p>
        </w:tc>
        <w:tc>
          <w:tcPr>
            <w:tcW w:w="5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auto"/>
            </w:tcBorders>
            <w:shd w:val="clear" w:color="auto" w:fill="CCEEFF"/>
          </w:tcPr>
          <w:p>
            <w:pPr>
              <w:spacing w:after="0"/>
              <w:rPr>
                <w:sz w:val="17"/>
                <w:szCs w:val="17"/>
                <w:color w:val="auto"/>
              </w:rPr>
            </w:pPr>
          </w:p>
        </w:tc>
        <w:tc>
          <w:tcPr>
            <w:tcW w:w="280" w:type="dxa"/>
            <w:vAlign w:val="bottom"/>
            <w:tcBorders>
              <w:bottom w:val="single" w:sz="8" w:color="auto"/>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600" w:type="dxa"/>
            <w:vAlign w:val="bottom"/>
            <w:tcBorders>
              <w:bottom w:val="single" w:sz="8" w:color="auto"/>
            </w:tcBorders>
            <w:shd w:val="clear" w:color="auto" w:fill="CCEEFF"/>
          </w:tcPr>
          <w:p>
            <w:pPr>
              <w:spacing w:after="0"/>
              <w:rPr>
                <w:sz w:val="17"/>
                <w:szCs w:val="17"/>
                <w:color w:val="auto"/>
              </w:rPr>
            </w:pPr>
          </w:p>
        </w:tc>
        <w:tc>
          <w:tcPr>
            <w:tcW w:w="220" w:type="dxa"/>
            <w:vAlign w:val="bottom"/>
            <w:tcBorders>
              <w:bottom w:val="single" w:sz="8" w:color="auto"/>
            </w:tcBorders>
            <w:shd w:val="clear" w:color="auto" w:fill="CCEEFF"/>
          </w:tcPr>
          <w:p>
            <w:pPr>
              <w:spacing w:after="0"/>
              <w:rPr>
                <w:sz w:val="17"/>
                <w:szCs w:val="17"/>
                <w:color w:val="auto"/>
              </w:rPr>
            </w:pPr>
          </w:p>
        </w:tc>
        <w:tc>
          <w:tcPr>
            <w:tcW w:w="60" w:type="dxa"/>
            <w:vAlign w:val="bottom"/>
            <w:tcBorders>
              <w:bottom w:val="single" w:sz="8" w:color="auto"/>
            </w:tcBorders>
            <w:shd w:val="clear" w:color="auto" w:fill="CCEEFF"/>
          </w:tcPr>
          <w:p>
            <w:pPr>
              <w:spacing w:after="0"/>
              <w:rPr>
                <w:sz w:val="17"/>
                <w:szCs w:val="17"/>
                <w:color w:val="auto"/>
              </w:rPr>
            </w:pPr>
          </w:p>
        </w:tc>
        <w:tc>
          <w:tcPr>
            <w:tcW w:w="240" w:type="dxa"/>
            <w:vAlign w:val="bottom"/>
            <w:tcBorders>
              <w:bottom w:val="single" w:sz="8" w:color="auto"/>
            </w:tcBorders>
            <w:shd w:val="clear" w:color="auto" w:fill="CCEEFF"/>
          </w:tcPr>
          <w:p>
            <w:pPr>
              <w:spacing w:after="0"/>
              <w:rPr>
                <w:sz w:val="17"/>
                <w:szCs w:val="17"/>
                <w:color w:val="auto"/>
              </w:rPr>
            </w:pPr>
          </w:p>
        </w:tc>
        <w:tc>
          <w:tcPr>
            <w:tcW w:w="120" w:type="dxa"/>
            <w:vAlign w:val="bottom"/>
            <w:tcBorders>
              <w:bottom w:val="single" w:sz="8" w:color="CCEEFF"/>
            </w:tcBorders>
            <w:shd w:val="clear" w:color="auto" w:fill="CCEEFF"/>
          </w:tcPr>
          <w:p>
            <w:pPr>
              <w:spacing w:after="0"/>
              <w:rPr>
                <w:sz w:val="17"/>
                <w:szCs w:val="17"/>
                <w:color w:val="auto"/>
              </w:rPr>
            </w:pPr>
          </w:p>
        </w:tc>
        <w:tc>
          <w:tcPr>
            <w:tcW w:w="360" w:type="dxa"/>
            <w:vAlign w:val="bottom"/>
            <w:tcBorders>
              <w:bottom w:val="single" w:sz="8" w:color="auto"/>
            </w:tcBorders>
            <w:shd w:val="clear" w:color="auto" w:fill="CCEEFF"/>
          </w:tcPr>
          <w:p>
            <w:pPr>
              <w:spacing w:after="0"/>
              <w:rPr>
                <w:sz w:val="17"/>
                <w:szCs w:val="17"/>
                <w:color w:val="auto"/>
              </w:rPr>
            </w:pPr>
          </w:p>
        </w:tc>
        <w:tc>
          <w:tcPr>
            <w:tcW w:w="420" w:type="dxa"/>
            <w:vAlign w:val="bottom"/>
            <w:tcBorders>
              <w:bottom w:val="single" w:sz="8" w:color="auto"/>
            </w:tcBorders>
            <w:shd w:val="clear" w:color="auto" w:fill="CCEEFF"/>
          </w:tcPr>
          <w:p>
            <w:pPr>
              <w:spacing w:after="0"/>
              <w:rPr>
                <w:sz w:val="17"/>
                <w:szCs w:val="17"/>
                <w:color w:val="auto"/>
              </w:rPr>
            </w:pPr>
          </w:p>
        </w:tc>
        <w:tc>
          <w:tcPr>
            <w:tcW w:w="260" w:type="dxa"/>
            <w:vAlign w:val="bottom"/>
            <w:tcBorders>
              <w:bottom w:val="single" w:sz="8" w:color="auto"/>
            </w:tcBorders>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800" w:type="dxa"/>
            <w:vAlign w:val="bottom"/>
            <w:tcBorders>
              <w:bottom w:val="single" w:sz="8" w:color="auto"/>
            </w:tcBorders>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r>
      <w:tr>
        <w:trPr>
          <w:trHeight w:val="210"/>
        </w:trPr>
        <w:tc>
          <w:tcPr>
            <w:tcW w:w="20" w:type="dxa"/>
            <w:vAlign w:val="bottom"/>
          </w:tcPr>
          <w:p>
            <w:pPr>
              <w:spacing w:after="0"/>
              <w:rPr>
                <w:sz w:val="18"/>
                <w:szCs w:val="18"/>
                <w:color w:val="auto"/>
              </w:rPr>
            </w:pPr>
          </w:p>
        </w:tc>
        <w:tc>
          <w:tcPr>
            <w:tcW w:w="4480" w:type="dxa"/>
            <w:vAlign w:val="bottom"/>
            <w:gridSpan w:val="2"/>
          </w:tcPr>
          <w:p>
            <w:pPr>
              <w:spacing w:after="0" w:line="210" w:lineRule="exact"/>
              <w:rPr>
                <w:sz w:val="20"/>
                <w:szCs w:val="20"/>
                <w:color w:val="auto"/>
              </w:rPr>
            </w:pPr>
            <w:r>
              <w:rPr>
                <w:rFonts w:ascii="Times New Roman" w:cs="Times New Roman" w:eastAsia="Times New Roman" w:hAnsi="Times New Roman"/>
                <w:sz w:val="14"/>
                <w:szCs w:val="14"/>
                <w:b w:val="1"/>
                <w:bCs w:val="1"/>
                <w:color w:val="auto"/>
              </w:rPr>
              <w:t xml:space="preserve">Net Income Attributable to Clearway Energy, Inc.  </w:t>
            </w:r>
            <w:r>
              <w:rPr>
                <w:rFonts w:ascii="Times New Roman" w:cs="Times New Roman" w:eastAsia="Times New Roman" w:hAnsi="Times New Roman"/>
                <w:sz w:val="24"/>
                <w:szCs w:val="24"/>
                <w:color w:val="auto"/>
                <w:vertAlign w:val="superscript"/>
              </w:rPr>
              <w:t>$</w:t>
            </w:r>
          </w:p>
        </w:tc>
        <w:tc>
          <w:tcPr>
            <w:tcW w:w="68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39</w:t>
            </w:r>
          </w:p>
        </w:tc>
        <w:tc>
          <w:tcPr>
            <w:tcW w:w="74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jc w:val="right"/>
              <w:ind w:right="36"/>
              <w:spacing w:after="0"/>
              <w:rPr>
                <w:sz w:val="20"/>
                <w:szCs w:val="20"/>
                <w:color w:val="auto"/>
              </w:rPr>
            </w:pPr>
            <w:r>
              <w:rPr>
                <w:rFonts w:ascii="Times New Roman" w:cs="Times New Roman" w:eastAsia="Times New Roman" w:hAnsi="Times New Roman"/>
                <w:sz w:val="18"/>
                <w:szCs w:val="18"/>
                <w:color w:val="auto"/>
              </w:rPr>
              <w:t>21</w:t>
            </w:r>
          </w:p>
        </w:tc>
        <w:tc>
          <w:tcPr>
            <w:tcW w:w="5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760" w:type="dxa"/>
            <w:vAlign w:val="bottom"/>
            <w:gridSpan w:val="3"/>
          </w:tcPr>
          <w:p>
            <w:pPr>
              <w:jc w:val="right"/>
              <w:ind w:right="50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116</w:t>
            </w:r>
          </w:p>
        </w:tc>
        <w:tc>
          <w:tcPr>
            <w:tcW w:w="80" w:type="dxa"/>
            <w:vAlign w:val="bottom"/>
          </w:tcPr>
          <w:p>
            <w:pPr>
              <w:spacing w:after="0"/>
              <w:rPr>
                <w:sz w:val="18"/>
                <w:szCs w:val="18"/>
                <w:color w:val="auto"/>
              </w:rPr>
            </w:pP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(121)</w:t>
            </w:r>
          </w:p>
        </w:tc>
      </w:tr>
      <w:tr>
        <w:trPr>
          <w:trHeight w:val="20"/>
        </w:trPr>
        <w:tc>
          <w:tcPr>
            <w:tcW w:w="20" w:type="dxa"/>
            <w:vAlign w:val="bottom"/>
          </w:tcPr>
          <w:p>
            <w:pPr>
              <w:spacing w:after="0" w:line="20" w:lineRule="exact"/>
              <w:rPr>
                <w:sz w:val="1"/>
                <w:szCs w:val="1"/>
                <w:color w:val="auto"/>
              </w:rPr>
            </w:pPr>
          </w:p>
        </w:tc>
        <w:tc>
          <w:tcPr>
            <w:tcW w:w="400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gridSpan w:val="2"/>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r>
      <w:tr>
        <w:trPr>
          <w:trHeight w:val="623"/>
        </w:trPr>
        <w:tc>
          <w:tcPr>
            <w:tcW w:w="20" w:type="dxa"/>
            <w:vAlign w:val="bottom"/>
          </w:tcPr>
          <w:p>
            <w:pPr>
              <w:spacing w:after="0"/>
              <w:rPr>
                <w:sz w:val="24"/>
                <w:szCs w:val="24"/>
                <w:color w:val="auto"/>
              </w:rPr>
            </w:pPr>
          </w:p>
        </w:tc>
        <w:tc>
          <w:tcPr>
            <w:tcW w:w="40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740" w:type="dxa"/>
            <w:vAlign w:val="bottom"/>
            <w:gridSpan w:val="9"/>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Three months ended September 30,</w:t>
            </w:r>
          </w:p>
        </w:tc>
        <w:tc>
          <w:tcPr>
            <w:tcW w:w="60" w:type="dxa"/>
            <w:vAlign w:val="bottom"/>
          </w:tcPr>
          <w:p>
            <w:pPr>
              <w:spacing w:after="0"/>
              <w:rPr>
                <w:sz w:val="24"/>
                <w:szCs w:val="24"/>
                <w:color w:val="auto"/>
              </w:rPr>
            </w:pPr>
          </w:p>
        </w:tc>
        <w:tc>
          <w:tcPr>
            <w:tcW w:w="2700" w:type="dxa"/>
            <w:vAlign w:val="bottom"/>
            <w:gridSpan w:val="10"/>
          </w:tcPr>
          <w:p>
            <w:pPr>
              <w:jc w:val="right"/>
              <w:ind w:right="240"/>
              <w:spacing w:after="0"/>
              <w:rPr>
                <w:sz w:val="20"/>
                <w:szCs w:val="20"/>
                <w:color w:val="auto"/>
              </w:rPr>
            </w:pPr>
            <w:r>
              <w:rPr>
                <w:rFonts w:ascii="Times New Roman" w:cs="Times New Roman" w:eastAsia="Times New Roman" w:hAnsi="Times New Roman"/>
                <w:sz w:val="16"/>
                <w:szCs w:val="16"/>
                <w:b w:val="1"/>
                <w:bCs w:val="1"/>
                <w:color w:val="auto"/>
              </w:rPr>
              <w:t>Nine months ended September 30,</w:t>
            </w:r>
          </w:p>
        </w:tc>
      </w:tr>
      <w:tr>
        <w:trPr>
          <w:trHeight w:val="216"/>
        </w:trPr>
        <w:tc>
          <w:tcPr>
            <w:tcW w:w="450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Business metrics: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120" w:type="dxa"/>
            <w:vAlign w:val="bottom"/>
            <w:tcBorders>
              <w:top w:val="single" w:sz="8" w:color="auto"/>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2019</w:t>
            </w:r>
          </w:p>
        </w:tc>
        <w:tc>
          <w:tcPr>
            <w:tcW w:w="280" w:type="dxa"/>
            <w:vAlign w:val="bottom"/>
            <w:tcBorders>
              <w:top w:val="single" w:sz="8" w:color="auto"/>
            </w:tcBorders>
          </w:tcPr>
          <w:p>
            <w:pPr>
              <w:spacing w:after="0"/>
              <w:rPr>
                <w:sz w:val="18"/>
                <w:szCs w:val="18"/>
                <w:color w:val="auto"/>
              </w:rPr>
            </w:pPr>
          </w:p>
        </w:tc>
        <w:tc>
          <w:tcPr>
            <w:tcW w:w="360" w:type="dxa"/>
            <w:vAlign w:val="bottom"/>
            <w:tcBorders>
              <w:top w:val="single" w:sz="8" w:color="auto"/>
              <w:bottom w:val="single" w:sz="8" w:color="auto"/>
            </w:tcBorders>
          </w:tcPr>
          <w:p>
            <w:pPr>
              <w:spacing w:after="0"/>
              <w:rPr>
                <w:sz w:val="18"/>
                <w:szCs w:val="18"/>
                <w:color w:val="auto"/>
              </w:rPr>
            </w:pPr>
          </w:p>
        </w:tc>
        <w:tc>
          <w:tcPr>
            <w:tcW w:w="760" w:type="dxa"/>
            <w:vAlign w:val="bottom"/>
            <w:tcBorders>
              <w:top w:val="single" w:sz="8" w:color="auto"/>
              <w:bottom w:val="single" w:sz="8" w:color="auto"/>
            </w:tcBorders>
            <w:gridSpan w:val="3"/>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2018</w:t>
            </w:r>
          </w:p>
        </w:tc>
        <w:tc>
          <w:tcPr>
            <w:tcW w:w="2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48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2019</w:t>
            </w:r>
          </w:p>
        </w:tc>
        <w:tc>
          <w:tcPr>
            <w:tcW w:w="420" w:type="dxa"/>
            <w:vAlign w:val="bottom"/>
            <w:tcBorders>
              <w:top w:val="single" w:sz="8" w:color="auto"/>
              <w:bottom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80" w:type="dxa"/>
            <w:vAlign w:val="bottom"/>
            <w:tcBorders>
              <w:top w:val="single" w:sz="8" w:color="auto"/>
              <w:bottom w:val="single" w:sz="8" w:color="auto"/>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60" w:type="dxa"/>
            <w:vAlign w:val="bottom"/>
            <w:tcBorders>
              <w:top w:val="single" w:sz="8" w:color="auto"/>
              <w:bottom w:val="single" w:sz="8" w:color="auto"/>
            </w:tcBorders>
          </w:tcPr>
          <w:p>
            <w:pPr>
              <w:spacing w:after="0"/>
              <w:rPr>
                <w:sz w:val="18"/>
                <w:szCs w:val="18"/>
                <w:color w:val="auto"/>
              </w:rPr>
            </w:pPr>
          </w:p>
        </w:tc>
        <w:tc>
          <w:tcPr>
            <w:tcW w:w="800" w:type="dxa"/>
            <w:vAlign w:val="bottom"/>
            <w:tcBorders>
              <w:top w:val="single" w:sz="8" w:color="auto"/>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2018</w:t>
            </w:r>
          </w:p>
        </w:tc>
        <w:tc>
          <w:tcPr>
            <w:tcW w:w="160" w:type="dxa"/>
            <w:vAlign w:val="bottom"/>
          </w:tcPr>
          <w:p>
            <w:pPr>
              <w:spacing w:after="0"/>
              <w:rPr>
                <w:sz w:val="18"/>
                <w:szCs w:val="18"/>
                <w:color w:val="auto"/>
              </w:rPr>
            </w:pPr>
          </w:p>
        </w:tc>
      </w:tr>
      <w:tr>
        <w:trPr>
          <w:trHeight w:val="264"/>
        </w:trPr>
        <w:tc>
          <w:tcPr>
            <w:tcW w:w="20" w:type="dxa"/>
            <w:vAlign w:val="bottom"/>
          </w:tcPr>
          <w:p>
            <w:pPr>
              <w:spacing w:after="0"/>
              <w:rPr>
                <w:sz w:val="22"/>
                <w:szCs w:val="22"/>
                <w:color w:val="auto"/>
              </w:rPr>
            </w:pPr>
          </w:p>
        </w:tc>
        <w:tc>
          <w:tcPr>
            <w:tcW w:w="4480" w:type="dxa"/>
            <w:vAlign w:val="bottom"/>
            <w:gridSpan w:val="2"/>
            <w:shd w:val="clear" w:color="auto" w:fill="CCEEFF"/>
          </w:tcPr>
          <w:p>
            <w:pPr>
              <w:ind w:left="160"/>
              <w:spacing w:after="0" w:line="264" w:lineRule="exact"/>
              <w:rPr>
                <w:sz w:val="20"/>
                <w:szCs w:val="20"/>
                <w:color w:val="auto"/>
              </w:rPr>
            </w:pPr>
            <w:r>
              <w:rPr>
                <w:rFonts w:ascii="Times New Roman" w:cs="Times New Roman" w:eastAsia="Times New Roman" w:hAnsi="Times New Roman"/>
                <w:sz w:val="17"/>
                <w:szCs w:val="17"/>
                <w:color w:val="auto"/>
              </w:rPr>
              <w:t xml:space="preserve">Renewables MWh generated/sold (in thousands) </w:t>
            </w:r>
            <w:r>
              <w:rPr>
                <w:rFonts w:ascii="Times New Roman" w:cs="Times New Roman" w:eastAsia="Times New Roman" w:hAnsi="Times New Roman"/>
                <w:sz w:val="30"/>
                <w:szCs w:val="30"/>
                <w:color w:val="auto"/>
                <w:vertAlign w:val="superscript"/>
              </w:rPr>
              <w:t>(a)</w:t>
            </w: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860" w:type="dxa"/>
            <w:vAlign w:val="bottom"/>
            <w:gridSpan w:val="3"/>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1,786</w:t>
            </w:r>
          </w:p>
        </w:tc>
        <w:tc>
          <w:tcPr>
            <w:tcW w:w="36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1,801</w:t>
            </w: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8"/>
              </w:rPr>
              <w:t>5,183</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5,725</w:t>
            </w:r>
          </w:p>
        </w:tc>
      </w:tr>
      <w:tr>
        <w:trPr>
          <w:trHeight w:val="216"/>
        </w:trPr>
        <w:tc>
          <w:tcPr>
            <w:tcW w:w="20" w:type="dxa"/>
            <w:vAlign w:val="bottom"/>
          </w:tcPr>
          <w:p>
            <w:pPr>
              <w:spacing w:after="0"/>
              <w:rPr>
                <w:sz w:val="18"/>
                <w:szCs w:val="18"/>
                <w:color w:val="auto"/>
              </w:rPr>
            </w:pPr>
          </w:p>
        </w:tc>
        <w:tc>
          <w:tcPr>
            <w:tcW w:w="4480" w:type="dxa"/>
            <w:vAlign w:val="bottom"/>
            <w:gridSpan w:val="2"/>
          </w:tcPr>
          <w:p>
            <w:pPr>
              <w:ind w:left="160"/>
              <w:spacing w:after="0"/>
              <w:rPr>
                <w:sz w:val="20"/>
                <w:szCs w:val="20"/>
                <w:color w:val="auto"/>
              </w:rPr>
            </w:pPr>
            <w:r>
              <w:rPr>
                <w:rFonts w:ascii="Times New Roman" w:cs="Times New Roman" w:eastAsia="Times New Roman" w:hAnsi="Times New Roman"/>
                <w:sz w:val="18"/>
                <w:szCs w:val="18"/>
                <w:color w:val="auto"/>
              </w:rPr>
              <w:t>Thermal MWt sold (in thousands)</w:t>
            </w: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526</w:t>
            </w:r>
          </w:p>
        </w:tc>
        <w:tc>
          <w:tcPr>
            <w:tcW w:w="360" w:type="dxa"/>
            <w:vAlign w:val="bottom"/>
          </w:tcPr>
          <w:p>
            <w:pPr>
              <w:spacing w:after="0"/>
              <w:rPr>
                <w:sz w:val="18"/>
                <w:szCs w:val="18"/>
                <w:color w:val="auto"/>
              </w:rPr>
            </w:pPr>
          </w:p>
        </w:tc>
        <w:tc>
          <w:tcPr>
            <w:tcW w:w="9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499</w:t>
            </w: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w w:val="98"/>
              </w:rPr>
              <w:t>1,638</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1,578</w:t>
            </w:r>
          </w:p>
        </w:tc>
      </w:tr>
      <w:tr>
        <w:trPr>
          <w:trHeight w:val="257"/>
        </w:trPr>
        <w:tc>
          <w:tcPr>
            <w:tcW w:w="20" w:type="dxa"/>
            <w:vAlign w:val="bottom"/>
          </w:tcPr>
          <w:p>
            <w:pPr>
              <w:spacing w:after="0"/>
              <w:rPr>
                <w:sz w:val="22"/>
                <w:szCs w:val="22"/>
                <w:color w:val="auto"/>
              </w:rPr>
            </w:pPr>
          </w:p>
        </w:tc>
        <w:tc>
          <w:tcPr>
            <w:tcW w:w="4480" w:type="dxa"/>
            <w:vAlign w:val="bottom"/>
            <w:gridSpan w:val="2"/>
            <w:shd w:val="clear" w:color="auto" w:fill="CCEEFF"/>
          </w:tcPr>
          <w:p>
            <w:pPr>
              <w:ind w:left="160"/>
              <w:spacing w:after="0" w:line="256" w:lineRule="exact"/>
              <w:rPr>
                <w:sz w:val="20"/>
                <w:szCs w:val="20"/>
                <w:color w:val="auto"/>
              </w:rPr>
            </w:pPr>
            <w:r>
              <w:rPr>
                <w:rFonts w:ascii="Times New Roman" w:cs="Times New Roman" w:eastAsia="Times New Roman" w:hAnsi="Times New Roman"/>
                <w:sz w:val="18"/>
                <w:szCs w:val="18"/>
                <w:color w:val="auto"/>
              </w:rPr>
              <w:t xml:space="preserve">Thermal MWh sold (in thousands) </w:t>
            </w:r>
            <w:r>
              <w:rPr>
                <w:rFonts w:ascii="Times New Roman" w:cs="Times New Roman" w:eastAsia="Times New Roman" w:hAnsi="Times New Roman"/>
                <w:sz w:val="29"/>
                <w:szCs w:val="29"/>
                <w:color w:val="auto"/>
                <w:vertAlign w:val="superscript"/>
              </w:rPr>
              <w:t>(b)</w:t>
            </w:r>
          </w:p>
        </w:tc>
        <w:tc>
          <w:tcPr>
            <w:tcW w:w="68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620" w:type="dxa"/>
            <w:vAlign w:val="bottom"/>
            <w:shd w:val="clear" w:color="auto" w:fill="CCEEFF"/>
          </w:tcPr>
          <w:p>
            <w:pPr>
              <w:spacing w:after="0"/>
              <w:rPr>
                <w:sz w:val="22"/>
                <w:szCs w:val="22"/>
                <w:color w:val="auto"/>
              </w:rPr>
            </w:pPr>
          </w:p>
        </w:tc>
        <w:tc>
          <w:tcPr>
            <w:tcW w:w="540" w:type="dxa"/>
            <w:vAlign w:val="bottom"/>
            <w:shd w:val="clear" w:color="auto" w:fill="CCEEFF"/>
          </w:tcPr>
          <w:p>
            <w:pPr>
              <w:spacing w:after="0"/>
              <w:rPr>
                <w:sz w:val="22"/>
                <w:szCs w:val="22"/>
                <w:color w:val="auto"/>
              </w:rPr>
            </w:pP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79</w:t>
            </w:r>
          </w:p>
        </w:tc>
        <w:tc>
          <w:tcPr>
            <w:tcW w:w="28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7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220" w:type="dxa"/>
            <w:vAlign w:val="bottom"/>
            <w:shd w:val="clear" w:color="auto" w:fill="CCEEFF"/>
          </w:tcPr>
          <w:p>
            <w:pPr>
              <w:spacing w:after="0"/>
              <w:rPr>
                <w:sz w:val="22"/>
                <w:szCs w:val="22"/>
                <w:color w:val="auto"/>
              </w:rPr>
            </w:pPr>
          </w:p>
        </w:tc>
        <w:tc>
          <w:tcPr>
            <w:tcW w:w="6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spacing w:after="0"/>
              <w:rPr>
                <w:sz w:val="22"/>
                <w:szCs w:val="22"/>
                <w:color w:val="auto"/>
              </w:rPr>
            </w:pPr>
          </w:p>
        </w:tc>
        <w:tc>
          <w:tcPr>
            <w:tcW w:w="6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138</w:t>
            </w:r>
          </w:p>
        </w:tc>
        <w:tc>
          <w:tcPr>
            <w:tcW w:w="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33</w:t>
            </w:r>
          </w:p>
        </w:tc>
      </w:tr>
      <w:tr>
        <w:trPr>
          <w:trHeight w:val="257"/>
        </w:trPr>
        <w:tc>
          <w:tcPr>
            <w:tcW w:w="20" w:type="dxa"/>
            <w:vAlign w:val="bottom"/>
          </w:tcPr>
          <w:p>
            <w:pPr>
              <w:spacing w:after="0"/>
              <w:rPr>
                <w:sz w:val="22"/>
                <w:szCs w:val="22"/>
                <w:color w:val="auto"/>
              </w:rPr>
            </w:pPr>
          </w:p>
        </w:tc>
        <w:tc>
          <w:tcPr>
            <w:tcW w:w="4480" w:type="dxa"/>
            <w:vAlign w:val="bottom"/>
            <w:gridSpan w:val="2"/>
          </w:tcPr>
          <w:p>
            <w:pPr>
              <w:ind w:left="160"/>
              <w:spacing w:after="0" w:line="256" w:lineRule="exact"/>
              <w:rPr>
                <w:sz w:val="20"/>
                <w:szCs w:val="20"/>
                <w:color w:val="auto"/>
              </w:rPr>
            </w:pPr>
            <w:r>
              <w:rPr>
                <w:rFonts w:ascii="Times New Roman" w:cs="Times New Roman" w:eastAsia="Times New Roman" w:hAnsi="Times New Roman"/>
                <w:sz w:val="18"/>
                <w:szCs w:val="18"/>
                <w:color w:val="auto"/>
              </w:rPr>
              <w:t xml:space="preserve">Conventional MWh generated (in thousands) </w:t>
            </w:r>
            <w:r>
              <w:rPr>
                <w:rFonts w:ascii="Times New Roman" w:cs="Times New Roman" w:eastAsia="Times New Roman" w:hAnsi="Times New Roman"/>
                <w:sz w:val="29"/>
                <w:szCs w:val="29"/>
                <w:color w:val="auto"/>
                <w:vertAlign w:val="superscript"/>
              </w:rPr>
              <w:t>(a)(c)</w:t>
            </w:r>
          </w:p>
        </w:tc>
        <w:tc>
          <w:tcPr>
            <w:tcW w:w="6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860" w:type="dxa"/>
            <w:vAlign w:val="bottom"/>
            <w:gridSpan w:val="3"/>
          </w:tcPr>
          <w:p>
            <w:pPr>
              <w:jc w:val="right"/>
              <w:ind w:right="280"/>
              <w:spacing w:after="0"/>
              <w:rPr>
                <w:sz w:val="20"/>
                <w:szCs w:val="20"/>
                <w:color w:val="auto"/>
              </w:rPr>
            </w:pPr>
            <w:r>
              <w:rPr>
                <w:rFonts w:ascii="Times New Roman" w:cs="Times New Roman" w:eastAsia="Times New Roman" w:hAnsi="Times New Roman"/>
                <w:sz w:val="18"/>
                <w:szCs w:val="18"/>
                <w:color w:val="auto"/>
              </w:rPr>
              <w:t>501</w:t>
            </w:r>
          </w:p>
        </w:tc>
        <w:tc>
          <w:tcPr>
            <w:tcW w:w="360" w:type="dxa"/>
            <w:vAlign w:val="bottom"/>
          </w:tcPr>
          <w:p>
            <w:pPr>
              <w:spacing w:after="0"/>
              <w:rPr>
                <w:sz w:val="22"/>
                <w:szCs w:val="22"/>
                <w:color w:val="auto"/>
              </w:rPr>
            </w:pPr>
          </w:p>
        </w:tc>
        <w:tc>
          <w:tcPr>
            <w:tcW w:w="9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611</w:t>
            </w:r>
          </w:p>
        </w:tc>
        <w:tc>
          <w:tcPr>
            <w:tcW w:w="6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6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826</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1,416</w:t>
            </w:r>
          </w:p>
        </w:tc>
      </w:tr>
      <w:tr>
        <w:trPr>
          <w:trHeight w:val="216"/>
        </w:trPr>
        <w:tc>
          <w:tcPr>
            <w:tcW w:w="20" w:type="dxa"/>
            <w:vAlign w:val="bottom"/>
          </w:tcPr>
          <w:p>
            <w:pPr>
              <w:spacing w:after="0"/>
              <w:rPr>
                <w:sz w:val="18"/>
                <w:szCs w:val="18"/>
                <w:color w:val="auto"/>
              </w:rPr>
            </w:pPr>
          </w:p>
        </w:tc>
        <w:tc>
          <w:tcPr>
            <w:tcW w:w="4480" w:type="dxa"/>
            <w:vAlign w:val="bottom"/>
            <w:gridSpan w:val="2"/>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Conventional equivalent availability factor</w:t>
            </w:r>
          </w:p>
        </w:tc>
        <w:tc>
          <w:tcPr>
            <w:tcW w:w="6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60" w:type="dxa"/>
            <w:vAlign w:val="bottom"/>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99.4%</w:t>
            </w:r>
          </w:p>
        </w:tc>
        <w:tc>
          <w:tcPr>
            <w:tcW w:w="360" w:type="dxa"/>
            <w:vAlign w:val="bottom"/>
            <w:shd w:val="clear" w:color="auto" w:fill="CCEEFF"/>
          </w:tcPr>
          <w:p>
            <w:pPr>
              <w:spacing w:after="0"/>
              <w:rPr>
                <w:sz w:val="18"/>
                <w:szCs w:val="18"/>
                <w:color w:val="auto"/>
              </w:rPr>
            </w:pPr>
          </w:p>
        </w:tc>
        <w:tc>
          <w:tcPr>
            <w:tcW w:w="980" w:type="dxa"/>
            <w:vAlign w:val="bottom"/>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97.0%</w:t>
            </w:r>
          </w:p>
        </w:tc>
        <w:tc>
          <w:tcPr>
            <w:tcW w:w="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93.8%</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93.2%</w:t>
            </w:r>
          </w:p>
        </w:tc>
      </w:tr>
    </w:tbl>
    <w:p>
      <w:pPr>
        <w:spacing w:after="0" w:line="151" w:lineRule="exact"/>
        <w:rPr>
          <w:sz w:val="20"/>
          <w:szCs w:val="20"/>
          <w:color w:val="auto"/>
        </w:rPr>
      </w:pPr>
    </w:p>
    <w:p>
      <w:pPr>
        <w:ind w:left="220" w:hanging="212"/>
        <w:spacing w:after="0"/>
        <w:tabs>
          <w:tab w:leader="none" w:pos="220" w:val="left"/>
        </w:tabs>
        <w:numPr>
          <w:ilvl w:val="0"/>
          <w:numId w:val="2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Volumes do not include the MWh generated/sold by the Company's equity method investments.</w:t>
      </w:r>
    </w:p>
    <w:p>
      <w:pPr>
        <w:spacing w:after="0" w:line="42" w:lineRule="exact"/>
        <w:rPr>
          <w:rFonts w:ascii="Times New Roman" w:cs="Times New Roman" w:eastAsia="Times New Roman" w:hAnsi="Times New Roman"/>
          <w:sz w:val="28"/>
          <w:szCs w:val="28"/>
          <w:color w:val="auto"/>
          <w:vertAlign w:val="superscript"/>
        </w:rPr>
      </w:pPr>
    </w:p>
    <w:p>
      <w:pPr>
        <w:ind w:right="40" w:firstLine="8"/>
        <w:spacing w:after="0" w:line="232" w:lineRule="auto"/>
        <w:tabs>
          <w:tab w:leader="none" w:pos="212" w:val="left"/>
        </w:tabs>
        <w:numPr>
          <w:ilvl w:val="0"/>
          <w:numId w:val="29"/>
        </w:numPr>
        <w:rPr>
          <w:rFonts w:ascii="Times New Roman" w:cs="Times New Roman" w:eastAsia="Times New Roman" w:hAnsi="Times New Roman"/>
          <w:sz w:val="26"/>
          <w:szCs w:val="26"/>
          <w:color w:val="auto"/>
          <w:vertAlign w:val="superscript"/>
        </w:rPr>
      </w:pPr>
      <w:r>
        <w:rPr>
          <w:rFonts w:ascii="Times New Roman" w:cs="Times New Roman" w:eastAsia="Times New Roman" w:hAnsi="Times New Roman"/>
          <w:sz w:val="16"/>
          <w:szCs w:val="16"/>
          <w:color w:val="auto"/>
        </w:rPr>
        <w:t xml:space="preserve">MWh sold do not include 56 MWh during the three months ended September 30, 2018 and 1 MWh and 85 MWh during the nine months ended September 30, 2019 and 2018, respectively, generated by Dover, a subsidiary of the Company, under the PPA with NRG Power Marketing, as further described in Note 11 </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Related Party Transactions</w:t>
      </w:r>
      <w:r>
        <w:rPr>
          <w:rFonts w:ascii="Times New Roman" w:cs="Times New Roman" w:eastAsia="Times New Roman" w:hAnsi="Times New Roman"/>
          <w:sz w:val="16"/>
          <w:szCs w:val="16"/>
          <w:color w:val="auto"/>
        </w:rPr>
        <w:t>.</w:t>
      </w:r>
    </w:p>
    <w:p>
      <w:pPr>
        <w:spacing w:after="0" w:line="1" w:lineRule="exact"/>
        <w:rPr>
          <w:rFonts w:ascii="Times New Roman" w:cs="Times New Roman" w:eastAsia="Times New Roman" w:hAnsi="Times New Roman"/>
          <w:sz w:val="26"/>
          <w:szCs w:val="26"/>
          <w:color w:val="auto"/>
          <w:vertAlign w:val="superscript"/>
        </w:rPr>
      </w:pPr>
    </w:p>
    <w:p>
      <w:pPr>
        <w:ind w:left="220" w:hanging="212"/>
        <w:spacing w:after="0" w:line="191" w:lineRule="auto"/>
        <w:tabs>
          <w:tab w:leader="none" w:pos="220" w:val="left"/>
        </w:tabs>
        <w:numPr>
          <w:ilvl w:val="0"/>
          <w:numId w:val="29"/>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Volumes generated are not sold by the Company as the Conventional facilities sell capacity rather than energy.</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of the Results of Operations for the Three Months Ended September 30, 2019 and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Gross Margin</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85"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below tables present the composition of gross margin, as well as the reconciliation to economic gross margin, for the three months ended September 30, 2019 and 2018:</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58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60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2019</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fuels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 amortization</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48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35</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276</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 amortization</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6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15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36</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580" w:type="dxa"/>
            <w:vAlign w:val="bottom"/>
            <w:shd w:val="clear" w:color="auto" w:fill="CCEEFF"/>
          </w:tcPr>
          <w:p>
            <w:pPr>
              <w:spacing w:after="0"/>
              <w:rPr>
                <w:sz w:val="17"/>
                <w:szCs w:val="17"/>
                <w:color w:val="auto"/>
              </w:rPr>
            </w:pPr>
          </w:p>
        </w:tc>
        <w:tc>
          <w:tcPr>
            <w:tcW w:w="14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Three months ended September 30, 2018</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47</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jc w:val="right"/>
              <w:ind w:right="14"/>
              <w:spacing w:after="0"/>
              <w:rPr>
                <w:sz w:val="20"/>
                <w:szCs w:val="20"/>
                <w:color w:val="auto"/>
              </w:rPr>
            </w:pPr>
            <w:r>
              <w:rPr>
                <w:rFonts w:ascii="Times New Roman" w:cs="Times New Roman" w:eastAsia="Times New Roman" w:hAnsi="Times New Roman"/>
                <w:sz w:val="18"/>
                <w:szCs w:val="18"/>
                <w:color w:val="auto"/>
              </w:rPr>
              <w:t>7</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fuels</w:t>
            </w:r>
          </w:p>
        </w:tc>
        <w:tc>
          <w:tcPr>
            <w:tcW w:w="1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58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Contract amortization</w:t>
            </w:r>
          </w:p>
        </w:tc>
        <w:tc>
          <w:tcPr>
            <w:tcW w:w="1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jc w:val="right"/>
              <w:spacing w:after="0" w:line="16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580" w:type="dxa"/>
            <w:vAlign w:val="bottom"/>
            <w:vMerge w:val="continue"/>
          </w:tcPr>
          <w:p>
            <w:pPr>
              <w:spacing w:after="0"/>
              <w:rPr>
                <w:sz w:val="5"/>
                <w:szCs w:val="5"/>
                <w:color w:val="auto"/>
              </w:rPr>
            </w:pPr>
          </w:p>
        </w:tc>
        <w:tc>
          <w:tcPr>
            <w:tcW w:w="148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tcPr>
          <w:p>
            <w:pPr>
              <w:jc w:val="right"/>
              <w:ind w:right="14"/>
              <w:spacing w:after="0" w:line="68" w:lineRule="exact"/>
              <w:rPr>
                <w:sz w:val="20"/>
                <w:szCs w:val="20"/>
                <w:color w:val="auto"/>
              </w:rPr>
            </w:pPr>
            <w:r>
              <w:rPr>
                <w:rFonts w:ascii="Times New Roman" w:cs="Times New Roman" w:eastAsia="Times New Roman" w:hAnsi="Times New Roman"/>
                <w:sz w:val="7"/>
                <w:szCs w:val="7"/>
                <w:color w:val="auto"/>
              </w:rPr>
              <w:t>(1</w:t>
            </w: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4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33</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272</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 amortization</w:t>
            </w:r>
          </w:p>
        </w:tc>
        <w:tc>
          <w:tcPr>
            <w:tcW w:w="1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15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120" w:type="dxa"/>
            <w:vAlign w:val="bottom"/>
            <w:shd w:val="clear" w:color="auto" w:fill="CCEEFF"/>
          </w:tcPr>
          <w:p>
            <w:pPr>
              <w:spacing w:after="0"/>
              <w:rPr>
                <w:sz w:val="19"/>
                <w:szCs w:val="19"/>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w:t>
            </w:r>
          </w:p>
        </w:tc>
        <w:tc>
          <w:tcPr>
            <w:tcW w:w="100" w:type="dxa"/>
            <w:vAlign w:val="bottom"/>
            <w:shd w:val="clear" w:color="auto" w:fill="CCEEFF"/>
          </w:tcPr>
          <w:p>
            <w:pPr>
              <w:spacing w:after="0"/>
              <w:rPr>
                <w:sz w:val="19"/>
                <w:szCs w:val="19"/>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34</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1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80" w:type="dxa"/>
            <w:vAlign w:val="bottom"/>
            <w:tcBorders>
              <w:top w:val="single" w:sz="8" w:color="CCEEFF"/>
            </w:tcBorders>
            <w:shd w:val="clear" w:color="auto" w:fill="CCEEFF"/>
          </w:tcPr>
          <w:p>
            <w:pPr>
              <w:spacing w:after="0" w:line="20" w:lineRule="exact"/>
              <w:rPr>
                <w:sz w:val="1"/>
                <w:szCs w:val="1"/>
                <w:color w:val="auto"/>
              </w:rPr>
            </w:pPr>
          </w:p>
        </w:tc>
        <w:tc>
          <w:tcPr>
            <w:tcW w:w="1480" w:type="dxa"/>
            <w:vAlign w:val="bottom"/>
            <w:tcBorders>
              <w:top w:val="single" w:sz="8" w:color="CCEEFF"/>
            </w:tcBorders>
            <w:shd w:val="clear" w:color="auto" w:fill="CCEEFF"/>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102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Gross margin increased by $4 million primarily due to lower outages in 2019 compared to 2018 in the Conventional segment.</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ectPr>
          <w:pgSz w:w="11900" w:h="16838" w:orient="portrait"/>
          <w:cols w:equalWidth="0" w:num="1">
            <w:col w:w="11420"/>
          </w:cols>
          <w:pgMar w:left="240" w:top="135" w:right="239" w:bottom="0" w:gutter="0" w:footer="0" w:header="0"/>
        </w:sectPr>
      </w:pPr>
    </w:p>
    <w:bookmarkStart w:id="43" w:name="page44"/>
    <w:bookmarkEnd w:id="43"/>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Depreciation and amortization expense increased by $28 million during the three months ended September 30, 2019, compared to the same period in 2018, primarily due to accelerated depreciation at Wildorado Wind and Elbow Creek projects in connection with the repowering activities. For further discussion, see Note 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Transaction and Integration Costs</w:t>
      </w:r>
    </w:p>
    <w:p>
      <w:pPr>
        <w:spacing w:after="0" w:line="229" w:lineRule="exact"/>
        <w:rPr>
          <w:sz w:val="20"/>
          <w:szCs w:val="20"/>
          <w:color w:val="auto"/>
        </w:rPr>
      </w:pPr>
    </w:p>
    <w:p>
      <w:pPr>
        <w:jc w:val="both"/>
        <w:ind w:firstLine="324"/>
        <w:spacing w:after="0" w:line="282" w:lineRule="auto"/>
        <w:rPr>
          <w:sz w:val="20"/>
          <w:szCs w:val="20"/>
          <w:color w:val="auto"/>
        </w:rPr>
      </w:pPr>
      <w:r>
        <w:rPr>
          <w:rFonts w:ascii="Times New Roman" w:cs="Times New Roman" w:eastAsia="Times New Roman" w:hAnsi="Times New Roman"/>
          <w:sz w:val="18"/>
          <w:szCs w:val="18"/>
          <w:color w:val="auto"/>
        </w:rPr>
        <w:t>Transaction and integration costs of $17 million during the three months ended September 30, 2018, primarily reflect fees paid to advisors and other costs associated with the GIP Transaction.</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of Unconsolidated Affiliates</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Equity in earnings of unconsolidated affiliates increased by $6 million during the three months ended September 30, 2019, compared to the same period in 2018, primarily due to income allocated to the Company using the HLBV method of accounting in its distributed partnerships with CEG. The HLBV method of accounting generally allocates more losses to the TE investors in the first several years after fund formation, and conversely, more income to the Company.</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increased by $32 million during the three months ended September 30, 2019, compared to the same period in 2018, due to the following:</w:t>
      </w:r>
    </w:p>
    <w:p>
      <w:pPr>
        <w:spacing w:after="0" w:line="164" w:lineRule="exact"/>
        <w:rPr>
          <w:sz w:val="20"/>
          <w:szCs w:val="20"/>
          <w:color w:val="auto"/>
        </w:rPr>
      </w:pPr>
    </w:p>
    <w:tbl>
      <w:tblPr>
        <w:tblLayout w:type="fixed"/>
        <w:tblInd w:w="300" w:type="dxa"/>
        <w:tblCellMar>
          <w:top w:w="0" w:type="dxa"/>
          <w:left w:w="0" w:type="dxa"/>
          <w:bottom w:w="0" w:type="dxa"/>
          <w:right w:w="0" w:type="dxa"/>
        </w:tblCellMar>
      </w:tblPr>
      <w:tr>
        <w:trPr>
          <w:trHeight w:val="203"/>
        </w:trPr>
        <w:tc>
          <w:tcPr>
            <w:tcW w:w="95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jc w:val="right"/>
              <w:ind w:right="313"/>
              <w:spacing w:after="0"/>
              <w:rPr>
                <w:sz w:val="20"/>
                <w:szCs w:val="20"/>
                <w:color w:val="auto"/>
              </w:rPr>
            </w:pPr>
            <w:r>
              <w:rPr>
                <w:rFonts w:ascii="Times New Roman" w:cs="Times New Roman" w:eastAsia="Times New Roman" w:hAnsi="Times New Roman"/>
                <w:sz w:val="16"/>
                <w:szCs w:val="16"/>
                <w:b w:val="1"/>
                <w:bCs w:val="1"/>
                <w:color w:val="auto"/>
              </w:rPr>
              <w:t>Increase</w:t>
            </w:r>
          </w:p>
        </w:tc>
        <w:tc>
          <w:tcPr>
            <w:tcW w:w="0" w:type="dxa"/>
            <w:vAlign w:val="bottom"/>
          </w:tcPr>
          <w:p>
            <w:pPr>
              <w:spacing w:after="0"/>
              <w:rPr>
                <w:sz w:val="1"/>
                <w:szCs w:val="1"/>
                <w:color w:val="auto"/>
              </w:rPr>
            </w:pPr>
          </w:p>
        </w:tc>
      </w:tr>
      <w:tr>
        <w:trPr>
          <w:trHeight w:val="218"/>
        </w:trPr>
        <w:tc>
          <w:tcPr>
            <w:tcW w:w="952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ind w:right="253"/>
              <w:spacing w:after="0"/>
              <w:rPr>
                <w:sz w:val="20"/>
                <w:szCs w:val="20"/>
                <w:color w:val="auto"/>
              </w:rPr>
            </w:pPr>
            <w:r>
              <w:rPr>
                <w:rFonts w:ascii="Times New Roman" w:cs="Times New Roman" w:eastAsia="Times New Roman" w:hAnsi="Times New Roman"/>
                <w:sz w:val="16"/>
                <w:szCs w:val="16"/>
                <w:b w:val="1"/>
                <w:bCs w:val="1"/>
                <w:color w:val="auto"/>
              </w:rPr>
              <w:t>(Decrease)</w:t>
            </w:r>
          </w:p>
        </w:tc>
        <w:tc>
          <w:tcPr>
            <w:tcW w:w="0" w:type="dxa"/>
            <w:vAlign w:val="bottom"/>
          </w:tcPr>
          <w:p>
            <w:pPr>
              <w:spacing w:after="0"/>
              <w:rPr>
                <w:sz w:val="1"/>
                <w:szCs w:val="1"/>
                <w:color w:val="auto"/>
              </w:rPr>
            </w:pPr>
          </w:p>
        </w:tc>
      </w:tr>
      <w:tr>
        <w:trPr>
          <w:trHeight w:val="210"/>
        </w:trPr>
        <w:tc>
          <w:tcPr>
            <w:tcW w:w="95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swaps</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36</w:t>
            </w:r>
          </w:p>
        </w:tc>
        <w:tc>
          <w:tcPr>
            <w:tcW w:w="0" w:type="dxa"/>
            <w:vAlign w:val="bottom"/>
          </w:tcPr>
          <w:p>
            <w:pPr>
              <w:spacing w:after="0"/>
              <w:rPr>
                <w:sz w:val="1"/>
                <w:szCs w:val="1"/>
                <w:color w:val="auto"/>
              </w:rPr>
            </w:pPr>
          </w:p>
        </w:tc>
      </w:tr>
      <w:tr>
        <w:trPr>
          <w:trHeight w:val="216"/>
        </w:trPr>
        <w:tc>
          <w:tcPr>
            <w:tcW w:w="9520" w:type="dxa"/>
            <w:vAlign w:val="bottom"/>
          </w:tcPr>
          <w:p>
            <w:pPr>
              <w:spacing w:after="0"/>
              <w:rPr>
                <w:sz w:val="20"/>
                <w:szCs w:val="20"/>
                <w:color w:val="auto"/>
              </w:rPr>
            </w:pPr>
            <w:r>
              <w:rPr>
                <w:rFonts w:ascii="Times New Roman" w:cs="Times New Roman" w:eastAsia="Times New Roman" w:hAnsi="Times New Roman"/>
                <w:sz w:val="18"/>
                <w:szCs w:val="18"/>
                <w:color w:val="auto"/>
              </w:rPr>
              <w:t>Lower interest expense in connection with lower project-level debt</w:t>
            </w:r>
          </w:p>
        </w:tc>
        <w:tc>
          <w:tcPr>
            <w:tcW w:w="16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198"/>
        </w:trPr>
        <w:tc>
          <w:tcPr>
            <w:tcW w:w="952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the 2025 Senior Notes in October 2018, partially offset by lower interest expense due to maturity and repayment of the</w:t>
            </w:r>
          </w:p>
        </w:tc>
        <w:tc>
          <w:tcPr>
            <w:tcW w:w="160" w:type="dxa"/>
            <w:vAlign w:val="bottom"/>
            <w:shd w:val="clear" w:color="auto" w:fill="CCEEFF"/>
          </w:tcPr>
          <w:p>
            <w:pPr>
              <w:spacing w:after="0"/>
              <w:rPr>
                <w:sz w:val="17"/>
                <w:szCs w:val="17"/>
                <w:color w:val="auto"/>
              </w:rPr>
            </w:pPr>
          </w:p>
        </w:tc>
        <w:tc>
          <w:tcPr>
            <w:tcW w:w="11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95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remaining balance of the 2019 Convertible Notes in February 2019, as well as partial repayment of the 2020 Convertible Notes</w:t>
            </w:r>
          </w:p>
        </w:tc>
        <w:tc>
          <w:tcPr>
            <w:tcW w:w="160" w:type="dxa"/>
            <w:vAlign w:val="bottom"/>
            <w:shd w:val="clear" w:color="auto" w:fill="CCEEFF"/>
          </w:tcPr>
          <w:p>
            <w:pPr>
              <w:spacing w:after="0"/>
              <w:rPr>
                <w:sz w:val="18"/>
                <w:szCs w:val="18"/>
                <w:color w:val="auto"/>
              </w:rPr>
            </w:pPr>
          </w:p>
        </w:tc>
        <w:tc>
          <w:tcPr>
            <w:tcW w:w="1140" w:type="dxa"/>
            <w:vAlign w:val="bottom"/>
            <w:vMerge w:val="restart"/>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21"/>
        </w:trPr>
        <w:tc>
          <w:tcPr>
            <w:tcW w:w="95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in October 2018</w:t>
            </w:r>
          </w:p>
        </w:tc>
        <w:tc>
          <w:tcPr>
            <w:tcW w:w="160" w:type="dxa"/>
            <w:vAlign w:val="bottom"/>
            <w:tcBorders>
              <w:bottom w:val="single" w:sz="8" w:color="auto"/>
            </w:tcBorders>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95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40" w:type="dxa"/>
            <w:vAlign w:val="bottom"/>
            <w:tcBorders>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20"/>
        </w:trPr>
        <w:tc>
          <w:tcPr>
            <w:tcW w:w="95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For the three months ended September 30, 2019, the Company recorded income an income tax benefit of $11 million on pretax income of $24 million.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the same period in 2018, the Company recorded income tax expense of $11 million on pretax income of $60 million.</w:t>
      </w:r>
    </w:p>
    <w:p>
      <w:pPr>
        <w:spacing w:after="0" w:line="207"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three months ended September 30, 2019 and 2018, the overall effective tax rates were different than the statutory rate of 21% primarily due to taxable earnings and losses allocated to partners' interests in Clearway Energy LLC, which includes the effects of applying HLBV method of accounting for book purposes for certain projects.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Attributable to Noncontrolling Interests</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For the three months ended September 30, 2019, the Company had income of $22 million attributable to CEG's economic interest in Clearway Energy LLC, partially offset by a loss of $17 million attributable to noncontrolling interests with respect to its tax equity financing arrangements and the application of the HLBV method, as well a loss of $9 million attributable to CEG's interests in the Kawailoa, Oahu and Repowering partnerships. For the two months ended August 31, 2018, the Company had income of $14 million attributable to NRG's economic interest in Clearway Energy LLC. For the one month ended September 30, 2018, the Company had income of $15 million attributable to CEG's economic interest in Clearway Energy LLC and Repowering LLC. Additionally, for the three months ended September 30, 2018, the Company a loss of $1 million attributable to noncontrolling interests with respect to its tax equity financing arrangements and the application of the HLBV method.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Management’s Discussion of the Results of Operations for the Nine Months Ended September 30, 2019 and 2018</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Margin</w:t>
      </w:r>
    </w:p>
    <w:p>
      <w:pPr>
        <w:spacing w:after="0" w:line="229" w:lineRule="exact"/>
        <w:rPr>
          <w:sz w:val="20"/>
          <w:szCs w:val="20"/>
          <w:color w:val="auto"/>
        </w:rPr>
      </w:pPr>
    </w:p>
    <w:p>
      <w:pPr>
        <w:jc w:val="both"/>
        <w:ind w:right="20" w:firstLine="392"/>
        <w:spacing w:after="0" w:line="282" w:lineRule="auto"/>
        <w:rPr>
          <w:sz w:val="20"/>
          <w:szCs w:val="20"/>
          <w:color w:val="auto"/>
        </w:rPr>
      </w:pPr>
      <w:r>
        <w:rPr>
          <w:rFonts w:ascii="Times New Roman" w:cs="Times New Roman" w:eastAsia="Times New Roman" w:hAnsi="Times New Roman"/>
          <w:sz w:val="18"/>
          <w:szCs w:val="18"/>
          <w:color w:val="auto"/>
        </w:rPr>
        <w:t>The Company calculates gross margin in order to evaluate operating performance as operating revenues less cost of sales, which includes cost of fuel, contract and emission credit amortization and mark-to-market for economic hedging activities.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Economic Gross Margin</w:t>
      </w:r>
    </w:p>
    <w:p>
      <w:pPr>
        <w:spacing w:after="0" w:line="229" w:lineRule="exact"/>
        <w:rPr>
          <w:sz w:val="20"/>
          <w:szCs w:val="20"/>
          <w:color w:val="auto"/>
        </w:rPr>
      </w:pPr>
    </w:p>
    <w:p>
      <w:pPr>
        <w:jc w:val="both"/>
        <w:ind w:firstLine="392"/>
        <w:spacing w:after="0" w:line="255" w:lineRule="auto"/>
        <w:rPr>
          <w:sz w:val="20"/>
          <w:szCs w:val="20"/>
          <w:color w:val="auto"/>
        </w:rPr>
      </w:pPr>
      <w:r>
        <w:rPr>
          <w:rFonts w:ascii="Times New Roman" w:cs="Times New Roman" w:eastAsia="Times New Roman" w:hAnsi="Times New Roman"/>
          <w:sz w:val="18"/>
          <w:szCs w:val="18"/>
          <w:color w:val="auto"/>
        </w:rPr>
        <w:t>In addition to gross margin, the Company evaluates its operating performance using the measure of economic gross margin, which is not a GAAP measure and may not be comparable to other companies’ presentations or deemed more useful than the GAAP information provided elsewhere in this report. Economic gross margin should be viewed as a supplement to and not a substitute for the Company's presentation of gross margin, which is the most directly comparable GAAP measure. Economic gross margin is not intended to represent gross margin. The Company believes that economic gross margin is useful to investors as it is a key operational measure reviewed by the Company's chief operating decision maker. Economic gross margin is defined as energy and capacity revenue less cost of fuels. Economic gross margin excludes the following components from GAAP gross margin: contract amortization, mark-to-market results, emissions credit amortization and (losses) gains on economic hedging activities. Mark-to-market results consist of unrealized gains and losses on contracts that are not yet settled.</w:t>
      </w:r>
    </w:p>
    <w:p>
      <w:pPr>
        <w:spacing w:after="0" w:line="185" w:lineRule="exact"/>
        <w:rPr>
          <w:sz w:val="20"/>
          <w:szCs w:val="20"/>
          <w:color w:val="auto"/>
        </w:rPr>
      </w:pPr>
    </w:p>
    <w:p>
      <w:pPr>
        <w:ind w:right="60" w:firstLine="405"/>
        <w:spacing w:after="0" w:line="282" w:lineRule="auto"/>
        <w:rPr>
          <w:sz w:val="20"/>
          <w:szCs w:val="20"/>
          <w:color w:val="auto"/>
        </w:rPr>
      </w:pPr>
      <w:r>
        <w:rPr>
          <w:rFonts w:ascii="Times New Roman" w:cs="Times New Roman" w:eastAsia="Times New Roman" w:hAnsi="Times New Roman"/>
          <w:sz w:val="18"/>
          <w:szCs w:val="18"/>
          <w:color w:val="auto"/>
        </w:rPr>
        <w:t>The below tables present the composition of gross margin, as well as the reconciliation to economic gross margin, for the nine months ended September 30, 2019 and 2018:</w:t>
      </w:r>
    </w:p>
    <w:p>
      <w:pPr>
        <w:sectPr>
          <w:pgSz w:w="11900" w:h="16947" w:orient="portrait"/>
          <w:cols w:equalWidth="0" w:num="1">
            <w:col w:w="11420"/>
          </w:cols>
          <w:pgMar w:left="240" w:top="117" w:right="239" w:bottom="0" w:gutter="0" w:footer="0" w:header="0"/>
        </w:sectPr>
      </w:pPr>
    </w:p>
    <w:bookmarkStart w:id="44" w:name="page45"/>
    <w:bookmarkEnd w:id="44"/>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 w:type="dxa"/>
            <w:vAlign w:val="bottom"/>
          </w:tcPr>
          <w:p>
            <w:pPr>
              <w:spacing w:after="0"/>
              <w:rPr>
                <w:sz w:val="17"/>
                <w:szCs w:val="17"/>
                <w:color w:val="auto"/>
              </w:rPr>
            </w:pPr>
          </w:p>
        </w:tc>
        <w:tc>
          <w:tcPr>
            <w:tcW w:w="432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tcPr>
          <w:p>
            <w:pPr>
              <w:jc w:val="right"/>
              <w:ind w:right="31"/>
              <w:spacing w:after="0"/>
              <w:rPr>
                <w:sz w:val="20"/>
                <w:szCs w:val="20"/>
                <w:color w:val="auto"/>
              </w:rPr>
            </w:pPr>
            <w:r>
              <w:rPr>
                <w:rFonts w:ascii="Times New Roman" w:cs="Times New Roman" w:eastAsia="Times New Roman" w:hAnsi="Times New Roman"/>
                <w:sz w:val="16"/>
                <w:szCs w:val="16"/>
                <w:b w:val="1"/>
                <w:bCs w:val="1"/>
                <w:color w:val="auto"/>
              </w:rPr>
              <w:t>Conventional</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8"/>
        </w:trPr>
        <w:tc>
          <w:tcPr>
            <w:tcW w:w="4340" w:type="dxa"/>
            <w:vAlign w:val="bottom"/>
            <w:gridSpan w:val="2"/>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Generation</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ind w:right="71"/>
              <w:spacing w:after="0"/>
              <w:rPr>
                <w:sz w:val="20"/>
                <w:szCs w:val="20"/>
                <w:color w:val="auto"/>
              </w:rPr>
            </w:pPr>
            <w:r>
              <w:rPr>
                <w:rFonts w:ascii="Times New Roman" w:cs="Times New Roman" w:eastAsia="Times New Roman" w:hAnsi="Times New Roman"/>
                <w:sz w:val="16"/>
                <w:szCs w:val="16"/>
                <w:b w:val="1"/>
                <w:bCs w:val="1"/>
                <w:color w:val="auto"/>
              </w:rPr>
              <w:t>Renewables</w:t>
            </w:r>
          </w:p>
        </w:tc>
        <w:tc>
          <w:tcPr>
            <w:tcW w:w="1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360"/>
              <w:spacing w:after="0"/>
              <w:rPr>
                <w:sz w:val="20"/>
                <w:szCs w:val="20"/>
                <w:color w:val="auto"/>
              </w:rPr>
            </w:pPr>
            <w:r>
              <w:rPr>
                <w:rFonts w:ascii="Times New Roman" w:cs="Times New Roman" w:eastAsia="Times New Roman" w:hAnsi="Times New Roman"/>
                <w:sz w:val="16"/>
                <w:szCs w:val="16"/>
                <w:b w:val="1"/>
                <w:bCs w:val="1"/>
                <w:color w:val="auto"/>
              </w:rPr>
              <w:t>Thermal</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jc w:val="right"/>
              <w:ind w:right="311"/>
              <w:spacing w:after="0"/>
              <w:rPr>
                <w:sz w:val="20"/>
                <w:szCs w:val="20"/>
                <w:color w:val="auto"/>
              </w:rPr>
            </w:pPr>
            <w:r>
              <w:rPr>
                <w:rFonts w:ascii="Times New Roman" w:cs="Times New Roman" w:eastAsia="Times New Roman" w:hAnsi="Times New Roman"/>
                <w:sz w:val="16"/>
                <w:szCs w:val="16"/>
                <w:b w:val="1"/>
                <w:bCs w:val="1"/>
                <w:color w:val="auto"/>
              </w:rPr>
              <w:t>Total</w:t>
            </w:r>
          </w:p>
        </w:tc>
        <w:tc>
          <w:tcPr>
            <w:tcW w:w="100" w:type="dxa"/>
            <w:vAlign w:val="bottom"/>
            <w:tcBorders>
              <w:bottom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2019</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132</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22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Cost of fuels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(54)</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Contract amortization</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7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6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392</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98</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 amortization</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Mark-to-market for economic hedges</w:t>
            </w: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3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1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257</w:t>
            </w:r>
          </w:p>
        </w:tc>
        <w:tc>
          <w:tcPr>
            <w:tcW w:w="120" w:type="dxa"/>
            <w:vAlign w:val="bottom"/>
          </w:tcPr>
          <w:p>
            <w:pPr>
              <w:spacing w:after="0"/>
              <w:rPr>
                <w:sz w:val="18"/>
                <w:szCs w:val="18"/>
                <w:color w:val="auto"/>
              </w:rPr>
            </w:pPr>
          </w:p>
        </w:tc>
        <w:tc>
          <w:tcPr>
            <w:tcW w:w="2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447</w:t>
            </w:r>
          </w:p>
        </w:tc>
        <w:tc>
          <w:tcPr>
            <w:tcW w:w="100" w:type="dxa"/>
            <w:vAlign w:val="bottom"/>
          </w:tcPr>
          <w:p>
            <w:pPr>
              <w:spacing w:after="0"/>
              <w:rPr>
                <w:sz w:val="18"/>
                <w:szCs w:val="18"/>
                <w:color w:val="auto"/>
              </w:rPr>
            </w:pPr>
          </w:p>
        </w:tc>
        <w:tc>
          <w:tcPr>
            <w:tcW w:w="28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100</w:t>
            </w:r>
          </w:p>
        </w:tc>
        <w:tc>
          <w:tcPr>
            <w:tcW w:w="36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vMerge w:val="restart"/>
          </w:tcPr>
          <w:p>
            <w:pPr>
              <w:spacing w:after="0"/>
              <w:rPr>
                <w:sz w:val="17"/>
                <w:szCs w:val="17"/>
                <w:color w:val="auto"/>
              </w:rPr>
            </w:pPr>
          </w:p>
        </w:tc>
        <w:tc>
          <w:tcPr>
            <w:tcW w:w="4320" w:type="dxa"/>
            <w:vAlign w:val="bottom"/>
            <w:shd w:val="clear" w:color="auto" w:fill="CCEEFF"/>
          </w:tcPr>
          <w:p>
            <w:pPr>
              <w:spacing w:after="0"/>
              <w:rPr>
                <w:sz w:val="17"/>
                <w:szCs w:val="17"/>
                <w:color w:val="auto"/>
              </w:rPr>
            </w:pPr>
          </w:p>
        </w:tc>
        <w:tc>
          <w:tcPr>
            <w:tcW w:w="17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Nine months ended September 30, 2018</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Energy and capacity revenues</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255</w:t>
            </w:r>
          </w:p>
        </w:tc>
        <w:tc>
          <w:tcPr>
            <w:tcW w:w="120" w:type="dxa"/>
            <w:vAlign w:val="bottom"/>
            <w:shd w:val="clear" w:color="auto" w:fill="CCEEFF"/>
          </w:tcPr>
          <w:p>
            <w:pPr>
              <w:spacing w:after="0"/>
              <w:rPr>
                <w:sz w:val="18"/>
                <w:szCs w:val="18"/>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463</w:t>
            </w:r>
          </w:p>
        </w:tc>
        <w:tc>
          <w:tcPr>
            <w:tcW w:w="100" w:type="dxa"/>
            <w:vAlign w:val="bottom"/>
            <w:shd w:val="clear" w:color="auto" w:fill="CCEEFF"/>
          </w:tcPr>
          <w:p>
            <w:pPr>
              <w:spacing w:after="0"/>
              <w:rPr>
                <w:sz w:val="18"/>
                <w:szCs w:val="18"/>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129</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tcPr>
          <w:p>
            <w:pPr>
              <w:spacing w:after="0"/>
              <w:rPr>
                <w:sz w:val="20"/>
                <w:szCs w:val="20"/>
                <w:color w:val="auto"/>
              </w:rPr>
            </w:pPr>
            <w:r>
              <w:rPr>
                <w:rFonts w:ascii="Times New Roman" w:cs="Times New Roman" w:eastAsia="Times New Roman" w:hAnsi="Times New Roman"/>
                <w:sz w:val="18"/>
                <w:szCs w:val="18"/>
                <w:color w:val="auto"/>
              </w:rPr>
              <w:t>Other revenues</w:t>
            </w:r>
          </w:p>
        </w:tc>
        <w:tc>
          <w:tcPr>
            <w:tcW w:w="17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19</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Cost of fuels</w:t>
            </w:r>
          </w:p>
        </w:tc>
        <w:tc>
          <w:tcPr>
            <w:tcW w:w="1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(55)</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32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Contract amortization</w:t>
            </w:r>
          </w:p>
        </w:tc>
        <w:tc>
          <w:tcPr>
            <w:tcW w:w="1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gridSpan w:val="2"/>
          </w:tcPr>
          <w:p>
            <w:pPr>
              <w:jc w:val="right"/>
              <w:ind w:right="40"/>
              <w:spacing w:after="0" w:line="162" w:lineRule="exact"/>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0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jc w:val="right"/>
              <w:spacing w:after="0" w:line="162" w:lineRule="exact"/>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4320" w:type="dxa"/>
            <w:vAlign w:val="bottom"/>
            <w:vMerge w:val="continue"/>
          </w:tcPr>
          <w:p>
            <w:pPr>
              <w:spacing w:after="0"/>
              <w:rPr>
                <w:sz w:val="5"/>
                <w:szCs w:val="5"/>
                <w:color w:val="auto"/>
              </w:rPr>
            </w:pPr>
          </w:p>
        </w:tc>
        <w:tc>
          <w:tcPr>
            <w:tcW w:w="1740" w:type="dxa"/>
            <w:vAlign w:val="bottom"/>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vMerge w:val="continue"/>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20" w:type="dxa"/>
            <w:vAlign w:val="bottom"/>
          </w:tcPr>
          <w:p>
            <w:pPr>
              <w:spacing w:after="0"/>
              <w:rPr>
                <w:sz w:val="5"/>
                <w:szCs w:val="5"/>
                <w:color w:val="auto"/>
              </w:rPr>
            </w:pPr>
          </w:p>
        </w:tc>
        <w:tc>
          <w:tcPr>
            <w:tcW w:w="120" w:type="dxa"/>
            <w:vAlign w:val="bottom"/>
            <w:tcBorders>
              <w:bottom w:val="single" w:sz="8" w:color="auto"/>
            </w:tcBorders>
          </w:tcPr>
          <w:p>
            <w:pPr>
              <w:spacing w:after="0"/>
              <w:rPr>
                <w:sz w:val="5"/>
                <w:szCs w:val="5"/>
                <w:color w:val="auto"/>
              </w:rPr>
            </w:pPr>
          </w:p>
        </w:tc>
        <w:tc>
          <w:tcPr>
            <w:tcW w:w="102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Pr>
          <w:p>
            <w:pPr>
              <w:spacing w:after="0"/>
              <w:rPr>
                <w:sz w:val="5"/>
                <w:szCs w:val="5"/>
                <w:color w:val="auto"/>
              </w:rPr>
            </w:pPr>
          </w:p>
        </w:tc>
        <w:tc>
          <w:tcPr>
            <w:tcW w:w="180" w:type="dxa"/>
            <w:vAlign w:val="bottom"/>
            <w:tcBorders>
              <w:bottom w:val="single" w:sz="8" w:color="auto"/>
            </w:tcBorders>
          </w:tcPr>
          <w:p>
            <w:pPr>
              <w:spacing w:after="0"/>
              <w:rPr>
                <w:sz w:val="5"/>
                <w:szCs w:val="5"/>
                <w:color w:val="auto"/>
              </w:rPr>
            </w:pPr>
          </w:p>
        </w:tc>
        <w:tc>
          <w:tcPr>
            <w:tcW w:w="1060" w:type="dxa"/>
            <w:vAlign w:val="bottom"/>
            <w:tcBorders>
              <w:bottom w:val="single" w:sz="8" w:color="auto"/>
            </w:tcBorders>
            <w:gridSpan w:val="2"/>
          </w:tcPr>
          <w:p>
            <w:pPr>
              <w:jc w:val="right"/>
              <w:ind w:right="100"/>
              <w:spacing w:after="0" w:line="68" w:lineRule="exact"/>
              <w:rPr>
                <w:sz w:val="20"/>
                <w:szCs w:val="20"/>
                <w:color w:val="auto"/>
              </w:rPr>
            </w:pPr>
            <w:r>
              <w:rPr>
                <w:rFonts w:ascii="Times New Roman" w:cs="Times New Roman" w:eastAsia="Times New Roman" w:hAnsi="Times New Roman"/>
                <w:sz w:val="7"/>
                <w:szCs w:val="7"/>
                <w:color w:val="auto"/>
              </w:rPr>
              <w:t>(2</w:t>
            </w:r>
          </w:p>
        </w:tc>
        <w:tc>
          <w:tcPr>
            <w:tcW w:w="120" w:type="dxa"/>
            <w:vAlign w:val="bottom"/>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900" w:type="dxa"/>
            <w:vAlign w:val="bottom"/>
            <w:tcBorders>
              <w:bottom w:val="single" w:sz="8" w:color="auto"/>
            </w:tcBorders>
            <w:vMerge w:val="continue"/>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Gross margin</w:t>
            </w:r>
          </w:p>
        </w:tc>
        <w:tc>
          <w:tcPr>
            <w:tcW w:w="17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20" w:type="dxa"/>
            <w:vAlign w:val="bottom"/>
            <w:tcBorders>
              <w:bottom w:val="single" w:sz="8" w:color="auto"/>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427</w:t>
            </w:r>
          </w:p>
        </w:tc>
        <w:tc>
          <w:tcPr>
            <w:tcW w:w="100" w:type="dxa"/>
            <w:vAlign w:val="bottom"/>
            <w:tcBorders>
              <w:bottom w:val="single" w:sz="8" w:color="auto"/>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91</w:t>
            </w:r>
          </w:p>
        </w:tc>
        <w:tc>
          <w:tcPr>
            <w:tcW w:w="120" w:type="dxa"/>
            <w:vAlign w:val="bottom"/>
            <w:tcBorders>
              <w:bottom w:val="single" w:sz="8" w:color="CCEEFF"/>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767</w:t>
            </w:r>
          </w:p>
        </w:tc>
        <w:tc>
          <w:tcPr>
            <w:tcW w:w="100" w:type="dxa"/>
            <w:vAlign w:val="bottom"/>
            <w:tcBorders>
              <w:bottom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32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Contract amortization</w:t>
            </w:r>
          </w:p>
        </w:tc>
        <w:tc>
          <w:tcPr>
            <w:tcW w:w="1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2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tcPr>
          <w:p>
            <w:pPr>
              <w:spacing w:after="0"/>
              <w:rPr>
                <w:sz w:val="21"/>
                <w:szCs w:val="21"/>
                <w:color w:val="auto"/>
              </w:rPr>
            </w:pPr>
          </w:p>
        </w:tc>
        <w:tc>
          <w:tcPr>
            <w:tcW w:w="4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Economic gross margin</w:t>
            </w:r>
          </w:p>
        </w:tc>
        <w:tc>
          <w:tcPr>
            <w:tcW w:w="1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253</w:t>
            </w:r>
          </w:p>
        </w:tc>
        <w:tc>
          <w:tcPr>
            <w:tcW w:w="120" w:type="dxa"/>
            <w:vAlign w:val="bottom"/>
            <w:shd w:val="clear" w:color="auto" w:fill="CCEEFF"/>
          </w:tcPr>
          <w:p>
            <w:pPr>
              <w:spacing w:after="0"/>
              <w:rPr>
                <w:sz w:val="21"/>
                <w:szCs w:val="21"/>
                <w:color w:val="auto"/>
              </w:rPr>
            </w:pPr>
          </w:p>
        </w:tc>
        <w:tc>
          <w:tcPr>
            <w:tcW w:w="2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100" w:type="dxa"/>
            <w:vAlign w:val="bottom"/>
            <w:shd w:val="clear" w:color="auto" w:fill="CCEEFF"/>
          </w:tcPr>
          <w:p>
            <w:pPr>
              <w:spacing w:after="0"/>
              <w:rPr>
                <w:sz w:val="21"/>
                <w:szCs w:val="21"/>
                <w:color w:val="auto"/>
              </w:rPr>
            </w:pPr>
          </w:p>
        </w:tc>
        <w:tc>
          <w:tcPr>
            <w:tcW w:w="28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93</w:t>
            </w:r>
          </w:p>
        </w:tc>
        <w:tc>
          <w:tcPr>
            <w:tcW w:w="36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819</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413"/>
        </w:trPr>
        <w:tc>
          <w:tcPr>
            <w:tcW w:w="20" w:type="dxa"/>
            <w:vAlign w:val="bottom"/>
          </w:tcPr>
          <w:p>
            <w:pPr>
              <w:spacing w:after="0"/>
              <w:rPr>
                <w:sz w:val="24"/>
                <w:szCs w:val="24"/>
                <w:color w:val="auto"/>
              </w:rPr>
            </w:pPr>
          </w:p>
        </w:tc>
        <w:tc>
          <w:tcPr>
            <w:tcW w:w="4320" w:type="dxa"/>
            <w:vAlign w:val="bottom"/>
            <w:tcBorders>
              <w:top w:val="single" w:sz="8" w:color="CCEEFF"/>
            </w:tcBorders>
          </w:tcPr>
          <w:p>
            <w:pPr>
              <w:spacing w:after="0"/>
              <w:rPr>
                <w:sz w:val="24"/>
                <w:szCs w:val="24"/>
                <w:color w:val="auto"/>
              </w:rPr>
            </w:pPr>
          </w:p>
        </w:tc>
        <w:tc>
          <w:tcPr>
            <w:tcW w:w="1740" w:type="dxa"/>
            <w:vAlign w:val="bottom"/>
            <w:tcBorders>
              <w:top w:val="single" w:sz="8" w:color="CCEEFF"/>
            </w:tcBorders>
          </w:tcPr>
          <w:p>
            <w:pPr>
              <w:jc w:val="right"/>
              <w:ind w:right="190"/>
              <w:spacing w:after="0"/>
              <w:rPr>
                <w:sz w:val="20"/>
                <w:szCs w:val="20"/>
                <w:color w:val="auto"/>
              </w:rPr>
            </w:pPr>
            <w:r>
              <w:rPr>
                <w:rFonts w:ascii="Times New Roman" w:cs="Times New Roman" w:eastAsia="Times New Roman" w:hAnsi="Times New Roman"/>
                <w:sz w:val="18"/>
                <w:szCs w:val="18"/>
                <w:color w:val="auto"/>
              </w:rPr>
              <w:t>52</w:t>
            </w:r>
          </w:p>
        </w:tc>
        <w:tc>
          <w:tcPr>
            <w:tcW w:w="10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120" w:type="dxa"/>
            <w:vAlign w:val="bottom"/>
            <w:tcBorders>
              <w:top w:val="single" w:sz="8" w:color="auto"/>
            </w:tcBorders>
          </w:tcPr>
          <w:p>
            <w:pPr>
              <w:spacing w:after="0"/>
              <w:rPr>
                <w:sz w:val="24"/>
                <w:szCs w:val="24"/>
                <w:color w:val="auto"/>
              </w:rPr>
            </w:pPr>
          </w:p>
        </w:tc>
        <w:tc>
          <w:tcPr>
            <w:tcW w:w="102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00" w:type="dxa"/>
            <w:vAlign w:val="bottom"/>
            <w:tcBorders>
              <w:top w:val="single" w:sz="8" w:color="CCEEFF"/>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120" w:type="dxa"/>
            <w:vAlign w:val="bottom"/>
            <w:tcBorders>
              <w:top w:val="single" w:sz="8" w:color="CCEEFF"/>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900" w:type="dxa"/>
            <w:vAlign w:val="bottom"/>
            <w:tcBorders>
              <w:top w:val="single" w:sz="8" w:color="auto"/>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6"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Gross margin decreased by $24 million during the nine months ended September 30, 2019, compared to the same period in 2018 primarily due to a combination of the following:</w:t>
      </w:r>
    </w:p>
    <w:p>
      <w:pPr>
        <w:spacing w:after="0" w:line="19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17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Segment</w:t>
            </w:r>
          </w:p>
        </w:tc>
        <w:tc>
          <w:tcPr>
            <w:tcW w:w="12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60" w:type="dxa"/>
            <w:vAlign w:val="bottom"/>
          </w:tcPr>
          <w:p>
            <w:pPr>
              <w:ind w:left="2860"/>
              <w:spacing w:after="0"/>
              <w:rPr>
                <w:sz w:val="20"/>
                <w:szCs w:val="20"/>
                <w:color w:val="auto"/>
              </w:rPr>
            </w:pPr>
            <w:r>
              <w:rPr>
                <w:rFonts w:ascii="Times New Roman" w:cs="Times New Roman" w:eastAsia="Times New Roman" w:hAnsi="Times New Roman"/>
                <w:sz w:val="16"/>
                <w:szCs w:val="16"/>
                <w:b w:val="1"/>
                <w:bCs w:val="1"/>
                <w:color w:val="auto"/>
              </w:rPr>
              <w:t>Reason for (Decrease) Increase</w:t>
            </w:r>
          </w:p>
        </w:tc>
      </w:tr>
      <w:tr>
        <w:trPr>
          <w:trHeight w:val="194"/>
        </w:trPr>
        <w:tc>
          <w:tcPr>
            <w:tcW w:w="20" w:type="dxa"/>
            <w:vAlign w:val="bottom"/>
          </w:tcPr>
          <w:p>
            <w:pPr>
              <w:spacing w:after="0"/>
              <w:rPr>
                <w:sz w:val="16"/>
                <w:szCs w:val="16"/>
                <w:color w:val="auto"/>
              </w:rPr>
            </w:pPr>
          </w:p>
        </w:tc>
        <w:tc>
          <w:tcPr>
            <w:tcW w:w="172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b w:val="1"/>
                <w:bCs w:val="1"/>
                <w:color w:val="auto"/>
              </w:rPr>
              <w:t>Renewables:</w:t>
            </w:r>
          </w:p>
        </w:tc>
        <w:tc>
          <w:tcPr>
            <w:tcW w:w="120" w:type="dxa"/>
            <w:vAlign w:val="bottom"/>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4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60" w:type="dxa"/>
            <w:vAlign w:val="bottom"/>
            <w:tcBorders>
              <w:top w:val="single" w:sz="8" w:color="auto"/>
            </w:tcBorders>
            <w:shd w:val="clear" w:color="auto" w:fill="CCEEFF"/>
          </w:tcPr>
          <w:p>
            <w:pPr>
              <w:spacing w:after="0" w:line="195" w:lineRule="exact"/>
              <w:rPr>
                <w:sz w:val="20"/>
                <w:szCs w:val="20"/>
                <w:color w:val="auto"/>
              </w:rPr>
            </w:pPr>
            <w:r>
              <w:rPr>
                <w:rFonts w:ascii="Times New Roman" w:cs="Times New Roman" w:eastAsia="Times New Roman" w:hAnsi="Times New Roman"/>
                <w:sz w:val="18"/>
                <w:szCs w:val="18"/>
                <w:color w:val="auto"/>
              </w:rPr>
              <w:t>Decrease of $25 million related to unfavorable wind and solar resources across the portfolio, as well as $8</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million decrease at CVSR primarily related to the June 2019 outage. This was partially offset by revenue</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generated at the Buckthorn Solar project which reached COD in July 2018. The Company also recorded a $9</w:t>
            </w:r>
          </w:p>
        </w:tc>
      </w:tr>
      <w:tr>
        <w:trPr>
          <w:trHeight w:val="216"/>
        </w:trPr>
        <w:tc>
          <w:tcPr>
            <w:tcW w:w="20" w:type="dxa"/>
            <w:vAlign w:val="bottom"/>
          </w:tcPr>
          <w:p>
            <w:pPr>
              <w:spacing w:after="0"/>
              <w:rPr>
                <w:sz w:val="18"/>
                <w:szCs w:val="18"/>
                <w:color w:val="auto"/>
              </w:rPr>
            </w:pPr>
          </w:p>
        </w:tc>
        <w:tc>
          <w:tcPr>
            <w:tcW w:w="1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million mark-to-market loss on the Elbow Creek forward power sale contract entered into during the first</w:t>
            </w:r>
          </w:p>
        </w:tc>
      </w:tr>
      <w:tr>
        <w:trPr>
          <w:trHeight w:val="234"/>
        </w:trPr>
        <w:tc>
          <w:tcPr>
            <w:tcW w:w="20" w:type="dxa"/>
            <w:vAlign w:val="bottom"/>
          </w:tcPr>
          <w:p>
            <w:pPr>
              <w:spacing w:after="0"/>
              <w:rPr>
                <w:sz w:val="20"/>
                <w:szCs w:val="20"/>
                <w:color w:val="auto"/>
              </w:rPr>
            </w:pPr>
          </w:p>
        </w:tc>
        <w:tc>
          <w:tcPr>
            <w:tcW w:w="172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w:t>
            </w:r>
          </w:p>
        </w:tc>
        <w:tc>
          <w:tcPr>
            <w:tcW w:w="100" w:type="dxa"/>
            <w:vAlign w:val="bottom"/>
            <w:shd w:val="clear" w:color="auto" w:fill="CCEEFF"/>
          </w:tcPr>
          <w:p>
            <w:pPr>
              <w:spacing w:after="0"/>
              <w:rPr>
                <w:sz w:val="20"/>
                <w:szCs w:val="20"/>
                <w:color w:val="auto"/>
              </w:rPr>
            </w:pPr>
          </w:p>
        </w:tc>
        <w:tc>
          <w:tcPr>
            <w:tcW w:w="7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quarter of 2019.</w:t>
            </w:r>
          </w:p>
        </w:tc>
      </w:tr>
      <w:tr>
        <w:trPr>
          <w:trHeight w:val="198"/>
        </w:trPr>
        <w:tc>
          <w:tcPr>
            <w:tcW w:w="20" w:type="dxa"/>
            <w:vAlign w:val="bottom"/>
          </w:tcPr>
          <w:p>
            <w:pPr>
              <w:spacing w:after="0"/>
              <w:rPr>
                <w:sz w:val="17"/>
                <w:szCs w:val="17"/>
                <w:color w:val="auto"/>
              </w:rPr>
            </w:pPr>
          </w:p>
        </w:tc>
        <w:tc>
          <w:tcPr>
            <w:tcW w:w="1720" w:type="dxa"/>
            <w:vAlign w:val="bottom"/>
          </w:tcPr>
          <w:p>
            <w:pPr>
              <w:spacing w:after="0" w:line="198" w:lineRule="exact"/>
              <w:rPr>
                <w:sz w:val="20"/>
                <w:szCs w:val="20"/>
                <w:color w:val="auto"/>
              </w:rPr>
            </w:pPr>
            <w:r>
              <w:rPr>
                <w:rFonts w:ascii="Times New Roman" w:cs="Times New Roman" w:eastAsia="Times New Roman" w:hAnsi="Times New Roman"/>
                <w:sz w:val="18"/>
                <w:szCs w:val="18"/>
                <w:b w:val="1"/>
                <w:bCs w:val="1"/>
                <w:color w:val="auto"/>
              </w:rPr>
              <w:t>Thermal:</w:t>
            </w:r>
          </w:p>
        </w:tc>
        <w:tc>
          <w:tcPr>
            <w:tcW w:w="12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Revenue generated at the UPMC Thermal Project, which was completed in the second quarter of 2018, as</w:t>
            </w:r>
          </w:p>
        </w:tc>
      </w:tr>
      <w:tr>
        <w:trPr>
          <w:trHeight w:val="234"/>
        </w:trPr>
        <w:tc>
          <w:tcPr>
            <w:tcW w:w="2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40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w:t>
            </w:r>
          </w:p>
        </w:tc>
        <w:tc>
          <w:tcPr>
            <w:tcW w:w="100" w:type="dxa"/>
            <w:vAlign w:val="bottom"/>
          </w:tcPr>
          <w:p>
            <w:pPr>
              <w:spacing w:after="0"/>
              <w:rPr>
                <w:sz w:val="20"/>
                <w:szCs w:val="20"/>
                <w:color w:val="auto"/>
              </w:rPr>
            </w:pPr>
          </w:p>
        </w:tc>
        <w:tc>
          <w:tcPr>
            <w:tcW w:w="7860" w:type="dxa"/>
            <w:vAlign w:val="bottom"/>
          </w:tcPr>
          <w:p>
            <w:pPr>
              <w:spacing w:after="0"/>
              <w:rPr>
                <w:sz w:val="20"/>
                <w:szCs w:val="20"/>
                <w:color w:val="auto"/>
              </w:rPr>
            </w:pPr>
            <w:r>
              <w:rPr>
                <w:rFonts w:ascii="Times New Roman" w:cs="Times New Roman" w:eastAsia="Times New Roman" w:hAnsi="Times New Roman"/>
                <w:sz w:val="18"/>
                <w:szCs w:val="18"/>
                <w:color w:val="auto"/>
              </w:rPr>
              <w:t>well as the acquisition of the Duquesne University district energy system</w:t>
            </w:r>
          </w:p>
        </w:tc>
      </w:tr>
      <w:tr>
        <w:trPr>
          <w:trHeight w:val="216"/>
        </w:trPr>
        <w:tc>
          <w:tcPr>
            <w:tcW w:w="20" w:type="dxa"/>
            <w:vAlign w:val="bottom"/>
          </w:tcPr>
          <w:p>
            <w:pPr>
              <w:spacing w:after="0"/>
              <w:rPr>
                <w:sz w:val="18"/>
                <w:szCs w:val="18"/>
                <w:color w:val="auto"/>
              </w:rPr>
            </w:pPr>
          </w:p>
        </w:tc>
        <w:tc>
          <w:tcPr>
            <w:tcW w:w="1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Conventional:</w:t>
            </w:r>
          </w:p>
        </w:tc>
        <w:tc>
          <w:tcPr>
            <w:tcW w:w="120" w:type="dxa"/>
            <w:vAlign w:val="bottom"/>
            <w:tcBorders>
              <w:bottom w:val="single" w:sz="8" w:color="CCEEFF"/>
            </w:tcBorders>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spacing w:after="0"/>
              <w:rPr>
                <w:sz w:val="18"/>
                <w:szCs w:val="18"/>
                <w:color w:val="auto"/>
              </w:rPr>
            </w:pPr>
          </w:p>
        </w:tc>
        <w:tc>
          <w:tcPr>
            <w:tcW w:w="40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Borders>
              <w:bottom w:val="single" w:sz="8" w:color="CCEEFF"/>
            </w:tcBorders>
            <w:shd w:val="clear" w:color="auto" w:fill="CCEEFF"/>
          </w:tcPr>
          <w:p>
            <w:pPr>
              <w:spacing w:after="0"/>
              <w:rPr>
                <w:sz w:val="18"/>
                <w:szCs w:val="18"/>
                <w:color w:val="auto"/>
              </w:rPr>
            </w:pPr>
          </w:p>
        </w:tc>
        <w:tc>
          <w:tcPr>
            <w:tcW w:w="7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Lower outages in 2019 compared to 2018</w:t>
            </w:r>
          </w:p>
        </w:tc>
      </w:tr>
      <w:tr>
        <w:trPr>
          <w:trHeight w:val="210"/>
        </w:trPr>
        <w:tc>
          <w:tcPr>
            <w:tcW w:w="20" w:type="dxa"/>
            <w:vAlign w:val="bottom"/>
          </w:tcPr>
          <w:p>
            <w:pPr>
              <w:spacing w:after="0"/>
              <w:rPr>
                <w:sz w:val="18"/>
                <w:szCs w:val="18"/>
                <w:color w:val="auto"/>
              </w:rPr>
            </w:pPr>
          </w:p>
        </w:tc>
        <w:tc>
          <w:tcPr>
            <w:tcW w:w="1720" w:type="dxa"/>
            <w:vAlign w:val="bottom"/>
          </w:tcPr>
          <w:p>
            <w:pPr>
              <w:spacing w:after="0"/>
              <w:rPr>
                <w:sz w:val="18"/>
                <w:szCs w:val="18"/>
                <w:color w:val="auto"/>
              </w:rPr>
            </w:pPr>
          </w:p>
        </w:tc>
        <w:tc>
          <w:tcPr>
            <w:tcW w:w="1320" w:type="dxa"/>
            <w:vAlign w:val="bottom"/>
            <w:gridSpan w:val="2"/>
          </w:tcPr>
          <w:p>
            <w:pPr>
              <w:jc w:val="right"/>
              <w:ind w:right="1039"/>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18"/>
                <w:szCs w:val="18"/>
                <w:color w:val="auto"/>
              </w:rPr>
            </w:pPr>
          </w:p>
        </w:tc>
        <w:tc>
          <w:tcPr>
            <w:tcW w:w="7860" w:type="dxa"/>
            <w:vAlign w:val="bottom"/>
          </w:tcPr>
          <w:p>
            <w:pPr>
              <w:spacing w:after="0"/>
              <w:rPr>
                <w:sz w:val="18"/>
                <w:szCs w:val="18"/>
                <w:color w:val="auto"/>
              </w:rPr>
            </w:pPr>
          </w:p>
        </w:tc>
      </w:tr>
      <w:tr>
        <w:trPr>
          <w:trHeight w:val="20"/>
        </w:trPr>
        <w:tc>
          <w:tcPr>
            <w:tcW w:w="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6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Depreciation and Amortization Expense</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Depreciation and amortization expense increased by $38 million during the nine months ended September 30, 2019, compared to the same period in 2018, primarily due primarily due to accelerated depreciation at Wildorado Wind and Elbow Creek projects in connection with the repowering activities. For further discussion, see Note 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Impairment Losses</w:t>
      </w:r>
    </w:p>
    <w:p>
      <w:pPr>
        <w:spacing w:after="0" w:line="229"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 xml:space="preserve">Impairment losses of $19 million during the nine months ended September 30, 2019, relate to a facility within the Company's Thermal segment, as further described in Note 14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Asset Impairments.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Development Costs</w:t>
      </w:r>
    </w:p>
    <w:p>
      <w:pPr>
        <w:spacing w:after="0" w:line="229" w:lineRule="exact"/>
        <w:rPr>
          <w:sz w:val="20"/>
          <w:szCs w:val="20"/>
          <w:color w:val="auto"/>
        </w:rPr>
      </w:pPr>
    </w:p>
    <w:p>
      <w:pPr>
        <w:ind w:right="240" w:firstLine="405"/>
        <w:spacing w:after="0" w:line="282" w:lineRule="auto"/>
        <w:rPr>
          <w:sz w:val="20"/>
          <w:szCs w:val="20"/>
          <w:color w:val="auto"/>
        </w:rPr>
      </w:pPr>
      <w:r>
        <w:rPr>
          <w:rFonts w:ascii="Times New Roman" w:cs="Times New Roman" w:eastAsia="Times New Roman" w:hAnsi="Times New Roman"/>
          <w:sz w:val="18"/>
          <w:szCs w:val="18"/>
          <w:color w:val="auto"/>
        </w:rPr>
        <w:t>Development costs of $4 million during the nine months ended September 30, 2019, relate primarily to business development, personnel and benefits costs within the Company's Thermal segment.</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Equity in Earnings of Unconsolidated Affiliates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Equity in earnings of unconsolidated affiliates decreased by $13 million during the nine months ended September 30, 2019, compared to the same period in 2018, primarily driven by lower income allocated to the Company's interests in distributed partnerships with CEG partially offset by lower losses allocated to the Company's interests in RPV Holdco and Desert Sunlight.</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Expense</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Interest expense increased by $137 million during the nine months ended September 30, 2019, compared to the same period in 2018, primarily due to the following:</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0060" w:type="dxa"/>
            <w:vAlign w:val="bottom"/>
          </w:tcPr>
          <w:p>
            <w:pPr>
              <w:spacing w:after="0"/>
              <w:rPr>
                <w:sz w:val="17"/>
                <w:szCs w:val="17"/>
                <w:color w:val="auto"/>
              </w:rPr>
            </w:pPr>
          </w:p>
        </w:tc>
        <w:tc>
          <w:tcPr>
            <w:tcW w:w="136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Increase</w:t>
            </w:r>
          </w:p>
        </w:tc>
      </w:tr>
      <w:tr>
        <w:trPr>
          <w:trHeight w:val="218"/>
        </w:trPr>
        <w:tc>
          <w:tcPr>
            <w:tcW w:w="1006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360" w:type="dxa"/>
            <w:vAlign w:val="bottom"/>
            <w:tcBorders>
              <w:bottom w:val="single" w:sz="8" w:color="auto"/>
            </w:tcBorders>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(Decrease)</w:t>
            </w:r>
          </w:p>
        </w:tc>
      </w:tr>
    </w:tbl>
    <w:p>
      <w:pPr>
        <w:sectPr>
          <w:pgSz w:w="11900" w:h="16897" w:orient="portrait"/>
          <w:cols w:equalWidth="0" w:num="1">
            <w:col w:w="11420"/>
          </w:cols>
          <w:pgMar w:left="240" w:top="556" w:right="239" w:bottom="0" w:gutter="0" w:footer="0" w:header="0"/>
        </w:sectPr>
      </w:pPr>
    </w:p>
    <w:bookmarkStart w:id="45" w:name="page46"/>
    <w:bookmarkEnd w:id="45"/>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Change in fair value of interest rate swaps as well as reclassification of losses previously deferred in AOCI to the statement of operations</w:t>
            </w: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in connection with project-level debt financing activities</w:t>
            </w:r>
          </w:p>
        </w:tc>
        <w:tc>
          <w:tcPr>
            <w:tcW w:w="54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131</w:t>
            </w:r>
          </w:p>
        </w:tc>
        <w:tc>
          <w:tcPr>
            <w:tcW w:w="0" w:type="dxa"/>
            <w:vAlign w:val="bottom"/>
          </w:tcPr>
          <w:p>
            <w:pPr>
              <w:spacing w:after="0"/>
              <w:rPr>
                <w:sz w:val="1"/>
                <w:szCs w:val="1"/>
                <w:color w:val="auto"/>
              </w:rPr>
            </w:pPr>
          </w:p>
        </w:tc>
      </w:tr>
      <w:tr>
        <w:trPr>
          <w:trHeight w:val="198"/>
        </w:trPr>
        <w:tc>
          <w:tcPr>
            <w:tcW w:w="10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Higher interest expense due to Buckthorn Solar facility which went COD in July 2018, additional interest expense in connection with</w:t>
            </w: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Repowering Partnership borrowings in June of 2019,partially offset by normal amortization of other project level debt</w:t>
            </w:r>
          </w:p>
        </w:tc>
        <w:tc>
          <w:tcPr>
            <w:tcW w:w="5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Lower interest expense due to lower balances principal balances in the Conventional segment</w:t>
            </w:r>
          </w:p>
        </w:tc>
        <w:tc>
          <w:tcPr>
            <w:tcW w:w="54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98"/>
        </w:trPr>
        <w:tc>
          <w:tcPr>
            <w:tcW w:w="100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Issuance of Energy Center Minneapolis Series E, F, G, H Notes in June 2018 partially offset by lower debt balances at other projects</w:t>
            </w:r>
          </w:p>
        </w:tc>
        <w:tc>
          <w:tcPr>
            <w:tcW w:w="5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100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within Thermal segment</w:t>
            </w:r>
          </w:p>
        </w:tc>
        <w:tc>
          <w:tcPr>
            <w:tcW w:w="540" w:type="dxa"/>
            <w:vAlign w:val="bottom"/>
          </w:tcPr>
          <w:p>
            <w:pPr>
              <w:spacing w:after="0"/>
              <w:rPr>
                <w:sz w:val="20"/>
                <w:szCs w:val="20"/>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198"/>
        </w:trPr>
        <w:tc>
          <w:tcPr>
            <w:tcW w:w="100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Issuance of the 2025 Senior Notes in October 2018, partially offset by lower interest expense due to maturity and repayment of the</w:t>
            </w:r>
          </w:p>
        </w:tc>
        <w:tc>
          <w:tcPr>
            <w:tcW w:w="54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00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remaining balance of the 2019 Convertible Notes in February 2019, as well as partial repayment of the 2020 Convertible Notes in</w:t>
            </w:r>
          </w:p>
        </w:tc>
        <w:tc>
          <w:tcPr>
            <w:tcW w:w="540" w:type="dxa"/>
            <w:vAlign w:val="bottom"/>
            <w:shd w:val="clear" w:color="auto" w:fill="CCEEFF"/>
          </w:tcPr>
          <w:p>
            <w:pPr>
              <w:spacing w:after="0"/>
              <w:rPr>
                <w:sz w:val="18"/>
                <w:szCs w:val="18"/>
                <w:color w:val="auto"/>
              </w:rPr>
            </w:pPr>
          </w:p>
        </w:tc>
        <w:tc>
          <w:tcPr>
            <w:tcW w:w="820" w:type="dxa"/>
            <w:vAlign w:val="bottom"/>
            <w:vMerge w:val="restart"/>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21"/>
        </w:trPr>
        <w:tc>
          <w:tcPr>
            <w:tcW w:w="100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October 2018</w:t>
            </w:r>
          </w:p>
        </w:tc>
        <w:tc>
          <w:tcPr>
            <w:tcW w:w="5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10060" w:type="dxa"/>
            <w:vAlign w:val="bottom"/>
          </w:tcPr>
          <w:p>
            <w:pPr>
              <w:spacing w:after="0"/>
              <w:rPr>
                <w:sz w:val="18"/>
                <w:szCs w:val="18"/>
                <w:color w:val="auto"/>
              </w:rPr>
            </w:pPr>
          </w:p>
        </w:tc>
        <w:tc>
          <w:tcPr>
            <w:tcW w:w="5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137</w:t>
            </w:r>
          </w:p>
        </w:tc>
        <w:tc>
          <w:tcPr>
            <w:tcW w:w="0" w:type="dxa"/>
            <w:vAlign w:val="bottom"/>
          </w:tcPr>
          <w:p>
            <w:pPr>
              <w:spacing w:after="0"/>
              <w:rPr>
                <w:sz w:val="1"/>
                <w:szCs w:val="1"/>
                <w:color w:val="auto"/>
              </w:rPr>
            </w:pPr>
          </w:p>
        </w:tc>
      </w:tr>
      <w:tr>
        <w:trPr>
          <w:trHeight w:val="20"/>
        </w:trPr>
        <w:tc>
          <w:tcPr>
            <w:tcW w:w="1006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For the nine months ended September 30, 2019, the Company recorded an income tax benefit of $14 million on pretax loss of $62 million. For the same period in 2018, the Company recorded income tax expense of $17 million on pretax income of $162 million.</w:t>
      </w:r>
    </w:p>
    <w:p>
      <w:pPr>
        <w:spacing w:after="0" w:line="162"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For the nine months ended September 30, 2019 and 2018, the overall effective tax rate was different than the statutory rate of 21% primarily due to taxable earnings and losses allocated to partners' interest in Clearway Energy LLC, which includes the effects of applying HLBV method of accounting for book purposes for certain partnerships.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Attributable to Noncontrolling Interests</w:t>
      </w:r>
    </w:p>
    <w:p>
      <w:pPr>
        <w:spacing w:after="0" w:line="229" w:lineRule="exact"/>
        <w:rPr>
          <w:sz w:val="20"/>
          <w:szCs w:val="20"/>
          <w:color w:val="auto"/>
        </w:rPr>
      </w:pPr>
    </w:p>
    <w:p>
      <w:pPr>
        <w:jc w:val="both"/>
        <w:ind w:firstLine="405"/>
        <w:spacing w:after="0" w:line="255" w:lineRule="auto"/>
        <w:rPr>
          <w:sz w:val="20"/>
          <w:szCs w:val="20"/>
          <w:color w:val="auto"/>
        </w:rPr>
      </w:pPr>
      <w:r>
        <w:rPr>
          <w:rFonts w:ascii="Times New Roman" w:cs="Times New Roman" w:eastAsia="Times New Roman" w:hAnsi="Times New Roman"/>
          <w:sz w:val="18"/>
          <w:szCs w:val="18"/>
          <w:color w:val="auto"/>
        </w:rPr>
        <w:t>For the nine months ended September 30, 2019, the Company had a loss of $28 million attributable to CEG's economic interest in Clearway Energy LLC, as well as CEG's interests in the Kawailoa, Oahu and Repowering partnerships. The Company also recorded a loss of $15 million attributable to noncontrolling interests with respect to tax equity financing arrangements and the application of the HLBV method. For the eight months ended August 31, 2018, the Company had income of $104 million attributable to NRG's economic interest in Clearway Energy LLC. For the one month ended September 30, 2018, the Company had income of $15 million attributable to CEG's economic interest in Clearway Energy LLC and Repowering LLC. Additionally, for the nine months ended September 30, 2018, the Company had a loss of $94 million attributable to noncontrolling interests with respect to its tax equity financing arrangements and the application of the HLBV method.</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29" w:lineRule="exact"/>
        <w:rPr>
          <w:sz w:val="20"/>
          <w:szCs w:val="20"/>
          <w:color w:val="auto"/>
        </w:rPr>
      </w:pPr>
    </w:p>
    <w:p>
      <w:pPr>
        <w:jc w:val="both"/>
        <w:ind w:firstLine="324"/>
        <w:spacing w:after="0" w:line="256" w:lineRule="auto"/>
        <w:rPr>
          <w:sz w:val="20"/>
          <w:szCs w:val="20"/>
          <w:color w:val="auto"/>
        </w:rPr>
      </w:pPr>
      <w:r>
        <w:rPr>
          <w:rFonts w:ascii="Times New Roman" w:cs="Times New Roman" w:eastAsia="Times New Roman" w:hAnsi="Times New Roman"/>
          <w:sz w:val="18"/>
          <w:szCs w:val="18"/>
          <w:color w:val="auto"/>
        </w:rPr>
        <w:t>The Company's principal liquidity requirements are to meet its financial commitments, finance current operations, fund capital expenditures, including acquisitions from time to time, service debt and pay dividends. As a normal part of the Company's business, depending on market conditions, the Company will from time to time consider opportunities to repay, redeem, repurchase or refinance its indebtedness. Changes in the Company's operating plans, lower than anticipated sales, increased expenses, acquisitions or other events may cause the Company to seek additional debt or equity financing in future periods. There can be no guarantee that financing will be available on acceptable terms or at all. Debt financing, if available, could impose additional cash payment obligations and additional covenants and operating restrictions.</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Liquidity Position</w:t>
      </w:r>
    </w:p>
    <w:p>
      <w:pPr>
        <w:spacing w:after="0" w:line="229" w:lineRule="exact"/>
        <w:rPr>
          <w:sz w:val="20"/>
          <w:szCs w:val="20"/>
          <w:color w:val="auto"/>
        </w:rPr>
      </w:pPr>
    </w:p>
    <w:p>
      <w:pPr>
        <w:ind w:right="20"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2019, the Company had $443 million of available borrowings under its revolving credit facility. As of September 30, 2019 and December 31, 2018, the Company's liquidity was $840 million and $1.04 billion, respectively, comprised of the following:</w:t>
      </w:r>
    </w:p>
    <w:p>
      <w:pPr>
        <w:spacing w:after="0" w:line="394" w:lineRule="exact"/>
        <w:rPr>
          <w:sz w:val="20"/>
          <w:szCs w:val="20"/>
          <w:color w:val="auto"/>
        </w:rPr>
      </w:pPr>
    </w:p>
    <w:tbl>
      <w:tblPr>
        <w:tblLayout w:type="fixed"/>
        <w:tblInd w:w="300" w:type="dxa"/>
        <w:tblCellMar>
          <w:top w:w="0" w:type="dxa"/>
          <w:left w:w="0" w:type="dxa"/>
          <w:bottom w:w="0" w:type="dxa"/>
          <w:right w:w="0" w:type="dxa"/>
        </w:tblCellMar>
      </w:tblPr>
      <w:tr>
        <w:trPr>
          <w:trHeight w:val="218"/>
        </w:trPr>
        <w:tc>
          <w:tcPr>
            <w:tcW w:w="748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1620" w:type="dxa"/>
            <w:vAlign w:val="bottom"/>
            <w:tcBorders>
              <w:bottom w:val="single" w:sz="8" w:color="auto"/>
            </w:tcBorders>
            <w:gridSpan w:val="2"/>
          </w:tcPr>
          <w:p>
            <w:pPr>
              <w:jc w:val="right"/>
              <w:ind w:right="110"/>
              <w:spacing w:after="0"/>
              <w:rPr>
                <w:sz w:val="20"/>
                <w:szCs w:val="20"/>
                <w:color w:val="auto"/>
              </w:rPr>
            </w:pPr>
            <w:r>
              <w:rPr>
                <w:rFonts w:ascii="Times New Roman" w:cs="Times New Roman" w:eastAsia="Times New Roman" w:hAnsi="Times New Roman"/>
                <w:sz w:val="16"/>
                <w:szCs w:val="16"/>
                <w:b w:val="1"/>
                <w:bCs w:val="1"/>
                <w:color w:val="auto"/>
              </w:rPr>
              <w:t>September 30, 2019</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6"/>
                <w:szCs w:val="16"/>
                <w:b w:val="1"/>
                <w:bCs w:val="1"/>
                <w:color w:val="auto"/>
              </w:rPr>
              <w:t>December 31, 2018</w:t>
            </w: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cash equivalents:</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spacing w:after="0"/>
              <w:rPr>
                <w:sz w:val="18"/>
                <w:szCs w:val="18"/>
                <w:color w:val="auto"/>
              </w:rPr>
            </w:pPr>
          </w:p>
        </w:tc>
      </w:tr>
      <w:tr>
        <w:trPr>
          <w:trHeight w:val="216"/>
        </w:trPr>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Clearway Energy, Inc. and Clearway Energy LLC, excluding subsidiaries</w:t>
            </w:r>
          </w:p>
        </w:tc>
        <w:tc>
          <w:tcPr>
            <w:tcW w:w="660" w:type="dxa"/>
            <w:vAlign w:val="bottom"/>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32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298</w:t>
            </w:r>
          </w:p>
        </w:tc>
      </w:tr>
      <w:tr>
        <w:trPr>
          <w:trHeight w:val="216"/>
        </w:trPr>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Subsidiaries</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116</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109</w:t>
            </w:r>
          </w:p>
        </w:tc>
      </w:tr>
      <w:tr>
        <w:trPr>
          <w:trHeight w:val="216"/>
        </w:trPr>
        <w:tc>
          <w:tcPr>
            <w:tcW w:w="74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Restricted cash:</w:t>
            </w:r>
          </w:p>
        </w:tc>
        <w:tc>
          <w:tcPr>
            <w:tcW w:w="66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6"/>
        </w:trPr>
        <w:tc>
          <w:tcPr>
            <w:tcW w:w="7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Operating accounts</w:t>
            </w:r>
          </w:p>
        </w:tc>
        <w:tc>
          <w:tcPr>
            <w:tcW w:w="660" w:type="dxa"/>
            <w:vAlign w:val="bottom"/>
            <w:shd w:val="clear" w:color="auto" w:fill="CCEEFF"/>
          </w:tcPr>
          <w:p>
            <w:pPr>
              <w:spacing w:after="0"/>
              <w:rPr>
                <w:sz w:val="18"/>
                <w:szCs w:val="18"/>
                <w:color w:val="auto"/>
              </w:rPr>
            </w:pP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78</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84</w:t>
            </w:r>
          </w:p>
        </w:tc>
      </w:tr>
      <w:tr>
        <w:trPr>
          <w:trHeight w:val="216"/>
        </w:trPr>
        <w:tc>
          <w:tcPr>
            <w:tcW w:w="748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Reserves, including debt service, distributions, performance obligations and other reserves</w:t>
            </w:r>
          </w:p>
        </w:tc>
        <w:tc>
          <w:tcPr>
            <w:tcW w:w="66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171</w:t>
            </w:r>
          </w:p>
        </w:tc>
        <w:tc>
          <w:tcPr>
            <w:tcW w:w="10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520" w:type="dxa"/>
            <w:vAlign w:val="bottom"/>
            <w:tcBorders>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92</w:t>
            </w:r>
          </w:p>
        </w:tc>
      </w:tr>
      <w:tr>
        <w:trPr>
          <w:trHeight w:val="210"/>
        </w:trPr>
        <w:tc>
          <w:tcPr>
            <w:tcW w:w="74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cash, cash equivalents and restricted cash</w:t>
            </w:r>
          </w:p>
        </w:tc>
        <w:tc>
          <w:tcPr>
            <w:tcW w:w="660" w:type="dxa"/>
            <w:vAlign w:val="bottom"/>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397</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583</w:t>
            </w:r>
          </w:p>
        </w:tc>
      </w:tr>
      <w:tr>
        <w:trPr>
          <w:trHeight w:val="210"/>
        </w:trPr>
        <w:tc>
          <w:tcPr>
            <w:tcW w:w="7480" w:type="dxa"/>
            <w:vAlign w:val="bottom"/>
            <w:tcBorders>
              <w:top w:val="single" w:sz="8" w:color="CCEEFF"/>
            </w:tcBorders>
          </w:tcPr>
          <w:p>
            <w:pPr>
              <w:ind w:left="160"/>
              <w:spacing w:after="0"/>
              <w:rPr>
                <w:sz w:val="20"/>
                <w:szCs w:val="20"/>
                <w:color w:val="auto"/>
              </w:rPr>
            </w:pPr>
            <w:r>
              <w:rPr>
                <w:rFonts w:ascii="Times New Roman" w:cs="Times New Roman" w:eastAsia="Times New Roman" w:hAnsi="Times New Roman"/>
                <w:sz w:val="18"/>
                <w:szCs w:val="18"/>
                <w:color w:val="auto"/>
              </w:rPr>
              <w:t>Revolving credit facility availability</w:t>
            </w:r>
          </w:p>
        </w:tc>
        <w:tc>
          <w:tcPr>
            <w:tcW w:w="6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443</w:t>
            </w:r>
          </w:p>
        </w:tc>
        <w:tc>
          <w:tcPr>
            <w:tcW w:w="100" w:type="dxa"/>
            <w:vAlign w:val="bottom"/>
            <w:tcBorders>
              <w:top w:val="single" w:sz="8" w:color="CCEEFF"/>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1520" w:type="dxa"/>
            <w:vAlign w:val="bottom"/>
            <w:tcBorders>
              <w:top w:val="single" w:sz="8" w:color="auto"/>
              <w:bottom w:val="single" w:sz="8" w:color="auto"/>
            </w:tcBorders>
          </w:tcPr>
          <w:p>
            <w:pPr>
              <w:jc w:val="right"/>
              <w:ind w:right="11"/>
              <w:spacing w:after="0"/>
              <w:rPr>
                <w:sz w:val="20"/>
                <w:szCs w:val="20"/>
                <w:color w:val="auto"/>
              </w:rPr>
            </w:pPr>
            <w:r>
              <w:rPr>
                <w:rFonts w:ascii="Times New Roman" w:cs="Times New Roman" w:eastAsia="Times New Roman" w:hAnsi="Times New Roman"/>
                <w:sz w:val="18"/>
                <w:szCs w:val="18"/>
                <w:color w:val="auto"/>
              </w:rPr>
              <w:t>454</w:t>
            </w:r>
          </w:p>
        </w:tc>
      </w:tr>
      <w:tr>
        <w:trPr>
          <w:trHeight w:val="210"/>
        </w:trPr>
        <w:tc>
          <w:tcPr>
            <w:tcW w:w="7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liquidity</w:t>
            </w:r>
          </w:p>
        </w:tc>
        <w:tc>
          <w:tcPr>
            <w:tcW w:w="660" w:type="dxa"/>
            <w:vAlign w:val="bottom"/>
            <w:tcBorders>
              <w:bottom w:val="single" w:sz="8" w:color="auto"/>
            </w:tcBorders>
            <w:shd w:val="clear" w:color="auto" w:fill="CCEEFF"/>
          </w:tcPr>
          <w:p>
            <w:pPr>
              <w:jc w:val="right"/>
              <w:ind w:right="49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rPr>
              <w:t>840</w:t>
            </w:r>
          </w:p>
        </w:tc>
        <w:tc>
          <w:tcPr>
            <w:tcW w:w="1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52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1,037</w:t>
            </w:r>
          </w:p>
        </w:tc>
      </w:tr>
    </w:tbl>
    <w:p>
      <w:pPr>
        <w:spacing w:after="0" w:line="198"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The Company's liquidity includes $249 million and $176 million of restricted cash balances as of September 30, 2019 and December 31, 2018, respectively. Restricted cash consists primarily of funds to satisfy the requirements of certain debt arrangements and funds held within the Company's projects that are restricted in their use. As of September 30, 2019, these restricted funds were comprised of $78 million designated to fund operating expenses, $70 million designated for current debt service payments, and $53 million restricted for reserves including debt service, performance obligations and other reserves, as well as capital expenditures. The remaining $48 million is held in distribution reserve accounts, of which $36 million related to subsidiaries affected by the PG&amp;E Bankruptcy as discussed further below and may not be distributed during the pendency of the PG&amp;E Bankruptcy. The Company had a total of $147 million in restricted cash held by the subsidiaries affected by the PG&amp;E Bankruptcy at September 30, 2019.</w:t>
      </w:r>
    </w:p>
    <w:p>
      <w:pPr>
        <w:spacing w:after="0" w:line="189" w:lineRule="exact"/>
        <w:rPr>
          <w:sz w:val="20"/>
          <w:szCs w:val="20"/>
          <w:color w:val="auto"/>
        </w:rPr>
      </w:pPr>
    </w:p>
    <w:p>
      <w:pPr>
        <w:jc w:val="both"/>
        <w:ind w:right="20" w:firstLine="324"/>
        <w:spacing w:after="0" w:line="266" w:lineRule="auto"/>
        <w:rPr>
          <w:sz w:val="20"/>
          <w:szCs w:val="20"/>
          <w:color w:val="auto"/>
        </w:rPr>
      </w:pPr>
      <w:r>
        <w:rPr>
          <w:rFonts w:ascii="Times New Roman" w:cs="Times New Roman" w:eastAsia="Times New Roman" w:hAnsi="Times New Roman"/>
          <w:sz w:val="18"/>
          <w:szCs w:val="18"/>
          <w:color w:val="auto"/>
        </w:rPr>
        <w:t>As of September 30, 2019, there were no outstanding borrowings and $52 million of letters of credit outstanding under the Company's revolving credit facility. The Company had $40 million outstanding under the revolving credit facility and a total of $71 million in letters of credit outstanding as of November 6, 2019.</w:t>
      </w:r>
    </w:p>
    <w:p>
      <w:pPr>
        <w:sectPr>
          <w:pgSz w:w="11900" w:h="16838" w:orient="portrait"/>
          <w:cols w:equalWidth="0" w:num="1">
            <w:col w:w="11420"/>
          </w:cols>
          <w:pgMar w:left="240" w:top="346" w:right="239" w:bottom="149" w:gutter="0" w:footer="0" w:header="0"/>
        </w:sectPr>
      </w:pPr>
    </w:p>
    <w:bookmarkStart w:id="46" w:name="page47"/>
    <w:bookmarkEnd w:id="46"/>
    <w:p>
      <w:pPr>
        <w:spacing w:after="0" w:line="3" w:lineRule="exact"/>
        <w:rPr>
          <w:sz w:val="20"/>
          <w:szCs w:val="20"/>
          <w:color w:val="auto"/>
        </w:rPr>
      </w:pPr>
    </w:p>
    <w:p>
      <w:pPr>
        <w:jc w:val="both"/>
        <w:ind w:firstLine="324"/>
        <w:spacing w:after="0" w:line="258" w:lineRule="auto"/>
        <w:rPr>
          <w:sz w:val="20"/>
          <w:szCs w:val="20"/>
          <w:color w:val="auto"/>
        </w:rPr>
      </w:pPr>
      <w:r>
        <w:rPr>
          <w:rFonts w:ascii="Times New Roman" w:cs="Times New Roman" w:eastAsia="Times New Roman" w:hAnsi="Times New Roman"/>
          <w:sz w:val="18"/>
          <w:szCs w:val="18"/>
          <w:color w:val="auto"/>
        </w:rPr>
        <w:t>On January 29, 2019, PG&amp;E filed for bankruptcy under Chapter 11 of the U.S. Bankruptcy Code. The PG&amp;E Bankruptcy had no effect on availability under the Company’s revolving credit facility. However, the Company has non-recourse project-level debt related to each of its subsidiaries that sell their output to PG&amp;E under long-term PPAs. The PG&amp;E Bankruptcy triggered defaults under the related financing agreements which caused uncertainty around the timing of when certain project-level cash distributions will be available to the Company. As of September 30, 2019, all project level cash balances for these subsidiaries were classified as restricted cash.</w:t>
      </w:r>
    </w:p>
    <w:p>
      <w:pPr>
        <w:spacing w:after="0" w:line="184" w:lineRule="exact"/>
        <w:rPr>
          <w:sz w:val="20"/>
          <w:szCs w:val="20"/>
          <w:color w:val="auto"/>
        </w:rPr>
      </w:pPr>
    </w:p>
    <w:p>
      <w:pPr>
        <w:jc w:val="both"/>
        <w:ind w:firstLine="324"/>
        <w:spacing w:after="0" w:line="261" w:lineRule="auto"/>
        <w:rPr>
          <w:sz w:val="20"/>
          <w:szCs w:val="20"/>
          <w:color w:val="auto"/>
        </w:rPr>
      </w:pPr>
      <w:r>
        <w:rPr>
          <w:rFonts w:ascii="Times New Roman" w:cs="Times New Roman" w:eastAsia="Times New Roman" w:hAnsi="Times New Roman"/>
          <w:sz w:val="18"/>
          <w:szCs w:val="18"/>
          <w:color w:val="auto"/>
        </w:rPr>
        <w:t>Management believes that the Company's liquidity position, cash flows from operations, and availability under its revolving credit facility will be adequate to meet the Company's financial commitments; debt service obligations; growth, operating and maintenance capital expenditures; and to fund dividends to holders of the Company's Class A common stock and Class C common stock. Management continues to regularly monitor the Company's ability to finance the needs of its operating, financing and investing activity within the dictates of prudent balance sheet management.</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b w:val="1"/>
          <w:bCs w:val="1"/>
          <w:i w:val="1"/>
          <w:iCs w:val="1"/>
          <w:color w:val="auto"/>
        </w:rPr>
        <w:t>Credit Ratings</w:t>
      </w:r>
    </w:p>
    <w:p>
      <w:pPr>
        <w:spacing w:after="0" w:line="229"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Credit rating agencies rate a firm's public debt securities. These ratings are utilized by the debt markets in evaluating a firm's credit risk. Ratings influence the price paid to issue new debt securities by indicating to the market the Company's ability to pay principal, interest and preferred dividends. Rating agencies evaluate a firm's industry, cash flow, leverage, liquidity, and hedge profile, among other factors, in their credit analysis of a firm's credit risk.</w:t>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The following table summarizes the credit ratings for the Company and its Senior Notes as of September 30, 2019:</w:t>
      </w:r>
    </w:p>
    <w:p>
      <w:pPr>
        <w:spacing w:after="0" w:line="200" w:lineRule="exact"/>
        <w:rPr>
          <w:sz w:val="20"/>
          <w:szCs w:val="20"/>
          <w:color w:val="auto"/>
        </w:rPr>
      </w:pPr>
    </w:p>
    <w:p>
      <w:pPr>
        <w:spacing w:after="0" w:line="244" w:lineRule="exact"/>
        <w:rPr>
          <w:sz w:val="20"/>
          <w:szCs w:val="20"/>
          <w:color w:val="auto"/>
        </w:rPr>
      </w:pPr>
    </w:p>
    <w:tbl>
      <w:tblPr>
        <w:tblLayout w:type="fixed"/>
        <w:tblInd w:w="300" w:type="dxa"/>
        <w:tblCellMar>
          <w:top w:w="0" w:type="dxa"/>
          <w:left w:w="0" w:type="dxa"/>
          <w:bottom w:w="0" w:type="dxa"/>
          <w:right w:w="0" w:type="dxa"/>
        </w:tblCellMar>
      </w:tblPr>
      <w:tr>
        <w:trPr>
          <w:trHeight w:val="215"/>
        </w:trPr>
        <w:tc>
          <w:tcPr>
            <w:tcW w:w="3800" w:type="dxa"/>
            <w:vAlign w:val="bottom"/>
          </w:tcPr>
          <w:p>
            <w:pPr>
              <w:spacing w:after="0"/>
              <w:rPr>
                <w:sz w:val="18"/>
                <w:szCs w:val="18"/>
                <w:color w:val="auto"/>
              </w:rPr>
            </w:pPr>
          </w:p>
        </w:tc>
        <w:tc>
          <w:tcPr>
            <w:tcW w:w="3080" w:type="dxa"/>
            <w:vAlign w:val="bottom"/>
          </w:tcPr>
          <w:p>
            <w:pPr>
              <w:spacing w:after="0"/>
              <w:rPr>
                <w:sz w:val="18"/>
                <w:szCs w:val="18"/>
                <w:color w:val="auto"/>
              </w:rPr>
            </w:pPr>
          </w:p>
        </w:tc>
        <w:tc>
          <w:tcPr>
            <w:tcW w:w="14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S&amp;P</w:t>
            </w:r>
          </w:p>
        </w:tc>
        <w:tc>
          <w:tcPr>
            <w:tcW w:w="340" w:type="dxa"/>
            <w:vAlign w:val="bottom"/>
          </w:tcPr>
          <w:p>
            <w:pPr>
              <w:spacing w:after="0"/>
              <w:rPr>
                <w:sz w:val="18"/>
                <w:szCs w:val="18"/>
                <w:color w:val="auto"/>
              </w:rPr>
            </w:pPr>
          </w:p>
        </w:tc>
        <w:tc>
          <w:tcPr>
            <w:tcW w:w="2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Moody's</w:t>
            </w:r>
          </w:p>
        </w:tc>
      </w:tr>
      <w:tr>
        <w:trPr>
          <w:trHeight w:val="213"/>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Clearway Energy, Inc.</w:t>
            </w:r>
          </w:p>
        </w:tc>
        <w:tc>
          <w:tcPr>
            <w:tcW w:w="30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c>
          <w:tcPr>
            <w:tcW w:w="34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r>
        <w:trPr>
          <w:trHeight w:val="216"/>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5.375% Senior Notes, due 2024</w:t>
            </w:r>
          </w:p>
        </w:tc>
        <w:tc>
          <w:tcPr>
            <w:tcW w:w="3080" w:type="dxa"/>
            <w:vAlign w:val="bottom"/>
          </w:tcPr>
          <w:p>
            <w:pPr>
              <w:spacing w:after="0"/>
              <w:rPr>
                <w:sz w:val="18"/>
                <w:szCs w:val="18"/>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c>
          <w:tcPr>
            <w:tcW w:w="340" w:type="dxa"/>
            <w:vAlign w:val="bottom"/>
          </w:tcPr>
          <w:p>
            <w:pPr>
              <w:spacing w:after="0"/>
              <w:rPr>
                <w:sz w:val="18"/>
                <w:szCs w:val="18"/>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r>
        <w:trPr>
          <w:trHeight w:val="216"/>
        </w:trPr>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5.750% Senior Notes, due 2025</w:t>
            </w:r>
          </w:p>
        </w:tc>
        <w:tc>
          <w:tcPr>
            <w:tcW w:w="3080" w:type="dxa"/>
            <w:vAlign w:val="bottom"/>
            <w:shd w:val="clear" w:color="auto" w:fill="CCEEFF"/>
          </w:tcPr>
          <w:p>
            <w:pPr>
              <w:spacing w:after="0"/>
              <w:rPr>
                <w:sz w:val="18"/>
                <w:szCs w:val="18"/>
                <w:color w:val="auto"/>
              </w:rPr>
            </w:pPr>
          </w:p>
        </w:tc>
        <w:tc>
          <w:tcPr>
            <w:tcW w:w="1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c>
          <w:tcPr>
            <w:tcW w:w="340" w:type="dxa"/>
            <w:vAlign w:val="bottom"/>
            <w:shd w:val="clear" w:color="auto" w:fill="CCEEFF"/>
          </w:tcPr>
          <w:p>
            <w:pPr>
              <w:spacing w:after="0"/>
              <w:rPr>
                <w:sz w:val="18"/>
                <w:szCs w:val="18"/>
                <w:color w:val="auto"/>
              </w:rPr>
            </w:pPr>
          </w:p>
        </w:tc>
        <w:tc>
          <w:tcPr>
            <w:tcW w:w="21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r>
        <w:trPr>
          <w:trHeight w:val="234"/>
        </w:trPr>
        <w:tc>
          <w:tcPr>
            <w:tcW w:w="3800" w:type="dxa"/>
            <w:vAlign w:val="bottom"/>
          </w:tcPr>
          <w:p>
            <w:pPr>
              <w:spacing w:after="0"/>
              <w:rPr>
                <w:sz w:val="20"/>
                <w:szCs w:val="20"/>
                <w:color w:val="auto"/>
              </w:rPr>
            </w:pPr>
            <w:r>
              <w:rPr>
                <w:rFonts w:ascii="Times New Roman" w:cs="Times New Roman" w:eastAsia="Times New Roman" w:hAnsi="Times New Roman"/>
                <w:sz w:val="18"/>
                <w:szCs w:val="18"/>
                <w:color w:val="auto"/>
              </w:rPr>
              <w:t>5.000% Senior Notes, due 2026</w:t>
            </w:r>
          </w:p>
        </w:tc>
        <w:tc>
          <w:tcPr>
            <w:tcW w:w="3080" w:type="dxa"/>
            <w:vAlign w:val="bottom"/>
          </w:tcPr>
          <w:p>
            <w:pPr>
              <w:spacing w:after="0"/>
              <w:rPr>
                <w:sz w:val="20"/>
                <w:szCs w:val="20"/>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BB</w:t>
            </w:r>
          </w:p>
        </w:tc>
        <w:tc>
          <w:tcPr>
            <w:tcW w:w="340" w:type="dxa"/>
            <w:vAlign w:val="bottom"/>
          </w:tcPr>
          <w:p>
            <w:pPr>
              <w:spacing w:after="0"/>
              <w:rPr>
                <w:sz w:val="20"/>
                <w:szCs w:val="20"/>
                <w:color w:val="auto"/>
              </w:rPr>
            </w:pPr>
          </w:p>
        </w:tc>
        <w:tc>
          <w:tcPr>
            <w:tcW w:w="21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Ba2</w:t>
            </w:r>
          </w:p>
        </w:tc>
      </w:tr>
      <w:tr>
        <w:trPr>
          <w:trHeight w:val="414"/>
        </w:trPr>
        <w:tc>
          <w:tcPr>
            <w:tcW w:w="3800" w:type="dxa"/>
            <w:vAlign w:val="bottom"/>
          </w:tcPr>
          <w:p>
            <w:pPr>
              <w:spacing w:after="0"/>
              <w:rPr>
                <w:sz w:val="24"/>
                <w:szCs w:val="24"/>
                <w:color w:val="auto"/>
              </w:rPr>
            </w:pPr>
          </w:p>
        </w:tc>
        <w:tc>
          <w:tcPr>
            <w:tcW w:w="3080" w:type="dxa"/>
            <w:vAlign w:val="bottom"/>
          </w:tcPr>
          <w:p>
            <w:pPr>
              <w:jc w:val="right"/>
              <w:ind w:right="1290"/>
              <w:spacing w:after="0"/>
              <w:rPr>
                <w:sz w:val="20"/>
                <w:szCs w:val="20"/>
                <w:color w:val="auto"/>
              </w:rPr>
            </w:pPr>
            <w:r>
              <w:rPr>
                <w:rFonts w:ascii="Times New Roman" w:cs="Times New Roman" w:eastAsia="Times New Roman" w:hAnsi="Times New Roman"/>
                <w:sz w:val="18"/>
                <w:szCs w:val="18"/>
                <w:color w:val="auto"/>
              </w:rPr>
              <w:t>55</w:t>
            </w:r>
          </w:p>
        </w:tc>
        <w:tc>
          <w:tcPr>
            <w:tcW w:w="14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16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2720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196"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Sources of Liquidity</w:t>
      </w:r>
    </w:p>
    <w:p>
      <w:pPr>
        <w:spacing w:after="0" w:line="229" w:lineRule="exact"/>
        <w:rPr>
          <w:sz w:val="20"/>
          <w:szCs w:val="20"/>
          <w:color w:val="auto"/>
        </w:rPr>
      </w:pPr>
    </w:p>
    <w:p>
      <w:pPr>
        <w:jc w:val="both"/>
        <w:ind w:firstLine="486"/>
        <w:spacing w:after="0" w:line="258" w:lineRule="auto"/>
        <w:rPr>
          <w:sz w:val="20"/>
          <w:szCs w:val="20"/>
          <w:color w:val="auto"/>
        </w:rPr>
      </w:pPr>
      <w:r>
        <w:rPr>
          <w:rFonts w:ascii="Times New Roman" w:cs="Times New Roman" w:eastAsia="Times New Roman" w:hAnsi="Times New Roman"/>
          <w:sz w:val="18"/>
          <w:szCs w:val="18"/>
          <w:color w:val="auto"/>
        </w:rPr>
        <w:t xml:space="preserve">The Company's principal sources of liquidity include cash on hand, cash generated from operations, borrowings under new and existing financing arrangements and the issuance of additional equity and debt securities as appropriate given market conditions. As described in Item 1, Note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Debt</w:t>
      </w:r>
      <w:r>
        <w:rPr>
          <w:rFonts w:ascii="Times New Roman" w:cs="Times New Roman" w:eastAsia="Times New Roman" w:hAnsi="Times New Roman"/>
          <w:sz w:val="18"/>
          <w:szCs w:val="18"/>
          <w:color w:val="auto"/>
        </w:rPr>
        <w:t>, to this Form 10-Q and Note 10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Long-term Debt</w:t>
      </w:r>
      <w:r>
        <w:rPr>
          <w:rFonts w:ascii="Times New Roman" w:cs="Times New Roman" w:eastAsia="Times New Roman" w:hAnsi="Times New Roman"/>
          <w:sz w:val="18"/>
          <w:szCs w:val="18"/>
          <w:color w:val="auto"/>
        </w:rPr>
        <w:t>, to the consolidated financial statements included in the Company's 2018 Form 10-K, the Company's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financing arrangements consist of corporate level debt, which includes Senior Notes, 2020 Convertible Notes and the revolving credit facility; the ATM Program; and project-level financings.</w:t>
      </w:r>
    </w:p>
    <w:p>
      <w:pPr>
        <w:spacing w:after="0" w:line="182" w:lineRule="exact"/>
        <w:rPr>
          <w:sz w:val="20"/>
          <w:szCs w:val="20"/>
          <w:color w:val="auto"/>
        </w:rPr>
      </w:pPr>
    </w:p>
    <w:p>
      <w:pPr>
        <w:jc w:val="both"/>
        <w:ind w:firstLine="486"/>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ATM Sales </w:t>
      </w:r>
      <w:r>
        <w:rPr>
          <w:rFonts w:ascii="Times New Roman" w:cs="Times New Roman" w:eastAsia="Times New Roman" w:hAnsi="Times New Roman"/>
          <w:sz w:val="18"/>
          <w:szCs w:val="18"/>
          <w:color w:val="auto"/>
        </w:rPr>
        <w:t>— The Company did not sell any shares of Class C common stock during the nine months ended September 30, 2019. As of September 30,</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2019, approximately $36 million of Class C common stock remains available for issuance under the ATM Program.</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b w:val="1"/>
          <w:bCs w:val="1"/>
          <w:i w:val="1"/>
          <w:iCs w:val="1"/>
          <w:color w:val="auto"/>
        </w:rPr>
        <w:t>Uses of Liquidity</w:t>
      </w:r>
    </w:p>
    <w:p>
      <w:pPr>
        <w:spacing w:after="0" w:line="229"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 xml:space="preserve">The Company's requirements for liquidity and capital resources, other than for operating its facilities, are categorized as: (i) debt service obligations, as described more fully in Item 1, Note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(ii) capital expenditures; (iii) acquisitions and investments; and (iv) cash dividends to investors.</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Agua Caliente Borrower 2 Debt Repayment</w:t>
      </w:r>
    </w:p>
    <w:p>
      <w:pPr>
        <w:spacing w:after="0" w:line="227" w:lineRule="exact"/>
        <w:rPr>
          <w:sz w:val="20"/>
          <w:szCs w:val="20"/>
          <w:color w:val="auto"/>
        </w:rPr>
      </w:pPr>
    </w:p>
    <w:p>
      <w:pPr>
        <w:jc w:val="both"/>
        <w:ind w:firstLine="486"/>
        <w:spacing w:after="0" w:line="282" w:lineRule="auto"/>
        <w:rPr>
          <w:sz w:val="20"/>
          <w:szCs w:val="20"/>
          <w:color w:val="auto"/>
        </w:rPr>
      </w:pPr>
      <w:r>
        <w:rPr>
          <w:rFonts w:ascii="Times New Roman" w:cs="Times New Roman" w:eastAsia="Times New Roman" w:hAnsi="Times New Roman"/>
          <w:sz w:val="18"/>
          <w:szCs w:val="18"/>
          <w:color w:val="auto"/>
        </w:rPr>
        <w:t>On October 21, 2019, the Company, through Agua Caliente Borrower 2 LLC, repaid $40 million of the outstanding notes balance, including accrued interest and premiums, issued under the Agua Caliente Holdco Financing Agreement. The repayment was funded with existing liquidity.</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Capital Expenditures</w:t>
      </w:r>
    </w:p>
    <w:p>
      <w:pPr>
        <w:spacing w:after="0" w:line="227" w:lineRule="exact"/>
        <w:rPr>
          <w:sz w:val="20"/>
          <w:szCs w:val="20"/>
          <w:color w:val="auto"/>
        </w:rPr>
      </w:pPr>
    </w:p>
    <w:p>
      <w:pPr>
        <w:jc w:val="both"/>
        <w:ind w:firstLine="486"/>
        <w:spacing w:after="0" w:line="253" w:lineRule="auto"/>
        <w:rPr>
          <w:sz w:val="20"/>
          <w:szCs w:val="20"/>
          <w:color w:val="auto"/>
        </w:rPr>
      </w:pPr>
      <w:r>
        <w:rPr>
          <w:rFonts w:ascii="Times New Roman" w:cs="Times New Roman" w:eastAsia="Times New Roman" w:hAnsi="Times New Roman"/>
          <w:sz w:val="18"/>
          <w:szCs w:val="18"/>
          <w:color w:val="auto"/>
        </w:rPr>
        <w:t xml:space="preserve">The Company's capital spending program is mainly focused on maintenance capital expenditures, consisting of costs to maintain the assets currently operating, such as costs to replace or refurbish assets, and growth capital expenditures consisting of costs to construct new assets, costs to complete the construction of assets where construction is in process, and capital expenditures related to acquiring additional thermal customers. For the nine months ended September 30, 2019, the Company used $200 million to fund capital expenditures, including growth expenditures of $188 million, $168 million of which were in the Renewables segment in connection with the Repowering Partnership entered by the Company in August 2018, as well as the Oahu Partnership and the Kawailoa Partnership, as further described in Note 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 xml:space="preserve"> The source for these capital expenditures was financing obtained in connection with the Repowering Partnership, as well as tax equity investors contributions. The Company also incurred $16 million of growth capital expenditures in the Thermal segment in connection with various development projects. For the nine months ended September 30, 2018, the Company used approximately $62 million to fund capital expenditures, of which $33 million related to growth expenditures in the Renewables segment in connection with the construction of Buckthorn Solar. The $33 million includes $10 million incurred by NRG during the construction of the Buckthorn Solar project prior to its acquisition by the Company on March 30, 2018. The Company estimates $30 million of maintenance expenditures for 2019. These estimates are subject to continuing review and adjustment and actual capital expenditures may vary from these estimates.</w:t>
      </w:r>
    </w:p>
    <w:p>
      <w:pPr>
        <w:spacing w:after="0" w:line="18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Acquisitions and Investments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The Company intends to acquire generation assets developed and constructed by CEG, as well as generation and thermal infrastructure assets from third parties where the Company believes its knowledge of the market and operating expertise provides a competitive advantage, and to utilize such acquisitions as a means to grow its CAFD.</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41" w:orient="portrait"/>
          <w:cols w:equalWidth="0" w:num="1">
            <w:col w:w="11420"/>
          </w:cols>
          <w:pgMar w:left="240" w:top="121" w:right="239" w:bottom="0" w:gutter="0" w:footer="0" w:header="0"/>
        </w:sectPr>
      </w:pPr>
    </w:p>
    <w:p>
      <w:pPr>
        <w:spacing w:after="0" w:line="243" w:lineRule="exact"/>
        <w:rPr>
          <w:sz w:val="20"/>
          <w:szCs w:val="20"/>
          <w:color w:val="auto"/>
        </w:rPr>
      </w:pPr>
    </w:p>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ectPr>
          <w:pgSz w:w="11900" w:h="16841" w:orient="portrait"/>
          <w:cols w:equalWidth="0" w:num="1">
            <w:col w:w="11420"/>
          </w:cols>
          <w:pgMar w:left="240" w:top="121" w:right="239" w:bottom="0" w:gutter="0" w:footer="0" w:header="0"/>
          <w:type w:val="continuous"/>
        </w:sectPr>
      </w:pPr>
    </w:p>
    <w:bookmarkStart w:id="47" w:name="page48"/>
    <w:bookmarkEnd w:id="47"/>
    <w:p>
      <w:pPr>
        <w:spacing w:after="0" w:line="62"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Agreements with Cayo Largo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September 29, 2019, the Company entered into a tolling agreement with Cayo Largo LLC to supply electricity,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chilled water, hot water and natural gas to Cayo Largo LLC's customer through a dedicated combined heat and power facility to be constructed by the Company. The Company anticipates the project to total $13 million in capital expenditures and is expected to commence commercial operations in the fourth quarter of 2020.</w:t>
      </w:r>
    </w:p>
    <w:p>
      <w:pPr>
        <w:spacing w:after="0" w:line="177" w:lineRule="exact"/>
        <w:rPr>
          <w:sz w:val="20"/>
          <w:szCs w:val="20"/>
          <w:color w:val="auto"/>
        </w:rPr>
      </w:pPr>
    </w:p>
    <w:p>
      <w:pPr>
        <w:jc w:val="both"/>
        <w:ind w:firstLine="486"/>
        <w:spacing w:after="0" w:line="259" w:lineRule="auto"/>
        <w:rPr>
          <w:sz w:val="20"/>
          <w:szCs w:val="20"/>
          <w:color w:val="auto"/>
        </w:rPr>
      </w:pPr>
      <w:r>
        <w:rPr>
          <w:rFonts w:ascii="Times New Roman" w:cs="Times New Roman" w:eastAsia="Times New Roman" w:hAnsi="Times New Roman"/>
          <w:sz w:val="18"/>
          <w:szCs w:val="18"/>
          <w:i w:val="1"/>
          <w:iCs w:val="1"/>
          <w:color w:val="auto"/>
        </w:rPr>
        <w:t xml:space="preserve">Repowering Transaction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June 14, 2019, the Company, through an indirect subsidiary, entered into binding equity commitment agreements in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previously announced partnership with CEG to enable the repowering of two of its existing wind assets, Wildorado and Elbow Creek. In connection with the completion of the financing, and after taking into account the higher cash flow from the reduction in debt service in 2019 resulting from the partial repayment of the Viento financing, the Company committed to invest an estimated $111 million in net corporate capital to fund the repowering of the wind facilities, subject to closing adjustments.</w:t>
      </w:r>
    </w:p>
    <w:p>
      <w:pPr>
        <w:spacing w:after="0" w:line="180"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Kawailoa Solar Partnership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May 1, 2019, the Company entered into a partnership with Clearway Renew LLC, a subsidiary of CEG, to own,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finance, operate, and maintain the Kawailoa Solar Partnership. The Company made an original capital contribution in the amount of $2 million and recorded a payable in the amount of $7 million due to Clearway Renew LLC in the accounts payable - affiliate on the Company's consolidated balance sheets as of September 30, 2019. For further discussion, see Item 1, Note 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Accounted for by the Equity Method and Variable Interest Entities.</w:t>
      </w:r>
    </w:p>
    <w:p>
      <w:pPr>
        <w:spacing w:after="0" w:line="177" w:lineRule="exact"/>
        <w:rPr>
          <w:sz w:val="20"/>
          <w:szCs w:val="20"/>
          <w:color w:val="auto"/>
        </w:rPr>
      </w:pPr>
    </w:p>
    <w:p>
      <w:pPr>
        <w:jc w:val="both"/>
        <w:ind w:firstLine="486"/>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Duquesne Thermal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May 1, 2019, the Company, through its indirect subsidiary ECP Uptown Campus LLC, acquired the Duquesne University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district energy system, totaling 82 combined MWt, located in Pittsburgh, Pennsylvania. The total investment for the project is approximately $107 million. This includes $100 million related to the purchase of district energy assets, which was funded through a combination of issuance of non-recourse debt in the amount of $95 million, as further discussed in Item 1, Note 7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as well as cash on hand. As part of the acquisition, Duquesne University entered into a 40-year Energy Services Agreement through which ECP Uptown Campus LLC will fulfill the university’s electricity, chilled water and steam requirements in exchange for monthly capacity payments.</w:t>
      </w:r>
    </w:p>
    <w:p>
      <w:pPr>
        <w:spacing w:after="0" w:line="183" w:lineRule="exact"/>
        <w:rPr>
          <w:sz w:val="20"/>
          <w:szCs w:val="20"/>
          <w:color w:val="auto"/>
        </w:rPr>
      </w:pPr>
    </w:p>
    <w:p>
      <w:pPr>
        <w:jc w:val="both"/>
        <w:ind w:firstLine="486"/>
        <w:spacing w:after="0" w:line="262" w:lineRule="auto"/>
        <w:rPr>
          <w:sz w:val="20"/>
          <w:szCs w:val="20"/>
          <w:color w:val="auto"/>
        </w:rPr>
      </w:pPr>
      <w:r>
        <w:rPr>
          <w:rFonts w:ascii="Times New Roman" w:cs="Times New Roman" w:eastAsia="Times New Roman" w:hAnsi="Times New Roman"/>
          <w:sz w:val="18"/>
          <w:szCs w:val="18"/>
          <w:i w:val="1"/>
          <w:iCs w:val="1"/>
          <w:color w:val="auto"/>
        </w:rPr>
        <w:t xml:space="preserve">Oahu Partnership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March 8, 2019, the Company entered into a partnership with Clearway Renew LLC, a subsidiary of CEG, to own, finance,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operate, and maintain the Oahu Solar projects. The Company made an original capital contribution in the amount of $4 million and recorded a payable in the amount of $16 million due to Clearway Renew LLC in the accounts payable - affiliate on the Company's consolidated balance sheets as of September 30, 2019. For further discussion, see Item 1, Note 4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Investments Accounted for by the Equity Method and Variable Interest Entities.</w:t>
      </w:r>
    </w:p>
    <w:p>
      <w:pPr>
        <w:spacing w:after="0" w:line="177" w:lineRule="exact"/>
        <w:rPr>
          <w:sz w:val="20"/>
          <w:szCs w:val="20"/>
          <w:color w:val="auto"/>
        </w:rPr>
      </w:pPr>
    </w:p>
    <w:p>
      <w:pPr>
        <w:jc w:val="both"/>
        <w:ind w:right="20" w:firstLine="486"/>
        <w:spacing w:after="0" w:line="286" w:lineRule="auto"/>
        <w:rPr>
          <w:sz w:val="20"/>
          <w:szCs w:val="20"/>
          <w:color w:val="auto"/>
        </w:rPr>
      </w:pPr>
      <w:r>
        <w:rPr>
          <w:rFonts w:ascii="Times New Roman" w:cs="Times New Roman" w:eastAsia="Times New Roman" w:hAnsi="Times New Roman"/>
          <w:sz w:val="18"/>
          <w:szCs w:val="18"/>
          <w:i w:val="1"/>
          <w:iCs w:val="1"/>
          <w:color w:val="auto"/>
        </w:rPr>
        <w:t xml:space="preserve">Wind TE Holdco Buyout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January 2, 2019, the Company bought out 100% of Class A membership interest from the TE Investor, for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consideration of $19 million, as further described in Item 1 — Note 4, </w:t>
      </w:r>
      <w:r>
        <w:rPr>
          <w:rFonts w:ascii="Times New Roman" w:cs="Times New Roman" w:eastAsia="Times New Roman" w:hAnsi="Times New Roman"/>
          <w:sz w:val="18"/>
          <w:szCs w:val="18"/>
          <w:i w:val="1"/>
          <w:iCs w:val="1"/>
          <w:color w:val="auto"/>
        </w:rPr>
        <w:t>Investments Accounted for by the Equity Method and Variable Interest Entities</w:t>
      </w:r>
      <w:r>
        <w:rPr>
          <w:rFonts w:ascii="Times New Roman" w:cs="Times New Roman" w:eastAsia="Times New Roman" w:hAnsi="Times New Roman"/>
          <w:sz w:val="18"/>
          <w:szCs w:val="18"/>
          <w:color w:val="auto"/>
        </w:rPr>
        <w:t>.</w:t>
      </w:r>
    </w:p>
    <w:p>
      <w:pPr>
        <w:spacing w:after="0" w:line="15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Investment Partnership with CEG</w:t>
      </w:r>
    </w:p>
    <w:p>
      <w:pPr>
        <w:spacing w:after="0" w:line="227"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During the nine months ended September 30, 2019, the Company invested $14 million in distributed generation partnerships with CEG.</w:t>
      </w:r>
    </w:p>
    <w:p>
      <w:pPr>
        <w:spacing w:after="0" w:line="223"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Open Market Repurchases</w:t>
      </w:r>
    </w:p>
    <w:p>
      <w:pPr>
        <w:spacing w:after="0" w:line="227" w:lineRule="exact"/>
        <w:rPr>
          <w:sz w:val="20"/>
          <w:szCs w:val="20"/>
          <w:color w:val="auto"/>
        </w:rPr>
      </w:pPr>
    </w:p>
    <w:p>
      <w:pPr>
        <w:jc w:val="both"/>
        <w:ind w:firstLine="486"/>
        <w:spacing w:after="0" w:line="266" w:lineRule="auto"/>
        <w:rPr>
          <w:sz w:val="20"/>
          <w:szCs w:val="20"/>
          <w:color w:val="auto"/>
        </w:rPr>
      </w:pPr>
      <w:r>
        <w:rPr>
          <w:rFonts w:ascii="Times New Roman" w:cs="Times New Roman" w:eastAsia="Times New Roman" w:hAnsi="Times New Roman"/>
          <w:sz w:val="18"/>
          <w:szCs w:val="18"/>
          <w:color w:val="auto"/>
        </w:rPr>
        <w:t>In January 2019, Clearway Energy, Inc. repurchased an aggregate principal amount of $50 million of the 2019 Convertible Notes in open market transactions. The repurchases were funded through a partial repayment of the intercompany note between Clearway Operating LLC and Clearway Energy, Inc.</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Cash Dividends to Investors</w:t>
      </w:r>
    </w:p>
    <w:p>
      <w:pPr>
        <w:spacing w:after="0" w:line="227" w:lineRule="exact"/>
        <w:rPr>
          <w:sz w:val="20"/>
          <w:szCs w:val="20"/>
          <w:color w:val="auto"/>
        </w:rPr>
      </w:pPr>
    </w:p>
    <w:p>
      <w:pPr>
        <w:jc w:val="both"/>
        <w:ind w:firstLine="486"/>
        <w:spacing w:after="0" w:line="255" w:lineRule="auto"/>
        <w:rPr>
          <w:sz w:val="20"/>
          <w:szCs w:val="20"/>
          <w:color w:val="auto"/>
        </w:rPr>
      </w:pPr>
      <w:r>
        <w:rPr>
          <w:rFonts w:ascii="Times New Roman" w:cs="Times New Roman" w:eastAsia="Times New Roman" w:hAnsi="Times New Roman"/>
          <w:sz w:val="18"/>
          <w:szCs w:val="18"/>
          <w:color w:val="auto"/>
        </w:rPr>
        <w:t>Clearway Energy, Inc. intends to use the amount of cash that it receives from its distributions from Clearway Energy LLC to pay quarterly dividends to the holders of its Class A common stock and Class C common stock. Clearway Energy LLC intends to distribute to its unit holders in the form of a quarterly distribution all of the CAFD it generates each quarter, less reserves for the prudent conduct of the business, including among others, maintenance capital expenditures to maintain the operating capacity of the assets. Dividends on the Class A common stock and Class C common stock are subject to available capital, market conditions, and compliance with associated laws, regulations and other contractual obligations. The Company expects that, based on current circumstances, comparable cash dividends will continue to be paid in the foreseeable future. The Company will continue to evaluate its capital allocation approach during the pendency of the PG&amp;E Bankruptcy, including the Company’s ability to receive unrestricted project distributions.</w:t>
      </w:r>
    </w:p>
    <w:p>
      <w:pPr>
        <w:spacing w:after="0" w:line="18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7"/>
          <w:szCs w:val="17"/>
          <w:color w:val="auto"/>
        </w:rPr>
        <w:t>The following table lists the dividends paid on Clearway Energy, Inc.'s Class A common stock and Class C common stock during the nine months ended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2019:</w:t>
      </w: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6400" w:type="dxa"/>
            <w:vAlign w:val="bottom"/>
          </w:tcPr>
          <w:p>
            <w:pPr>
              <w:spacing w:after="0"/>
              <w:rPr>
                <w:sz w:val="18"/>
                <w:szCs w:val="18"/>
                <w:color w:val="auto"/>
              </w:rPr>
            </w:pPr>
          </w:p>
        </w:tc>
        <w:tc>
          <w:tcPr>
            <w:tcW w:w="150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Third Quarter 2019</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gridSpan w:val="3"/>
          </w:tcPr>
          <w:p>
            <w:pPr>
              <w:jc w:val="right"/>
              <w:ind w:right="120"/>
              <w:spacing w:after="0"/>
              <w:rPr>
                <w:sz w:val="20"/>
                <w:szCs w:val="20"/>
                <w:color w:val="auto"/>
              </w:rPr>
            </w:pPr>
            <w:r>
              <w:rPr>
                <w:rFonts w:ascii="Times New Roman" w:cs="Times New Roman" w:eastAsia="Times New Roman" w:hAnsi="Times New Roman"/>
                <w:sz w:val="16"/>
                <w:szCs w:val="16"/>
                <w:b w:val="1"/>
                <w:bCs w:val="1"/>
                <w:color w:val="auto"/>
                <w:w w:val="99"/>
              </w:rPr>
              <w:t>Second Quarter 2019</w:t>
            </w:r>
          </w:p>
        </w:tc>
        <w:tc>
          <w:tcPr>
            <w:tcW w:w="100" w:type="dxa"/>
            <w:vAlign w:val="bottom"/>
          </w:tcPr>
          <w:p>
            <w:pPr>
              <w:spacing w:after="0"/>
              <w:rPr>
                <w:sz w:val="18"/>
                <w:szCs w:val="18"/>
                <w:color w:val="auto"/>
              </w:rPr>
            </w:pPr>
          </w:p>
        </w:tc>
        <w:tc>
          <w:tcPr>
            <w:tcW w:w="1580" w:type="dxa"/>
            <w:vAlign w:val="bottom"/>
            <w:gridSpan w:val="3"/>
          </w:tcPr>
          <w:p>
            <w:pPr>
              <w:ind w:left="80"/>
              <w:spacing w:after="0"/>
              <w:rPr>
                <w:sz w:val="20"/>
                <w:szCs w:val="20"/>
                <w:color w:val="auto"/>
              </w:rPr>
            </w:pPr>
            <w:r>
              <w:rPr>
                <w:rFonts w:ascii="Times New Roman" w:cs="Times New Roman" w:eastAsia="Times New Roman" w:hAnsi="Times New Roman"/>
                <w:sz w:val="16"/>
                <w:szCs w:val="16"/>
                <w:b w:val="1"/>
                <w:bCs w:val="1"/>
                <w:color w:val="auto"/>
              </w:rPr>
              <w:t>First Quarter 2019</w:t>
            </w:r>
          </w:p>
        </w:tc>
      </w:tr>
      <w:tr>
        <w:trPr>
          <w:trHeight w:val="20"/>
        </w:trPr>
        <w:tc>
          <w:tcPr>
            <w:tcW w:w="64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3"/>
        </w:trPr>
        <w:tc>
          <w:tcPr>
            <w:tcW w:w="6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Dividends per Class A share</w:t>
            </w:r>
          </w:p>
        </w:tc>
        <w:tc>
          <w:tcPr>
            <w:tcW w:w="640" w:type="dxa"/>
            <w:vAlign w:val="bottom"/>
            <w:shd w:val="clear" w:color="auto" w:fill="CCEEFF"/>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0.20</w:t>
            </w:r>
          </w:p>
        </w:tc>
        <w:tc>
          <w:tcPr>
            <w:tcW w:w="740" w:type="dxa"/>
            <w:vAlign w:val="bottom"/>
            <w:gridSpan w:val="2"/>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720" w:type="dxa"/>
            <w:vAlign w:val="bottom"/>
            <w:gridSpan w:val="2"/>
            <w:shd w:val="clear" w:color="auto" w:fill="CCEEFF"/>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r>
      <w:tr>
        <w:trPr>
          <w:trHeight w:val="238"/>
        </w:trPr>
        <w:tc>
          <w:tcPr>
            <w:tcW w:w="6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Dividends per Class C share</w:t>
            </w:r>
          </w:p>
        </w:tc>
        <w:tc>
          <w:tcPr>
            <w:tcW w:w="640" w:type="dxa"/>
            <w:vAlign w:val="bottom"/>
          </w:tcPr>
          <w:p>
            <w:pPr>
              <w:jc w:val="right"/>
              <w:ind w:right="453"/>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0.20</w:t>
            </w:r>
          </w:p>
        </w:tc>
        <w:tc>
          <w:tcPr>
            <w:tcW w:w="740" w:type="dxa"/>
            <w:vAlign w:val="bottom"/>
            <w:gridSpan w:val="2"/>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0.20</w:t>
            </w:r>
          </w:p>
        </w:tc>
        <w:tc>
          <w:tcPr>
            <w:tcW w:w="720" w:type="dxa"/>
            <w:vAlign w:val="bottom"/>
            <w:gridSpan w:val="2"/>
          </w:tcPr>
          <w:p>
            <w:pPr>
              <w:jc w:val="right"/>
              <w:ind w:right="459"/>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0.20</w:t>
            </w:r>
          </w:p>
        </w:tc>
      </w:tr>
    </w:tbl>
    <w:p>
      <w:pPr>
        <w:spacing w:after="0" w:line="175"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On October 29, 2019, the Company declared quarterly dividends on its Class A common stock and Class C common stock of $0.20 per share payable on December 16, 2019, to stockholders of record as of December 2, 2019.</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 Discussion</w:t>
      </w:r>
    </w:p>
    <w:p>
      <w:pPr>
        <w:spacing w:after="0" w:line="229"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The following table reflects the changes in cash flows for the nine months ended September 30, 2019, compared to the nine months ended September 30, 2018:</w:t>
      </w:r>
    </w:p>
    <w:p>
      <w:pPr>
        <w:spacing w:after="0" w:line="178" w:lineRule="exact"/>
        <w:rPr>
          <w:sz w:val="20"/>
          <w:szCs w:val="20"/>
          <w:color w:val="auto"/>
        </w:rPr>
      </w:pPr>
    </w:p>
    <w:tbl>
      <w:tblPr>
        <w:tblLayout w:type="fixed"/>
        <w:tblInd w:w="300" w:type="dxa"/>
        <w:tblCellMar>
          <w:top w:w="0" w:type="dxa"/>
          <w:left w:w="0" w:type="dxa"/>
          <w:bottom w:w="0" w:type="dxa"/>
          <w:right w:w="0" w:type="dxa"/>
        </w:tblCellMar>
      </w:tblPr>
      <w:tr>
        <w:trPr>
          <w:trHeight w:val="212"/>
        </w:trPr>
        <w:tc>
          <w:tcPr>
            <w:tcW w:w="5740" w:type="dxa"/>
            <w:vAlign w:val="bottom"/>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c>
          <w:tcPr>
            <w:tcW w:w="2980" w:type="dxa"/>
            <w:vAlign w:val="bottom"/>
            <w:tcBorders>
              <w:bottom w:val="single" w:sz="8" w:color="auto"/>
            </w:tcBorders>
            <w:gridSpan w:val="4"/>
          </w:tcPr>
          <w:p>
            <w:pPr>
              <w:ind w:left="280"/>
              <w:spacing w:after="0"/>
              <w:rPr>
                <w:sz w:val="20"/>
                <w:szCs w:val="20"/>
                <w:color w:val="auto"/>
              </w:rPr>
            </w:pPr>
            <w:r>
              <w:rPr>
                <w:rFonts w:ascii="Times New Roman" w:cs="Times New Roman" w:eastAsia="Times New Roman" w:hAnsi="Times New Roman"/>
                <w:sz w:val="16"/>
                <w:szCs w:val="16"/>
                <w:b w:val="1"/>
                <w:bCs w:val="1"/>
                <w:color w:val="auto"/>
              </w:rPr>
              <w:t>For the Nine Months Ended</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5740" w:type="dxa"/>
            <w:vAlign w:val="bottom"/>
          </w:tcPr>
          <w:p>
            <w:pPr>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80" w:type="dxa"/>
            <w:vAlign w:val="bottom"/>
            <w:tcBorders>
              <w:bottom w:val="single" w:sz="8" w:color="auto"/>
            </w:tcBorders>
          </w:tcPr>
          <w:p>
            <w:pPr>
              <w:spacing w:after="0"/>
              <w:rPr>
                <w:sz w:val="18"/>
                <w:szCs w:val="18"/>
                <w:color w:val="auto"/>
              </w:rPr>
            </w:pPr>
          </w:p>
        </w:tc>
        <w:tc>
          <w:tcPr>
            <w:tcW w:w="1240" w:type="dxa"/>
            <w:vAlign w:val="bottom"/>
            <w:tcBorders>
              <w:bottom w:val="single" w:sz="8" w:color="auto"/>
            </w:tcBorders>
          </w:tcPr>
          <w:p>
            <w:pPr>
              <w:ind w:left="280"/>
              <w:spacing w:after="0"/>
              <w:rPr>
                <w:sz w:val="20"/>
                <w:szCs w:val="20"/>
                <w:color w:val="auto"/>
              </w:rPr>
            </w:pPr>
            <w:r>
              <w:rPr>
                <w:rFonts w:ascii="Times New Roman" w:cs="Times New Roman" w:eastAsia="Times New Roman" w:hAnsi="Times New Roman"/>
                <w:sz w:val="16"/>
                <w:szCs w:val="16"/>
                <w:b w:val="1"/>
                <w:bCs w:val="1"/>
                <w:color w:val="auto"/>
              </w:rPr>
              <w:t>2019</w:t>
            </w:r>
          </w:p>
        </w:tc>
        <w:tc>
          <w:tcPr>
            <w:tcW w:w="12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26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6"/>
                <w:szCs w:val="16"/>
                <w:b w:val="1"/>
                <w:bCs w:val="1"/>
                <w:color w:val="auto"/>
              </w:rPr>
              <w:t>2018</w:t>
            </w:r>
          </w:p>
        </w:tc>
        <w:tc>
          <w:tcPr>
            <w:tcW w:w="10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6"/>
                <w:szCs w:val="16"/>
                <w:b w:val="1"/>
                <w:bCs w:val="1"/>
                <w:color w:val="auto"/>
              </w:rPr>
              <w:t>Change</w:t>
            </w:r>
          </w:p>
        </w:tc>
      </w:tr>
      <w:tr>
        <w:trPr>
          <w:trHeight w:val="210"/>
        </w:trPr>
        <w:tc>
          <w:tcPr>
            <w:tcW w:w="5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80" w:type="dxa"/>
            <w:vAlign w:val="bottom"/>
            <w:shd w:val="clear" w:color="auto" w:fill="CCEEFF"/>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374</w:t>
            </w:r>
          </w:p>
        </w:tc>
        <w:tc>
          <w:tcPr>
            <w:tcW w:w="4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260" w:type="dxa"/>
            <w:vAlign w:val="bottom"/>
            <w:shd w:val="clear" w:color="auto" w:fill="CCEEFF"/>
          </w:tcPr>
          <w:p>
            <w:pPr>
              <w:jc w:val="right"/>
              <w:ind w:right="33"/>
              <w:spacing w:after="0"/>
              <w:rPr>
                <w:sz w:val="20"/>
                <w:szCs w:val="20"/>
                <w:color w:val="auto"/>
              </w:rPr>
            </w:pPr>
            <w:r>
              <w:rPr>
                <w:rFonts w:ascii="Times New Roman" w:cs="Times New Roman" w:eastAsia="Times New Roman" w:hAnsi="Times New Roman"/>
                <w:sz w:val="18"/>
                <w:szCs w:val="18"/>
                <w:color w:val="auto"/>
              </w:rPr>
              <w:t>396</w:t>
            </w:r>
          </w:p>
        </w:tc>
        <w:tc>
          <w:tcPr>
            <w:tcW w:w="42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w:t>
            </w:r>
          </w:p>
        </w:tc>
      </w:tr>
      <w:tr>
        <w:trPr>
          <w:trHeight w:val="216"/>
        </w:trPr>
        <w:tc>
          <w:tcPr>
            <w:tcW w:w="574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bottom w:val="single" w:sz="8" w:color="CCEEFF"/>
            </w:tcBorders>
          </w:tcPr>
          <w:p>
            <w:pPr>
              <w:spacing w:after="0"/>
              <w:rPr>
                <w:sz w:val="18"/>
                <w:szCs w:val="18"/>
                <w:color w:val="auto"/>
              </w:rPr>
            </w:pPr>
          </w:p>
        </w:tc>
        <w:tc>
          <w:tcPr>
            <w:tcW w:w="124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20" w:type="dxa"/>
            <w:vAlign w:val="bottom"/>
            <w:tcBorders>
              <w:bottom w:val="single" w:sz="8" w:color="CCEEFF"/>
            </w:tcBorders>
          </w:tcPr>
          <w:p>
            <w:pPr>
              <w:spacing w:after="0"/>
              <w:rPr>
                <w:sz w:val="18"/>
                <w:szCs w:val="18"/>
                <w:color w:val="auto"/>
              </w:rPr>
            </w:pPr>
          </w:p>
        </w:tc>
        <w:tc>
          <w:tcPr>
            <w:tcW w:w="360" w:type="dxa"/>
            <w:vAlign w:val="bottom"/>
            <w:tcBorders>
              <w:bottom w:val="single" w:sz="8" w:color="CCEEFF"/>
            </w:tcBorders>
          </w:tcPr>
          <w:p>
            <w:pPr>
              <w:spacing w:after="0"/>
              <w:rPr>
                <w:sz w:val="18"/>
                <w:szCs w:val="18"/>
                <w:color w:val="auto"/>
              </w:rPr>
            </w:pPr>
          </w:p>
        </w:tc>
        <w:tc>
          <w:tcPr>
            <w:tcW w:w="126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tcBorders>
              <w:bottom w:val="single" w:sz="8" w:color="CCEEFF"/>
            </w:tcBorders>
          </w:tcPr>
          <w:p>
            <w:pPr>
              <w:spacing w:after="0"/>
              <w:rPr>
                <w:sz w:val="18"/>
                <w:szCs w:val="18"/>
                <w:color w:val="auto"/>
              </w:rPr>
            </w:pPr>
          </w:p>
        </w:tc>
        <w:tc>
          <w:tcPr>
            <w:tcW w:w="320" w:type="dxa"/>
            <w:vAlign w:val="bottom"/>
            <w:tcBorders>
              <w:bottom w:val="single" w:sz="8" w:color="CCEEFF"/>
            </w:tcBorders>
          </w:tcPr>
          <w:p>
            <w:pPr>
              <w:spacing w:after="0"/>
              <w:rPr>
                <w:sz w:val="18"/>
                <w:szCs w:val="18"/>
                <w:color w:val="auto"/>
              </w:rPr>
            </w:pPr>
          </w:p>
        </w:tc>
        <w:tc>
          <w:tcPr>
            <w:tcW w:w="13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8"/>
                <w:szCs w:val="18"/>
                <w:color w:val="auto"/>
              </w:rPr>
              <w:t>(125)</w:t>
            </w:r>
          </w:p>
        </w:tc>
      </w:tr>
    </w:tbl>
    <w:p>
      <w:pPr>
        <w:sectPr>
          <w:pgSz w:w="11900" w:h="16900" w:orient="portrait"/>
          <w:cols w:equalWidth="0" w:num="1">
            <w:col w:w="11420"/>
          </w:cols>
          <w:pgMar w:left="240" w:top="333" w:right="239" w:bottom="0" w:gutter="0" w:footer="0" w:header="0"/>
        </w:sectPr>
      </w:pPr>
    </w:p>
    <w:bookmarkStart w:id="48" w:name="page49"/>
    <w:bookmarkEnd w:id="48"/>
    <w:p>
      <w:pPr>
        <w:spacing w:after="0" w:line="81" w:lineRule="exact"/>
        <w:rPr>
          <w:sz w:val="20"/>
          <w:szCs w:val="20"/>
          <w:color w:val="auto"/>
        </w:rPr>
      </w:pPr>
    </w:p>
    <w:tbl>
      <w:tblPr>
        <w:tblLayout w:type="fixed"/>
        <w:tblInd w:w="300" w:type="dxa"/>
        <w:tblCellMar>
          <w:top w:w="0" w:type="dxa"/>
          <w:left w:w="0" w:type="dxa"/>
          <w:bottom w:w="0" w:type="dxa"/>
          <w:right w:w="0" w:type="dxa"/>
        </w:tblCellMar>
      </w:tblPr>
      <w:tr>
        <w:trPr>
          <w:trHeight w:val="216"/>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2040" w:type="dxa"/>
            <w:vAlign w:val="bottom"/>
            <w:shd w:val="clear" w:color="auto" w:fill="CCEEFF"/>
          </w:tcPr>
          <w:p>
            <w:pPr>
              <w:jc w:val="right"/>
              <w:ind w:right="570"/>
              <w:spacing w:after="0"/>
              <w:rPr>
                <w:sz w:val="20"/>
                <w:szCs w:val="20"/>
                <w:color w:val="auto"/>
              </w:rPr>
            </w:pPr>
            <w:r>
              <w:rPr>
                <w:rFonts w:ascii="Times New Roman" w:cs="Times New Roman" w:eastAsia="Times New Roman" w:hAnsi="Times New Roman"/>
                <w:sz w:val="18"/>
                <w:szCs w:val="18"/>
                <w:color w:val="auto"/>
              </w:rPr>
              <w:t>(260)</w:t>
            </w:r>
          </w:p>
        </w:tc>
        <w:tc>
          <w:tcPr>
            <w:tcW w:w="1220" w:type="dxa"/>
            <w:vAlign w:val="bottom"/>
            <w:shd w:val="clear" w:color="auto" w:fill="CCEEFF"/>
          </w:tcPr>
          <w:p>
            <w:pPr>
              <w:jc w:val="right"/>
              <w:ind w:right="70"/>
              <w:spacing w:after="0"/>
              <w:rPr>
                <w:sz w:val="20"/>
                <w:szCs w:val="20"/>
                <w:color w:val="auto"/>
              </w:rPr>
            </w:pPr>
            <w:r>
              <w:rPr>
                <w:rFonts w:ascii="Times New Roman" w:cs="Times New Roman" w:eastAsia="Times New Roman" w:hAnsi="Times New Roman"/>
                <w:sz w:val="18"/>
                <w:szCs w:val="18"/>
                <w:color w:val="auto"/>
              </w:rPr>
              <w:t>(148)</w:t>
            </w:r>
          </w:p>
        </w:tc>
        <w:tc>
          <w:tcPr>
            <w:tcW w:w="22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0" w:type="dxa"/>
            <w:vAlign w:val="bottom"/>
          </w:tcPr>
          <w:p>
            <w:pPr>
              <w:spacing w:after="0"/>
              <w:rPr>
                <w:sz w:val="1"/>
                <w:szCs w:val="1"/>
                <w:color w:val="auto"/>
              </w:rPr>
            </w:pPr>
          </w:p>
        </w:tc>
      </w:tr>
      <w:tr>
        <w:trPr>
          <w:trHeight w:val="648"/>
        </w:trPr>
        <w:tc>
          <w:tcPr>
            <w:tcW w:w="5940" w:type="dxa"/>
            <w:vAlign w:val="bottom"/>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Net Cash Provided by Operating Activities</w:t>
            </w: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Changes to net cash provided by operating activities were driven by:</w:t>
            </w:r>
          </w:p>
        </w:tc>
        <w:tc>
          <w:tcPr>
            <w:tcW w:w="204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0" w:type="dxa"/>
            <w:vAlign w:val="bottom"/>
          </w:tcPr>
          <w:p>
            <w:pPr>
              <w:spacing w:after="0"/>
              <w:rPr>
                <w:sz w:val="1"/>
                <w:szCs w:val="1"/>
                <w:color w:val="auto"/>
              </w:rPr>
            </w:pPr>
          </w:p>
        </w:tc>
      </w:tr>
      <w:tr>
        <w:trPr>
          <w:trHeight w:val="191"/>
        </w:trPr>
        <w:tc>
          <w:tcPr>
            <w:tcW w:w="9420" w:type="dxa"/>
            <w:vAlign w:val="bottom"/>
            <w:gridSpan w:val="4"/>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Lower distributions from unconsolidated affiliates affected by the PG&amp;E Bankruptcy, partially offset by higher distributions</w:t>
            </w:r>
          </w:p>
        </w:tc>
        <w:tc>
          <w:tcPr>
            <w:tcW w:w="14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234"/>
        </w:trPr>
        <w:tc>
          <w:tcPr>
            <w:tcW w:w="5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from the distributed generation projects</w:t>
            </w:r>
          </w:p>
        </w:tc>
        <w:tc>
          <w:tcPr>
            <w:tcW w:w="20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vMerge w:val="continue"/>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940" w:type="dxa"/>
            <w:vAlign w:val="bottom"/>
          </w:tcPr>
          <w:p>
            <w:pPr>
              <w:spacing w:after="0"/>
              <w:rPr>
                <w:sz w:val="20"/>
                <w:szCs w:val="20"/>
                <w:color w:val="auto"/>
              </w:rPr>
            </w:pPr>
            <w:r>
              <w:rPr>
                <w:rFonts w:ascii="Times New Roman" w:cs="Times New Roman" w:eastAsia="Times New Roman" w:hAnsi="Times New Roman"/>
                <w:sz w:val="18"/>
                <w:szCs w:val="18"/>
                <w:color w:val="auto"/>
              </w:rPr>
              <w:t>Decrease in operating income adjusted for non-cash items</w:t>
            </w:r>
          </w:p>
        </w:tc>
        <w:tc>
          <w:tcPr>
            <w:tcW w:w="204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920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working capital driven primarily by the timing of accounts receivable collections and payment of accounts payable</w:t>
            </w:r>
          </w:p>
        </w:tc>
        <w:tc>
          <w:tcPr>
            <w:tcW w:w="220" w:type="dxa"/>
            <w:vAlign w:val="bottom"/>
            <w:tcBorders>
              <w:bottom w:val="single" w:sz="8" w:color="auto"/>
            </w:tcBorders>
            <w:shd w:val="clear" w:color="auto" w:fill="CCEEFF"/>
          </w:tcPr>
          <w:p>
            <w:pPr>
              <w:spacing w:after="0"/>
              <w:rPr>
                <w:sz w:val="18"/>
                <w:szCs w:val="18"/>
                <w:color w:val="auto"/>
              </w:rPr>
            </w:pPr>
          </w:p>
        </w:tc>
        <w:tc>
          <w:tcPr>
            <w:tcW w:w="1400" w:type="dxa"/>
            <w:vAlign w:val="bottom"/>
            <w:tcBorders>
              <w:bottom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210"/>
        </w:trPr>
        <w:tc>
          <w:tcPr>
            <w:tcW w:w="594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14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w:t>
            </w:r>
          </w:p>
        </w:tc>
        <w:tc>
          <w:tcPr>
            <w:tcW w:w="0" w:type="dxa"/>
            <w:vAlign w:val="bottom"/>
          </w:tcPr>
          <w:p>
            <w:pPr>
              <w:spacing w:after="0"/>
              <w:rPr>
                <w:sz w:val="1"/>
                <w:szCs w:val="1"/>
                <w:color w:val="auto"/>
              </w:rPr>
            </w:pPr>
          </w:p>
        </w:tc>
      </w:tr>
      <w:tr>
        <w:trPr>
          <w:trHeight w:val="20"/>
        </w:trPr>
        <w:tc>
          <w:tcPr>
            <w:tcW w:w="594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94" w:lineRule="exact"/>
        <w:rPr>
          <w:sz w:val="20"/>
          <w:szCs w:val="20"/>
          <w:color w:val="auto"/>
        </w:rPr>
      </w:pPr>
    </w:p>
    <w:p>
      <w:pPr>
        <w:sectPr>
          <w:pgSz w:w="11900" w:h="16920" w:orient="portrait"/>
          <w:cols w:equalWidth="0" w:num="1">
            <w:col w:w="11420"/>
          </w:cols>
          <w:pgMar w:left="240" w:top="140" w:right="239" w:bottom="0" w:gutter="0" w:footer="0" w:header="0"/>
        </w:sectPr>
      </w:pPr>
    </w:p>
    <w:p>
      <w:pPr>
        <w:ind w:left="58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Investing Activities</w:t>
      </w:r>
    </w:p>
    <w:p>
      <w:pPr>
        <w:spacing w:after="0" w:line="2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Changes to net cash used in investing activities were driven by:</w:t>
      </w:r>
    </w:p>
    <w:p>
      <w:pPr>
        <w:spacing w:after="0" w:line="27" w:lineRule="exact"/>
        <w:rPr>
          <w:sz w:val="20"/>
          <w:szCs w:val="20"/>
          <w:color w:val="auto"/>
        </w:rPr>
      </w:pPr>
    </w:p>
    <w:p>
      <w:pPr>
        <w:ind w:left="300"/>
        <w:spacing w:after="0" w:line="250" w:lineRule="auto"/>
        <w:rPr>
          <w:sz w:val="20"/>
          <w:szCs w:val="20"/>
          <w:color w:val="auto"/>
        </w:rPr>
      </w:pPr>
      <w:r>
        <w:rPr>
          <w:rFonts w:ascii="Times New Roman" w:cs="Times New Roman" w:eastAsia="Times New Roman" w:hAnsi="Times New Roman"/>
          <w:sz w:val="18"/>
          <w:szCs w:val="18"/>
          <w:color w:val="auto"/>
        </w:rPr>
        <w:t>Increase in capital expenditures driven by the Company investment in the Repowering Partnership and development projects in the Thermal segment in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-273050</wp:posOffset>
            </wp:positionV>
            <wp:extent cx="6877685" cy="2743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77685" cy="274320"/>
                    </a:xfrm>
                    <a:prstGeom prst="rect">
                      <a:avLst/>
                    </a:prstGeom>
                    <a:noFill/>
                  </pic:spPr>
                </pic:pic>
              </a:graphicData>
            </a:graphic>
          </wp:anchor>
        </w:drawing>
      </w:r>
    </w:p>
    <w:p>
      <w:pPr>
        <w:ind w:left="300" w:right="1100"/>
        <w:spacing w:after="0" w:line="250" w:lineRule="auto"/>
        <w:rPr>
          <w:sz w:val="20"/>
          <w:szCs w:val="20"/>
          <w:color w:val="auto"/>
        </w:rPr>
      </w:pPr>
      <w:r>
        <w:rPr>
          <w:rFonts w:ascii="Times New Roman" w:cs="Times New Roman" w:eastAsia="Times New Roman" w:hAnsi="Times New Roman"/>
          <w:sz w:val="18"/>
          <w:szCs w:val="18"/>
          <w:color w:val="auto"/>
        </w:rPr>
        <w:t>Higher payment due to the Drop Down Assets and other acquisitions that occurred in 2018 compared to 2019 Payment to buy out an existing tax equity partner of Wind TE Holdco on January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-135890</wp:posOffset>
            </wp:positionV>
            <wp:extent cx="6877685"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ind w:left="300" w:right="1540"/>
        <w:spacing w:after="0" w:line="250" w:lineRule="auto"/>
        <w:rPr>
          <w:sz w:val="20"/>
          <w:szCs w:val="20"/>
          <w:color w:val="auto"/>
        </w:rPr>
      </w:pPr>
      <w:r>
        <w:rPr>
          <w:rFonts w:ascii="Times New Roman" w:cs="Times New Roman" w:eastAsia="Times New Roman" w:hAnsi="Times New Roman"/>
          <w:sz w:val="18"/>
          <w:szCs w:val="18"/>
          <w:color w:val="auto"/>
        </w:rPr>
        <w:t>Lower net investment in unconsolidated affiliates in the distributed partnerships with CEG during 2019 Cash receipts from network upgrades in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-135890</wp:posOffset>
            </wp:positionV>
            <wp:extent cx="6877685"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77685" cy="137160"/>
                    </a:xfrm>
                    <a:prstGeom prst="rect">
                      <a:avLst/>
                    </a:prstGeom>
                    <a:noFill/>
                  </pic:spPr>
                </pic:pic>
              </a:graphicData>
            </a:graphic>
          </wp:anchor>
        </w:drawing>
      </w:r>
    </w:p>
    <w:p>
      <w:pPr>
        <w:ind w:left="300" w:right="1840"/>
        <w:spacing w:after="0" w:line="276" w:lineRule="auto"/>
        <w:rPr>
          <w:sz w:val="20"/>
          <w:szCs w:val="20"/>
          <w:color w:val="auto"/>
        </w:rPr>
      </w:pPr>
      <w:r>
        <w:rPr>
          <w:rFonts w:ascii="Times New Roman" w:cs="Times New Roman" w:eastAsia="Times New Roman" w:hAnsi="Times New Roman"/>
          <w:sz w:val="18"/>
          <w:szCs w:val="18"/>
          <w:color w:val="auto"/>
        </w:rPr>
        <w:t>Payment to acquire the Class A interests in the Oahu Partnership and Kawailoa Partnership in 2019 Other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185420</wp:posOffset>
            </wp:positionH>
            <wp:positionV relativeFrom="paragraph">
              <wp:posOffset>-164465</wp:posOffset>
            </wp:positionV>
            <wp:extent cx="6877685" cy="14605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77685" cy="14605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32"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21590</wp:posOffset>
            </wp:positionV>
            <wp:extent cx="102933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26" w:lineRule="exact"/>
        <w:rPr>
          <w:sz w:val="20"/>
          <w:szCs w:val="20"/>
          <w:color w:val="auto"/>
        </w:rPr>
      </w:pPr>
    </w:p>
    <w:p>
      <w:pPr>
        <w:ind w:left="1180" w:hanging="1176"/>
        <w:spacing w:after="0"/>
        <w:tabs>
          <w:tab w:leader="none" w:pos="11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(138)</w:t>
      </w:r>
    </w:p>
    <w:p>
      <w:pPr>
        <w:spacing w:after="0" w:line="27" w:lineRule="exact"/>
        <w:rPr>
          <w:rFonts w:ascii="Times New Roman" w:cs="Times New Roman" w:eastAsia="Times New Roman" w:hAnsi="Times New Roman"/>
          <w:sz w:val="18"/>
          <w:szCs w:val="18"/>
          <w:color w:val="auto"/>
        </w:rPr>
      </w:pPr>
    </w:p>
    <w:p>
      <w:pPr>
        <w:ind w:left="13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w:t>
      </w:r>
    </w:p>
    <w:p>
      <w:pPr>
        <w:spacing w:after="0" w:line="9"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(19)</w:t>
      </w:r>
    </w:p>
    <w:p>
      <w:pPr>
        <w:spacing w:after="0" w:line="9" w:lineRule="exact"/>
        <w:rPr>
          <w:sz w:val="20"/>
          <w:szCs w:val="20"/>
          <w:color w:val="auto"/>
        </w:rPr>
      </w:pPr>
    </w:p>
    <w:p>
      <w:pPr>
        <w:jc w:val="right"/>
        <w:ind w:right="400"/>
        <w:spacing w:after="0"/>
        <w:rPr>
          <w:sz w:val="20"/>
          <w:szCs w:val="20"/>
          <w:color w:val="auto"/>
        </w:rPr>
      </w:pPr>
      <w:r>
        <w:rPr>
          <w:rFonts w:ascii="Times New Roman" w:cs="Times New Roman" w:eastAsia="Times New Roman" w:hAnsi="Times New Roman"/>
          <w:sz w:val="18"/>
          <w:szCs w:val="18"/>
          <w:color w:val="auto"/>
        </w:rPr>
        <w:t>17</w:t>
      </w:r>
    </w:p>
    <w:p>
      <w:pPr>
        <w:spacing w:after="0" w:line="9"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(10)</w:t>
      </w:r>
    </w:p>
    <w:p>
      <w:pPr>
        <w:spacing w:after="0" w:line="9"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(6)</w:t>
      </w:r>
    </w:p>
    <w:p>
      <w:pPr>
        <w:spacing w:after="0" w:line="9" w:lineRule="exact"/>
        <w:rPr>
          <w:sz w:val="20"/>
          <w:szCs w:val="20"/>
          <w:color w:val="auto"/>
        </w:rPr>
      </w:pPr>
    </w:p>
    <w:p>
      <w:pPr>
        <w:jc w:val="right"/>
        <w:ind w:right="340"/>
        <w:spacing w:after="0"/>
        <w:rPr>
          <w:sz w:val="20"/>
          <w:szCs w:val="20"/>
          <w:color w:val="auto"/>
        </w:rPr>
      </w:pPr>
      <w:r>
        <w:rPr>
          <w:rFonts w:ascii="Times New Roman" w:cs="Times New Roman" w:eastAsia="Times New Roman" w:hAnsi="Times New Roman"/>
          <w:sz w:val="18"/>
          <w:szCs w:val="18"/>
          <w:color w:val="auto"/>
        </w:rPr>
        <w:t>(6)</w:t>
      </w:r>
    </w:p>
    <w:p>
      <w:pPr>
        <w:spacing w:after="0" w:line="9" w:lineRule="exact"/>
        <w:rPr>
          <w:sz w:val="20"/>
          <w:szCs w:val="20"/>
          <w:color w:val="auto"/>
        </w:rPr>
      </w:pPr>
    </w:p>
    <w:p>
      <w:pPr>
        <w:ind w:left="1180" w:hanging="1176"/>
        <w:spacing w:after="0"/>
        <w:tabs>
          <w:tab w:leader="none" w:pos="11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14605</wp:posOffset>
            </wp:positionV>
            <wp:extent cx="102933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1029335" cy="8890"/>
                    </a:xfrm>
                    <a:prstGeom prst="rect">
                      <a:avLst/>
                    </a:prstGeom>
                    <a:noFill/>
                  </pic:spPr>
                </pic:pic>
              </a:graphicData>
            </a:graphic>
          </wp:anchor>
        </w:drawing>
        <w:drawing>
          <wp:anchor simplePos="0" relativeHeight="251657728" behindDoc="1" locked="0" layoutInCell="0" allowOverlap="1">
            <wp:simplePos x="0" y="0"/>
            <wp:positionH relativeFrom="column">
              <wp:posOffset>1270</wp:posOffset>
            </wp:positionH>
            <wp:positionV relativeFrom="paragraph">
              <wp:posOffset>31750</wp:posOffset>
            </wp:positionV>
            <wp:extent cx="102933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029335" cy="8890"/>
                    </a:xfrm>
                    <a:prstGeom prst="rect">
                      <a:avLst/>
                    </a:prstGeom>
                    <a:noFill/>
                  </pic:spPr>
                </pic:pic>
              </a:graphicData>
            </a:graphic>
          </wp:anchor>
        </w:drawing>
      </w:r>
    </w:p>
    <w:p>
      <w:pPr>
        <w:spacing w:after="0" w:line="200" w:lineRule="exact"/>
        <w:rPr>
          <w:sz w:val="20"/>
          <w:szCs w:val="20"/>
          <w:color w:val="auto"/>
        </w:rPr>
      </w:pPr>
    </w:p>
    <w:p>
      <w:pPr>
        <w:sectPr>
          <w:pgSz w:w="11900" w:h="16920" w:orient="portrait"/>
          <w:cols w:equalWidth="0" w:num="2">
            <w:col w:w="9280" w:space="220"/>
            <w:col w:w="1920"/>
          </w:cols>
          <w:pgMar w:left="240" w:top="140" w:right="239" w:bottom="0" w:gutter="0" w:footer="0" w:header="0"/>
          <w:type w:val="continuous"/>
        </w:sectPr>
      </w:pP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300" w:type="dxa"/>
            <w:vAlign w:val="bottom"/>
          </w:tcPr>
          <w:p>
            <w:pPr>
              <w:spacing w:after="0"/>
              <w:rPr>
                <w:sz w:val="20"/>
                <w:szCs w:val="20"/>
                <w:color w:val="auto"/>
              </w:rPr>
            </w:pPr>
          </w:p>
        </w:tc>
        <w:tc>
          <w:tcPr>
            <w:tcW w:w="9200" w:type="dxa"/>
            <w:vAlign w:val="bottom"/>
          </w:tcPr>
          <w:p>
            <w:pPr>
              <w:ind w:left="280"/>
              <w:spacing w:after="0"/>
              <w:rPr>
                <w:sz w:val="20"/>
                <w:szCs w:val="20"/>
                <w:color w:val="auto"/>
              </w:rPr>
            </w:pPr>
            <w:r>
              <w:rPr>
                <w:rFonts w:ascii="Times New Roman" w:cs="Times New Roman" w:eastAsia="Times New Roman" w:hAnsi="Times New Roman"/>
                <w:sz w:val="18"/>
                <w:szCs w:val="18"/>
                <w:b w:val="1"/>
                <w:bCs w:val="1"/>
                <w:i w:val="1"/>
                <w:iCs w:val="1"/>
                <w:color w:val="auto"/>
              </w:rPr>
              <w:t>Net Cash Used in Financing Activities</w:t>
            </w:r>
          </w:p>
        </w:tc>
        <w:tc>
          <w:tcPr>
            <w:tcW w:w="22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300" w:type="dxa"/>
            <w:vAlign w:val="bottom"/>
          </w:tcPr>
          <w:p>
            <w:pPr>
              <w:spacing w:after="0"/>
              <w:rPr>
                <w:sz w:val="24"/>
                <w:szCs w:val="24"/>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Changes in net cash used in financing activities were driven by:</w:t>
            </w:r>
          </w:p>
        </w:tc>
        <w:tc>
          <w:tcPr>
            <w:tcW w:w="22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371"/>
              <w:spacing w:after="0"/>
              <w:rPr>
                <w:sz w:val="20"/>
                <w:szCs w:val="20"/>
                <w:color w:val="auto"/>
              </w:rPr>
            </w:pPr>
            <w:r>
              <w:rPr>
                <w:rFonts w:ascii="Times New Roman" w:cs="Times New Roman" w:eastAsia="Times New Roman" w:hAnsi="Times New Roman"/>
                <w:sz w:val="16"/>
                <w:szCs w:val="16"/>
                <w:i w:val="1"/>
                <w:iCs w:val="1"/>
                <w:color w:val="auto"/>
              </w:rPr>
              <w:t>(In millions)</w:t>
            </w: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300" w:type="dxa"/>
            <w:vAlign w:val="bottom"/>
          </w:tcPr>
          <w:p>
            <w:pPr>
              <w:spacing w:after="0"/>
              <w:rPr>
                <w:sz w:val="16"/>
                <w:szCs w:val="16"/>
                <w:color w:val="auto"/>
              </w:rPr>
            </w:pPr>
          </w:p>
        </w:tc>
        <w:tc>
          <w:tcPr>
            <w:tcW w:w="9200" w:type="dxa"/>
            <w:vAlign w:val="bottom"/>
            <w:shd w:val="clear" w:color="auto" w:fill="CCEEFF"/>
          </w:tcPr>
          <w:p>
            <w:pPr>
              <w:spacing w:after="0" w:line="191" w:lineRule="exact"/>
              <w:rPr>
                <w:sz w:val="20"/>
                <w:szCs w:val="20"/>
                <w:color w:val="auto"/>
              </w:rPr>
            </w:pPr>
            <w:r>
              <w:rPr>
                <w:rFonts w:ascii="Times New Roman" w:cs="Times New Roman" w:eastAsia="Times New Roman" w:hAnsi="Times New Roman"/>
                <w:sz w:val="18"/>
                <w:szCs w:val="18"/>
                <w:color w:val="auto"/>
              </w:rPr>
              <w:t>Lower net contributions from noncontrolling interests in 2019 compared to 2018, primarily from Buckthorn Holdings, LLC's</w:t>
            </w:r>
          </w:p>
        </w:tc>
        <w:tc>
          <w:tcPr>
            <w:tcW w:w="220" w:type="dxa"/>
            <w:vAlign w:val="bottom"/>
            <w:shd w:val="clear" w:color="auto" w:fill="CCEEFF"/>
          </w:tcPr>
          <w:p>
            <w:pPr>
              <w:spacing w:after="0"/>
              <w:rPr>
                <w:sz w:val="16"/>
                <w:szCs w:val="16"/>
                <w:color w:val="auto"/>
              </w:rPr>
            </w:pPr>
          </w:p>
        </w:tc>
        <w:tc>
          <w:tcPr>
            <w:tcW w:w="1400" w:type="dxa"/>
            <w:vAlign w:val="bottom"/>
            <w:shd w:val="clear" w:color="auto" w:fill="CCEEFF"/>
          </w:tcPr>
          <w:p>
            <w:pPr>
              <w:spacing w:after="0"/>
              <w:rPr>
                <w:sz w:val="16"/>
                <w:szCs w:val="16"/>
                <w:color w:val="auto"/>
              </w:rPr>
            </w:pP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300" w:type="dxa"/>
            <w:vAlign w:val="bottom"/>
          </w:tcPr>
          <w:p>
            <w:pPr>
              <w:spacing w:after="0"/>
              <w:rPr>
                <w:sz w:val="20"/>
                <w:szCs w:val="20"/>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Class A member in 2018, as described in Note 3, Business Acquisitions</w:t>
            </w:r>
          </w:p>
        </w:tc>
        <w:tc>
          <w:tcPr>
            <w:tcW w:w="220" w:type="dxa"/>
            <w:vAlign w:val="bottom"/>
            <w:shd w:val="clear" w:color="auto" w:fill="CCEEFF"/>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(108)</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proceeds from the Clearway Energy, Inc. common stock offering under the ATM Program in 2018</w:t>
            </w:r>
          </w:p>
        </w:tc>
        <w:tc>
          <w:tcPr>
            <w:tcW w:w="22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300" w:type="dxa"/>
            <w:vAlign w:val="bottom"/>
          </w:tcPr>
          <w:p>
            <w:pPr>
              <w:spacing w:after="0"/>
              <w:rPr>
                <w:sz w:val="19"/>
                <w:szCs w:val="19"/>
                <w:color w:val="auto"/>
              </w:rPr>
            </w:pPr>
          </w:p>
        </w:tc>
        <w:tc>
          <w:tcPr>
            <w:tcW w:w="9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Decrease in dividends paid to common stockholders from 2018 to 2019</w:t>
            </w:r>
          </w:p>
        </w:tc>
        <w:tc>
          <w:tcPr>
            <w:tcW w:w="220" w:type="dxa"/>
            <w:vAlign w:val="bottom"/>
            <w:shd w:val="clear" w:color="auto" w:fill="CCEEFF"/>
          </w:tcPr>
          <w:p>
            <w:pPr>
              <w:spacing w:after="0"/>
              <w:rPr>
                <w:sz w:val="19"/>
                <w:szCs w:val="19"/>
                <w:color w:val="auto"/>
              </w:rPr>
            </w:pPr>
          </w:p>
        </w:tc>
        <w:tc>
          <w:tcPr>
            <w:tcW w:w="140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58</w:t>
            </w: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300" w:type="dxa"/>
            <w:vAlign w:val="bottom"/>
          </w:tcPr>
          <w:p>
            <w:pPr>
              <w:spacing w:after="0"/>
              <w:rPr>
                <w:sz w:val="18"/>
                <w:szCs w:val="18"/>
                <w:color w:val="auto"/>
              </w:rPr>
            </w:pPr>
          </w:p>
        </w:tc>
        <w:tc>
          <w:tcPr>
            <w:tcW w:w="9200" w:type="dxa"/>
            <w:vAlign w:val="bottom"/>
          </w:tcPr>
          <w:p>
            <w:pPr>
              <w:spacing w:after="0"/>
              <w:rPr>
                <w:sz w:val="20"/>
                <w:szCs w:val="20"/>
                <w:color w:val="auto"/>
              </w:rPr>
            </w:pPr>
            <w:r>
              <w:rPr>
                <w:rFonts w:ascii="Times New Roman" w:cs="Times New Roman" w:eastAsia="Times New Roman" w:hAnsi="Times New Roman"/>
                <w:sz w:val="18"/>
                <w:szCs w:val="18"/>
                <w:color w:val="auto"/>
              </w:rPr>
              <w:t>Net payments under the revolving credit facility in 2018</w:t>
            </w:r>
          </w:p>
        </w:tc>
        <w:tc>
          <w:tcPr>
            <w:tcW w:w="220" w:type="dxa"/>
            <w:vAlign w:val="bottom"/>
          </w:tcPr>
          <w:p>
            <w:pPr>
              <w:spacing w:after="0"/>
              <w:rPr>
                <w:sz w:val="18"/>
                <w:szCs w:val="18"/>
                <w:color w:val="auto"/>
              </w:rPr>
            </w:pPr>
          </w:p>
        </w:tc>
        <w:tc>
          <w:tcPr>
            <w:tcW w:w="140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55</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00" w:type="dxa"/>
            <w:vAlign w:val="bottom"/>
          </w:tcPr>
          <w:p>
            <w:pPr>
              <w:spacing w:after="0"/>
              <w:rPr>
                <w:sz w:val="17"/>
                <w:szCs w:val="17"/>
                <w:color w:val="auto"/>
              </w:rPr>
            </w:pPr>
          </w:p>
        </w:tc>
        <w:tc>
          <w:tcPr>
            <w:tcW w:w="92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Increase in proceeds from long-term debt in 2019 compared to 2018, in connection with new borrowings in the Renewables</w:t>
            </w:r>
          </w:p>
        </w:tc>
        <w:tc>
          <w:tcPr>
            <w:tcW w:w="220" w:type="dxa"/>
            <w:vAlign w:val="bottom"/>
            <w:shd w:val="clear" w:color="auto" w:fill="CCEEFF"/>
          </w:tcPr>
          <w:p>
            <w:pPr>
              <w:spacing w:after="0"/>
              <w:rPr>
                <w:sz w:val="17"/>
                <w:szCs w:val="17"/>
                <w:color w:val="auto"/>
              </w:rPr>
            </w:pPr>
          </w:p>
        </w:tc>
        <w:tc>
          <w:tcPr>
            <w:tcW w:w="1400" w:type="dxa"/>
            <w:vAlign w:val="bottom"/>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34</w:t>
            </w: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300" w:type="dxa"/>
            <w:vAlign w:val="bottom"/>
          </w:tcPr>
          <w:p>
            <w:pPr>
              <w:spacing w:after="0"/>
              <w:rPr>
                <w:sz w:val="19"/>
                <w:szCs w:val="19"/>
                <w:color w:val="auto"/>
              </w:rPr>
            </w:pPr>
          </w:p>
        </w:tc>
        <w:tc>
          <w:tcPr>
            <w:tcW w:w="9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segment partially offset by the maturity and repayment of the 2019 Convertible Notes in the first quarter of 2019</w:t>
            </w:r>
          </w:p>
        </w:tc>
        <w:tc>
          <w:tcPr>
            <w:tcW w:w="22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vMerge w:val="continue"/>
            <w:shd w:val="clear" w:color="auto" w:fill="CCEEFF"/>
          </w:tcPr>
          <w:p>
            <w:pPr>
              <w:spacing w:after="0"/>
              <w:rPr>
                <w:sz w:val="19"/>
                <w:szCs w:val="19"/>
                <w:color w:val="auto"/>
              </w:rPr>
            </w:pPr>
          </w:p>
        </w:tc>
        <w:tc>
          <w:tcPr>
            <w:tcW w:w="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0"/>
        </w:trPr>
        <w:tc>
          <w:tcPr>
            <w:tcW w:w="300" w:type="dxa"/>
            <w:vAlign w:val="bottom"/>
          </w:tcPr>
          <w:p>
            <w:pPr>
              <w:spacing w:after="0"/>
              <w:rPr>
                <w:sz w:val="18"/>
                <w:szCs w:val="18"/>
                <w:color w:val="auto"/>
              </w:rPr>
            </w:pPr>
          </w:p>
        </w:tc>
        <w:tc>
          <w:tcPr>
            <w:tcW w:w="9200" w:type="dxa"/>
            <w:vAlign w:val="bottom"/>
          </w:tcPr>
          <w:p>
            <w:pPr>
              <w:spacing w:after="0"/>
              <w:rPr>
                <w:sz w:val="18"/>
                <w:szCs w:val="18"/>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00" w:type="dxa"/>
            <w:vAlign w:val="bottom"/>
          </w:tcPr>
          <w:p>
            <w:pPr>
              <w:spacing w:after="0" w:line="20" w:lineRule="exact"/>
              <w:rPr>
                <w:sz w:val="1"/>
                <w:szCs w:val="1"/>
                <w:color w:val="auto"/>
              </w:rPr>
            </w:pPr>
          </w:p>
        </w:tc>
        <w:tc>
          <w:tcPr>
            <w:tcW w:w="92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55"/>
        </w:trPr>
        <w:tc>
          <w:tcPr>
            <w:tcW w:w="300" w:type="dxa"/>
            <w:vAlign w:val="bottom"/>
            <w:tcBorders>
              <w:bottom w:val="single" w:sz="8" w:color="9A9A9A"/>
            </w:tcBorders>
          </w:tcPr>
          <w:p>
            <w:pPr>
              <w:spacing w:after="0"/>
              <w:rPr>
                <w:sz w:val="24"/>
                <w:szCs w:val="24"/>
                <w:color w:val="auto"/>
              </w:rPr>
            </w:pPr>
          </w:p>
        </w:tc>
        <w:tc>
          <w:tcPr>
            <w:tcW w:w="9200" w:type="dxa"/>
            <w:vAlign w:val="bottom"/>
            <w:tcBorders>
              <w:bottom w:val="single" w:sz="8" w:color="9A9A9A"/>
            </w:tcBorders>
          </w:tcPr>
          <w:p>
            <w:pPr>
              <w:spacing w:after="0"/>
              <w:rPr>
                <w:sz w:val="24"/>
                <w:szCs w:val="24"/>
                <w:color w:val="auto"/>
              </w:rPr>
            </w:pPr>
          </w:p>
        </w:tc>
        <w:tc>
          <w:tcPr>
            <w:tcW w:w="220" w:type="dxa"/>
            <w:vAlign w:val="bottom"/>
            <w:tcBorders>
              <w:bottom w:val="single" w:sz="8" w:color="9A9A9A"/>
            </w:tcBorders>
          </w:tcPr>
          <w:p>
            <w:pPr>
              <w:spacing w:after="0"/>
              <w:rPr>
                <w:sz w:val="24"/>
                <w:szCs w:val="24"/>
                <w:color w:val="auto"/>
              </w:rPr>
            </w:pPr>
          </w:p>
        </w:tc>
        <w:tc>
          <w:tcPr>
            <w:tcW w:w="1400" w:type="dxa"/>
            <w:vAlign w:val="bottom"/>
            <w:tcBorders>
              <w:bottom w:val="single" w:sz="8" w:color="9A9A9A"/>
            </w:tcBorders>
          </w:tcPr>
          <w:p>
            <w:pPr>
              <w:spacing w:after="0"/>
              <w:rPr>
                <w:sz w:val="24"/>
                <w:szCs w:val="24"/>
                <w:color w:val="auto"/>
              </w:rPr>
            </w:pPr>
          </w:p>
        </w:tc>
        <w:tc>
          <w:tcPr>
            <w:tcW w:w="300" w:type="dxa"/>
            <w:vAlign w:val="bottom"/>
            <w:tcBorders>
              <w:bottom w:val="single" w:sz="8" w:color="9A9A9A"/>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7230110</wp:posOffset>
            </wp:positionH>
            <wp:positionV relativeFrom="paragraph">
              <wp:posOffset>-29210</wp:posOffset>
            </wp:positionV>
            <wp:extent cx="34290" cy="425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NOLs, Deferred Tax Assets and Uncertain Tax Position Implications, under ASC 740</w:t>
      </w:r>
    </w:p>
    <w:p>
      <w:pPr>
        <w:spacing w:after="0" w:line="229" w:lineRule="exact"/>
        <w:rPr>
          <w:sz w:val="20"/>
          <w:szCs w:val="20"/>
          <w:color w:val="auto"/>
        </w:rPr>
      </w:pPr>
    </w:p>
    <w:p>
      <w:pPr>
        <w:jc w:val="both"/>
        <w:ind w:firstLine="432"/>
        <w:spacing w:after="0" w:line="256" w:lineRule="auto"/>
        <w:rPr>
          <w:sz w:val="20"/>
          <w:szCs w:val="20"/>
          <w:color w:val="auto"/>
        </w:rPr>
      </w:pPr>
      <w:r>
        <w:rPr>
          <w:rFonts w:ascii="Times New Roman" w:cs="Times New Roman" w:eastAsia="Times New Roman" w:hAnsi="Times New Roman"/>
          <w:sz w:val="18"/>
          <w:szCs w:val="18"/>
          <w:color w:val="auto"/>
        </w:rPr>
        <w:t>As of December 31, 2018, the Company has a cumulative federal NOL carry forward balance of $945 million based on the latest income tax filing for financial statement purposes, which will begin expiring in 2033, and does not anticipate any federal income tax payments for 2018. As a result of the Company's tax position, and based on current forecasts, the Company does not anticipate significant income tax payments for state and local jurisdictions in 2018. Based on the Company's current and expected NOL balances generated primarily by accelerated tax depreciation of its property, plant and equipment, the Company does not expect to pay significant federal income tax for a period of approximately ten years inclusive of any NOL generated in 2018 or later subject to an 80% limitation against future taxable income pursuant to the Tax Act.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is subject to examination by taxing authorities for income tax returns filed in the U.S. federal jurisdiction and various state jurisdictions.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is not subject to U.S. federal or state income tax examinations for years prior to 2013.</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has no uncertain tax benefits.</w:t>
      </w: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225"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Obligations under Certain Guarantee Contracts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The Company may enter into guarantee arrangements in the normal course of business to facilitate commercial transactions with third parties.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Retained or Contingent Interests</w:t>
      </w:r>
    </w:p>
    <w:p>
      <w:pPr>
        <w:spacing w:after="0" w:line="22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Company does not have any material retained or contingent interests in assets transferred to an unconsolidated entity.</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Obligations Arising Out of a Variable Interest in an Unconsolidated Entity</w:t>
      </w:r>
    </w:p>
    <w:p>
      <w:pPr>
        <w:spacing w:after="0" w:line="227" w:lineRule="exact"/>
        <w:rPr>
          <w:sz w:val="20"/>
          <w:szCs w:val="20"/>
          <w:color w:val="auto"/>
        </w:rPr>
      </w:pPr>
    </w:p>
    <w:p>
      <w:pPr>
        <w:jc w:val="both"/>
        <w:ind w:firstLine="405"/>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Variable interest in equity investments </w:t>
      </w:r>
      <w:r>
        <w:rPr>
          <w:rFonts w:ascii="Times New Roman" w:cs="Times New Roman" w:eastAsia="Times New Roman" w:hAnsi="Times New Roman"/>
          <w:sz w:val="18"/>
          <w:szCs w:val="18"/>
          <w:color w:val="auto"/>
        </w:rPr>
        <w:t>— As of September 30, 2019, the Company has several investments with an ownership interest percentage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50% or less in energy and energy-related entities that are accounted for under the equity method. Utah Solar Portfolio, GenConn, DGPV Holdco 1, RPV Holdco, DGPV Holdco 2, and DGPV Holdco 3 are variable interest entities for which the Company is not the primary beneficiary.</w:t>
      </w:r>
    </w:p>
    <w:p>
      <w:pPr>
        <w:spacing w:after="0" w:line="176" w:lineRule="exact"/>
        <w:rPr>
          <w:sz w:val="20"/>
          <w:szCs w:val="20"/>
          <w:color w:val="auto"/>
        </w:rPr>
      </w:pPr>
    </w:p>
    <w:p>
      <w:pPr>
        <w:ind w:firstLine="432"/>
        <w:spacing w:after="0" w:line="282" w:lineRule="auto"/>
        <w:rPr>
          <w:sz w:val="20"/>
          <w:szCs w:val="20"/>
          <w:color w:val="auto"/>
        </w:rPr>
      </w:pPr>
      <w:r>
        <w:rPr>
          <w:rFonts w:ascii="Times New Roman" w:cs="Times New Roman" w:eastAsia="Times New Roman" w:hAnsi="Times New Roman"/>
          <w:sz w:val="18"/>
          <w:szCs w:val="18"/>
          <w:color w:val="auto"/>
        </w:rPr>
        <w:t>The Company's pro-rata share of non-recourse debt held by unconsolidated affiliates was approximately $927 million as of September 30, 2019. The Company's pro-rata share of non-recourse debt held by unconsolidated affiliates as it related to the projects affected by PG&amp;E bankruptcy was $422 million</w:t>
      </w:r>
    </w:p>
    <w:p>
      <w:pPr>
        <w:sectPr>
          <w:pgSz w:w="11900" w:h="16920" w:orient="portrait"/>
          <w:cols w:equalWidth="0" w:num="1">
            <w:col w:w="11420"/>
          </w:cols>
          <w:pgMar w:left="240" w:top="140" w:right="239" w:bottom="0" w:gutter="0" w:footer="0" w:header="0"/>
          <w:type w:val="continuous"/>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as of September 30, 2019. This indebtedness may restrict the ability of these subsidiaries to issue dividends or distributions to the Company.</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and Commercial Commitments</w:t>
      </w:r>
    </w:p>
    <w:p>
      <w:pPr>
        <w:spacing w:after="0" w:line="229" w:lineRule="exact"/>
        <w:rPr>
          <w:sz w:val="20"/>
          <w:szCs w:val="20"/>
          <w:color w:val="auto"/>
        </w:rPr>
      </w:pPr>
    </w:p>
    <w:p>
      <w:pPr>
        <w:jc w:val="both"/>
        <w:ind w:firstLine="432"/>
        <w:spacing w:after="0" w:line="266" w:lineRule="auto"/>
        <w:rPr>
          <w:sz w:val="20"/>
          <w:szCs w:val="20"/>
          <w:color w:val="auto"/>
        </w:rPr>
      </w:pPr>
      <w:r>
        <w:rPr>
          <w:rFonts w:ascii="Times New Roman" w:cs="Times New Roman" w:eastAsia="Times New Roman" w:hAnsi="Times New Roman"/>
          <w:sz w:val="18"/>
          <w:szCs w:val="18"/>
          <w:color w:val="auto"/>
        </w:rPr>
        <w:t xml:space="preserve">The Company has a variety of contractual obligations and other commercial commitments that represent prospective cash requirements in addition to the Company's capital expenditure programs, as disclosed in the Company's 2018 Form 10-K. See also Note 3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Acquisitions and Dispositions</w:t>
      </w:r>
      <w:r>
        <w:rPr>
          <w:rFonts w:ascii="Times New Roman" w:cs="Times New Roman" w:eastAsia="Times New Roman" w:hAnsi="Times New Roman"/>
          <w:sz w:val="18"/>
          <w:szCs w:val="18"/>
          <w:color w:val="auto"/>
        </w:rPr>
        <w:t xml:space="preserve"> to this Form 10-Q for a discussion of additional contingencies that occurred during 2018.</w:t>
      </w:r>
    </w:p>
    <w:p>
      <w:pPr>
        <w:spacing w:after="0" w:line="200" w:lineRule="exact"/>
        <w:rPr>
          <w:sz w:val="20"/>
          <w:szCs w:val="20"/>
          <w:color w:val="auto"/>
        </w:rPr>
      </w:pPr>
    </w:p>
    <w:p>
      <w:pPr>
        <w:spacing w:after="0" w:line="2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Fair Value of Derivative Instruments</w:t>
      </w:r>
    </w:p>
    <w:p>
      <w:pPr>
        <w:spacing w:after="0" w:line="229"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The Company may enter into fuel purchase contracts and other energy-related derivative instruments to mitigate variability in earnings due to fluctuations in spot market prices and to hedge fuel requirements at certain generation facilities. In addition, in order to mitigate interest rate risk associated with the issuance of variable rate debt, the Company enters into interest rate swap agreements.</w:t>
      </w:r>
    </w:p>
    <w:p>
      <w:pPr>
        <w:spacing w:after="0" w:line="176"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tables below disclose the activities of non-exchange traded contracts accounted for at fair value in accordance with ASC 820. Specifically, these tables disaggregate realized and unrealized changes in fair value; disaggregate estimated fair values at September 30, 2019, based on their level within the fair value hierarchy defined in ASC 820; and indicate the maturities of contracts at September 30, 2019. For a full discussion of the Company's valuation methodology of its contracts, see </w:t>
      </w:r>
      <w:r>
        <w:rPr>
          <w:rFonts w:ascii="Times New Roman" w:cs="Times New Roman" w:eastAsia="Times New Roman" w:hAnsi="Times New Roman"/>
          <w:sz w:val="18"/>
          <w:szCs w:val="18"/>
          <w:i w:val="1"/>
          <w:iCs w:val="1"/>
          <w:color w:val="auto"/>
        </w:rPr>
        <w:t>Derivative Fair Value Measurements</w:t>
      </w:r>
      <w:r>
        <w:rPr>
          <w:rFonts w:ascii="Times New Roman" w:cs="Times New Roman" w:eastAsia="Times New Roman" w:hAnsi="Times New Roman"/>
          <w:sz w:val="18"/>
          <w:szCs w:val="18"/>
          <w:color w:val="auto"/>
        </w:rPr>
        <w:t xml:space="preserve"> in Item, 1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w:t>
      </w:r>
    </w:p>
    <w:p>
      <w:pPr>
        <w:sectPr>
          <w:pgSz w:w="11900" w:h="16838" w:orient="portrait"/>
          <w:cols w:equalWidth="0" w:num="1">
            <w:col w:w="11420"/>
          </w:cols>
          <w:pgMar w:left="240" w:top="121" w:right="239" w:bottom="0" w:gutter="0" w:footer="0" w:header="0"/>
        </w:sectPr>
      </w:pP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Derivative Activity (Losses) Gains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contracts as of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Contracts realized or otherwise settled during the period</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8"/>
          <w:szCs w:val="18"/>
          <w:color w:val="auto"/>
        </w:rPr>
        <w:t>Contracts added during the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-130810</wp:posOffset>
            </wp:positionV>
            <wp:extent cx="7246620" cy="13716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ind w:left="180"/>
        <w:spacing w:after="0"/>
        <w:rPr>
          <w:sz w:val="20"/>
          <w:szCs w:val="20"/>
          <w:color w:val="auto"/>
        </w:rPr>
      </w:pPr>
      <w:r>
        <w:rPr>
          <w:rFonts w:ascii="Times New Roman" w:cs="Times New Roman" w:eastAsia="Times New Roman" w:hAnsi="Times New Roman"/>
          <w:sz w:val="18"/>
          <w:szCs w:val="18"/>
          <w:color w:val="auto"/>
        </w:rPr>
        <w:t>Changes in fair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246620" cy="16319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46620" cy="163195"/>
                    </a:xfrm>
                    <a:prstGeom prst="rect">
                      <a:avLst/>
                    </a:prstGeom>
                    <a:noFill/>
                  </pic:spPr>
                </pic:pic>
              </a:graphicData>
            </a:graphic>
          </wp:anchor>
        </w:drawing>
      </w:r>
    </w:p>
    <w:p>
      <w:pPr>
        <w:spacing w:after="0" w:line="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Fair value of contracts as of September 30, 2019</w:t>
      </w:r>
    </w:p>
    <w:p>
      <w:pPr>
        <w:spacing w:after="0" w:line="225" w:lineRule="exact"/>
        <w:rPr>
          <w:sz w:val="20"/>
          <w:szCs w:val="20"/>
          <w:color w:val="auto"/>
        </w:rPr>
      </w:pPr>
    </w:p>
    <w:p>
      <w:pPr>
        <w:jc w:val="right"/>
        <w:ind w:right="3320"/>
        <w:spacing w:after="0"/>
        <w:rPr>
          <w:sz w:val="20"/>
          <w:szCs w:val="20"/>
          <w:color w:val="auto"/>
        </w:rPr>
      </w:pPr>
      <w:r>
        <w:rPr>
          <w:rFonts w:ascii="Times New Roman" w:cs="Times New Roman" w:eastAsia="Times New Roman" w:hAnsi="Times New Roman"/>
          <w:sz w:val="18"/>
          <w:szCs w:val="18"/>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7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6"/>
          <w:szCs w:val="16"/>
          <w:i w:val="1"/>
          <w:iCs w:val="1"/>
          <w:color w:val="auto"/>
        </w:rPr>
        <w:t>(In millions)</w:t>
      </w:r>
    </w:p>
    <w:p>
      <w:pPr>
        <w:spacing w:after="0" w:line="30" w:lineRule="exact"/>
        <w:rPr>
          <w:sz w:val="20"/>
          <w:szCs w:val="20"/>
          <w:color w:val="auto"/>
        </w:rPr>
      </w:pPr>
    </w:p>
    <w:p>
      <w:pPr>
        <w:ind w:left="1180" w:hanging="1180"/>
        <w:spacing w:after="0"/>
        <w:tabs>
          <w:tab w:leader="none" w:pos="11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w:t>
      </w:r>
    </w:p>
    <w:p>
      <w:pPr>
        <w:spacing w:after="0" w:line="27" w:lineRule="exact"/>
        <w:rPr>
          <w:rFonts w:ascii="Times New Roman" w:cs="Times New Roman" w:eastAsia="Times New Roman" w:hAnsi="Times New Roman"/>
          <w:sz w:val="18"/>
          <w:szCs w:val="18"/>
          <w:color w:val="auto"/>
        </w:rPr>
      </w:pPr>
    </w:p>
    <w:p>
      <w:pPr>
        <w:ind w:left="130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-276860</wp:posOffset>
            </wp:positionV>
            <wp:extent cx="100330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jc w:val="right"/>
        <w:ind w:right="100"/>
        <w:spacing w:after="0"/>
        <w:rPr>
          <w:sz w:val="20"/>
          <w:szCs w:val="20"/>
          <w:color w:val="auto"/>
        </w:rPr>
      </w:pPr>
      <w:r>
        <w:rPr>
          <w:rFonts w:ascii="Times New Roman" w:cs="Times New Roman" w:eastAsia="Times New Roman" w:hAnsi="Times New Roman"/>
          <w:sz w:val="18"/>
          <w:szCs w:val="18"/>
          <w:color w:val="auto"/>
        </w:rPr>
        <w:t>(31)</w:t>
      </w:r>
    </w:p>
    <w:p>
      <w:pPr>
        <w:spacing w:after="0" w:line="9" w:lineRule="exact"/>
        <w:rPr>
          <w:sz w:val="20"/>
          <w:szCs w:val="20"/>
          <w:color w:val="auto"/>
        </w:rPr>
      </w:pPr>
    </w:p>
    <w:p>
      <w:pPr>
        <w:jc w:val="right"/>
        <w:ind w:right="100"/>
        <w:spacing w:after="0"/>
        <w:rPr>
          <w:sz w:val="20"/>
          <w:szCs w:val="20"/>
          <w:color w:val="auto"/>
        </w:rPr>
      </w:pPr>
      <w:r>
        <w:rPr>
          <w:rFonts w:ascii="Times New Roman" w:cs="Times New Roman" w:eastAsia="Times New Roman" w:hAnsi="Times New Roman"/>
          <w:sz w:val="18"/>
          <w:szCs w:val="18"/>
          <w:color w:val="auto"/>
        </w:rPr>
        <w:t>(79)</w:t>
      </w:r>
    </w:p>
    <w:p>
      <w:pPr>
        <w:spacing w:after="0" w:line="9" w:lineRule="exact"/>
        <w:rPr>
          <w:sz w:val="20"/>
          <w:szCs w:val="20"/>
          <w:color w:val="auto"/>
        </w:rPr>
      </w:pPr>
    </w:p>
    <w:p>
      <w:pPr>
        <w:ind w:left="1080" w:hanging="1080"/>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-130810</wp:posOffset>
            </wp:positionV>
            <wp:extent cx="1003300" cy="88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003300" cy="8890"/>
                    </a:xfrm>
                    <a:prstGeom prst="rect">
                      <a:avLst/>
                    </a:prstGeom>
                    <a:noFill/>
                  </pic:spPr>
                </pic:pic>
              </a:graphicData>
            </a:graphic>
          </wp:anchor>
        </w:drawing>
      </w:r>
    </w:p>
    <w:p>
      <w:pPr>
        <w:spacing w:after="0" w:line="667" w:lineRule="exact"/>
        <w:rPr>
          <w:sz w:val="20"/>
          <w:szCs w:val="20"/>
          <w:color w:val="auto"/>
        </w:rPr>
      </w:pPr>
    </w:p>
    <w:p>
      <w:pPr>
        <w:sectPr>
          <w:pgSz w:w="11900" w:h="16838" w:orient="portrait"/>
          <w:cols w:equalWidth="0" w:num="2">
            <w:col w:w="9120" w:space="720"/>
            <w:col w:w="1580"/>
          </w:cols>
          <w:pgMar w:left="240" w:top="121" w:right="239" w:bottom="0" w:gutter="0" w:footer="0" w:header="0"/>
          <w:type w:val="continuous"/>
        </w:sectPr>
      </w:pPr>
    </w:p>
    <w:p>
      <w:pPr>
        <w:spacing w:after="0" w:line="4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31" w:lineRule="exact"/>
        <w:rPr>
          <w:sz w:val="20"/>
          <w:szCs w:val="20"/>
          <w:color w:val="auto"/>
        </w:rPr>
      </w:pPr>
    </w:p>
    <w:tbl>
      <w:tblPr>
        <w:tblLayout w:type="fixed"/>
        <w:tblInd w:w="0" w:type="dxa"/>
        <w:tblCellMar>
          <w:top w:w="0" w:type="dxa"/>
          <w:left w:w="0" w:type="dxa"/>
          <w:bottom w:w="0" w:type="dxa"/>
          <w:right w:w="0" w:type="dxa"/>
        </w:tblCellMar>
      </w:tblPr>
      <w:tr>
        <w:trPr>
          <w:trHeight w:val="215"/>
        </w:trPr>
        <w:tc>
          <w:tcPr>
            <w:tcW w:w="3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780" w:type="dxa"/>
            <w:vAlign w:val="bottom"/>
            <w:tcBorders>
              <w:bottom w:val="single" w:sz="8" w:color="auto"/>
            </w:tcBorders>
            <w:gridSpan w:val="8"/>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Fair value of contracts as of September 30, 2019</w:t>
            </w:r>
          </w:p>
        </w:tc>
        <w:tc>
          <w:tcPr>
            <w:tcW w:w="120" w:type="dxa"/>
            <w:vAlign w:val="bottom"/>
            <w:tcBorders>
              <w:bottom w:val="single" w:sz="8" w:color="auto"/>
            </w:tcBorders>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r>
      <w:tr>
        <w:trPr>
          <w:trHeight w:val="209"/>
        </w:trPr>
        <w:tc>
          <w:tcPr>
            <w:tcW w:w="3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gridSpan w:val="3"/>
          </w:tcPr>
          <w:p>
            <w:pPr>
              <w:ind w:left="740"/>
              <w:spacing w:after="0"/>
              <w:rPr>
                <w:sz w:val="20"/>
                <w:szCs w:val="20"/>
                <w:color w:val="auto"/>
              </w:rPr>
            </w:pPr>
            <w:r>
              <w:rPr>
                <w:rFonts w:ascii="Times New Roman" w:cs="Times New Roman" w:eastAsia="Times New Roman" w:hAnsi="Times New Roman"/>
                <w:sz w:val="16"/>
                <w:szCs w:val="16"/>
                <w:b w:val="1"/>
                <w:bCs w:val="1"/>
                <w:color w:val="auto"/>
              </w:rPr>
              <w:t>Maturity</w:t>
            </w:r>
          </w:p>
        </w:tc>
        <w:tc>
          <w:tcPr>
            <w:tcW w:w="74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9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184"/>
        </w:trPr>
        <w:tc>
          <w:tcPr>
            <w:tcW w:w="36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40" w:type="dxa"/>
            <w:vAlign w:val="bottom"/>
            <w:gridSpan w:val="2"/>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Greater Than 1</w:t>
            </w:r>
          </w:p>
        </w:tc>
        <w:tc>
          <w:tcPr>
            <w:tcW w:w="120" w:type="dxa"/>
            <w:vAlign w:val="bottom"/>
          </w:tcPr>
          <w:p>
            <w:pPr>
              <w:spacing w:after="0"/>
              <w:rPr>
                <w:sz w:val="15"/>
                <w:szCs w:val="15"/>
                <w:color w:val="auto"/>
              </w:rPr>
            </w:pPr>
          </w:p>
        </w:tc>
        <w:tc>
          <w:tcPr>
            <w:tcW w:w="1240" w:type="dxa"/>
            <w:vAlign w:val="bottom"/>
            <w:gridSpan w:val="2"/>
          </w:tcPr>
          <w:p>
            <w:pPr>
              <w:jc w:val="right"/>
              <w:ind w:right="50"/>
              <w:spacing w:after="0"/>
              <w:rPr>
                <w:sz w:val="20"/>
                <w:szCs w:val="20"/>
                <w:color w:val="auto"/>
              </w:rPr>
            </w:pPr>
            <w:r>
              <w:rPr>
                <w:rFonts w:ascii="Times New Roman" w:cs="Times New Roman" w:eastAsia="Times New Roman" w:hAnsi="Times New Roman"/>
                <w:sz w:val="16"/>
                <w:szCs w:val="16"/>
                <w:b w:val="1"/>
                <w:bCs w:val="1"/>
                <w:color w:val="auto"/>
              </w:rPr>
              <w:t>Greater Than 3</w:t>
            </w:r>
          </w:p>
        </w:tc>
        <w:tc>
          <w:tcPr>
            <w:tcW w:w="100" w:type="dxa"/>
            <w:vAlign w:val="bottom"/>
          </w:tcPr>
          <w:p>
            <w:pPr>
              <w:spacing w:after="0"/>
              <w:rPr>
                <w:sz w:val="15"/>
                <w:szCs w:val="15"/>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Greater Than 5</w:t>
            </w:r>
          </w:p>
        </w:tc>
        <w:tc>
          <w:tcPr>
            <w:tcW w:w="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20" w:type="dxa"/>
            <w:vAlign w:val="bottom"/>
          </w:tcPr>
          <w:p>
            <w:pPr>
              <w:spacing w:after="0"/>
              <w:rPr>
                <w:sz w:val="15"/>
                <w:szCs w:val="15"/>
                <w:color w:val="auto"/>
              </w:rPr>
            </w:pPr>
          </w:p>
        </w:tc>
      </w:tr>
      <w:tr>
        <w:trPr>
          <w:trHeight w:val="218"/>
        </w:trPr>
        <w:tc>
          <w:tcPr>
            <w:tcW w:w="3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Fair Value Hierarchy (Losses) Gains</w:t>
            </w:r>
          </w:p>
        </w:tc>
        <w:tc>
          <w:tcPr>
            <w:tcW w:w="1080" w:type="dxa"/>
            <w:vAlign w:val="bottom"/>
          </w:tcPr>
          <w:p>
            <w:pPr>
              <w:spacing w:after="0"/>
              <w:rPr>
                <w:sz w:val="18"/>
                <w:szCs w:val="18"/>
                <w:color w:val="auto"/>
              </w:rPr>
            </w:pPr>
          </w:p>
        </w:tc>
        <w:tc>
          <w:tcPr>
            <w:tcW w:w="1300" w:type="dxa"/>
            <w:vAlign w:val="bottom"/>
            <w:tcBorders>
              <w:bottom w:val="single" w:sz="8" w:color="auto"/>
            </w:tcBorders>
            <w:gridSpan w:val="2"/>
          </w:tcPr>
          <w:p>
            <w:pPr>
              <w:jc w:val="right"/>
              <w:ind w:right="130"/>
              <w:spacing w:after="0"/>
              <w:rPr>
                <w:sz w:val="20"/>
                <w:szCs w:val="20"/>
                <w:color w:val="auto"/>
              </w:rPr>
            </w:pPr>
            <w:r>
              <w:rPr>
                <w:rFonts w:ascii="Times New Roman" w:cs="Times New Roman" w:eastAsia="Times New Roman" w:hAnsi="Times New Roman"/>
                <w:sz w:val="16"/>
                <w:szCs w:val="16"/>
                <w:b w:val="1"/>
                <w:bCs w:val="1"/>
                <w:color w:val="auto"/>
              </w:rPr>
              <w:t>1 Year or Less</w:t>
            </w: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rPr>
              <w:t>Year to 3 Years</w:t>
            </w: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Years to 5 Years</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480"/>
              <w:spacing w:after="0"/>
              <w:rPr>
                <w:sz w:val="20"/>
                <w:szCs w:val="20"/>
                <w:color w:val="auto"/>
              </w:rPr>
            </w:pPr>
            <w:r>
              <w:rPr>
                <w:rFonts w:ascii="Times New Roman" w:cs="Times New Roman" w:eastAsia="Times New Roman" w:hAnsi="Times New Roman"/>
                <w:sz w:val="16"/>
                <w:szCs w:val="16"/>
                <w:b w:val="1"/>
                <w:bCs w:val="1"/>
                <w:color w:val="auto"/>
              </w:rPr>
              <w:t>Years</w:t>
            </w:r>
          </w:p>
        </w:tc>
        <w:tc>
          <w:tcPr>
            <w:tcW w:w="120" w:type="dxa"/>
            <w:vAlign w:val="bottom"/>
          </w:tcPr>
          <w:p>
            <w:pPr>
              <w:spacing w:after="0"/>
              <w:rPr>
                <w:sz w:val="18"/>
                <w:szCs w:val="18"/>
                <w:color w:val="auto"/>
              </w:rPr>
            </w:pPr>
          </w:p>
        </w:tc>
        <w:tc>
          <w:tcPr>
            <w:tcW w:w="124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6"/>
                <w:szCs w:val="16"/>
                <w:b w:val="1"/>
                <w:bCs w:val="1"/>
                <w:color w:val="auto"/>
              </w:rPr>
              <w:t>Total Fair Value</w:t>
            </w:r>
          </w:p>
        </w:tc>
      </w:tr>
      <w:tr>
        <w:trPr>
          <w:trHeight w:val="210"/>
        </w:trPr>
        <w:tc>
          <w:tcPr>
            <w:tcW w:w="36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gridSpan w:val="2"/>
          </w:tcPr>
          <w:p>
            <w:pPr>
              <w:jc w:val="right"/>
              <w:ind w:right="170"/>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20" w:type="dxa"/>
            <w:vAlign w:val="bottom"/>
          </w:tcPr>
          <w:p>
            <w:pPr>
              <w:spacing w:after="0"/>
              <w:rPr>
                <w:sz w:val="18"/>
                <w:szCs w:val="18"/>
                <w:color w:val="auto"/>
              </w:rPr>
            </w:pPr>
          </w:p>
        </w:tc>
      </w:tr>
      <w:tr>
        <w:trPr>
          <w:trHeight w:val="216"/>
        </w:trPr>
        <w:tc>
          <w:tcPr>
            <w:tcW w:w="3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Level 2</w:t>
            </w:r>
          </w:p>
        </w:tc>
        <w:tc>
          <w:tcPr>
            <w:tcW w:w="1560" w:type="dxa"/>
            <w:vAlign w:val="bottom"/>
            <w:gridSpan w:val="2"/>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(20)</w:t>
            </w:r>
          </w:p>
        </w:tc>
        <w:tc>
          <w:tcPr>
            <w:tcW w:w="3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(34)</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3620" w:type="dxa"/>
            <w:vAlign w:val="bottom"/>
          </w:tcPr>
          <w:p>
            <w:pPr>
              <w:spacing w:after="0"/>
              <w:rPr>
                <w:sz w:val="20"/>
                <w:szCs w:val="20"/>
                <w:color w:val="auto"/>
              </w:rPr>
            </w:pPr>
            <w:r>
              <w:rPr>
                <w:rFonts w:ascii="Times New Roman" w:cs="Times New Roman" w:eastAsia="Times New Roman" w:hAnsi="Times New Roman"/>
                <w:sz w:val="18"/>
                <w:szCs w:val="18"/>
                <w:color w:val="auto"/>
              </w:rPr>
              <w:t>Level 3</w:t>
            </w:r>
          </w:p>
        </w:tc>
        <w:tc>
          <w:tcPr>
            <w:tcW w:w="1080" w:type="dxa"/>
            <w:vAlign w:val="bottom"/>
          </w:tcPr>
          <w:p>
            <w:pPr>
              <w:spacing w:after="0"/>
              <w:rPr>
                <w:sz w:val="18"/>
                <w:szCs w:val="18"/>
                <w:color w:val="auto"/>
              </w:rPr>
            </w:pPr>
          </w:p>
        </w:tc>
        <w:tc>
          <w:tcPr>
            <w:tcW w:w="4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ind w:right="14"/>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8"/>
                <w:szCs w:val="18"/>
                <w:color w:val="auto"/>
              </w:rPr>
            </w:pPr>
          </w:p>
        </w:tc>
        <w:tc>
          <w:tcPr>
            <w:tcW w:w="500" w:type="dxa"/>
            <w:vAlign w:val="bottom"/>
            <w:tcBorders>
              <w:bottom w:val="single" w:sz="8" w:color="auto"/>
            </w:tcBorders>
          </w:tcPr>
          <w:p>
            <w:pPr>
              <w:spacing w:after="0"/>
              <w:rPr>
                <w:sz w:val="18"/>
                <w:szCs w:val="18"/>
                <w:color w:val="auto"/>
              </w:rPr>
            </w:pPr>
          </w:p>
        </w:tc>
        <w:tc>
          <w:tcPr>
            <w:tcW w:w="74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w:t>
            </w:r>
          </w:p>
        </w:tc>
        <w:tc>
          <w:tcPr>
            <w:tcW w:w="100" w:type="dxa"/>
            <w:vAlign w:val="bottom"/>
          </w:tcPr>
          <w:p>
            <w:pPr>
              <w:spacing w:after="0"/>
              <w:rPr>
                <w:sz w:val="18"/>
                <w:szCs w:val="18"/>
                <w:color w:val="auto"/>
              </w:rPr>
            </w:pPr>
          </w:p>
        </w:tc>
        <w:tc>
          <w:tcPr>
            <w:tcW w:w="24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w:t>
            </w:r>
          </w:p>
        </w:tc>
        <w:tc>
          <w:tcPr>
            <w:tcW w:w="120" w:type="dxa"/>
            <w:vAlign w:val="bottom"/>
          </w:tcPr>
          <w:p>
            <w:pPr>
              <w:spacing w:after="0"/>
              <w:rPr>
                <w:sz w:val="18"/>
                <w:szCs w:val="18"/>
                <w:color w:val="auto"/>
              </w:rPr>
            </w:pPr>
          </w:p>
        </w:tc>
        <w:tc>
          <w:tcPr>
            <w:tcW w:w="42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r>
      <w:tr>
        <w:trPr>
          <w:trHeight w:val="230"/>
        </w:trPr>
        <w:tc>
          <w:tcPr>
            <w:tcW w:w="36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Total</w:t>
            </w:r>
          </w:p>
        </w:tc>
        <w:tc>
          <w:tcPr>
            <w:tcW w:w="108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4"/>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(14)</w:t>
            </w:r>
          </w:p>
        </w:tc>
        <w:tc>
          <w:tcPr>
            <w:tcW w:w="2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8"/>
                <w:szCs w:val="18"/>
                <w:color w:val="auto"/>
              </w:rPr>
              <w:t>(32)</w:t>
            </w:r>
          </w:p>
        </w:tc>
        <w:tc>
          <w:tcPr>
            <w:tcW w:w="62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w:t>
            </w:r>
          </w:p>
        </w:tc>
        <w:tc>
          <w:tcPr>
            <w:tcW w:w="340" w:type="dxa"/>
            <w:vAlign w:val="bottom"/>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(39)</w:t>
            </w:r>
          </w:p>
        </w:tc>
        <w:tc>
          <w:tcPr>
            <w:tcW w:w="540" w:type="dxa"/>
            <w:vAlign w:val="bottom"/>
            <w:gridSpan w:val="2"/>
            <w:shd w:val="clear" w:color="auto" w:fill="CCEEFF"/>
          </w:tcPr>
          <w:p>
            <w:pPr>
              <w:ind w:left="120"/>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(109)</w:t>
            </w:r>
          </w:p>
        </w:tc>
      </w:tr>
      <w:tr>
        <w:trPr>
          <w:trHeight w:val="20"/>
        </w:trPr>
        <w:tc>
          <w:tcPr>
            <w:tcW w:w="3620" w:type="dxa"/>
            <w:vAlign w:val="bottom"/>
            <w:tcBorders>
              <w:top w:val="single" w:sz="8" w:color="CCEEFF"/>
            </w:tcBorders>
            <w:shd w:val="clear" w:color="auto" w:fill="CCEE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48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50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0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20" w:type="dxa"/>
            <w:vAlign w:val="bottom"/>
            <w:tcBorders>
              <w:top w:val="single" w:sz="8" w:color="CCEEFF"/>
            </w:tcBorders>
            <w:shd w:val="clear" w:color="auto" w:fill="CCEEFF"/>
          </w:tcPr>
          <w:p>
            <w:pPr>
              <w:spacing w:after="0" w:line="20" w:lineRule="exact"/>
              <w:rPr>
                <w:sz w:val="1"/>
                <w:szCs w:val="1"/>
                <w:color w:val="auto"/>
              </w:rPr>
            </w:pPr>
          </w:p>
        </w:tc>
        <w:tc>
          <w:tcPr>
            <w:tcW w:w="42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r>
    </w:tbl>
    <w:p>
      <w:pPr>
        <w:spacing w:after="0" w:line="198"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has elected to disclose derivative assets and liabilities on a trade-by-trade basis and does not offset amounts at the counterparty master agreement level. As discussed below in </w:t>
      </w:r>
      <w:r>
        <w:rPr>
          <w:rFonts w:ascii="Times New Roman" w:cs="Times New Roman" w:eastAsia="Times New Roman" w:hAnsi="Times New Roman"/>
          <w:sz w:val="18"/>
          <w:szCs w:val="18"/>
          <w:i w:val="1"/>
          <w:iCs w:val="1"/>
          <w:color w:val="auto"/>
        </w:rPr>
        <w:t>Quantitative and Qualitative Disclosures about Market Risk - Commodity Price Risk,</w:t>
      </w:r>
      <w:r>
        <w:rPr>
          <w:rFonts w:ascii="Times New Roman" w:cs="Times New Roman" w:eastAsia="Times New Roman" w:hAnsi="Times New Roman"/>
          <w:sz w:val="18"/>
          <w:szCs w:val="18"/>
          <w:color w:val="auto"/>
        </w:rPr>
        <w:t xml:space="preserve"> the Company measures the sensitivity of the portfolio to potential changes in market prices using VaR, a statistical model which attempts to predict risk of loss based on market price and volatility. The Company's risk management policy places a limit on one-day holding period VaR, which limits the net open position.</w:t>
      </w:r>
    </w:p>
    <w:p>
      <w:pPr>
        <w:spacing w:after="0" w:line="200" w:lineRule="exact"/>
        <w:rPr>
          <w:sz w:val="20"/>
          <w:szCs w:val="20"/>
          <w:color w:val="auto"/>
        </w:rPr>
      </w:pP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229" w:lineRule="exact"/>
        <w:rPr>
          <w:sz w:val="20"/>
          <w:szCs w:val="20"/>
          <w:color w:val="auto"/>
        </w:rPr>
      </w:pPr>
    </w:p>
    <w:p>
      <w:pPr>
        <w:jc w:val="both"/>
        <w:ind w:firstLine="432"/>
        <w:spacing w:after="0" w:line="254" w:lineRule="auto"/>
        <w:rPr>
          <w:sz w:val="20"/>
          <w:szCs w:val="20"/>
          <w:color w:val="auto"/>
        </w:rPr>
      </w:pPr>
      <w:r>
        <w:rPr>
          <w:rFonts w:ascii="Times New Roman" w:cs="Times New Roman" w:eastAsia="Times New Roman" w:hAnsi="Times New Roman"/>
          <w:sz w:val="18"/>
          <w:szCs w:val="18"/>
          <w:color w:val="auto"/>
        </w:rPr>
        <w:t>The Company's discussion and analysis of the financial condition and results of operations are based upon the consolidated financial statements, which have been prepared in accordance with GAAP. The preparation of these financial statements and related disclosures in compliance with GAAP requires the application of appropriate technical accounting rules and guidance as well as the use of estimates and judgments that affect the reported amounts of assets, liabilities, revenues and expenses, and related disclosures of contingent assets and liabilities. The application of these policies necessarily involves judgments regarding future events, including the likelihood of success of particular projects, legal and regulatory challenges, and the fair value of certain assets and liabilities. These judgments, in and of themselves, could materially affect the financial statements and disclosures based on varying assumptions, which may be appropriate to use. In addition, the financial and operating environment may also have a significant effect, not only on the operation of the business, but on the results reported through the application of accounting measures used in preparing the financial statements and related disclosures, even if the nature of the accounting policies has not changed.</w:t>
      </w:r>
    </w:p>
    <w:p>
      <w:pPr>
        <w:spacing w:after="0" w:line="189"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On an ongoing basis, the Company evaluates these estimates, utilizing historic experience, consultation with experts and other methods the Company considers reasonable. In any event, actual results may differ substantially from the Company's estimates. Any effects on the Company's business, financial position or results of operations resulting from revisions to these estimates are recorded in the period in which the information that gives rise to the revision becomes known.</w:t>
      </w:r>
    </w:p>
    <w:p>
      <w:pPr>
        <w:spacing w:after="0" w:line="180" w:lineRule="exact"/>
        <w:rPr>
          <w:sz w:val="20"/>
          <w:szCs w:val="20"/>
          <w:color w:val="auto"/>
        </w:rPr>
      </w:pPr>
    </w:p>
    <w:p>
      <w:pPr>
        <w:jc w:val="both"/>
        <w:ind w:firstLine="432"/>
        <w:spacing w:after="0" w:line="261" w:lineRule="auto"/>
        <w:rPr>
          <w:sz w:val="20"/>
          <w:szCs w:val="20"/>
          <w:color w:val="auto"/>
        </w:rPr>
      </w:pPr>
      <w:r>
        <w:rPr>
          <w:rFonts w:ascii="Times New Roman" w:cs="Times New Roman" w:eastAsia="Times New Roman" w:hAnsi="Times New Roman"/>
          <w:sz w:val="18"/>
          <w:szCs w:val="18"/>
          <w:color w:val="auto"/>
        </w:rPr>
        <w:t>The Company identifies its most critical accounting policies as those that are the most pervasive and important to the portrayal of the Company's financial position and results of operations, and that require the most difficult, subjective and/or complex judgments by management regarding estimates about matters that are inherently uncertain. The Company's critical accounting policies include income taxes and valuation allowance for deferred tax assets, impairment of long lived assets and other intangible assets and acquisition accounting.</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Recent Accounting Developments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See Item 1, Note 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Summary of Significant Accounting Policies</w:t>
      </w:r>
      <w:r>
        <w:rPr>
          <w:rFonts w:ascii="Times New Roman" w:cs="Times New Roman" w:eastAsia="Times New Roman" w:hAnsi="Times New Roman"/>
          <w:sz w:val="18"/>
          <w:szCs w:val="18"/>
          <w:color w:val="auto"/>
        </w:rPr>
        <w:t>, for a discussion of recent accounting developments.</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ectPr>
          <w:pgSz w:w="11900" w:h="16838" w:orient="portrait"/>
          <w:cols w:equalWidth="0" w:num="1">
            <w:col w:w="11420"/>
          </w:cols>
          <w:pgMar w:left="240" w:top="121" w:right="239" w:bottom="0" w:gutter="0" w:footer="0" w:header="0"/>
          <w:type w:val="continuous"/>
        </w:sectPr>
      </w:pPr>
    </w:p>
    <w:p>
      <w:pPr>
        <w:spacing w:after="0" w:line="243" w:lineRule="exact"/>
        <w:rPr>
          <w:sz w:val="20"/>
          <w:szCs w:val="20"/>
          <w:color w:val="auto"/>
        </w:rPr>
      </w:pPr>
    </w:p>
    <w:p>
      <w:pPr>
        <w:spacing w:after="0"/>
        <w:rPr>
          <w:rFonts w:ascii="Times New Roman" w:cs="Times New Roman" w:eastAsia="Times New Roman" w:hAnsi="Times New Roman"/>
          <w:sz w:val="21"/>
          <w:szCs w:val="21"/>
          <w:u w:val="single" w:color="auto"/>
          <w:color w:val="0000EE"/>
        </w:rPr>
      </w:pPr>
      <w:hyperlink w:anchor="page2">
        <w:r>
          <w:rPr>
            <w:rFonts w:ascii="Times New Roman" w:cs="Times New Roman" w:eastAsia="Times New Roman" w:hAnsi="Times New Roman"/>
            <w:sz w:val="21"/>
            <w:szCs w:val="21"/>
            <w:u w:val="single" w:color="auto"/>
            <w:color w:val="0000EE"/>
          </w:rPr>
          <w:t>Table of Contents</w:t>
        </w:r>
      </w:hyperlink>
    </w:p>
    <w:p>
      <w:pPr>
        <w:sectPr>
          <w:pgSz w:w="11900" w:h="16838" w:orient="portrait"/>
          <w:cols w:equalWidth="0" w:num="1">
            <w:col w:w="11420"/>
          </w:cols>
          <w:pgMar w:left="240" w:top="121" w:right="239" w:bottom="0" w:gutter="0" w:footer="0" w:header="0"/>
          <w:type w:val="continuous"/>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color w:val="auto"/>
        </w:rPr>
        <w:t>ITEM 3 — Quantitative and Qualitative Disclosures About Market Risk</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is exposed to several market risks in its normal business activities. Market risk is the potential loss that may result from market changes associated with the Company's power generation or with an existing or forecasted financial or commodity transaction. The types of market risks the Company is exposed to are commodity price risk, interest rate risk, liquidity risk, and credit risk. The following disclosures about market risk provide an update to, and should be read in conjunction with, Item 7A — </w:t>
      </w:r>
      <w:r>
        <w:rPr>
          <w:rFonts w:ascii="Times New Roman" w:cs="Times New Roman" w:eastAsia="Times New Roman" w:hAnsi="Times New Roman"/>
          <w:sz w:val="18"/>
          <w:szCs w:val="18"/>
          <w:i w:val="1"/>
          <w:iCs w:val="1"/>
          <w:color w:val="auto"/>
        </w:rPr>
        <w:t>Quantitative and Qualitative Disclosures About Market Risk,</w:t>
      </w:r>
      <w:r>
        <w:rPr>
          <w:rFonts w:ascii="Times New Roman" w:cs="Times New Roman" w:eastAsia="Times New Roman" w:hAnsi="Times New Roman"/>
          <w:sz w:val="18"/>
          <w:szCs w:val="18"/>
          <w:color w:val="auto"/>
        </w:rPr>
        <w:t xml:space="preserve"> of the Company's 2018 Form 10-K.</w:t>
      </w:r>
    </w:p>
    <w:p>
      <w:pPr>
        <w:spacing w:after="0" w:line="176"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 xml:space="preserve">The Company is exposed to fluctuations in interest rates through its issuance of variable rate debt. Exposures to interest rate fluctuations may be mitigated by entering into derivative instruments known as interest rate swaps, caps, collars and put or call options. These contracts reduce exposure to interest rate volatility and result in primarily fixed rate debt obligations when taking into account the combination of the variable rate debt and the interest rate derivative instrument. See Item 1, Note 6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Derivative Instruments and Hedging Activities</w:t>
      </w:r>
      <w:r>
        <w:rPr>
          <w:rFonts w:ascii="Times New Roman" w:cs="Times New Roman" w:eastAsia="Times New Roman" w:hAnsi="Times New Roman"/>
          <w:sz w:val="18"/>
          <w:szCs w:val="18"/>
          <w:color w:val="auto"/>
        </w:rPr>
        <w:t>, for more information.</w:t>
      </w:r>
    </w:p>
    <w:p>
      <w:pPr>
        <w:spacing w:after="0" w:line="180"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 xml:space="preserve">Most of the Company's project subsidiaries enter into interest rate swaps, intended to hedge the risks associated with interest rates on non-recourse project level debt. See Note 10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Long-term Debt,</w:t>
      </w:r>
      <w:r>
        <w:rPr>
          <w:rFonts w:ascii="Times New Roman" w:cs="Times New Roman" w:eastAsia="Times New Roman" w:hAnsi="Times New Roman"/>
          <w:sz w:val="18"/>
          <w:szCs w:val="18"/>
          <w:color w:val="auto"/>
        </w:rPr>
        <w:t xml:space="preserve"> to the Company's audited consolidated financial statements for the year ended December 31, 2018 included in the 2018 Form 10-K for more information about interest rate swaps of the Company's project subsidiaries.</w:t>
      </w:r>
    </w:p>
    <w:p>
      <w:pPr>
        <w:spacing w:after="0" w:line="176" w:lineRule="exact"/>
        <w:rPr>
          <w:sz w:val="20"/>
          <w:szCs w:val="20"/>
          <w:color w:val="auto"/>
        </w:rPr>
      </w:pPr>
    </w:p>
    <w:p>
      <w:pPr>
        <w:jc w:val="both"/>
        <w:ind w:firstLine="405"/>
        <w:spacing w:after="0" w:line="266" w:lineRule="auto"/>
        <w:rPr>
          <w:sz w:val="20"/>
          <w:szCs w:val="20"/>
          <w:color w:val="auto"/>
        </w:rPr>
      </w:pPr>
      <w:r>
        <w:rPr>
          <w:rFonts w:ascii="Times New Roman" w:cs="Times New Roman" w:eastAsia="Times New Roman" w:hAnsi="Times New Roman"/>
          <w:sz w:val="18"/>
          <w:szCs w:val="18"/>
          <w:color w:val="auto"/>
        </w:rPr>
        <w:t>If all of the interest rate swaps had been discontinued on September 30, 2019, the Company would have owed the counterparties $110 million. Based on the credit ratings of the counterparties, the Company believes its exposure to credit risk due to nonperformance by counterparties to its hedge contracts to be insignificant.</w:t>
      </w:r>
    </w:p>
    <w:p>
      <w:pPr>
        <w:spacing w:after="0" w:line="176" w:lineRule="exact"/>
        <w:rPr>
          <w:sz w:val="20"/>
          <w:szCs w:val="20"/>
          <w:color w:val="auto"/>
        </w:rPr>
      </w:pPr>
    </w:p>
    <w:p>
      <w:pPr>
        <w:jc w:val="both"/>
        <w:ind w:right="20" w:firstLine="405"/>
        <w:spacing w:after="0" w:line="282" w:lineRule="auto"/>
        <w:rPr>
          <w:sz w:val="20"/>
          <w:szCs w:val="20"/>
          <w:color w:val="auto"/>
        </w:rPr>
      </w:pPr>
      <w:r>
        <w:rPr>
          <w:rFonts w:ascii="Times New Roman" w:cs="Times New Roman" w:eastAsia="Times New Roman" w:hAnsi="Times New Roman"/>
          <w:sz w:val="18"/>
          <w:szCs w:val="18"/>
          <w:color w:val="auto"/>
        </w:rPr>
        <w:t>The Company has long-term debt instruments that subject it to the risk of loss associated with movements in market interest rates. As of September 30, 2019, a 1% change in interest rates would result in an approximately $3.3 million change in market interest expense on a rolling twelve-month basis.</w:t>
      </w:r>
    </w:p>
    <w:p>
      <w:pPr>
        <w:spacing w:after="0" w:line="162" w:lineRule="exact"/>
        <w:rPr>
          <w:sz w:val="20"/>
          <w:szCs w:val="20"/>
          <w:color w:val="auto"/>
        </w:rPr>
      </w:pPr>
    </w:p>
    <w:p>
      <w:pPr>
        <w:jc w:val="both"/>
        <w:ind w:firstLine="405"/>
        <w:spacing w:after="0" w:line="282" w:lineRule="auto"/>
        <w:rPr>
          <w:sz w:val="20"/>
          <w:szCs w:val="20"/>
          <w:color w:val="auto"/>
        </w:rPr>
      </w:pPr>
      <w:r>
        <w:rPr>
          <w:rFonts w:ascii="Times New Roman" w:cs="Times New Roman" w:eastAsia="Times New Roman" w:hAnsi="Times New Roman"/>
          <w:sz w:val="18"/>
          <w:szCs w:val="18"/>
          <w:color w:val="auto"/>
        </w:rPr>
        <w:t>As of September 30, 2019, the fair value of the Company's debt was $6,173 million and the carrying value was $6,179 million. The Company estimates that a 1% decrease in market interest rates would have increased the fair value of its long-term debt by approximately $250 million.</w:t>
      </w:r>
    </w:p>
    <w:p>
      <w:pPr>
        <w:spacing w:after="0" w:line="158"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Liquidity Risk</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Liquidity risk arises from the general funding needs of the Company's activities and in the management of the Company's assets and liabilities.</w:t>
      </w:r>
    </w:p>
    <w:p>
      <w:pPr>
        <w:spacing w:after="0" w:line="221"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Commodity Price Risk</w:t>
      </w:r>
    </w:p>
    <w:p>
      <w:pPr>
        <w:spacing w:after="0" w:line="229"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Commodity price risks result from exposures to changes in spot prices, forward prices, volatilities, and correlations between various commodities, such as electricity, natural gas and emissions credits. The Company manages the commodity price risk of its merchant generation operations by entering into derivative or non-derivative instruments to hedge the variability in future cash flows from forecasted power sales or purchases of fuel. The portion of forecasted transactions hedged may vary based upon management's assessment of market, weather, operation and other factors.</w:t>
      </w:r>
    </w:p>
    <w:p>
      <w:pPr>
        <w:spacing w:after="0" w:line="180"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Based on a sensitivity analysis using simplified assumptions, the impact of a $0.50 per MMBtu decrease in natural gas prices across the term of the derivative contracts would cause a decrease of approximately $1 million to the net value of gas derivatives, and an increase of $0.50 per MMBtu in natural gas prices across the term of the derivative contracts would cause an increase of approximately $2 million to the net value of gas derivatives as of September 30, 2019. The impact of a $0.50 per MWh increase or decrease in power prices across the term of the derivative contracts would cause a change of approximately $1 million to the net value of power derivatives as of September 30, 2019.</w:t>
      </w:r>
    </w:p>
    <w:p>
      <w:pPr>
        <w:spacing w:after="0" w:line="180"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b w:val="1"/>
          <w:bCs w:val="1"/>
          <w:i w:val="1"/>
          <w:iCs w:val="1"/>
          <w:color w:val="auto"/>
        </w:rPr>
        <w:t>Counterparty Credit Risk</w:t>
      </w:r>
    </w:p>
    <w:p>
      <w:pPr>
        <w:spacing w:after="0" w:line="229" w:lineRule="exact"/>
        <w:rPr>
          <w:sz w:val="20"/>
          <w:szCs w:val="20"/>
          <w:color w:val="auto"/>
        </w:rPr>
      </w:pPr>
    </w:p>
    <w:p>
      <w:pPr>
        <w:jc w:val="both"/>
        <w:ind w:firstLine="405"/>
        <w:spacing w:after="0" w:line="256" w:lineRule="auto"/>
        <w:rPr>
          <w:sz w:val="20"/>
          <w:szCs w:val="20"/>
          <w:color w:val="auto"/>
        </w:rPr>
      </w:pPr>
      <w:r>
        <w:rPr>
          <w:rFonts w:ascii="Times New Roman" w:cs="Times New Roman" w:eastAsia="Times New Roman" w:hAnsi="Times New Roman"/>
          <w:sz w:val="18"/>
          <w:szCs w:val="18"/>
          <w:color w:val="auto"/>
        </w:rPr>
        <w:t xml:space="preserve">Credit risk relates to the risk of loss resulting from non-performance or non-payment by counterparties pursuant to the terms of their contractual obligations. The Company monitors and manages credit risk through credit policies that include: (i) an established credit approval process; and (ii) the use of credit mitigation measures such as prepayment arrangements or volumetric limits. Risks surrounding counterparty performance and credit could ultimately impact the amount and timing of expected cash flows. The Company seeks to mitigate counterparty risk by having a diversified portfolio of counterparties. See Item 1, Note 1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Nature of Business</w:t>
      </w:r>
      <w:r>
        <w:rPr>
          <w:rFonts w:ascii="Times New Roman" w:cs="Times New Roman" w:eastAsia="Times New Roman" w:hAnsi="Times New Roman"/>
          <w:sz w:val="18"/>
          <w:szCs w:val="18"/>
          <w:color w:val="auto"/>
        </w:rPr>
        <w:t xml:space="preserve">, and Note 5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Fair Value of Financial Instruments</w:t>
      </w:r>
      <w:r>
        <w:rPr>
          <w:rFonts w:ascii="Times New Roman" w:cs="Times New Roman" w:eastAsia="Times New Roman" w:hAnsi="Times New Roman"/>
          <w:sz w:val="18"/>
          <w:szCs w:val="18"/>
          <w:color w:val="auto"/>
        </w:rPr>
        <w:t>, to the Consolidated Financial Statements for more information about concentration of credit risk.</w:t>
      </w:r>
    </w:p>
    <w:p>
      <w:pPr>
        <w:spacing w:after="0" w:line="1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Controls and Procedures</w:t>
      </w:r>
    </w:p>
    <w:p>
      <w:pPr>
        <w:spacing w:after="0" w:line="2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Conclusion Regarding the Effectiveness of Disclosure Controls and Procedures</w:t>
      </w:r>
    </w:p>
    <w:p>
      <w:pPr>
        <w:spacing w:after="0" w:line="227" w:lineRule="exact"/>
        <w:rPr>
          <w:sz w:val="20"/>
          <w:szCs w:val="20"/>
          <w:color w:val="auto"/>
        </w:rPr>
      </w:pPr>
    </w:p>
    <w:p>
      <w:pPr>
        <w:jc w:val="both"/>
        <w:ind w:firstLine="405"/>
        <w:spacing w:after="0" w:line="258" w:lineRule="auto"/>
        <w:rPr>
          <w:sz w:val="20"/>
          <w:szCs w:val="20"/>
          <w:color w:val="auto"/>
        </w:rPr>
      </w:pPr>
      <w:r>
        <w:rPr>
          <w:rFonts w:ascii="Times New Roman" w:cs="Times New Roman" w:eastAsia="Times New Roman" w:hAnsi="Times New Roman"/>
          <w:sz w:val="18"/>
          <w:szCs w:val="18"/>
          <w:color w:val="auto"/>
        </w:rPr>
        <w:t>Under the supervision and with the participation of the Company's management, including its principal executive officer, principal financial officer and principal accounting officer, the Company conducted an evaluation of the effectiveness of the design and operation of its disclosure controls and procedures, as such term is defined in Rules 13a-15(e) or 15d-15(e) of the Exchange Act. Based on this evaluation, the Company's principal executive officer, principal financial officer and principal accounting officer concluded that the disclosure controls and procedures were effective as of the end of the period covered by this Quarterly Report on Form 10-Q.</w:t>
      </w:r>
    </w:p>
    <w:p>
      <w:pPr>
        <w:spacing w:after="0" w:line="182"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i w:val="1"/>
          <w:iCs w:val="1"/>
          <w:color w:val="auto"/>
        </w:rPr>
        <w:t>Changes in Internal Control over Financial Reporting</w:t>
      </w:r>
    </w:p>
    <w:p>
      <w:pPr>
        <w:spacing w:after="0" w:line="227" w:lineRule="exact"/>
        <w:rPr>
          <w:sz w:val="20"/>
          <w:szCs w:val="20"/>
          <w:color w:val="auto"/>
        </w:rPr>
      </w:pPr>
    </w:p>
    <w:p>
      <w:pPr>
        <w:jc w:val="both"/>
        <w:ind w:firstLine="405"/>
        <w:spacing w:after="0" w:line="261" w:lineRule="auto"/>
        <w:rPr>
          <w:sz w:val="20"/>
          <w:szCs w:val="20"/>
          <w:color w:val="auto"/>
        </w:rPr>
      </w:pPr>
      <w:r>
        <w:rPr>
          <w:rFonts w:ascii="Times New Roman" w:cs="Times New Roman" w:eastAsia="Times New Roman" w:hAnsi="Times New Roman"/>
          <w:sz w:val="18"/>
          <w:szCs w:val="18"/>
          <w:color w:val="auto"/>
        </w:rPr>
        <w:t>In connection with the GIP Transaction, the Company entered into a TSA pursuant to which NRG Energy, Inc. provided information technology, systems, applications, and business processes to the Company. A material portion of these processes terminated during the second quarter of 2019 and such services were subsequently provided by both the Company and by CEG pursuant to the CEG Master Services Agreements. Under the CEG Master Services Agreements, the Company continues to review, document and evaluate the existing internal controls over financial reporting. There were no other changes in</w:t>
      </w:r>
    </w:p>
    <w:p>
      <w:pPr>
        <w:sectPr>
          <w:pgSz w:w="11900" w:h="16838" w:orient="portrait"/>
          <w:cols w:equalWidth="0" w:num="1">
            <w:col w:w="11420"/>
          </w:cols>
          <w:pgMar w:left="240" w:top="333" w:right="239" w:bottom="0" w:gutter="0" w:footer="0" w:header="0"/>
        </w:sectPr>
      </w:pPr>
    </w:p>
    <w:bookmarkStart w:id="51" w:name="page52"/>
    <w:bookmarkEnd w:id="51"/>
    <w:p>
      <w:pPr>
        <w:spacing w:after="0" w:line="282" w:lineRule="auto"/>
        <w:rPr>
          <w:sz w:val="20"/>
          <w:szCs w:val="20"/>
          <w:color w:val="auto"/>
        </w:rPr>
      </w:pPr>
      <w:r>
        <w:rPr>
          <w:rFonts w:ascii="Times New Roman" w:cs="Times New Roman" w:eastAsia="Times New Roman" w:hAnsi="Times New Roman"/>
          <w:sz w:val="18"/>
          <w:szCs w:val="18"/>
          <w:color w:val="auto"/>
        </w:rPr>
        <w:t>the Company’s internal control over financial reporting (as such term is defined in Rule 13a-15(f) under the Exchange Act) during the quarter ended September 30, 2019 that materially affected, or are reasonably likely to materially affect, the Company’s internal control over financial reporting.</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 LEGAL PROCEEDINGS</w:t>
      </w:r>
    </w:p>
    <w:p>
      <w:pPr>
        <w:spacing w:after="0" w:line="203" w:lineRule="exact"/>
        <w:rPr>
          <w:sz w:val="20"/>
          <w:szCs w:val="20"/>
          <w:color w:val="auto"/>
        </w:rPr>
      </w:pPr>
    </w:p>
    <w:p>
      <w:pPr>
        <w:ind w:firstLine="432"/>
        <w:spacing w:after="0" w:line="286" w:lineRule="auto"/>
        <w:rPr>
          <w:sz w:val="20"/>
          <w:szCs w:val="20"/>
          <w:color w:val="auto"/>
        </w:rPr>
      </w:pPr>
      <w:r>
        <w:rPr>
          <w:rFonts w:ascii="Times New Roman" w:cs="Times New Roman" w:eastAsia="Times New Roman" w:hAnsi="Times New Roman"/>
          <w:sz w:val="18"/>
          <w:szCs w:val="18"/>
          <w:color w:val="auto"/>
        </w:rPr>
        <w:t xml:space="preserve">For a discussion of the material legal proceedings in which the Company was involved through September 30, 2019, see Note 12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Contingencies</w:t>
      </w:r>
      <w:r>
        <w:rPr>
          <w:rFonts w:ascii="Times New Roman" w:cs="Times New Roman" w:eastAsia="Times New Roman" w:hAnsi="Times New Roman"/>
          <w:sz w:val="18"/>
          <w:szCs w:val="18"/>
          <w:color w:val="auto"/>
        </w:rPr>
        <w:t>, to this Form 10-Q.</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 RISK FACTORS</w:t>
      </w:r>
    </w:p>
    <w:p>
      <w:pPr>
        <w:spacing w:after="0" w:line="227" w:lineRule="exact"/>
        <w:rPr>
          <w:sz w:val="20"/>
          <w:szCs w:val="20"/>
          <w:color w:val="auto"/>
        </w:rPr>
      </w:pPr>
    </w:p>
    <w:p>
      <w:pPr>
        <w:ind w:right="20" w:firstLine="405"/>
        <w:spacing w:after="0" w:line="284" w:lineRule="auto"/>
        <w:rPr>
          <w:sz w:val="20"/>
          <w:szCs w:val="20"/>
          <w:color w:val="auto"/>
        </w:rPr>
      </w:pPr>
      <w:r>
        <w:rPr>
          <w:rFonts w:ascii="Times New Roman" w:cs="Times New Roman" w:eastAsia="Times New Roman" w:hAnsi="Times New Roman"/>
          <w:sz w:val="18"/>
          <w:szCs w:val="18"/>
          <w:color w:val="auto"/>
        </w:rPr>
        <w:t xml:space="preserve">Information regarding risk factors appears in Part I, Item 1A, </w:t>
      </w:r>
      <w:r>
        <w:rPr>
          <w:rFonts w:ascii="Times New Roman" w:cs="Times New Roman" w:eastAsia="Times New Roman" w:hAnsi="Times New Roman"/>
          <w:sz w:val="18"/>
          <w:szCs w:val="18"/>
          <w:i w:val="1"/>
          <w:iCs w:val="1"/>
          <w:color w:val="auto"/>
        </w:rPr>
        <w:t>Risk Factors,</w:t>
      </w:r>
      <w:r>
        <w:rPr>
          <w:rFonts w:ascii="Times New Roman" w:cs="Times New Roman" w:eastAsia="Times New Roman" w:hAnsi="Times New Roman"/>
          <w:sz w:val="18"/>
          <w:szCs w:val="18"/>
          <w:color w:val="auto"/>
        </w:rPr>
        <w:t xml:space="preserve"> in the Company's 2018 Form 10-K. There have been no material changes in the Company's risk factors since those reported in its 2018 Form 10-K.</w:t>
      </w:r>
    </w:p>
    <w:p>
      <w:pPr>
        <w:spacing w:after="0" w:line="15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 UNREGISTERED SALES OF EQUITY SECURITIES AND USE OF PROCEEDS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 DEFAULTS UPON SENIOR SECURITIES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None.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 MINE SAFETY DISCLOSURES</w:t>
      </w:r>
    </w:p>
    <w:p>
      <w:pPr>
        <w:spacing w:after="0" w:line="22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 OTHER INFORMATION</w:t>
      </w:r>
    </w:p>
    <w:p>
      <w:pPr>
        <w:spacing w:after="0" w:line="229"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color w:val="auto"/>
        </w:rPr>
        <w:t>None.</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 EXHIBITS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9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Number</w:t>
            </w:r>
          </w:p>
        </w:tc>
        <w:tc>
          <w:tcPr>
            <w:tcW w:w="140" w:type="dxa"/>
            <w:vAlign w:val="bottom"/>
          </w:tcPr>
          <w:p>
            <w:pPr>
              <w:spacing w:after="0"/>
              <w:rPr>
                <w:sz w:val="20"/>
                <w:szCs w:val="20"/>
                <w:color w:val="auto"/>
              </w:rPr>
            </w:pPr>
          </w:p>
        </w:tc>
        <w:tc>
          <w:tcPr>
            <w:tcW w:w="5900" w:type="dxa"/>
            <w:vAlign w:val="bottom"/>
            <w:tcBorders>
              <w:bottom w:val="single" w:sz="8" w:color="auto"/>
            </w:tcBorders>
            <w:gridSpan w:val="14"/>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c>
          <w:tcPr>
            <w:tcW w:w="120" w:type="dxa"/>
            <w:vAlign w:val="bottom"/>
          </w:tcPr>
          <w:p>
            <w:pPr>
              <w:spacing w:after="0"/>
              <w:rPr>
                <w:sz w:val="20"/>
                <w:szCs w:val="20"/>
                <w:color w:val="auto"/>
              </w:rPr>
            </w:pPr>
          </w:p>
        </w:tc>
        <w:tc>
          <w:tcPr>
            <w:tcW w:w="4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Method of Filing</w:t>
            </w:r>
          </w:p>
        </w:tc>
      </w:tr>
      <w:tr>
        <w:trPr>
          <w:trHeight w:val="169"/>
        </w:trPr>
        <w:tc>
          <w:tcPr>
            <w:tcW w:w="960" w:type="dxa"/>
            <w:vAlign w:val="bottom"/>
            <w:gridSpan w:val="2"/>
          </w:tcPr>
          <w:p>
            <w:pPr>
              <w:spacing w:after="0" w:line="170" w:lineRule="exact"/>
              <w:rPr>
                <w:sz w:val="20"/>
                <w:szCs w:val="20"/>
                <w:color w:val="auto"/>
              </w:rPr>
            </w:pPr>
            <w:r>
              <w:rPr>
                <w:rFonts w:ascii="Times New Roman" w:cs="Times New Roman" w:eastAsia="Times New Roman" w:hAnsi="Times New Roman"/>
                <w:sz w:val="18"/>
                <w:szCs w:val="18"/>
                <w:color w:val="auto"/>
              </w:rPr>
              <w:t>10.1</w:t>
            </w:r>
          </w:p>
        </w:tc>
        <w:tc>
          <w:tcPr>
            <w:tcW w:w="140" w:type="dxa"/>
            <w:vAlign w:val="bottom"/>
          </w:tcPr>
          <w:p>
            <w:pPr>
              <w:spacing w:after="0"/>
              <w:rPr>
                <w:sz w:val="14"/>
                <w:szCs w:val="14"/>
                <w:color w:val="auto"/>
              </w:rPr>
            </w:pPr>
          </w:p>
        </w:tc>
        <w:tc>
          <w:tcPr>
            <w:tcW w:w="5900" w:type="dxa"/>
            <w:vAlign w:val="bottom"/>
            <w:gridSpan w:val="14"/>
          </w:tcPr>
          <w:p>
            <w:pPr>
              <w:spacing w:after="0" w:line="170"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Second Amendment to Right of First Offer Agreement, dated August 1, 2019, by</w:t>
              </w:r>
            </w:hyperlink>
          </w:p>
        </w:tc>
        <w:tc>
          <w:tcPr>
            <w:tcW w:w="120" w:type="dxa"/>
            <w:vAlign w:val="bottom"/>
          </w:tcPr>
          <w:p>
            <w:pPr>
              <w:spacing w:after="0"/>
              <w:rPr>
                <w:sz w:val="14"/>
                <w:szCs w:val="14"/>
                <w:color w:val="auto"/>
              </w:rPr>
            </w:pPr>
          </w:p>
        </w:tc>
        <w:tc>
          <w:tcPr>
            <w:tcW w:w="4300" w:type="dxa"/>
            <w:vAlign w:val="bottom"/>
          </w:tcPr>
          <w:p>
            <w:pPr>
              <w:spacing w:after="0" w:line="170" w:lineRule="exact"/>
              <w:rPr>
                <w:sz w:val="20"/>
                <w:szCs w:val="20"/>
                <w:color w:val="auto"/>
              </w:rPr>
            </w:pPr>
            <w:r>
              <w:rPr>
                <w:rFonts w:ascii="Times New Roman" w:cs="Times New Roman" w:eastAsia="Times New Roman" w:hAnsi="Times New Roman"/>
                <w:sz w:val="18"/>
                <w:szCs w:val="18"/>
                <w:color w:val="auto"/>
              </w:rPr>
              <w:t>Incorporated herein by reference to Exhibit 10.1 to the</w:t>
            </w:r>
          </w:p>
        </w:tc>
      </w:tr>
      <w:tr>
        <w:trPr>
          <w:trHeight w:val="196"/>
        </w:trPr>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8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r:id="rId90">
              <w:r>
                <w:rPr>
                  <w:rFonts w:ascii="Times New Roman" w:cs="Times New Roman" w:eastAsia="Times New Roman" w:hAnsi="Times New Roman"/>
                  <w:sz w:val="18"/>
                  <w:szCs w:val="18"/>
                  <w:color w:val="0000EE"/>
                </w:rPr>
                <w:t>and between Clearway Energy Group LLC and Clearway Energy, Inc.</w:t>
              </w:r>
            </w:hyperlink>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Company's Quarterly Report on Form 10-Q filed on</w:t>
            </w:r>
          </w:p>
        </w:tc>
      </w:tr>
      <w:tr>
        <w:trPr>
          <w:trHeight w:val="218"/>
        </w:trPr>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40" w:type="dxa"/>
            <w:vAlign w:val="bottom"/>
            <w:tcBorders>
              <w:top w:val="single" w:sz="8" w:color="0000EE"/>
            </w:tcBorders>
          </w:tcPr>
          <w:p>
            <w:pPr>
              <w:spacing w:after="0"/>
              <w:rPr>
                <w:sz w:val="18"/>
                <w:szCs w:val="18"/>
                <w:color w:val="auto"/>
              </w:rPr>
            </w:pPr>
          </w:p>
        </w:tc>
        <w:tc>
          <w:tcPr>
            <w:tcW w:w="100" w:type="dxa"/>
            <w:vAlign w:val="bottom"/>
            <w:tcBorders>
              <w:top w:val="single" w:sz="8" w:color="0000EE"/>
            </w:tcBorders>
          </w:tcPr>
          <w:p>
            <w:pPr>
              <w:spacing w:after="0"/>
              <w:rPr>
                <w:sz w:val="18"/>
                <w:szCs w:val="18"/>
                <w:color w:val="auto"/>
              </w:rPr>
            </w:pPr>
          </w:p>
        </w:tc>
        <w:tc>
          <w:tcPr>
            <w:tcW w:w="1100" w:type="dxa"/>
            <w:vAlign w:val="bottom"/>
            <w:tcBorders>
              <w:top w:val="single" w:sz="8" w:color="0000EE"/>
            </w:tcBorders>
          </w:tcPr>
          <w:p>
            <w:pPr>
              <w:spacing w:after="0"/>
              <w:rPr>
                <w:sz w:val="18"/>
                <w:szCs w:val="18"/>
                <w:color w:val="auto"/>
              </w:rPr>
            </w:pPr>
          </w:p>
        </w:tc>
        <w:tc>
          <w:tcPr>
            <w:tcW w:w="2060" w:type="dxa"/>
            <w:vAlign w:val="bottom"/>
            <w:tcBorders>
              <w:top w:val="single" w:sz="8" w:color="0000EE"/>
            </w:tcBorders>
          </w:tcPr>
          <w:p>
            <w:pPr>
              <w:spacing w:after="0"/>
              <w:rPr>
                <w:sz w:val="18"/>
                <w:szCs w:val="18"/>
                <w:color w:val="auto"/>
              </w:rPr>
            </w:pPr>
          </w:p>
        </w:tc>
        <w:tc>
          <w:tcPr>
            <w:tcW w:w="420" w:type="dxa"/>
            <w:vAlign w:val="bottom"/>
            <w:tcBorders>
              <w:top w:val="single" w:sz="8" w:color="0000EE"/>
            </w:tcBorders>
          </w:tcPr>
          <w:p>
            <w:pPr>
              <w:spacing w:after="0"/>
              <w:rPr>
                <w:sz w:val="18"/>
                <w:szCs w:val="18"/>
                <w:color w:val="auto"/>
              </w:rPr>
            </w:pPr>
          </w:p>
        </w:tc>
        <w:tc>
          <w:tcPr>
            <w:tcW w:w="120" w:type="dxa"/>
            <w:vAlign w:val="bottom"/>
            <w:tcBorders>
              <w:top w:val="single" w:sz="8" w:color="0000EE"/>
            </w:tcBorders>
          </w:tcPr>
          <w:p>
            <w:pPr>
              <w:spacing w:after="0"/>
              <w:rPr>
                <w:sz w:val="18"/>
                <w:szCs w:val="18"/>
                <w:color w:val="auto"/>
              </w:rPr>
            </w:pPr>
          </w:p>
        </w:tc>
        <w:tc>
          <w:tcPr>
            <w:tcW w:w="500" w:type="dxa"/>
            <w:vAlign w:val="bottom"/>
            <w:tcBorders>
              <w:top w:val="single" w:sz="8" w:color="0000EE"/>
            </w:tcBorders>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August 6, 2019.</w:t>
            </w:r>
          </w:p>
        </w:tc>
      </w:tr>
      <w:tr>
        <w:trPr>
          <w:trHeight w:val="194"/>
        </w:trPr>
        <w:tc>
          <w:tcPr>
            <w:tcW w:w="960" w:type="dxa"/>
            <w:vAlign w:val="bottom"/>
            <w:gridSpan w:val="2"/>
          </w:tcPr>
          <w:p>
            <w:pPr>
              <w:spacing w:after="0" w:line="194" w:lineRule="exact"/>
              <w:rPr>
                <w:sz w:val="20"/>
                <w:szCs w:val="20"/>
                <w:color w:val="auto"/>
              </w:rPr>
            </w:pPr>
            <w:r>
              <w:rPr>
                <w:rFonts w:ascii="Times New Roman" w:cs="Times New Roman" w:eastAsia="Times New Roman" w:hAnsi="Times New Roman"/>
                <w:sz w:val="18"/>
                <w:szCs w:val="18"/>
                <w:color w:val="auto"/>
              </w:rPr>
              <w:t>10.2</w:t>
            </w:r>
          </w:p>
        </w:tc>
        <w:tc>
          <w:tcPr>
            <w:tcW w:w="140" w:type="dxa"/>
            <w:vAlign w:val="bottom"/>
          </w:tcPr>
          <w:p>
            <w:pPr>
              <w:spacing w:after="0"/>
              <w:rPr>
                <w:sz w:val="16"/>
                <w:szCs w:val="16"/>
                <w:color w:val="auto"/>
              </w:rPr>
            </w:pPr>
          </w:p>
        </w:tc>
        <w:tc>
          <w:tcPr>
            <w:tcW w:w="5900" w:type="dxa"/>
            <w:vAlign w:val="bottom"/>
            <w:gridSpan w:val="14"/>
          </w:tcPr>
          <w:p>
            <w:pPr>
              <w:spacing w:after="0" w:line="194"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Eleventh Supplemental Indenture, dated as of September 6, 2019, among</w:t>
              </w:r>
            </w:hyperlink>
          </w:p>
        </w:tc>
        <w:tc>
          <w:tcPr>
            <w:tcW w:w="120" w:type="dxa"/>
            <w:vAlign w:val="bottom"/>
          </w:tcPr>
          <w:p>
            <w:pPr>
              <w:spacing w:after="0"/>
              <w:rPr>
                <w:sz w:val="16"/>
                <w:szCs w:val="16"/>
                <w:color w:val="auto"/>
              </w:rPr>
            </w:pPr>
          </w:p>
        </w:tc>
        <w:tc>
          <w:tcPr>
            <w:tcW w:w="430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rPr>
              <w:t>Incorporated herein by reference to Exhibit 4.1 to the</w:t>
            </w:r>
          </w:p>
        </w:tc>
      </w:tr>
      <w:tr>
        <w:trPr>
          <w:trHeight w:val="20"/>
        </w:trPr>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tcBorders>
              <w:left w:val="single" w:sz="8" w:color="0000EE"/>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00" w:type="dxa"/>
            <w:vAlign w:val="bottom"/>
            <w:gridSpan w:val="14"/>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Clearway Energy Operating LLC, the guarantors named therein and Delaware</w:t>
              </w:r>
            </w:hyperlink>
          </w:p>
        </w:tc>
        <w:tc>
          <w:tcPr>
            <w:tcW w:w="120" w:type="dxa"/>
            <w:vAlign w:val="bottom"/>
          </w:tcPr>
          <w:p>
            <w:pPr>
              <w:spacing w:after="0"/>
              <w:rPr>
                <w:sz w:val="17"/>
                <w:szCs w:val="17"/>
                <w:color w:val="auto"/>
              </w:rPr>
            </w:pPr>
          </w:p>
        </w:tc>
        <w:tc>
          <w:tcPr>
            <w:tcW w:w="4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Company's Current Report on Form 8-K filed on</w:t>
            </w:r>
          </w:p>
        </w:tc>
      </w:tr>
      <w:tr>
        <w:trPr>
          <w:trHeight w:val="196"/>
        </w:trPr>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1">
              <w:r>
                <w:rPr>
                  <w:rFonts w:ascii="Times New Roman" w:cs="Times New Roman" w:eastAsia="Times New Roman" w:hAnsi="Times New Roman"/>
                  <w:sz w:val="18"/>
                  <w:szCs w:val="18"/>
                  <w:color w:val="0000EE"/>
                  <w:w w:val="99"/>
                </w:rPr>
                <w:t>Trust Company (as successor in interest to Law Debenture Trust Company of</w:t>
              </w:r>
            </w:hyperlink>
          </w:p>
        </w:tc>
        <w:tc>
          <w:tcPr>
            <w:tcW w:w="40" w:type="dxa"/>
            <w:vAlign w:val="bottom"/>
            <w:tcBorders>
              <w:top w:val="single" w:sz="8" w:color="0000EE"/>
            </w:tcBorders>
          </w:tcPr>
          <w:p>
            <w:pPr>
              <w:spacing w:after="0"/>
              <w:rPr>
                <w:sz w:val="17"/>
                <w:szCs w:val="17"/>
                <w:color w:val="auto"/>
              </w:rPr>
            </w:pPr>
          </w:p>
        </w:tc>
        <w:tc>
          <w:tcPr>
            <w:tcW w:w="2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September 12, 2019.</w:t>
            </w:r>
          </w:p>
        </w:tc>
      </w:tr>
      <w:tr>
        <w:trPr>
          <w:trHeight w:val="196"/>
        </w:trPr>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00" w:type="dxa"/>
            <w:vAlign w:val="bottom"/>
            <w:gridSpan w:val="14"/>
          </w:tcPr>
          <w:p>
            <w:pPr>
              <w:spacing w:after="0" w:line="196" w:lineRule="exact"/>
              <w:rPr>
                <w:rFonts w:ascii="Times New Roman" w:cs="Times New Roman" w:eastAsia="Times New Roman" w:hAnsi="Times New Roman"/>
                <w:sz w:val="18"/>
                <w:szCs w:val="18"/>
                <w:color w:val="0000EE"/>
              </w:rPr>
            </w:pPr>
            <w:hyperlink r:id="rId91">
              <w:r>
                <w:rPr>
                  <w:rFonts w:ascii="Times New Roman" w:cs="Times New Roman" w:eastAsia="Times New Roman" w:hAnsi="Times New Roman"/>
                  <w:sz w:val="18"/>
                  <w:szCs w:val="18"/>
                  <w:color w:val="0000EE"/>
                </w:rPr>
                <w:t>New York).</w:t>
              </w:r>
            </w:hyperlink>
          </w:p>
        </w:tc>
        <w:tc>
          <w:tcPr>
            <w:tcW w:w="120" w:type="dxa"/>
            <w:vAlign w:val="bottom"/>
          </w:tcPr>
          <w:p>
            <w:pPr>
              <w:spacing w:after="0"/>
              <w:rPr>
                <w:sz w:val="17"/>
                <w:szCs w:val="17"/>
                <w:color w:val="auto"/>
              </w:rPr>
            </w:pPr>
          </w:p>
        </w:tc>
        <w:tc>
          <w:tcPr>
            <w:tcW w:w="4300" w:type="dxa"/>
            <w:vAlign w:val="bottom"/>
          </w:tcPr>
          <w:p>
            <w:pPr>
              <w:spacing w:after="0"/>
              <w:rPr>
                <w:sz w:val="17"/>
                <w:szCs w:val="17"/>
                <w:color w:val="auto"/>
              </w:rPr>
            </w:pPr>
          </w:p>
        </w:tc>
      </w:tr>
      <w:tr>
        <w:trPr>
          <w:trHeight w:val="20"/>
        </w:trPr>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10.3</w:t>
            </w:r>
          </w:p>
        </w:tc>
        <w:tc>
          <w:tcPr>
            <w:tcW w:w="140" w:type="dxa"/>
            <w:vAlign w:val="bottom"/>
          </w:tcPr>
          <w:p>
            <w:pPr>
              <w:spacing w:after="0"/>
              <w:rPr>
                <w:sz w:val="17"/>
                <w:szCs w:val="17"/>
                <w:color w:val="auto"/>
              </w:rPr>
            </w:pPr>
          </w:p>
        </w:tc>
        <w:tc>
          <w:tcPr>
            <w:tcW w:w="5900" w:type="dxa"/>
            <w:vAlign w:val="bottom"/>
            <w:gridSpan w:val="14"/>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Seventh Supplemental Indenture, dated as of September 6, 2019, among</w:t>
              </w:r>
            </w:hyperlink>
          </w:p>
        </w:tc>
        <w:tc>
          <w:tcPr>
            <w:tcW w:w="120" w:type="dxa"/>
            <w:vAlign w:val="bottom"/>
          </w:tcPr>
          <w:p>
            <w:pPr>
              <w:spacing w:after="0"/>
              <w:rPr>
                <w:sz w:val="17"/>
                <w:szCs w:val="17"/>
                <w:color w:val="auto"/>
              </w:rPr>
            </w:pPr>
          </w:p>
        </w:tc>
        <w:tc>
          <w:tcPr>
            <w:tcW w:w="4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Incorporated herein by reference to Exhibit 4.2 to the</w:t>
            </w:r>
          </w:p>
        </w:tc>
      </w:tr>
      <w:tr>
        <w:trPr>
          <w:trHeight w:val="20"/>
        </w:trPr>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200" w:type="dxa"/>
            <w:vAlign w:val="bottom"/>
            <w:gridSpan w:val="2"/>
            <w:shd w:val="clear" w:color="auto" w:fill="0000EE"/>
          </w:tcPr>
          <w:p>
            <w:pPr>
              <w:spacing w:after="0" w:line="20" w:lineRule="exact"/>
              <w:rPr>
                <w:sz w:val="1"/>
                <w:szCs w:val="1"/>
                <w:color w:val="auto"/>
              </w:rPr>
            </w:pPr>
          </w:p>
        </w:tc>
        <w:tc>
          <w:tcPr>
            <w:tcW w:w="20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66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00" w:type="dxa"/>
            <w:vAlign w:val="bottom"/>
            <w:gridSpan w:val="14"/>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Clearway Energy Operating LLC, the guarantors named therein and Delaware</w:t>
              </w:r>
            </w:hyperlink>
          </w:p>
        </w:tc>
        <w:tc>
          <w:tcPr>
            <w:tcW w:w="120" w:type="dxa"/>
            <w:vAlign w:val="bottom"/>
          </w:tcPr>
          <w:p>
            <w:pPr>
              <w:spacing w:after="0"/>
              <w:rPr>
                <w:sz w:val="17"/>
                <w:szCs w:val="17"/>
                <w:color w:val="auto"/>
              </w:rPr>
            </w:pPr>
          </w:p>
        </w:tc>
        <w:tc>
          <w:tcPr>
            <w:tcW w:w="4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Company's Current Report on Form 8-K filed on</w:t>
            </w:r>
          </w:p>
        </w:tc>
      </w:tr>
      <w:tr>
        <w:trPr>
          <w:trHeight w:val="196"/>
        </w:trPr>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580" w:type="dxa"/>
            <w:vAlign w:val="bottom"/>
            <w:tcBorders>
              <w:top w:val="single" w:sz="8" w:color="0000EE"/>
              <w:bottom w:val="single" w:sz="8" w:color="0000EE"/>
            </w:tcBorders>
            <w:gridSpan w:val="10"/>
          </w:tcPr>
          <w:p>
            <w:pPr>
              <w:spacing w:after="0" w:line="196" w:lineRule="exact"/>
              <w:rPr>
                <w:rFonts w:ascii="Times New Roman" w:cs="Times New Roman" w:eastAsia="Times New Roman" w:hAnsi="Times New Roman"/>
                <w:sz w:val="18"/>
                <w:szCs w:val="18"/>
                <w:color w:val="0000EE"/>
                <w:w w:val="99"/>
              </w:rPr>
            </w:pPr>
            <w:hyperlink r:id="rId92">
              <w:r>
                <w:rPr>
                  <w:rFonts w:ascii="Times New Roman" w:cs="Times New Roman" w:eastAsia="Times New Roman" w:hAnsi="Times New Roman"/>
                  <w:sz w:val="18"/>
                  <w:szCs w:val="18"/>
                  <w:color w:val="0000EE"/>
                  <w:w w:val="99"/>
                </w:rPr>
                <w:t>Trust Company (as successor in interest to Law Debenture Trust Company of</w:t>
              </w:r>
            </w:hyperlink>
          </w:p>
        </w:tc>
        <w:tc>
          <w:tcPr>
            <w:tcW w:w="40" w:type="dxa"/>
            <w:vAlign w:val="bottom"/>
            <w:tcBorders>
              <w:top w:val="single" w:sz="8" w:color="0000EE"/>
            </w:tcBorders>
          </w:tcPr>
          <w:p>
            <w:pPr>
              <w:spacing w:after="0"/>
              <w:rPr>
                <w:sz w:val="17"/>
                <w:szCs w:val="17"/>
                <w:color w:val="auto"/>
              </w:rPr>
            </w:pPr>
          </w:p>
        </w:tc>
        <w:tc>
          <w:tcPr>
            <w:tcW w:w="280" w:type="dxa"/>
            <w:vAlign w:val="bottom"/>
            <w:gridSpan w:val="3"/>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September 12, 2019.</w:t>
            </w:r>
          </w:p>
        </w:tc>
      </w:tr>
      <w:tr>
        <w:trPr>
          <w:trHeight w:val="196"/>
        </w:trPr>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900" w:type="dxa"/>
            <w:vAlign w:val="bottom"/>
            <w:gridSpan w:val="14"/>
          </w:tcPr>
          <w:p>
            <w:pPr>
              <w:spacing w:after="0" w:line="196" w:lineRule="exact"/>
              <w:rPr>
                <w:rFonts w:ascii="Times New Roman" w:cs="Times New Roman" w:eastAsia="Times New Roman" w:hAnsi="Times New Roman"/>
                <w:sz w:val="18"/>
                <w:szCs w:val="18"/>
                <w:color w:val="0000EE"/>
              </w:rPr>
            </w:pPr>
            <w:hyperlink r:id="rId92">
              <w:r>
                <w:rPr>
                  <w:rFonts w:ascii="Times New Roman" w:cs="Times New Roman" w:eastAsia="Times New Roman" w:hAnsi="Times New Roman"/>
                  <w:sz w:val="18"/>
                  <w:szCs w:val="18"/>
                  <w:color w:val="0000EE"/>
                </w:rPr>
                <w:t>New York).</w:t>
              </w:r>
            </w:hyperlink>
          </w:p>
        </w:tc>
        <w:tc>
          <w:tcPr>
            <w:tcW w:w="120" w:type="dxa"/>
            <w:vAlign w:val="bottom"/>
          </w:tcPr>
          <w:p>
            <w:pPr>
              <w:spacing w:after="0"/>
              <w:rPr>
                <w:sz w:val="17"/>
                <w:szCs w:val="17"/>
                <w:color w:val="auto"/>
              </w:rPr>
            </w:pPr>
          </w:p>
        </w:tc>
        <w:tc>
          <w:tcPr>
            <w:tcW w:w="4300" w:type="dxa"/>
            <w:vAlign w:val="bottom"/>
          </w:tcPr>
          <w:p>
            <w:pPr>
              <w:spacing w:after="0"/>
              <w:rPr>
                <w:sz w:val="17"/>
                <w:szCs w:val="17"/>
                <w:color w:val="auto"/>
              </w:rPr>
            </w:pPr>
          </w:p>
        </w:tc>
      </w:tr>
      <w:tr>
        <w:trPr>
          <w:trHeight w:val="20"/>
        </w:trPr>
        <w:tc>
          <w:tcPr>
            <w:tcW w:w="96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196"/>
        </w:trPr>
        <w:tc>
          <w:tcPr>
            <w:tcW w:w="9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10.4</w:t>
            </w:r>
          </w:p>
        </w:tc>
        <w:tc>
          <w:tcPr>
            <w:tcW w:w="140" w:type="dxa"/>
            <w:vAlign w:val="bottom"/>
          </w:tcPr>
          <w:p>
            <w:pPr>
              <w:spacing w:after="0"/>
              <w:rPr>
                <w:sz w:val="17"/>
                <w:szCs w:val="17"/>
                <w:color w:val="auto"/>
              </w:rPr>
            </w:pPr>
          </w:p>
        </w:tc>
        <w:tc>
          <w:tcPr>
            <w:tcW w:w="57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Third Supplemental Indenture, dated as of September 6, 2019, among Clearway</w:t>
              </w:r>
            </w:hyperlink>
          </w:p>
        </w:tc>
        <w:tc>
          <w:tcPr>
            <w:tcW w:w="140" w:type="dxa"/>
            <w:vAlign w:val="bottom"/>
            <w:gridSpan w:val="2"/>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Incorporated herein by reference to Exhibit 4.3 to the</w:t>
            </w:r>
          </w:p>
        </w:tc>
      </w:tr>
      <w:tr>
        <w:trPr>
          <w:trHeight w:val="196"/>
        </w:trPr>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320" w:type="dxa"/>
            <w:vAlign w:val="bottom"/>
            <w:tcBorders>
              <w:bottom w:val="single" w:sz="8" w:color="0000EE"/>
            </w:tcBorders>
            <w:gridSpan w:val="9"/>
          </w:tcPr>
          <w:p>
            <w:pPr>
              <w:spacing w:after="0" w:line="196" w:lineRule="exact"/>
              <w:rPr>
                <w:rFonts w:ascii="Times New Roman" w:cs="Times New Roman" w:eastAsia="Times New Roman" w:hAnsi="Times New Roman"/>
                <w:sz w:val="18"/>
                <w:szCs w:val="18"/>
                <w:color w:val="0000EE"/>
                <w:w w:val="99"/>
              </w:rPr>
            </w:pPr>
            <w:hyperlink r:id="rId93">
              <w:r>
                <w:rPr>
                  <w:rFonts w:ascii="Times New Roman" w:cs="Times New Roman" w:eastAsia="Times New Roman" w:hAnsi="Times New Roman"/>
                  <w:sz w:val="18"/>
                  <w:szCs w:val="18"/>
                  <w:color w:val="0000EE"/>
                  <w:w w:val="99"/>
                </w:rPr>
                <w:t>Energy Operating LLC, the guarantors named therein and Delaware Trust</w:t>
              </w:r>
            </w:hyperlink>
          </w:p>
        </w:tc>
        <w:tc>
          <w:tcPr>
            <w:tcW w:w="580" w:type="dxa"/>
            <w:vAlign w:val="bottom"/>
            <w:gridSpan w:val="5"/>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Company's Current Report on Form 8-K filed on</w:t>
            </w:r>
          </w:p>
        </w:tc>
      </w:tr>
      <w:tr>
        <w:trPr>
          <w:trHeight w:val="196"/>
        </w:trPr>
        <w:tc>
          <w:tcPr>
            <w:tcW w:w="3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40" w:type="dxa"/>
            <w:vAlign w:val="bottom"/>
            <w:tcBorders>
              <w:bottom w:val="single" w:sz="8" w:color="0000EE"/>
            </w:tcBorders>
          </w:tcPr>
          <w:p>
            <w:pPr>
              <w:spacing w:after="0" w:line="196" w:lineRule="exact"/>
              <w:rPr>
                <w:rFonts w:ascii="Times New Roman" w:cs="Times New Roman" w:eastAsia="Times New Roman" w:hAnsi="Times New Roman"/>
                <w:sz w:val="18"/>
                <w:szCs w:val="18"/>
                <w:color w:val="0000EE"/>
                <w:w w:val="96"/>
              </w:rPr>
            </w:pPr>
            <w:hyperlink r:id="rId93">
              <w:r>
                <w:rPr>
                  <w:rFonts w:ascii="Times New Roman" w:cs="Times New Roman" w:eastAsia="Times New Roman" w:hAnsi="Times New Roman"/>
                  <w:sz w:val="18"/>
                  <w:szCs w:val="18"/>
                  <w:color w:val="0000EE"/>
                  <w:w w:val="96"/>
                </w:rPr>
                <w:t>Company.</w:t>
              </w:r>
            </w:hyperlink>
          </w:p>
        </w:tc>
        <w:tc>
          <w:tcPr>
            <w:tcW w:w="5160" w:type="dxa"/>
            <w:vAlign w:val="bottom"/>
            <w:gridSpan w:val="13"/>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September 12, 2019.</w:t>
            </w:r>
          </w:p>
        </w:tc>
      </w:tr>
      <w:tr>
        <w:trPr>
          <w:trHeight w:val="196"/>
        </w:trPr>
        <w:tc>
          <w:tcPr>
            <w:tcW w:w="9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31.1</w:t>
            </w:r>
          </w:p>
        </w:tc>
        <w:tc>
          <w:tcPr>
            <w:tcW w:w="140" w:type="dxa"/>
            <w:vAlign w:val="bottom"/>
          </w:tcPr>
          <w:p>
            <w:pPr>
              <w:spacing w:after="0"/>
              <w:rPr>
                <w:sz w:val="17"/>
                <w:szCs w:val="17"/>
                <w:color w:val="auto"/>
              </w:rPr>
            </w:pPr>
          </w:p>
        </w:tc>
        <w:tc>
          <w:tcPr>
            <w:tcW w:w="45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54">
              <w:r>
                <w:rPr>
                  <w:rFonts w:ascii="Times New Roman" w:cs="Times New Roman" w:eastAsia="Times New Roman" w:hAnsi="Times New Roman"/>
                  <w:sz w:val="18"/>
                  <w:szCs w:val="18"/>
                  <w:color w:val="0000EE"/>
                  <w:w w:val="99"/>
                </w:rPr>
                <w:t>Rule 13a-14(a)/15d-14(a) certification of Christopher S. Sotos.</w:t>
              </w:r>
            </w:hyperlink>
          </w:p>
        </w:tc>
        <w:tc>
          <w:tcPr>
            <w:tcW w:w="1360" w:type="dxa"/>
            <w:vAlign w:val="bottom"/>
            <w:gridSpan w:val="8"/>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9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31.2</w:t>
            </w:r>
          </w:p>
        </w:tc>
        <w:tc>
          <w:tcPr>
            <w:tcW w:w="140" w:type="dxa"/>
            <w:vAlign w:val="bottom"/>
          </w:tcPr>
          <w:p>
            <w:pPr>
              <w:spacing w:after="0"/>
              <w:rPr>
                <w:sz w:val="17"/>
                <w:szCs w:val="17"/>
                <w:color w:val="auto"/>
              </w:rPr>
            </w:pPr>
          </w:p>
        </w:tc>
        <w:tc>
          <w:tcPr>
            <w:tcW w:w="4000" w:type="dxa"/>
            <w:vAlign w:val="bottom"/>
            <w:tcBorders>
              <w:bottom w:val="single" w:sz="8" w:color="0000EE"/>
            </w:tcBorders>
            <w:gridSpan w:val="4"/>
          </w:tcPr>
          <w:p>
            <w:pPr>
              <w:spacing w:after="0" w:line="196"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Rule 13a-14(a)/15d-14(a) certification of Chad Plotkin.</w:t>
              </w:r>
            </w:hyperlink>
          </w:p>
        </w:tc>
        <w:tc>
          <w:tcPr>
            <w:tcW w:w="1900" w:type="dxa"/>
            <w:vAlign w:val="bottom"/>
            <w:gridSpan w:val="10"/>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9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31.3</w:t>
            </w:r>
          </w:p>
        </w:tc>
        <w:tc>
          <w:tcPr>
            <w:tcW w:w="140" w:type="dxa"/>
            <w:vAlign w:val="bottom"/>
          </w:tcPr>
          <w:p>
            <w:pPr>
              <w:spacing w:after="0"/>
              <w:rPr>
                <w:sz w:val="17"/>
                <w:szCs w:val="17"/>
                <w:color w:val="auto"/>
              </w:rPr>
            </w:pPr>
          </w:p>
        </w:tc>
        <w:tc>
          <w:tcPr>
            <w:tcW w:w="5900" w:type="dxa"/>
            <w:vAlign w:val="bottom"/>
            <w:gridSpan w:val="14"/>
          </w:tcPr>
          <w:p>
            <w:pPr>
              <w:spacing w:after="0" w:line="196" w:lineRule="exact"/>
              <w:rPr>
                <w:rFonts w:ascii="Times New Roman" w:cs="Times New Roman" w:eastAsia="Times New Roman" w:hAnsi="Times New Roman"/>
                <w:sz w:val="18"/>
                <w:szCs w:val="18"/>
                <w:color w:val="0000EE"/>
              </w:rPr>
            </w:pPr>
            <w:hyperlink w:anchor="page56">
              <w:r>
                <w:rPr>
                  <w:rFonts w:ascii="Times New Roman" w:cs="Times New Roman" w:eastAsia="Times New Roman" w:hAnsi="Times New Roman"/>
                  <w:sz w:val="18"/>
                  <w:szCs w:val="18"/>
                  <w:color w:val="0000EE"/>
                </w:rPr>
                <w:t>Rule 13a-14(a)/15d-14(a) certification of Mary-Lee Stillwell.</w:t>
              </w:r>
            </w:hyperlink>
          </w:p>
        </w:tc>
        <w:tc>
          <w:tcPr>
            <w:tcW w:w="120" w:type="dxa"/>
            <w:vAlign w:val="bottom"/>
          </w:tcPr>
          <w:p>
            <w:pPr>
              <w:spacing w:after="0"/>
              <w:rPr>
                <w:sz w:val="17"/>
                <w:szCs w:val="17"/>
                <w:color w:val="auto"/>
              </w:rPr>
            </w:pPr>
          </w:p>
        </w:tc>
        <w:tc>
          <w:tcPr>
            <w:tcW w:w="4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Filed herewith.</w:t>
            </w:r>
          </w:p>
        </w:tc>
      </w:tr>
      <w:tr>
        <w:trPr>
          <w:trHeight w:val="196"/>
        </w:trPr>
        <w:tc>
          <w:tcPr>
            <w:tcW w:w="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32</w:t>
            </w: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420" w:type="dxa"/>
            <w:vAlign w:val="bottom"/>
            <w:tcBorders>
              <w:top w:val="single" w:sz="8" w:color="0000EE"/>
            </w:tcBorders>
            <w:gridSpan w:val="5"/>
          </w:tcPr>
          <w:p>
            <w:pPr>
              <w:spacing w:after="0" w:line="196" w:lineRule="exact"/>
              <w:rPr>
                <w:rFonts w:ascii="Times New Roman" w:cs="Times New Roman" w:eastAsia="Times New Roman" w:hAnsi="Times New Roman"/>
                <w:sz w:val="18"/>
                <w:szCs w:val="18"/>
                <w:color w:val="0000EE"/>
              </w:rPr>
            </w:pPr>
            <w:hyperlink w:anchor="page57">
              <w:r>
                <w:rPr>
                  <w:rFonts w:ascii="Times New Roman" w:cs="Times New Roman" w:eastAsia="Times New Roman" w:hAnsi="Times New Roman"/>
                  <w:sz w:val="18"/>
                  <w:szCs w:val="18"/>
                  <w:color w:val="0000EE"/>
                </w:rPr>
                <w:t>Section 1350 Certification.</w:t>
              </w:r>
            </w:hyperlink>
          </w:p>
        </w:tc>
        <w:tc>
          <w:tcPr>
            <w:tcW w:w="1480" w:type="dxa"/>
            <w:vAlign w:val="bottom"/>
            <w:gridSpan w:val="9"/>
          </w:tcPr>
          <w:p>
            <w:pPr>
              <w:spacing w:after="0"/>
              <w:rPr>
                <w:sz w:val="17"/>
                <w:szCs w:val="17"/>
                <w:color w:val="auto"/>
              </w:rPr>
            </w:pPr>
          </w:p>
        </w:tc>
        <w:tc>
          <w:tcPr>
            <w:tcW w:w="120" w:type="dxa"/>
            <w:vAlign w:val="bottom"/>
          </w:tcPr>
          <w:p>
            <w:pPr>
              <w:spacing w:after="0"/>
              <w:rPr>
                <w:sz w:val="17"/>
                <w:szCs w:val="17"/>
                <w:color w:val="auto"/>
              </w:rPr>
            </w:pPr>
          </w:p>
        </w:tc>
        <w:tc>
          <w:tcPr>
            <w:tcW w:w="4300" w:type="dxa"/>
            <w:vAlign w:val="bottom"/>
          </w:tcPr>
          <w:p>
            <w:pPr>
              <w:spacing w:after="0" w:line="196" w:lineRule="exact"/>
              <w:rPr>
                <w:sz w:val="20"/>
                <w:szCs w:val="20"/>
                <w:color w:val="auto"/>
              </w:rPr>
            </w:pPr>
            <w:r>
              <w:rPr>
                <w:rFonts w:ascii="Times New Roman" w:cs="Times New Roman" w:eastAsia="Times New Roman" w:hAnsi="Times New Roman"/>
                <w:sz w:val="18"/>
                <w:szCs w:val="18"/>
                <w:color w:val="auto"/>
              </w:rPr>
              <w:t>Furnished herewith.</w:t>
            </w:r>
          </w:p>
        </w:tc>
      </w:tr>
      <w:tr>
        <w:trPr>
          <w:trHeight w:val="20"/>
        </w:trPr>
        <w:tc>
          <w:tcPr>
            <w:tcW w:w="3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940" w:type="dxa"/>
            <w:vAlign w:val="bottom"/>
            <w:gridSpan w:val="3"/>
            <w:shd w:val="clear" w:color="auto" w:fill="0000EE"/>
          </w:tcPr>
          <w:p>
            <w:pPr>
              <w:spacing w:after="0" w:line="20" w:lineRule="exact"/>
              <w:rPr>
                <w:sz w:val="1"/>
                <w:szCs w:val="1"/>
                <w:color w:val="auto"/>
              </w:rPr>
            </w:pPr>
          </w:p>
        </w:tc>
        <w:tc>
          <w:tcPr>
            <w:tcW w:w="3960" w:type="dxa"/>
            <w:vAlign w:val="bottom"/>
            <w:gridSpan w:val="11"/>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300" w:type="dxa"/>
            <w:vAlign w:val="bottom"/>
          </w:tcPr>
          <w:p>
            <w:pPr>
              <w:spacing w:after="0" w:line="20" w:lineRule="exact"/>
              <w:rPr>
                <w:sz w:val="1"/>
                <w:szCs w:val="1"/>
                <w:color w:val="auto"/>
              </w:rPr>
            </w:pPr>
          </w:p>
        </w:tc>
      </w:tr>
      <w:tr>
        <w:trPr>
          <w:trHeight w:val="218"/>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INS</w:t>
            </w:r>
          </w:p>
        </w:tc>
        <w:tc>
          <w:tcPr>
            <w:tcW w:w="140" w:type="dxa"/>
            <w:vAlign w:val="bottom"/>
          </w:tcPr>
          <w:p>
            <w:pPr>
              <w:spacing w:after="0"/>
              <w:rPr>
                <w:sz w:val="18"/>
                <w:szCs w:val="18"/>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1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SCH</w:t>
            </w:r>
          </w:p>
        </w:tc>
        <w:tc>
          <w:tcPr>
            <w:tcW w:w="140" w:type="dxa"/>
            <w:vAlign w:val="bottom"/>
          </w:tcPr>
          <w:p>
            <w:pPr>
              <w:spacing w:after="0"/>
              <w:rPr>
                <w:sz w:val="18"/>
                <w:szCs w:val="18"/>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Schema.</w:t>
            </w:r>
          </w:p>
        </w:tc>
        <w:tc>
          <w:tcPr>
            <w:tcW w:w="1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CAL</w:t>
            </w:r>
          </w:p>
        </w:tc>
        <w:tc>
          <w:tcPr>
            <w:tcW w:w="140" w:type="dxa"/>
            <w:vAlign w:val="bottom"/>
          </w:tcPr>
          <w:p>
            <w:pPr>
              <w:spacing w:after="0"/>
              <w:rPr>
                <w:sz w:val="18"/>
                <w:szCs w:val="18"/>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w:t>
            </w:r>
          </w:p>
        </w:tc>
        <w:tc>
          <w:tcPr>
            <w:tcW w:w="1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w:t>
            </w:r>
          </w:p>
        </w:tc>
        <w:tc>
          <w:tcPr>
            <w:tcW w:w="140" w:type="dxa"/>
            <w:vAlign w:val="bottom"/>
          </w:tcPr>
          <w:p>
            <w:pPr>
              <w:spacing w:after="0"/>
              <w:rPr>
                <w:sz w:val="18"/>
                <w:szCs w:val="18"/>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w:t>
            </w:r>
          </w:p>
        </w:tc>
        <w:tc>
          <w:tcPr>
            <w:tcW w:w="1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LAB</w:t>
            </w:r>
          </w:p>
        </w:tc>
        <w:tc>
          <w:tcPr>
            <w:tcW w:w="140" w:type="dxa"/>
            <w:vAlign w:val="bottom"/>
          </w:tcPr>
          <w:p>
            <w:pPr>
              <w:spacing w:after="0"/>
              <w:rPr>
                <w:sz w:val="18"/>
                <w:szCs w:val="18"/>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w:t>
            </w:r>
          </w:p>
        </w:tc>
        <w:tc>
          <w:tcPr>
            <w:tcW w:w="1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101</w:t>
            </w:r>
          </w:p>
        </w:tc>
        <w:tc>
          <w:tcPr>
            <w:tcW w:w="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w:t>
            </w:r>
          </w:p>
        </w:tc>
        <w:tc>
          <w:tcPr>
            <w:tcW w:w="140" w:type="dxa"/>
            <w:vAlign w:val="bottom"/>
          </w:tcPr>
          <w:p>
            <w:pPr>
              <w:spacing w:after="0"/>
              <w:rPr>
                <w:sz w:val="18"/>
                <w:szCs w:val="18"/>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w:t>
            </w:r>
          </w:p>
        </w:tc>
        <w:tc>
          <w:tcPr>
            <w:tcW w:w="1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00" w:type="dxa"/>
            <w:vAlign w:val="bottom"/>
          </w:tcPr>
          <w:p>
            <w:pPr>
              <w:spacing w:after="0"/>
              <w:rPr>
                <w:sz w:val="20"/>
                <w:szCs w:val="20"/>
                <w:color w:val="auto"/>
              </w:rPr>
            </w:pPr>
            <w:r>
              <w:rPr>
                <w:rFonts w:ascii="Times New Roman" w:cs="Times New Roman" w:eastAsia="Times New Roman" w:hAnsi="Times New Roman"/>
                <w:sz w:val="18"/>
                <w:szCs w:val="18"/>
                <w:color w:val="auto"/>
              </w:rPr>
              <w:t>104</w:t>
            </w: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Cover Page Interactive Data File (the cover page interactive data file does not</w:t>
            </w:r>
          </w:p>
        </w:tc>
        <w:tc>
          <w:tcPr>
            <w:tcW w:w="120" w:type="dxa"/>
            <w:vAlign w:val="bottom"/>
          </w:tcPr>
          <w:p>
            <w:pPr>
              <w:spacing w:after="0"/>
              <w:rPr>
                <w:sz w:val="18"/>
                <w:szCs w:val="18"/>
                <w:color w:val="auto"/>
              </w:rPr>
            </w:pPr>
          </w:p>
        </w:tc>
        <w:tc>
          <w:tcPr>
            <w:tcW w:w="4300" w:type="dxa"/>
            <w:vAlign w:val="bottom"/>
          </w:tcPr>
          <w:p>
            <w:pPr>
              <w:spacing w:after="0"/>
              <w:rPr>
                <w:sz w:val="20"/>
                <w:szCs w:val="20"/>
                <w:color w:val="auto"/>
              </w:rPr>
            </w:pPr>
            <w:r>
              <w:rPr>
                <w:rFonts w:ascii="Times New Roman" w:cs="Times New Roman" w:eastAsia="Times New Roman" w:hAnsi="Times New Roman"/>
                <w:sz w:val="18"/>
                <w:szCs w:val="18"/>
                <w:color w:val="auto"/>
              </w:rPr>
              <w:t>Filed herewith.</w:t>
            </w:r>
          </w:p>
        </w:tc>
      </w:tr>
      <w:tr>
        <w:trPr>
          <w:trHeight w:val="216"/>
        </w:trPr>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appear in Exhibit 104 because its Inline XBRL tags are embedded within the</w:t>
            </w:r>
          </w:p>
        </w:tc>
        <w:tc>
          <w:tcPr>
            <w:tcW w:w="120" w:type="dxa"/>
            <w:vAlign w:val="bottom"/>
          </w:tcPr>
          <w:p>
            <w:pPr>
              <w:spacing w:after="0"/>
              <w:rPr>
                <w:sz w:val="18"/>
                <w:szCs w:val="18"/>
                <w:color w:val="auto"/>
              </w:rPr>
            </w:pPr>
          </w:p>
        </w:tc>
        <w:tc>
          <w:tcPr>
            <w:tcW w:w="4300" w:type="dxa"/>
            <w:vAlign w:val="bottom"/>
          </w:tcPr>
          <w:p>
            <w:pPr>
              <w:spacing w:after="0"/>
              <w:rPr>
                <w:sz w:val="18"/>
                <w:szCs w:val="18"/>
                <w:color w:val="auto"/>
              </w:rPr>
            </w:pPr>
          </w:p>
        </w:tc>
      </w:tr>
      <w:tr>
        <w:trPr>
          <w:trHeight w:val="234"/>
        </w:trPr>
        <w:tc>
          <w:tcPr>
            <w:tcW w:w="3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5900" w:type="dxa"/>
            <w:vAlign w:val="bottom"/>
            <w:gridSpan w:val="14"/>
          </w:tcPr>
          <w:p>
            <w:pPr>
              <w:spacing w:after="0"/>
              <w:rPr>
                <w:sz w:val="20"/>
                <w:szCs w:val="20"/>
                <w:color w:val="auto"/>
              </w:rPr>
            </w:pPr>
            <w:r>
              <w:rPr>
                <w:rFonts w:ascii="Times New Roman" w:cs="Times New Roman" w:eastAsia="Times New Roman" w:hAnsi="Times New Roman"/>
                <w:sz w:val="18"/>
                <w:szCs w:val="18"/>
                <w:color w:val="auto"/>
              </w:rPr>
              <w:t>Inline XBRL document).</w:t>
            </w:r>
          </w:p>
        </w:tc>
        <w:tc>
          <w:tcPr>
            <w:tcW w:w="120" w:type="dxa"/>
            <w:vAlign w:val="bottom"/>
          </w:tcPr>
          <w:p>
            <w:pPr>
              <w:spacing w:after="0"/>
              <w:rPr>
                <w:sz w:val="20"/>
                <w:szCs w:val="20"/>
                <w:color w:val="auto"/>
              </w:rPr>
            </w:pPr>
          </w:p>
        </w:tc>
        <w:tc>
          <w:tcPr>
            <w:tcW w:w="4300" w:type="dxa"/>
            <w:vAlign w:val="bottom"/>
          </w:tcPr>
          <w:p>
            <w:pPr>
              <w:spacing w:after="0"/>
              <w:rPr>
                <w:sz w:val="20"/>
                <w:szCs w:val="20"/>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27202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4">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23" w:lineRule="exact"/>
        <w:rPr>
          <w:sz w:val="20"/>
          <w:szCs w:val="20"/>
          <w:color w:val="auto"/>
        </w:rPr>
      </w:pPr>
    </w:p>
    <w:p>
      <w:pPr>
        <w:spacing w:after="0"/>
        <w:rPr>
          <w:rFonts w:ascii="Times New Roman" w:cs="Times New Roman" w:eastAsia="Times New Roman" w:hAnsi="Times New Roman"/>
          <w:sz w:val="22"/>
          <w:szCs w:val="22"/>
          <w:u w:val="single" w:color="auto"/>
          <w:color w:val="0000EE"/>
        </w:rPr>
      </w:pPr>
      <w:hyperlink w:anchor="page2">
        <w:r>
          <w:rPr>
            <w:rFonts w:ascii="Times New Roman" w:cs="Times New Roman" w:eastAsia="Times New Roman" w:hAnsi="Times New Roman"/>
            <w:sz w:val="22"/>
            <w:szCs w:val="22"/>
            <w:u w:val="single" w:color="auto"/>
            <w:color w:val="0000EE"/>
          </w:rPr>
          <w:t>Table of Contents</w:t>
        </w:r>
      </w:hyperlink>
    </w:p>
    <w:p>
      <w:pPr>
        <w:sectPr>
          <w:pgSz w:w="11900" w:h="16838" w:orient="portrait"/>
          <w:cols w:equalWidth="0" w:num="1">
            <w:col w:w="11420"/>
          </w:cols>
          <w:pgMar w:left="240" w:top="121" w:right="239" w:bottom="0" w:gutter="0" w:footer="0" w:header="0"/>
        </w:sectPr>
      </w:pPr>
    </w:p>
    <w:bookmarkStart w:id="52" w:name="page53"/>
    <w:bookmarkEnd w:id="52"/>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405"/>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37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CLEARWAY ENERGY, INC.</w:t>
            </w:r>
          </w:p>
        </w:tc>
      </w:tr>
      <w:tr>
        <w:trPr>
          <w:trHeight w:val="234"/>
        </w:trPr>
        <w:tc>
          <w:tcPr>
            <w:tcW w:w="37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color w:val="auto"/>
              </w:rPr>
              <w:t>(Registrant)</w:t>
            </w:r>
          </w:p>
        </w:tc>
      </w:tr>
      <w:tr>
        <w:trPr>
          <w:trHeight w:val="432"/>
        </w:trPr>
        <w:tc>
          <w:tcPr>
            <w:tcW w:w="37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CHRISTOPHER S. SOTOS</w:t>
            </w:r>
          </w:p>
        </w:tc>
      </w:tr>
      <w:tr>
        <w:trPr>
          <w:trHeight w:val="189"/>
        </w:trPr>
        <w:tc>
          <w:tcPr>
            <w:tcW w:w="37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Christopher S. Sotos</w:t>
            </w:r>
          </w:p>
        </w:tc>
      </w:tr>
      <w:tr>
        <w:trPr>
          <w:trHeight w:val="216"/>
        </w:trPr>
        <w:tc>
          <w:tcPr>
            <w:tcW w:w="37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Executive Officer</w:t>
            </w:r>
          </w:p>
        </w:tc>
      </w:tr>
      <w:tr>
        <w:trPr>
          <w:trHeight w:val="236"/>
        </w:trPr>
        <w:tc>
          <w:tcPr>
            <w:tcW w:w="37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tc>
      </w:tr>
      <w:tr>
        <w:trPr>
          <w:trHeight w:val="648"/>
        </w:trPr>
        <w:tc>
          <w:tcPr>
            <w:tcW w:w="37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CHAD PLOTKIN</w:t>
            </w:r>
          </w:p>
        </w:tc>
      </w:tr>
      <w:tr>
        <w:trPr>
          <w:trHeight w:val="189"/>
        </w:trPr>
        <w:tc>
          <w:tcPr>
            <w:tcW w:w="37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Chad Plotkin</w:t>
            </w:r>
          </w:p>
        </w:tc>
      </w:tr>
      <w:tr>
        <w:trPr>
          <w:trHeight w:val="216"/>
        </w:trPr>
        <w:tc>
          <w:tcPr>
            <w:tcW w:w="37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Financial Officer</w:t>
            </w:r>
          </w:p>
        </w:tc>
      </w:tr>
      <w:tr>
        <w:trPr>
          <w:trHeight w:val="236"/>
        </w:trPr>
        <w:tc>
          <w:tcPr>
            <w:tcW w:w="3700" w:type="dxa"/>
            <w:vAlign w:val="bottom"/>
          </w:tcPr>
          <w:p>
            <w:pPr>
              <w:spacing w:after="0"/>
              <w:rPr>
                <w:sz w:val="20"/>
                <w:szCs w:val="20"/>
                <w:color w:val="auto"/>
              </w:rPr>
            </w:pPr>
          </w:p>
        </w:tc>
        <w:tc>
          <w:tcPr>
            <w:tcW w:w="30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tc>
      </w:tr>
      <w:tr>
        <w:trPr>
          <w:trHeight w:val="648"/>
        </w:trPr>
        <w:tc>
          <w:tcPr>
            <w:tcW w:w="3700" w:type="dxa"/>
            <w:vAlign w:val="bottom"/>
          </w:tcPr>
          <w:p>
            <w:pPr>
              <w:spacing w:after="0"/>
              <w:rPr>
                <w:sz w:val="24"/>
                <w:szCs w:val="24"/>
                <w:color w:val="auto"/>
              </w:rPr>
            </w:pPr>
          </w:p>
        </w:tc>
        <w:tc>
          <w:tcPr>
            <w:tcW w:w="3000" w:type="dxa"/>
            <w:vAlign w:val="bottom"/>
          </w:tcPr>
          <w:p>
            <w:pPr>
              <w:spacing w:after="0"/>
              <w:rPr>
                <w:sz w:val="24"/>
                <w:szCs w:val="24"/>
                <w:color w:val="auto"/>
              </w:rPr>
            </w:pPr>
          </w:p>
        </w:tc>
        <w:tc>
          <w:tcPr>
            <w:tcW w:w="47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MARY-LEE STILLWELL</w:t>
            </w:r>
          </w:p>
        </w:tc>
      </w:tr>
      <w:tr>
        <w:trPr>
          <w:trHeight w:val="189"/>
        </w:trPr>
        <w:tc>
          <w:tcPr>
            <w:tcW w:w="3700" w:type="dxa"/>
            <w:vAlign w:val="bottom"/>
          </w:tcPr>
          <w:p>
            <w:pPr>
              <w:spacing w:after="0"/>
              <w:rPr>
                <w:sz w:val="16"/>
                <w:szCs w:val="16"/>
                <w:color w:val="auto"/>
              </w:rPr>
            </w:pPr>
          </w:p>
        </w:tc>
        <w:tc>
          <w:tcPr>
            <w:tcW w:w="3000" w:type="dxa"/>
            <w:vAlign w:val="bottom"/>
          </w:tcPr>
          <w:p>
            <w:pPr>
              <w:spacing w:after="0"/>
              <w:rPr>
                <w:sz w:val="16"/>
                <w:szCs w:val="16"/>
                <w:color w:val="auto"/>
              </w:rPr>
            </w:pPr>
          </w:p>
        </w:tc>
        <w:tc>
          <w:tcPr>
            <w:tcW w:w="4720" w:type="dxa"/>
            <w:vAlign w:val="bottom"/>
          </w:tcPr>
          <w:p>
            <w:pPr>
              <w:spacing w:after="0" w:line="189" w:lineRule="exact"/>
              <w:rPr>
                <w:sz w:val="20"/>
                <w:szCs w:val="20"/>
                <w:color w:val="auto"/>
              </w:rPr>
            </w:pPr>
            <w:r>
              <w:rPr>
                <w:rFonts w:ascii="Times New Roman" w:cs="Times New Roman" w:eastAsia="Times New Roman" w:hAnsi="Times New Roman"/>
                <w:sz w:val="18"/>
                <w:szCs w:val="18"/>
                <w:color w:val="auto"/>
              </w:rPr>
              <w:t>Mary-Lee Stillwell</w:t>
            </w:r>
          </w:p>
        </w:tc>
      </w:tr>
      <w:tr>
        <w:trPr>
          <w:trHeight w:val="216"/>
        </w:trPr>
        <w:tc>
          <w:tcPr>
            <w:tcW w:w="3700" w:type="dxa"/>
            <w:vAlign w:val="bottom"/>
          </w:tcPr>
          <w:p>
            <w:pPr>
              <w:spacing w:after="0"/>
              <w:rPr>
                <w:sz w:val="18"/>
                <w:szCs w:val="18"/>
                <w:color w:val="auto"/>
              </w:rPr>
            </w:pPr>
          </w:p>
        </w:tc>
        <w:tc>
          <w:tcPr>
            <w:tcW w:w="300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Chief Accounting Officer</w:t>
            </w:r>
          </w:p>
        </w:tc>
      </w:tr>
      <w:tr>
        <w:trPr>
          <w:trHeight w:val="236"/>
        </w:trPr>
        <w:tc>
          <w:tcPr>
            <w:tcW w:w="3700" w:type="dxa"/>
            <w:vAlign w:val="bottom"/>
          </w:tcPr>
          <w:p>
            <w:pPr>
              <w:spacing w:after="0"/>
              <w:rPr>
                <w:sz w:val="20"/>
                <w:szCs w:val="20"/>
                <w:color w:val="auto"/>
              </w:rPr>
            </w:pPr>
            <w:r>
              <w:rPr>
                <w:rFonts w:ascii="Times New Roman" w:cs="Times New Roman" w:eastAsia="Times New Roman" w:hAnsi="Times New Roman"/>
                <w:sz w:val="18"/>
                <w:szCs w:val="18"/>
                <w:color w:val="auto"/>
              </w:rPr>
              <w:t>Date: November 6, 2019</w:t>
            </w:r>
          </w:p>
        </w:tc>
        <w:tc>
          <w:tcPr>
            <w:tcW w:w="300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tc>
      </w:tr>
      <w:tr>
        <w:trPr>
          <w:trHeight w:val="675"/>
        </w:trPr>
        <w:tc>
          <w:tcPr>
            <w:tcW w:w="3700" w:type="dxa"/>
            <w:vAlign w:val="bottom"/>
          </w:tcPr>
          <w:p>
            <w:pPr>
              <w:spacing w:after="0"/>
              <w:rPr>
                <w:sz w:val="24"/>
                <w:szCs w:val="24"/>
                <w:color w:val="auto"/>
              </w:rPr>
            </w:pPr>
          </w:p>
        </w:tc>
        <w:tc>
          <w:tcPr>
            <w:tcW w:w="3000" w:type="dxa"/>
            <w:vAlign w:val="bottom"/>
          </w:tcPr>
          <w:p>
            <w:pPr>
              <w:jc w:val="right"/>
              <w:ind w:right="810"/>
              <w:spacing w:after="0"/>
              <w:rPr>
                <w:sz w:val="20"/>
                <w:szCs w:val="20"/>
                <w:color w:val="auto"/>
              </w:rPr>
            </w:pPr>
            <w:r>
              <w:rPr>
                <w:rFonts w:ascii="Times New Roman" w:cs="Times New Roman" w:eastAsia="Times New Roman" w:hAnsi="Times New Roman"/>
                <w:sz w:val="18"/>
                <w:szCs w:val="18"/>
                <w:color w:val="auto"/>
              </w:rPr>
              <w:t>66</w:t>
            </w:r>
          </w:p>
        </w:tc>
        <w:tc>
          <w:tcPr>
            <w:tcW w:w="4720" w:type="dxa"/>
            <w:vAlign w:val="bottom"/>
          </w:tcPr>
          <w:p>
            <w:pPr>
              <w:spacing w:after="0"/>
              <w:rPr>
                <w:sz w:val="24"/>
                <w:szCs w:val="24"/>
                <w:color w:val="auto"/>
              </w:rPr>
            </w:pPr>
          </w:p>
        </w:tc>
      </w:tr>
    </w:tbl>
    <w:p>
      <w:pPr>
        <w:sectPr>
          <w:pgSz w:w="11900" w:h="16838" w:orient="portrait"/>
          <w:cols w:equalWidth="0" w:num="1">
            <w:col w:w="11420"/>
          </w:cols>
          <w:pgMar w:left="240" w:top="117" w:right="239"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Christopher S. Sotos, certify that:</w:t>
      </w:r>
    </w:p>
    <w:p>
      <w:pPr>
        <w:spacing w:after="0" w:line="207" w:lineRule="exact"/>
        <w:rPr>
          <w:sz w:val="20"/>
          <w:szCs w:val="20"/>
          <w:color w:val="auto"/>
        </w:rPr>
      </w:pPr>
    </w:p>
    <w:p>
      <w:pPr>
        <w:ind w:left="660" w:hanging="652"/>
        <w:spacing w:after="0"/>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140" w:hanging="484"/>
        <w:spacing w:after="0" w:line="282" w:lineRule="auto"/>
        <w:tabs>
          <w:tab w:leader="none" w:pos="11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752725"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5">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2019</w:t>
      </w:r>
    </w:p>
    <w:p>
      <w:pPr>
        <w:sectPr>
          <w:pgSz w:w="11900" w:h="16838" w:orient="portrait"/>
          <w:cols w:equalWidth="0" w:num="1">
            <w:col w:w="11420"/>
          </w:cols>
          <w:pgMar w:left="240" w:top="333" w:right="239" w:bottom="1440" w:gutter="0" w:footer="0" w:header="0"/>
        </w:sectPr>
      </w:pPr>
    </w:p>
    <w:bookmarkStart w:id="54" w:name="page55"/>
    <w:bookmarkEnd w:id="54"/>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Chad Plotkin, certify that:</w:t>
      </w:r>
    </w:p>
    <w:p>
      <w:pPr>
        <w:spacing w:after="0" w:line="207" w:lineRule="exact"/>
        <w:rPr>
          <w:sz w:val="20"/>
          <w:szCs w:val="20"/>
          <w:color w:val="auto"/>
        </w:rPr>
      </w:pPr>
    </w:p>
    <w:p>
      <w:pPr>
        <w:ind w:left="660" w:hanging="652"/>
        <w:spacing w:after="0"/>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140" w:hanging="484"/>
        <w:spacing w:after="0" w:line="282" w:lineRule="auto"/>
        <w:tabs>
          <w:tab w:leader="none" w:pos="11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1"/>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CHAD PLOTKIN</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752725"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6">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2019</w:t>
      </w:r>
    </w:p>
    <w:p>
      <w:pPr>
        <w:sectPr>
          <w:pgSz w:w="11900" w:h="16838" w:orient="portrait"/>
          <w:cols w:equalWidth="0" w:num="1">
            <w:col w:w="11420"/>
          </w:cols>
          <w:pgMar w:left="240" w:top="333" w:right="239"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b w:val="1"/>
          <w:bCs w:val="1"/>
          <w:color w:val="auto"/>
        </w:rPr>
        <w:t>EXHIBIT 31.3</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Mary-Lee Stillwell, certify that:</w:t>
      </w:r>
    </w:p>
    <w:p>
      <w:pPr>
        <w:spacing w:after="0" w:line="207" w:lineRule="exact"/>
        <w:rPr>
          <w:sz w:val="20"/>
          <w:szCs w:val="20"/>
          <w:color w:val="auto"/>
        </w:rPr>
      </w:pPr>
    </w:p>
    <w:p>
      <w:pPr>
        <w:ind w:left="660" w:hanging="652"/>
        <w:spacing w:after="0"/>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Clearway Energy, Inc.;</w:t>
      </w:r>
    </w:p>
    <w:p>
      <w:pPr>
        <w:spacing w:after="0" w:line="252"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20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88" w:lineRule="exact"/>
        <w:rPr>
          <w:rFonts w:ascii="Times New Roman" w:cs="Times New Roman" w:eastAsia="Times New Roman" w:hAnsi="Times New Roman"/>
          <w:sz w:val="18"/>
          <w:szCs w:val="18"/>
          <w:color w:val="auto"/>
        </w:rPr>
      </w:pPr>
    </w:p>
    <w:p>
      <w:pPr>
        <w:jc w:val="both"/>
        <w:ind w:left="660" w:hanging="652"/>
        <w:spacing w:after="0" w:line="266"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203"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3"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3"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88" w:lineRule="exact"/>
        <w:rPr>
          <w:rFonts w:ascii="Times New Roman" w:cs="Times New Roman" w:eastAsia="Times New Roman" w:hAnsi="Times New Roman"/>
          <w:sz w:val="18"/>
          <w:szCs w:val="18"/>
          <w:color w:val="auto"/>
        </w:rPr>
      </w:pPr>
    </w:p>
    <w:p>
      <w:pPr>
        <w:jc w:val="both"/>
        <w:ind w:left="1140" w:hanging="484"/>
        <w:spacing w:after="0" w:line="266" w:lineRule="auto"/>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3" w:lineRule="exact"/>
        <w:rPr>
          <w:rFonts w:ascii="Times New Roman" w:cs="Times New Roman" w:eastAsia="Times New Roman" w:hAnsi="Times New Roman"/>
          <w:sz w:val="18"/>
          <w:szCs w:val="18"/>
          <w:color w:val="auto"/>
        </w:rPr>
      </w:pPr>
    </w:p>
    <w:p>
      <w:pPr>
        <w:ind w:left="660" w:hanging="652"/>
        <w:spacing w:after="0" w:line="282" w:lineRule="auto"/>
        <w:tabs>
          <w:tab w:leader="none" w:pos="66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88" w:lineRule="exact"/>
        <w:rPr>
          <w:rFonts w:ascii="Times New Roman" w:cs="Times New Roman" w:eastAsia="Times New Roman" w:hAnsi="Times New Roman"/>
          <w:sz w:val="18"/>
          <w:szCs w:val="18"/>
          <w:color w:val="auto"/>
        </w:rPr>
      </w:pPr>
    </w:p>
    <w:p>
      <w:pPr>
        <w:ind w:left="1140" w:hanging="484"/>
        <w:spacing w:after="0" w:line="282" w:lineRule="auto"/>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88" w:lineRule="exact"/>
        <w:rPr>
          <w:rFonts w:ascii="Times New Roman" w:cs="Times New Roman" w:eastAsia="Times New Roman" w:hAnsi="Times New Roman"/>
          <w:sz w:val="18"/>
          <w:szCs w:val="18"/>
          <w:color w:val="auto"/>
        </w:rPr>
      </w:pPr>
    </w:p>
    <w:p>
      <w:pPr>
        <w:ind w:left="1140" w:right="20" w:hanging="484"/>
        <w:spacing w:after="0" w:line="282" w:lineRule="auto"/>
        <w:tabs>
          <w:tab w:leader="none" w:pos="1140" w:val="left"/>
        </w:tabs>
        <w:numPr>
          <w:ilvl w:val="1"/>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/s/ MARY-LEE STILLWELL</w:t>
      </w:r>
    </w:p>
    <w:p>
      <w:pPr>
        <w:spacing w:after="0" w:line="27"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color w:val="auto"/>
        </w:rPr>
        <w:t>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3632835</wp:posOffset>
            </wp:positionH>
            <wp:positionV relativeFrom="paragraph">
              <wp:posOffset>-130810</wp:posOffset>
            </wp:positionV>
            <wp:extent cx="2752725" cy="88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7">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3"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9" w:lineRule="exact"/>
        <w:rPr>
          <w:sz w:val="20"/>
          <w:szCs w:val="20"/>
          <w:color w:val="auto"/>
        </w:rPr>
      </w:pPr>
    </w:p>
    <w:p>
      <w:pPr>
        <w:ind w:left="572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2019</w:t>
      </w:r>
    </w:p>
    <w:p>
      <w:pPr>
        <w:sectPr>
          <w:pgSz w:w="11900" w:h="16838" w:orient="portrait"/>
          <w:cols w:equalWidth="0" w:num="1">
            <w:col w:w="11420"/>
          </w:cols>
          <w:pgMar w:left="240" w:top="333" w:right="2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firstLine="324"/>
        <w:spacing w:after="0" w:line="257" w:lineRule="auto"/>
        <w:rPr>
          <w:sz w:val="20"/>
          <w:szCs w:val="20"/>
          <w:color w:val="auto"/>
        </w:rPr>
      </w:pPr>
      <w:r>
        <w:rPr>
          <w:rFonts w:ascii="Times New Roman" w:cs="Times New Roman" w:eastAsia="Times New Roman" w:hAnsi="Times New Roman"/>
          <w:sz w:val="18"/>
          <w:szCs w:val="18"/>
          <w:color w:val="auto"/>
        </w:rPr>
        <w:t>In connection with the Quarterly Report of Clearway Energy, Inc. on Form 10-Q for the quarter ended September 30, 2019, as filed with the Securities and Exchange Commission on the date hereof (the “Form 10-Q”), each of the undersigned officers of the Company certifies, pursuant to 18 U.S.C. Section 1350, as adopted pursuant to Section 906 of the Sarbanes-Oxley Act of 2002, that, to such officer's knowledge:</w:t>
      </w:r>
    </w:p>
    <w:p>
      <w:pPr>
        <w:spacing w:after="0" w:line="2" w:lineRule="exact"/>
        <w:rPr>
          <w:sz w:val="20"/>
          <w:szCs w:val="20"/>
          <w:color w:val="auto"/>
        </w:rPr>
      </w:pPr>
    </w:p>
    <w:p>
      <w:pPr>
        <w:ind w:left="660" w:hanging="328"/>
        <w:spacing w:after="0"/>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Form 10-Q fully complies with the requirements of Section 13(a) or 15(d) of the Securities Exchange Act of 1934; and</w:t>
      </w:r>
    </w:p>
    <w:p>
      <w:pPr>
        <w:spacing w:after="0" w:line="17"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Form 10-Q fairly presents, in all material respects, the financial condition and results of operations of the Company as of the dates and for the periods expressed in the Form 10-Q.</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November 6, 2019</w:t>
      </w:r>
    </w:p>
    <w:p>
      <w:pPr>
        <w:spacing w:after="0" w:line="200" w:lineRule="exact"/>
        <w:rPr>
          <w:sz w:val="20"/>
          <w:szCs w:val="20"/>
          <w:color w:val="auto"/>
        </w:rPr>
      </w:pPr>
    </w:p>
    <w:p>
      <w:pPr>
        <w:spacing w:after="0" w:line="241"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CHRISTOPHER S. SOTOS</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Christopher S. Sotos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-130810</wp:posOffset>
            </wp:positionV>
            <wp:extent cx="2452370" cy="88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8">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Executive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Executive Officer)</w:t>
      </w:r>
    </w:p>
    <w:p>
      <w:pPr>
        <w:spacing w:after="0" w:line="200" w:lineRule="exact"/>
        <w:rPr>
          <w:sz w:val="20"/>
          <w:szCs w:val="20"/>
          <w:color w:val="auto"/>
        </w:rPr>
      </w:pPr>
    </w:p>
    <w:p>
      <w:pPr>
        <w:spacing w:after="0" w:line="2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CHAD PLOTKIN</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Chad Plotkin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-130810</wp:posOffset>
            </wp:positionV>
            <wp:extent cx="2452370" cy="88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9">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Financial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Financial Officer)</w:t>
      </w:r>
    </w:p>
    <w:p>
      <w:pPr>
        <w:spacing w:after="0" w:line="200" w:lineRule="exact"/>
        <w:rPr>
          <w:sz w:val="20"/>
          <w:szCs w:val="20"/>
          <w:color w:val="auto"/>
        </w:rPr>
      </w:pPr>
    </w:p>
    <w:p>
      <w:pPr>
        <w:spacing w:after="0" w:line="2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/s/ MARY-LEE STILLWELL</w:t>
      </w:r>
    </w:p>
    <w:p>
      <w:pPr>
        <w:spacing w:after="0" w:line="2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Mary-Lee Stillwell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3795395</wp:posOffset>
            </wp:positionH>
            <wp:positionV relativeFrom="paragraph">
              <wp:posOffset>-130810</wp:posOffset>
            </wp:positionV>
            <wp:extent cx="245237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0">
                      <a:extLst>
                        <a:ext uri="{28A0092B-C50C-407E-A947-70E740481C1C}"/>
                      </a:extLst>
                    </a:blip>
                    <a:srcRect/>
                    <a:stretch>
                      <a:fillRect/>
                    </a:stretch>
                  </pic:blipFill>
                  <pic:spPr bwMode="auto">
                    <a:xfrm>
                      <a:off x="0" y="0"/>
                      <a:ext cx="2452370" cy="8890"/>
                    </a:xfrm>
                    <a:prstGeom prst="rect">
                      <a:avLst/>
                    </a:prstGeom>
                    <a:noFill/>
                  </pic:spPr>
                </pic:pic>
              </a:graphicData>
            </a:graphic>
          </wp:anchor>
        </w:drawing>
      </w:r>
    </w:p>
    <w:p>
      <w:pPr>
        <w:spacing w:after="0" w:line="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Chief Accounting Officer</w:t>
      </w:r>
    </w:p>
    <w:p>
      <w:pPr>
        <w:spacing w:after="0" w:line="9"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i w:val="1"/>
          <w:iCs w:val="1"/>
          <w:color w:val="auto"/>
        </w:rPr>
        <w:t>(Principal Accounting Officer</w:t>
      </w:r>
      <w:r>
        <w:rPr>
          <w:rFonts w:ascii="Times New Roman" w:cs="Times New Roman" w:eastAsia="Times New Roman" w:hAnsi="Times New Roman"/>
          <w:sz w:val="18"/>
          <w:szCs w:val="18"/>
          <w:color w:val="auto"/>
        </w:rPr>
        <w:t>)</w:t>
      </w:r>
    </w:p>
    <w:p>
      <w:pPr>
        <w:spacing w:after="0" w:line="207" w:lineRule="exact"/>
        <w:rPr>
          <w:sz w:val="20"/>
          <w:szCs w:val="20"/>
          <w:color w:val="auto"/>
        </w:rPr>
      </w:pPr>
    </w:p>
    <w:p>
      <w:pPr>
        <w:jc w:val="both"/>
        <w:ind w:right="20" w:firstLine="324"/>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Section 1350 and is not being filed as part of this Form 10-Q or as a separate disclosure document.</w:t>
      </w:r>
    </w:p>
    <w:p>
      <w:pPr>
        <w:spacing w:after="0" w:line="162" w:lineRule="exact"/>
        <w:rPr>
          <w:sz w:val="20"/>
          <w:szCs w:val="20"/>
          <w:color w:val="auto"/>
        </w:rPr>
      </w:pPr>
    </w:p>
    <w:p>
      <w:pPr>
        <w:jc w:val="both"/>
        <w:ind w:firstLine="324"/>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Clearway Energy, Inc. and will be retained by Clearway Energy, Inc. and furnished to the Securities and Exchange Commission or its staff upon request.</w:t>
      </w:r>
    </w:p>
    <w:sectPr>
      <w:pgSz w:w="11900" w:h="16838" w:orient="portrait"/>
      <w:cols w:equalWidth="0" w:num="1">
        <w:col w:w="11420"/>
      </w:cols>
      <w:pgMar w:left="240" w:top="333"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abstractNum>
  <w:abstractNum w:abstractNumId="3">
    <w:nsid w:val="436C6125"/>
    <w:multiLevelType w:val="hybridMultilevel"/>
    <w:lvl w:ilvl="0">
      <w:lvlJc w:val="left"/>
      <w:lvlText w:val="(%1)"/>
      <w:numFmt w:val="lowerLetter"/>
      <w:start w:val="1"/>
    </w:lvl>
  </w:abstractNum>
  <w:abstractNum w:abstractNumId="4">
    <w:nsid w:val="628C895D"/>
    <w:multiLevelType w:val="hybridMultilevel"/>
    <w:lvl w:ilvl="0">
      <w:lvlJc w:val="left"/>
      <w:lvlText w:val="(%1)"/>
      <w:numFmt w:val="lowerLetter"/>
      <w:start w:val="1"/>
    </w:lvl>
  </w:abstractNum>
  <w:abstractNum w:abstractNumId="5">
    <w:nsid w:val="333AB105"/>
    <w:multiLevelType w:val="hybridMultilevel"/>
    <w:lvl w:ilvl="0">
      <w:lvlJc w:val="left"/>
      <w:lvlText w:val="(%1)"/>
      <w:numFmt w:val="lowerLetter"/>
      <w:start w:val="1"/>
    </w:lvl>
  </w:abstractNum>
  <w:abstractNum w:abstractNumId="6">
    <w:nsid w:val="721DA317"/>
    <w:multiLevelType w:val="hybridMultilevel"/>
    <w:lvl w:ilvl="0">
      <w:lvlJc w:val="left"/>
      <w:lvlText w:val="(%1)"/>
      <w:numFmt w:val="lowerLetter"/>
      <w:start w:val="1"/>
    </w:lvl>
  </w:abstractNum>
  <w:abstractNum w:abstractNumId="7">
    <w:nsid w:val="2443A858"/>
    <w:multiLevelType w:val="hybridMultilevel"/>
    <w:lvl w:ilvl="0">
      <w:lvlJc w:val="left"/>
      <w:lvlText w:val="(%1)"/>
      <w:numFmt w:val="lowerLetter"/>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1)"/>
      <w:numFmt w:val="lowerLetter"/>
      <w:start w:val="1"/>
    </w:lvl>
  </w:abstractNum>
  <w:abstractNum w:abstractNumId="10">
    <w:nsid w:val="75A2A8D4"/>
    <w:multiLevelType w:val="hybridMultilevel"/>
    <w:lvl w:ilvl="0">
      <w:lvlJc w:val="left"/>
      <w:lvlText w:val="(%1)"/>
      <w:numFmt w:val="lowerLetter"/>
      <w:start w:val="1"/>
    </w:lvl>
  </w:abstractNum>
  <w:abstractNum w:abstractNumId="11">
    <w:nsid w:val="8EDBDAB"/>
    <w:multiLevelType w:val="hybridMultilevel"/>
    <w:lvl w:ilvl="0">
      <w:lvlJc w:val="left"/>
      <w:lvlText w:val="(%1)"/>
      <w:numFmt w:val="lowerRoman"/>
      <w:start w:val="3"/>
    </w:lvl>
  </w:abstractNum>
  <w:abstractNum w:abstractNumId="12">
    <w:nsid w:val="79838CB2"/>
    <w:multiLevelType w:val="hybridMultilevel"/>
    <w:lvl w:ilvl="0">
      <w:lvlJc w:val="left"/>
      <w:lvlText w:val="(%1)"/>
      <w:numFmt w:val="lowerLetter"/>
      <w:start w:val="1"/>
    </w:lvl>
  </w:abstractNum>
  <w:abstractNum w:abstractNumId="13">
    <w:nsid w:val="4353D0CD"/>
    <w:multiLevelType w:val="hybridMultilevel"/>
    <w:lvl w:ilvl="0">
      <w:lvlJc w:val="left"/>
      <w:lvlText w:val="(%1)"/>
      <w:numFmt w:val="lowerLetter"/>
      <w:start w:val="1"/>
    </w:lvl>
  </w:abstractNum>
  <w:abstractNum w:abstractNumId="14">
    <w:nsid w:val="B03E0C6"/>
    <w:multiLevelType w:val="hybridMultilevel"/>
    <w:lvl w:ilvl="0">
      <w:lvlJc w:val="left"/>
      <w:lvlText w:val="(%1)"/>
      <w:numFmt w:val="lowerLetter"/>
      <w:start w:val="1"/>
    </w:lvl>
  </w:abstractNum>
  <w:abstractNum w:abstractNumId="15">
    <w:nsid w:val="189A769B"/>
    <w:multiLevelType w:val="hybridMultilevel"/>
    <w:lvl w:ilvl="0">
      <w:lvlJc w:val="left"/>
      <w:lvlText w:val="&amp;"/>
      <w:numFmt w:val="bullet"/>
      <w:start w:val="1"/>
    </w:lvl>
  </w:abstractNum>
  <w:abstractNum w:abstractNumId="16">
    <w:nsid w:val="54E49EB4"/>
    <w:multiLevelType w:val="hybridMultilevel"/>
    <w:lvl w:ilvl="0">
      <w:lvlJc w:val="left"/>
      <w:lvlText w:val="$"/>
      <w:numFmt w:val="bullet"/>
      <w:start w:val="1"/>
    </w:lvl>
  </w:abstractNum>
  <w:abstractNum w:abstractNumId="17">
    <w:nsid w:val="71F32454"/>
    <w:multiLevelType w:val="hybridMultilevel"/>
    <w:lvl w:ilvl="0">
      <w:lvlJc w:val="left"/>
      <w:lvlText w:val="$"/>
      <w:numFmt w:val="bullet"/>
      <w:start w:val="1"/>
    </w:lvl>
  </w:abstractNum>
  <w:abstractNum w:abstractNumId="18">
    <w:nsid w:val="2CA88611"/>
    <w:multiLevelType w:val="hybridMultilevel"/>
    <w:lvl w:ilvl="0">
      <w:lvlJc w:val="left"/>
      <w:lvlText w:val="(%1)"/>
      <w:numFmt w:val="lowerLetter"/>
      <w:start w:val="1"/>
    </w:lvl>
  </w:abstractNum>
  <w:abstractNum w:abstractNumId="19">
    <w:nsid w:val="836C40E"/>
    <w:multiLevelType w:val="hybridMultilevel"/>
    <w:lvl w:ilvl="0">
      <w:lvlJc w:val="left"/>
      <w:lvlText w:val="•"/>
      <w:numFmt w:val="bullet"/>
      <w:start w:val="1"/>
    </w:lvl>
  </w:abstractNum>
  <w:abstractNum w:abstractNumId="20">
    <w:nsid w:val="2901D82"/>
    <w:multiLevelType w:val="hybridMultilevel"/>
    <w:lvl w:ilvl="0">
      <w:lvlJc w:val="left"/>
      <w:lvlText w:val="(%1)"/>
      <w:numFmt w:val="lowerLetter"/>
      <w:start w:val="1"/>
    </w:lvl>
  </w:abstractNum>
  <w:abstractNum w:abstractNumId="21">
    <w:nsid w:val="3A95F874"/>
    <w:multiLevelType w:val="hybridMultilevel"/>
    <w:lvl w:ilvl="0">
      <w:lvlJc w:val="left"/>
      <w:lvlText w:val="•"/>
      <w:numFmt w:val="bullet"/>
      <w:start w:val="1"/>
    </w:lvl>
  </w:abstractNum>
  <w:abstractNum w:abstractNumId="22">
    <w:nsid w:val="8138641"/>
    <w:multiLevelType w:val="hybridMultilevel"/>
    <w:lvl w:ilvl="0">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1)"/>
      <w:numFmt w:val="lowerLetter"/>
      <w:start w:val="1"/>
    </w:lvl>
  </w:abstractNum>
  <w:abstractNum w:abstractNumId="29">
    <w:nsid w:val="3006C83E"/>
    <w:multiLevelType w:val="hybridMultilevel"/>
    <w:lvl w:ilvl="0">
      <w:lvlJc w:val="left"/>
      <w:lvlText w:val="$"/>
      <w:numFmt w:val="bullet"/>
      <w:start w:val="1"/>
    </w:lvl>
  </w:abstractNum>
  <w:abstractNum w:abstractNumId="30">
    <w:nsid w:val="614FD4A1"/>
    <w:multiLevelType w:val="hybridMultilevel"/>
    <w:lvl w:ilvl="0">
      <w:lvlJc w:val="left"/>
      <w:lvlText w:val="$"/>
      <w:numFmt w:val="bullet"/>
      <w:start w:val="1"/>
    </w:lvl>
  </w:abstractNum>
  <w:abstractNum w:abstractNumId="31">
    <w:nsid w:val="419AC241"/>
    <w:multiLevelType w:val="hybridMultilevel"/>
    <w:lvl w:ilvl="0">
      <w:lvlJc w:val="left"/>
      <w:lvlText w:val="$"/>
      <w:numFmt w:val="bullet"/>
      <w:start w:val="1"/>
    </w:lvl>
  </w:abstractNum>
  <w:abstractNum w:abstractNumId="32">
    <w:nsid w:val="5577F8E1"/>
    <w:multiLevelType w:val="hybridMultilevel"/>
    <w:lvl w:ilvl="0">
      <w:lvlJc w:val="left"/>
      <w:lvlText w:val="$"/>
      <w:numFmt w:val="bullet"/>
      <w:start w:val="1"/>
    </w:lvl>
  </w:abstractNum>
  <w:abstractNum w:abstractNumId="33">
    <w:nsid w:val="440BADFC"/>
    <w:multiLevelType w:val="hybridMultilevel"/>
    <w:lvl w:ilvl="0">
      <w:lvlJc w:val="left"/>
      <w:lvlText w:val="%1."/>
      <w:numFmt w:val="decimal"/>
      <w:start w:val="1"/>
    </w:lvl>
    <w:lvl w:ilvl="1">
      <w:lvlJc w:val="left"/>
      <w:lvlText w:val="(%2)"/>
      <w:numFmt w:val="lowerLetter"/>
      <w:start w:val="1"/>
    </w:lvl>
  </w:abstractNum>
  <w:abstractNum w:abstractNumId="34">
    <w:nsid w:val="5072367"/>
    <w:multiLevelType w:val="hybridMultilevel"/>
    <w:lvl w:ilvl="0">
      <w:lvlJc w:val="left"/>
      <w:lvlText w:val="%1."/>
      <w:numFmt w:val="decimal"/>
      <w:start w:val="1"/>
    </w:lvl>
    <w:lvl w:ilvl="1">
      <w:lvlJc w:val="left"/>
      <w:lvlText w:val="(%2)"/>
      <w:numFmt w:val="lowerLetter"/>
      <w:start w:val="1"/>
    </w:lvl>
  </w:abstractNum>
  <w:abstractNum w:abstractNumId="35">
    <w:nsid w:val="3804823E"/>
    <w:multiLevelType w:val="hybridMultilevel"/>
    <w:lvl w:ilvl="0">
      <w:lvlJc w:val="left"/>
      <w:lvlText w:val="%1."/>
      <w:numFmt w:val="decimal"/>
      <w:start w:val="1"/>
    </w:lvl>
    <w:lvl w:ilvl="1">
      <w:lvlJc w:val="left"/>
      <w:lvlText w:val="(%2)"/>
      <w:numFmt w:val="lowerLetter"/>
      <w:start w:val="1"/>
    </w:lvl>
  </w:abstractNum>
  <w:abstractNum w:abstractNumId="36">
    <w:nsid w:val="77465F01"/>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4" Type="http://schemas.openxmlformats.org/officeDocument/2006/relationships/image" Target="media/image83.png"/><Relationship Id="rId95" Type="http://schemas.openxmlformats.org/officeDocument/2006/relationships/image" Target="media/image84.png"/><Relationship Id="rId96" Type="http://schemas.openxmlformats.org/officeDocument/2006/relationships/image" Target="media/image85.png"/><Relationship Id="rId97" Type="http://schemas.openxmlformats.org/officeDocument/2006/relationships/image" Target="media/image86.png"/><Relationship Id="rId98" Type="http://schemas.openxmlformats.org/officeDocument/2006/relationships/image" Target="media/image87.png"/><Relationship Id="rId99" Type="http://schemas.openxmlformats.org/officeDocument/2006/relationships/image" Target="media/image88.png"/><Relationship Id="rId100" Type="http://schemas.openxmlformats.org/officeDocument/2006/relationships/image" Target="media/image89.png"/><Relationship Id="rId90" Type="http://schemas.openxmlformats.org/officeDocument/2006/relationships/hyperlink" Target="http://www.sec.gov/Archives/edgar/data/1567683/000156768319000039/clearwayincex1012019q2.htm" TargetMode="External"/><Relationship Id="rId91" Type="http://schemas.openxmlformats.org/officeDocument/2006/relationships/hyperlink" Target="http://www.sec.gov/Archives/edgar/data/1567683/000141057819001211/tv529122_ex4-1.htm" TargetMode="External"/><Relationship Id="rId92" Type="http://schemas.openxmlformats.org/officeDocument/2006/relationships/hyperlink" Target="http://www.sec.gov/Archives/edgar/data/1567683/000141057819001211/tv529122_ex4-2.htm" TargetMode="External"/><Relationship Id="rId93" Type="http://schemas.openxmlformats.org/officeDocument/2006/relationships/hyperlink" Target="http://www.sec.gov/Archives/edgar/data/1567683/000141057819001211/tv529122_ex4-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2019-12-28T02:25:08Z</dcterms:created>
  <dcterms:modified xsi:type="dcterms:W3CDTF">2019-12-28T02:25:08Z</dcterms:modified>
</cp:coreProperties>
</file>