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214630</wp:posOffset>
            </wp:positionH>
            <wp:positionV relativeFrom="page">
              <wp:posOffset>690245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648970</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9" w:lineRule="exact"/>
        <w:rPr>
          <w:sz w:val="24"/>
          <w:szCs w:val="24"/>
          <w:color w:val="auto"/>
        </w:rPr>
      </w:pPr>
    </w:p>
    <w:p>
      <w:pPr>
        <w:ind w:left="560" w:hanging="357"/>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9"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900" w:type="dxa"/>
            <w:vAlign w:val="bottom"/>
            <w:gridSpan w:val="2"/>
          </w:tcPr>
          <w:p>
            <w:pPr>
              <w:jc w:val="center"/>
              <w:ind w:left="75"/>
              <w:spacing w:after="0"/>
              <w:rPr>
                <w:sz w:val="20"/>
                <w:szCs w:val="20"/>
                <w:color w:val="auto"/>
              </w:rPr>
            </w:pPr>
            <w:r>
              <w:rPr>
                <w:rFonts w:ascii="Arial" w:cs="Arial" w:eastAsia="Arial" w:hAnsi="Arial"/>
                <w:sz w:val="18"/>
                <w:szCs w:val="18"/>
                <w:b w:val="1"/>
                <w:bCs w:val="1"/>
                <w:color w:val="auto"/>
                <w:w w:val="88"/>
              </w:rPr>
              <w:t>For the quarterly period ended June 30, 2021</w:t>
            </w:r>
          </w:p>
        </w:tc>
        <w:tc>
          <w:tcPr>
            <w:tcW w:w="3280" w:type="dxa"/>
            <w:vAlign w:val="bottom"/>
          </w:tcPr>
          <w:p>
            <w:pPr>
              <w:spacing w:after="0"/>
              <w:rPr>
                <w:sz w:val="18"/>
                <w:szCs w:val="18"/>
                <w:color w:val="auto"/>
              </w:rPr>
            </w:pPr>
          </w:p>
        </w:tc>
      </w:tr>
      <w:tr>
        <w:trPr>
          <w:trHeight w:val="275"/>
        </w:trPr>
        <w:tc>
          <w:tcPr>
            <w:tcW w:w="72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b w:val="1"/>
                <w:bCs w:val="1"/>
                <w:color w:val="auto"/>
                <w:w w:val="93"/>
              </w:rPr>
              <w:t xml:space="preserve">  Transition report pursuant to Section 13 or 15(d) of the Securities Exchange Act of 1934</w:t>
            </w:r>
          </w:p>
        </w:tc>
        <w:tc>
          <w:tcPr>
            <w:tcW w:w="3280" w:type="dxa"/>
            <w:vAlign w:val="bottom"/>
          </w:tcPr>
          <w:p>
            <w:pPr>
              <w:spacing w:after="0"/>
              <w:rPr>
                <w:sz w:val="23"/>
                <w:szCs w:val="23"/>
                <w:color w:val="auto"/>
              </w:rPr>
            </w:pPr>
          </w:p>
        </w:tc>
      </w:tr>
      <w:tr>
        <w:trPr>
          <w:trHeight w:val="572"/>
        </w:trPr>
        <w:tc>
          <w:tcPr>
            <w:tcW w:w="3380" w:type="dxa"/>
            <w:vAlign w:val="bottom"/>
          </w:tcPr>
          <w:p>
            <w:pPr>
              <w:spacing w:after="0"/>
              <w:rPr>
                <w:sz w:val="24"/>
                <w:szCs w:val="24"/>
                <w:color w:val="auto"/>
              </w:rPr>
            </w:pPr>
          </w:p>
        </w:tc>
        <w:tc>
          <w:tcPr>
            <w:tcW w:w="3900" w:type="dxa"/>
            <w:vAlign w:val="bottom"/>
            <w:gridSpan w:val="2"/>
          </w:tcPr>
          <w:p>
            <w:pPr>
              <w:jc w:val="center"/>
              <w:ind w:left="95"/>
              <w:spacing w:after="0"/>
              <w:rPr>
                <w:sz w:val="20"/>
                <w:szCs w:val="20"/>
                <w:color w:val="auto"/>
              </w:rPr>
            </w:pPr>
            <w:r>
              <w:rPr>
                <w:rFonts w:ascii="Arial" w:cs="Arial" w:eastAsia="Arial" w:hAnsi="Arial"/>
                <w:sz w:val="18"/>
                <w:szCs w:val="18"/>
                <w:b w:val="1"/>
                <w:bCs w:val="1"/>
                <w:color w:val="auto"/>
                <w:w w:val="88"/>
              </w:rPr>
              <w:t>Commission File Number: 001-36002</w:t>
            </w:r>
          </w:p>
        </w:tc>
        <w:tc>
          <w:tcPr>
            <w:tcW w:w="3280" w:type="dxa"/>
            <w:vAlign w:val="bottom"/>
          </w:tcPr>
          <w:p>
            <w:pPr>
              <w:spacing w:after="0"/>
              <w:rPr>
                <w:sz w:val="24"/>
                <w:szCs w:val="24"/>
                <w:color w:val="auto"/>
              </w:rPr>
            </w:pPr>
          </w:p>
        </w:tc>
      </w:tr>
      <w:tr>
        <w:trPr>
          <w:trHeight w:val="699"/>
        </w:trPr>
        <w:tc>
          <w:tcPr>
            <w:tcW w:w="3380" w:type="dxa"/>
            <w:vAlign w:val="bottom"/>
          </w:tcPr>
          <w:p>
            <w:pPr>
              <w:spacing w:after="0"/>
              <w:rPr>
                <w:sz w:val="24"/>
                <w:szCs w:val="24"/>
                <w:color w:val="auto"/>
              </w:rPr>
            </w:pPr>
          </w:p>
        </w:tc>
        <w:tc>
          <w:tcPr>
            <w:tcW w:w="7180" w:type="dxa"/>
            <w:vAlign w:val="bottom"/>
            <w:gridSpan w:val="3"/>
          </w:tcPr>
          <w:p>
            <w:pPr>
              <w:jc w:val="center"/>
              <w:ind w:right="2992"/>
              <w:spacing w:after="0"/>
              <w:rPr>
                <w:sz w:val="20"/>
                <w:szCs w:val="20"/>
                <w:color w:val="auto"/>
              </w:rPr>
            </w:pPr>
            <w:r>
              <w:rPr>
                <w:rFonts w:ascii="Arial" w:cs="Arial" w:eastAsia="Arial" w:hAnsi="Arial"/>
                <w:sz w:val="42"/>
                <w:szCs w:val="42"/>
                <w:b w:val="1"/>
                <w:bCs w:val="1"/>
                <w:color w:val="auto"/>
                <w:w w:val="92"/>
              </w:rPr>
              <w:t>Clearway Energy, Inc.</w:t>
            </w:r>
          </w:p>
        </w:tc>
      </w:tr>
      <w:tr>
        <w:trPr>
          <w:trHeight w:val="222"/>
        </w:trPr>
        <w:tc>
          <w:tcPr>
            <w:tcW w:w="3380" w:type="dxa"/>
            <w:vAlign w:val="bottom"/>
          </w:tcPr>
          <w:p>
            <w:pPr>
              <w:spacing w:after="0"/>
              <w:rPr>
                <w:sz w:val="19"/>
                <w:szCs w:val="19"/>
                <w:color w:val="auto"/>
              </w:rPr>
            </w:pPr>
          </w:p>
        </w:tc>
        <w:tc>
          <w:tcPr>
            <w:tcW w:w="3900" w:type="dxa"/>
            <w:vAlign w:val="bottom"/>
            <w:gridSpan w:val="2"/>
          </w:tcPr>
          <w:p>
            <w:pPr>
              <w:jc w:val="center"/>
              <w:ind w:left="95"/>
              <w:spacing w:after="0"/>
              <w:rPr>
                <w:sz w:val="20"/>
                <w:szCs w:val="20"/>
                <w:color w:val="auto"/>
              </w:rPr>
            </w:pPr>
            <w:r>
              <w:rPr>
                <w:rFonts w:ascii="Arial" w:cs="Arial" w:eastAsia="Arial" w:hAnsi="Arial"/>
                <w:sz w:val="18"/>
                <w:szCs w:val="18"/>
                <w:color w:val="auto"/>
                <w:w w:val="88"/>
              </w:rPr>
              <w:t>(Exact name of registrant as specified in its charter)</w:t>
            </w:r>
          </w:p>
        </w:tc>
        <w:tc>
          <w:tcPr>
            <w:tcW w:w="3280" w:type="dxa"/>
            <w:vAlign w:val="bottom"/>
          </w:tcPr>
          <w:p>
            <w:pPr>
              <w:spacing w:after="0"/>
              <w:rPr>
                <w:sz w:val="19"/>
                <w:szCs w:val="19"/>
                <w:color w:val="auto"/>
              </w:rPr>
            </w:pPr>
          </w:p>
        </w:tc>
      </w:tr>
      <w:tr>
        <w:trPr>
          <w:trHeight w:val="250"/>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80" w:type="dxa"/>
            <w:vAlign w:val="bottom"/>
          </w:tcPr>
          <w:p>
            <w:pPr>
              <w:jc w:val="right"/>
              <w:ind w:right="1112"/>
              <w:spacing w:after="0"/>
              <w:rPr>
                <w:sz w:val="20"/>
                <w:szCs w:val="20"/>
                <w:color w:val="auto"/>
              </w:rPr>
            </w:pPr>
            <w:r>
              <w:rPr>
                <w:rFonts w:ascii="Arial" w:cs="Arial" w:eastAsia="Arial" w:hAnsi="Arial"/>
                <w:sz w:val="18"/>
                <w:szCs w:val="18"/>
                <w:b w:val="1"/>
                <w:bCs w:val="1"/>
                <w:color w:val="auto"/>
              </w:rPr>
              <w:t>46-1777204</w:t>
            </w:r>
          </w:p>
        </w:tc>
      </w:tr>
      <w:tr>
        <w:trPr>
          <w:trHeight w:val="172"/>
        </w:trPr>
        <w:tc>
          <w:tcPr>
            <w:tcW w:w="3380" w:type="dxa"/>
            <w:vAlign w:val="bottom"/>
          </w:tcPr>
          <w:p>
            <w:pPr>
              <w:jc w:val="center"/>
              <w:spacing w:after="0" w:line="172" w:lineRule="exact"/>
              <w:rPr>
                <w:sz w:val="20"/>
                <w:szCs w:val="20"/>
                <w:color w:val="auto"/>
              </w:rPr>
            </w:pPr>
            <w:r>
              <w:rPr>
                <w:rFonts w:ascii="Arial" w:cs="Arial" w:eastAsia="Arial" w:hAnsi="Arial"/>
                <w:sz w:val="18"/>
                <w:szCs w:val="18"/>
                <w:color w:val="auto"/>
                <w:w w:val="90"/>
              </w:rPr>
              <w:t>(State or other jurisdiction</w:t>
            </w:r>
          </w:p>
        </w:tc>
        <w:tc>
          <w:tcPr>
            <w:tcW w:w="1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80" w:type="dxa"/>
            <w:vAlign w:val="bottom"/>
          </w:tcPr>
          <w:p>
            <w:pPr>
              <w:jc w:val="center"/>
              <w:spacing w:after="0" w:line="172" w:lineRule="exact"/>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spacing w:after="0"/>
              <w:rPr>
                <w:sz w:val="20"/>
                <w:szCs w:val="20"/>
                <w:color w:val="auto"/>
              </w:rPr>
            </w:pPr>
            <w:r>
              <w:rPr>
                <w:rFonts w:ascii="Arial" w:cs="Arial" w:eastAsia="Arial" w:hAnsi="Arial"/>
                <w:sz w:val="18"/>
                <w:szCs w:val="18"/>
                <w:color w:val="auto"/>
                <w:w w:val="90"/>
              </w:rPr>
              <w:t>of incorporation or organization)</w:t>
            </w: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27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300 Carnegie Center, Suite 300</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w w:val="84"/>
              </w:rPr>
              <w:t>Princeton</w:t>
            </w:r>
          </w:p>
        </w:tc>
        <w:tc>
          <w:tcPr>
            <w:tcW w:w="2560" w:type="dxa"/>
            <w:vAlign w:val="bottom"/>
          </w:tcPr>
          <w:p>
            <w:pPr>
              <w:ind w:left="920"/>
              <w:spacing w:after="0"/>
              <w:rPr>
                <w:sz w:val="20"/>
                <w:szCs w:val="20"/>
                <w:color w:val="auto"/>
              </w:rPr>
            </w:pPr>
            <w:r>
              <w:rPr>
                <w:rFonts w:ascii="Arial" w:cs="Arial" w:eastAsia="Arial" w:hAnsi="Arial"/>
                <w:sz w:val="18"/>
                <w:szCs w:val="18"/>
                <w:b w:val="1"/>
                <w:bCs w:val="1"/>
                <w:color w:val="auto"/>
              </w:rPr>
              <w:t>New Jersey</w:t>
            </w:r>
          </w:p>
        </w:tc>
        <w:tc>
          <w:tcPr>
            <w:tcW w:w="3280" w:type="dxa"/>
            <w:vAlign w:val="bottom"/>
          </w:tcPr>
          <w:p>
            <w:pPr>
              <w:jc w:val="right"/>
              <w:ind w:right="1312"/>
              <w:spacing w:after="0"/>
              <w:rPr>
                <w:sz w:val="20"/>
                <w:szCs w:val="20"/>
                <w:color w:val="auto"/>
              </w:rPr>
            </w:pPr>
            <w:r>
              <w:rPr>
                <w:rFonts w:ascii="Arial" w:cs="Arial" w:eastAsia="Arial" w:hAnsi="Arial"/>
                <w:sz w:val="18"/>
                <w:szCs w:val="18"/>
                <w:b w:val="1"/>
                <w:bCs w:val="1"/>
                <w:color w:val="auto"/>
              </w:rPr>
              <w:t>08540</w:t>
            </w:r>
          </w:p>
        </w:tc>
      </w:tr>
      <w:tr>
        <w:trPr>
          <w:trHeight w:val="224"/>
        </w:trPr>
        <w:tc>
          <w:tcPr>
            <w:tcW w:w="7280" w:type="dxa"/>
            <w:vAlign w:val="bottom"/>
            <w:gridSpan w:val="3"/>
          </w:tcPr>
          <w:p>
            <w:pPr>
              <w:ind w:left="2000"/>
              <w:spacing w:after="0"/>
              <w:rPr>
                <w:sz w:val="20"/>
                <w:szCs w:val="20"/>
                <w:color w:val="auto"/>
              </w:rPr>
            </w:pPr>
            <w:r>
              <w:rPr>
                <w:rFonts w:ascii="Arial" w:cs="Arial" w:eastAsia="Arial" w:hAnsi="Arial"/>
                <w:sz w:val="18"/>
                <w:szCs w:val="18"/>
                <w:color w:val="auto"/>
              </w:rPr>
              <w:t>(Address of principal executive offices)</w:t>
            </w:r>
          </w:p>
        </w:tc>
        <w:tc>
          <w:tcPr>
            <w:tcW w:w="32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501"/>
        </w:trPr>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jc w:val="center"/>
              <w:ind w:right="1052"/>
              <w:spacing w:after="0"/>
              <w:rPr>
                <w:sz w:val="20"/>
                <w:szCs w:val="20"/>
                <w:color w:val="auto"/>
              </w:rPr>
            </w:pPr>
            <w:r>
              <w:rPr>
                <w:rFonts w:ascii="Arial" w:cs="Arial" w:eastAsia="Arial" w:hAnsi="Arial"/>
                <w:sz w:val="18"/>
                <w:szCs w:val="18"/>
                <w:b w:val="1"/>
                <w:bCs w:val="1"/>
                <w:color w:val="auto"/>
                <w:w w:val="89"/>
              </w:rPr>
              <w:t>(609) 608-1525</w:t>
            </w:r>
          </w:p>
        </w:tc>
        <w:tc>
          <w:tcPr>
            <w:tcW w:w="3280" w:type="dxa"/>
            <w:vAlign w:val="bottom"/>
          </w:tcPr>
          <w:p>
            <w:pPr>
              <w:spacing w:after="0"/>
              <w:rPr>
                <w:sz w:val="24"/>
                <w:szCs w:val="24"/>
                <w:color w:val="auto"/>
              </w:rPr>
            </w:pPr>
          </w:p>
        </w:tc>
      </w:tr>
      <w:tr>
        <w:trPr>
          <w:trHeight w:val="222"/>
        </w:trPr>
        <w:tc>
          <w:tcPr>
            <w:tcW w:w="3380" w:type="dxa"/>
            <w:vAlign w:val="bottom"/>
          </w:tcPr>
          <w:p>
            <w:pPr>
              <w:spacing w:after="0"/>
              <w:rPr>
                <w:sz w:val="19"/>
                <w:szCs w:val="19"/>
                <w:color w:val="auto"/>
              </w:rPr>
            </w:pPr>
          </w:p>
        </w:tc>
        <w:tc>
          <w:tcPr>
            <w:tcW w:w="3900" w:type="dxa"/>
            <w:vAlign w:val="bottom"/>
            <w:gridSpan w:val="2"/>
          </w:tcPr>
          <w:p>
            <w:pPr>
              <w:jc w:val="center"/>
              <w:ind w:left="75"/>
              <w:spacing w:after="0"/>
              <w:rPr>
                <w:sz w:val="20"/>
                <w:szCs w:val="20"/>
                <w:color w:val="auto"/>
              </w:rPr>
            </w:pPr>
            <w:r>
              <w:rPr>
                <w:rFonts w:ascii="Arial" w:cs="Arial" w:eastAsia="Arial" w:hAnsi="Arial"/>
                <w:sz w:val="18"/>
                <w:szCs w:val="18"/>
                <w:color w:val="auto"/>
                <w:w w:val="87"/>
              </w:rPr>
              <w:t>(Registrant’s telephone number, including area code)</w:t>
            </w:r>
          </w:p>
        </w:tc>
        <w:tc>
          <w:tcPr>
            <w:tcW w:w="3280" w:type="dxa"/>
            <w:vAlign w:val="bottom"/>
          </w:tcPr>
          <w:p>
            <w:pPr>
              <w:spacing w:after="0"/>
              <w:rPr>
                <w:sz w:val="19"/>
                <w:szCs w:val="19"/>
                <w:color w:val="auto"/>
              </w:rPr>
            </w:pPr>
          </w:p>
        </w:tc>
      </w:tr>
      <w:tr>
        <w:trPr>
          <w:trHeight w:val="316"/>
        </w:trPr>
        <w:tc>
          <w:tcPr>
            <w:tcW w:w="3380" w:type="dxa"/>
            <w:vAlign w:val="bottom"/>
          </w:tcPr>
          <w:p>
            <w:pPr>
              <w:spacing w:after="0"/>
              <w:rPr>
                <w:sz w:val="24"/>
                <w:szCs w:val="24"/>
                <w:color w:val="auto"/>
              </w:rPr>
            </w:pPr>
          </w:p>
        </w:tc>
        <w:tc>
          <w:tcPr>
            <w:tcW w:w="7180" w:type="dxa"/>
            <w:vAlign w:val="bottom"/>
            <w:gridSpan w:val="3"/>
          </w:tcPr>
          <w:p>
            <w:pPr>
              <w:jc w:val="center"/>
              <w:ind w:right="3012"/>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50"/>
        </w:trPr>
        <w:tc>
          <w:tcPr>
            <w:tcW w:w="3380" w:type="dxa"/>
            <w:vAlign w:val="bottom"/>
          </w:tcPr>
          <w:p>
            <w:pPr>
              <w:jc w:val="center"/>
              <w:ind w:left="372"/>
              <w:spacing w:after="0"/>
              <w:rPr>
                <w:sz w:val="20"/>
                <w:szCs w:val="20"/>
                <w:color w:val="auto"/>
              </w:rPr>
            </w:pPr>
            <w:r>
              <w:rPr>
                <w:rFonts w:ascii="Arial" w:cs="Arial" w:eastAsia="Arial" w:hAnsi="Arial"/>
                <w:sz w:val="18"/>
                <w:szCs w:val="18"/>
                <w:b w:val="1"/>
                <w:bCs w:val="1"/>
                <w:color w:val="auto"/>
                <w:w w:val="85"/>
              </w:rPr>
              <w:t>Title of each class</w:t>
            </w:r>
          </w:p>
        </w:tc>
        <w:tc>
          <w:tcPr>
            <w:tcW w:w="1340" w:type="dxa"/>
            <w:vAlign w:val="bottom"/>
          </w:tcPr>
          <w:p>
            <w:pPr>
              <w:spacing w:after="0"/>
              <w:rPr>
                <w:sz w:val="21"/>
                <w:szCs w:val="21"/>
                <w:color w:val="auto"/>
              </w:rPr>
            </w:pPr>
          </w:p>
        </w:tc>
        <w:tc>
          <w:tcPr>
            <w:tcW w:w="2560" w:type="dxa"/>
            <w:vAlign w:val="bottom"/>
          </w:tcPr>
          <w:p>
            <w:pPr>
              <w:jc w:val="center"/>
              <w:ind w:right="1072"/>
              <w:spacing w:after="0"/>
              <w:rPr>
                <w:sz w:val="20"/>
                <w:szCs w:val="20"/>
                <w:color w:val="auto"/>
              </w:rPr>
            </w:pPr>
            <w:r>
              <w:rPr>
                <w:rFonts w:ascii="Arial" w:cs="Arial" w:eastAsia="Arial" w:hAnsi="Arial"/>
                <w:sz w:val="18"/>
                <w:szCs w:val="18"/>
                <w:b w:val="1"/>
                <w:bCs w:val="1"/>
                <w:color w:val="auto"/>
                <w:w w:val="88"/>
              </w:rPr>
              <w:t>Trading Symbol(s)</w:t>
            </w: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4"/>
        </w:trPr>
        <w:tc>
          <w:tcPr>
            <w:tcW w:w="3380" w:type="dxa"/>
            <w:vAlign w:val="bottom"/>
          </w:tcPr>
          <w:p>
            <w:pPr>
              <w:jc w:val="center"/>
              <w:ind w:left="392"/>
              <w:spacing w:after="0"/>
              <w:rPr>
                <w:sz w:val="20"/>
                <w:szCs w:val="20"/>
                <w:color w:val="auto"/>
              </w:rPr>
            </w:pPr>
            <w:r>
              <w:rPr>
                <w:rFonts w:ascii="Arial" w:cs="Arial" w:eastAsia="Arial" w:hAnsi="Arial"/>
                <w:sz w:val="18"/>
                <w:szCs w:val="18"/>
                <w:color w:val="auto"/>
                <w:w w:val="88"/>
              </w:rPr>
              <w:t>Class A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Arial" w:cs="Arial" w:eastAsia="Arial" w:hAnsi="Arial"/>
                <w:sz w:val="18"/>
                <w:szCs w:val="18"/>
                <w:color w:val="auto"/>
                <w:w w:val="94"/>
              </w:rPr>
              <w:t>CWEN.A</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4"/>
        </w:trPr>
        <w:tc>
          <w:tcPr>
            <w:tcW w:w="3380" w:type="dxa"/>
            <w:vAlign w:val="bottom"/>
          </w:tcPr>
          <w:p>
            <w:pPr>
              <w:jc w:val="center"/>
              <w:ind w:left="392"/>
              <w:spacing w:after="0"/>
              <w:rPr>
                <w:sz w:val="20"/>
                <w:szCs w:val="20"/>
                <w:color w:val="auto"/>
              </w:rPr>
            </w:pPr>
            <w:r>
              <w:rPr>
                <w:rFonts w:ascii="Arial" w:cs="Arial" w:eastAsia="Arial" w:hAnsi="Arial"/>
                <w:sz w:val="18"/>
                <w:szCs w:val="18"/>
                <w:color w:val="auto"/>
                <w:w w:val="87"/>
              </w:rPr>
              <w:t>Class C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Arial" w:cs="Arial" w:eastAsia="Arial" w:hAnsi="Arial"/>
                <w:sz w:val="18"/>
                <w:szCs w:val="18"/>
                <w:color w:val="auto"/>
                <w:w w:val="94"/>
              </w:rPr>
              <w:t>CWEN</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162" w:lineRule="exact"/>
        <w:rPr>
          <w:sz w:val="24"/>
          <w:szCs w:val="24"/>
          <w:color w:val="auto"/>
        </w:rPr>
      </w:pPr>
    </w:p>
    <w:p>
      <w:pPr>
        <w:jc w:val="both"/>
        <w:ind w:firstLine="276"/>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276"/>
        <w:spacing w:after="0" w:line="23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6" w:lineRule="exact"/>
        <w:rPr>
          <w:sz w:val="24"/>
          <w:szCs w:val="24"/>
          <w:color w:val="auto"/>
        </w:rPr>
      </w:pPr>
    </w:p>
    <w:p>
      <w:pPr>
        <w:jc w:val="center"/>
        <w:ind w:right="-19"/>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6" w:lineRule="exact"/>
        <w:rPr>
          <w:sz w:val="24"/>
          <w:szCs w:val="24"/>
          <w:color w:val="auto"/>
        </w:rPr>
      </w:pPr>
    </w:p>
    <w:p>
      <w:pPr>
        <w:jc w:val="both"/>
        <w:ind w:firstLine="276"/>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2260" w:type="dxa"/>
            <w:vAlign w:val="bottom"/>
          </w:tcPr>
          <w:p>
            <w:pPr>
              <w:jc w:val="center"/>
              <w:ind w:right="612"/>
              <w:spacing w:after="0"/>
              <w:rPr>
                <w:sz w:val="20"/>
                <w:szCs w:val="20"/>
                <w:color w:val="auto"/>
              </w:rPr>
            </w:pPr>
            <w:r>
              <w:rPr>
                <w:rFonts w:ascii="Arial" w:cs="Arial" w:eastAsia="Arial" w:hAnsi="Arial"/>
                <w:sz w:val="18"/>
                <w:szCs w:val="18"/>
                <w:color w:val="auto"/>
                <w:w w:val="87"/>
              </w:rPr>
              <w:t>Large 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7"/>
        </w:trPr>
        <w:tc>
          <w:tcPr>
            <w:tcW w:w="2260" w:type="dxa"/>
            <w:vAlign w:val="bottom"/>
          </w:tcPr>
          <w:p>
            <w:pPr>
              <w:jc w:val="center"/>
              <w:ind w:right="612"/>
              <w:spacing w:after="0"/>
              <w:rPr>
                <w:sz w:val="20"/>
                <w:szCs w:val="20"/>
                <w:color w:val="auto"/>
              </w:rPr>
            </w:pPr>
            <w:r>
              <w:rPr>
                <w:rFonts w:ascii="Arial" w:cs="Arial" w:eastAsia="Arial" w:hAnsi="Arial"/>
                <w:sz w:val="18"/>
                <w:szCs w:val="18"/>
                <w:color w:val="auto"/>
                <w:w w:val="89"/>
              </w:rPr>
              <w:t>Non-accelerated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6" w:lineRule="exact"/>
        <w:rPr>
          <w:sz w:val="24"/>
          <w:szCs w:val="24"/>
          <w:color w:val="auto"/>
        </w:rPr>
      </w:pPr>
    </w:p>
    <w:p>
      <w:pPr>
        <w:jc w:val="both"/>
        <w:ind w:firstLine="316"/>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5" w:lineRule="exact"/>
        <w:rPr>
          <w:sz w:val="24"/>
          <w:szCs w:val="24"/>
          <w:color w:val="auto"/>
        </w:rPr>
      </w:pPr>
    </w:p>
    <w:p>
      <w:pPr>
        <w:ind w:left="510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63" w:lineRule="exact"/>
        <w:rPr>
          <w:sz w:val="24"/>
          <w:szCs w:val="24"/>
          <w:color w:val="auto"/>
        </w:rPr>
      </w:pPr>
    </w:p>
    <w:p>
      <w:pPr>
        <w:jc w:val="both"/>
        <w:ind w:firstLine="276"/>
        <w:spacing w:after="0" w:line="222"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7"/>
          <w:szCs w:val="17"/>
          <w:color w:val="auto"/>
        </w:rPr>
        <w:t>July 31, 2021</w:t>
      </w:r>
      <w:r>
        <w:rPr>
          <w:rFonts w:ascii="Arial" w:cs="Arial" w:eastAsia="Arial" w:hAnsi="Arial"/>
          <w:sz w:val="16"/>
          <w:szCs w:val="16"/>
          <w:color w:val="auto"/>
        </w:rPr>
        <w:t>, there were 34,599,645 shares of Class A common stock outstanding, par value $0.01 per share, 42,738,750 shares of Class B common stock outstanding, par value $0.01 per share, 81,760,667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785495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720" w:type="dxa"/>
            <w:vAlign w:val="bottom"/>
            <w:gridSpan w:val="15"/>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4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5"/>
          </w:tcPr>
          <w:p>
            <w:pPr>
              <w:spacing w:after="0" w:line="204" w:lineRule="exact"/>
              <w:rPr>
                <w:sz w:val="20"/>
                <w:szCs w:val="20"/>
                <w:color w:val="auto"/>
              </w:rPr>
            </w:pPr>
            <w:r>
              <w:rPr>
                <w:rFonts w:ascii="Arial" w:cs="Arial" w:eastAsia="Arial" w:hAnsi="Arial"/>
                <w:sz w:val="18"/>
                <w:szCs w:val="18"/>
                <w:b w:val="1"/>
                <w:bCs w:val="1"/>
                <w:color w:val="0000FF"/>
                <w:w w:val="95"/>
              </w:rPr>
              <w:t>GLOSSARY OF TERMS</w:t>
            </w:r>
          </w:p>
        </w:tc>
        <w:tc>
          <w:tcPr>
            <w:tcW w:w="4720" w:type="dxa"/>
            <w:vAlign w:val="bottom"/>
            <w:gridSpan w:val="8"/>
          </w:tcPr>
          <w:p>
            <w:pPr>
              <w:spacing w:after="0"/>
              <w:rPr>
                <w:sz w:val="17"/>
                <w:szCs w:val="17"/>
                <w:color w:val="auto"/>
              </w:rPr>
            </w:pPr>
          </w:p>
        </w:tc>
        <w:tc>
          <w:tcPr>
            <w:tcW w:w="3080" w:type="dxa"/>
            <w:vAlign w:val="bottom"/>
            <w:gridSpan w:val="2"/>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9720" w:type="dxa"/>
            <w:vAlign w:val="bottom"/>
            <w:gridSpan w:val="15"/>
          </w:tcPr>
          <w:p>
            <w:pPr>
              <w:spacing w:after="0" w:line="204" w:lineRule="exact"/>
              <w:rPr>
                <w:sz w:val="20"/>
                <w:szCs w:val="20"/>
                <w:color w:val="auto"/>
              </w:rPr>
            </w:pPr>
            <w:r>
              <w:rPr>
                <w:rFonts w:ascii="Arial" w:cs="Arial" w:eastAsia="Arial" w:hAnsi="Arial"/>
                <w:sz w:val="18"/>
                <w:szCs w:val="18"/>
                <w:b w:val="1"/>
                <w:bCs w:val="1"/>
                <w:color w:val="0000FF"/>
              </w:rPr>
              <w:t>PART I — FINANCIAL INFORMATION</w:t>
            </w: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204" w:lineRule="exact"/>
              <w:rPr>
                <w:sz w:val="20"/>
                <w:szCs w:val="20"/>
                <w:color w:val="auto"/>
              </w:rPr>
            </w:pPr>
            <w:r>
              <w:rPr>
                <w:rFonts w:ascii="Arial" w:cs="Arial" w:eastAsia="Arial" w:hAnsi="Arial"/>
                <w:sz w:val="18"/>
                <w:szCs w:val="18"/>
                <w:color w:val="0000FF"/>
                <w:w w:val="93"/>
              </w:rPr>
              <w:t>ITEM 1 — FINANCIAL STATEMENTS AND NOTES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Arial" w:cs="Arial" w:eastAsia="Arial" w:hAnsi="Arial"/>
                <w:sz w:val="18"/>
                <w:szCs w:val="18"/>
                <w:color w:val="0000FF"/>
                <w:w w:val="94"/>
              </w:rPr>
              <w:t>ITEM 2 — MANAGEMENT’S DISCUSSION AND ANALYSIS OF FINANCIAL CONDITION AND RESULTS OF OPERATIONS</w:t>
            </w: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Arial" w:cs="Arial" w:eastAsia="Arial" w:hAnsi="Arial"/>
                <w:sz w:val="18"/>
                <w:szCs w:val="18"/>
                <w:color w:val="0000FF"/>
              </w:rPr>
              <w:t>ITEM 3 — QUANTITATIVE AND QUALITATIVE DISCLOSURES ABOUT MARKET RISK</w:t>
            </w: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0"/>
          </w:tcPr>
          <w:p>
            <w:pPr>
              <w:spacing w:after="0" w:line="204" w:lineRule="exact"/>
              <w:rPr>
                <w:sz w:val="20"/>
                <w:szCs w:val="20"/>
                <w:color w:val="auto"/>
              </w:rPr>
            </w:pPr>
            <w:r>
              <w:rPr>
                <w:rFonts w:ascii="Arial" w:cs="Arial" w:eastAsia="Arial" w:hAnsi="Arial"/>
                <w:sz w:val="18"/>
                <w:szCs w:val="18"/>
                <w:color w:val="0000FF"/>
                <w:w w:val="92"/>
              </w:rPr>
              <w:t>ITEM 4 — CONTROLS AND PROCEDURES</w:t>
            </w:r>
          </w:p>
        </w:tc>
        <w:tc>
          <w:tcPr>
            <w:tcW w:w="3380" w:type="dxa"/>
            <w:vAlign w:val="bottom"/>
            <w:gridSpan w:val="3"/>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860" w:type="dxa"/>
            <w:vAlign w:val="bottom"/>
            <w:gridSpan w:val="8"/>
          </w:tcPr>
          <w:p>
            <w:pPr>
              <w:spacing w:after="0" w:line="204" w:lineRule="exact"/>
              <w:rPr>
                <w:sz w:val="20"/>
                <w:szCs w:val="20"/>
                <w:color w:val="auto"/>
              </w:rPr>
            </w:pPr>
            <w:r>
              <w:rPr>
                <w:rFonts w:ascii="Arial" w:cs="Arial" w:eastAsia="Arial" w:hAnsi="Arial"/>
                <w:sz w:val="18"/>
                <w:szCs w:val="18"/>
                <w:b w:val="1"/>
                <w:bCs w:val="1"/>
                <w:color w:val="0000FF"/>
                <w:w w:val="98"/>
              </w:rPr>
              <w:t>PART II — OTHER INFORMATION</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7"/>
          </w:tcPr>
          <w:p>
            <w:pPr>
              <w:spacing w:after="0" w:line="204" w:lineRule="exact"/>
              <w:rPr>
                <w:sz w:val="20"/>
                <w:szCs w:val="20"/>
                <w:color w:val="auto"/>
              </w:rPr>
            </w:pPr>
            <w:r>
              <w:rPr>
                <w:rFonts w:ascii="Arial" w:cs="Arial" w:eastAsia="Arial" w:hAnsi="Arial"/>
                <w:sz w:val="18"/>
                <w:szCs w:val="18"/>
                <w:color w:val="0000FF"/>
                <w:w w:val="92"/>
              </w:rPr>
              <w:t>ITEM 1 — LEGAL PROCEEDINGS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6"/>
          </w:tcPr>
          <w:p>
            <w:pPr>
              <w:spacing w:after="0" w:line="204" w:lineRule="exact"/>
              <w:rPr>
                <w:sz w:val="20"/>
                <w:szCs w:val="20"/>
                <w:color w:val="auto"/>
              </w:rPr>
            </w:pPr>
            <w:r>
              <w:rPr>
                <w:rFonts w:ascii="Arial" w:cs="Arial" w:eastAsia="Arial" w:hAnsi="Arial"/>
                <w:sz w:val="18"/>
                <w:szCs w:val="18"/>
                <w:color w:val="0000FF"/>
              </w:rPr>
              <w:t>ITEM 1A — RISK FACTORS</w:t>
            </w:r>
          </w:p>
        </w:tc>
        <w:tc>
          <w:tcPr>
            <w:tcW w:w="6880" w:type="dxa"/>
            <w:vAlign w:val="bottom"/>
            <w:gridSpan w:val="8"/>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gridSpan w:val="13"/>
          </w:tcPr>
          <w:p>
            <w:pPr>
              <w:spacing w:after="0" w:line="204" w:lineRule="exact"/>
              <w:rPr>
                <w:sz w:val="20"/>
                <w:szCs w:val="20"/>
                <w:color w:val="auto"/>
              </w:rPr>
            </w:pPr>
            <w:r>
              <w:rPr>
                <w:rFonts w:ascii="Arial" w:cs="Arial" w:eastAsia="Arial" w:hAnsi="Arial"/>
                <w:sz w:val="18"/>
                <w:szCs w:val="18"/>
                <w:color w:val="0000FF"/>
                <w:w w:val="92"/>
              </w:rPr>
              <w:t>ITEM 2 — UNREGISTERED SALES OF EQUITY SECURITIES AND USE OF PROCEEDS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Arial" w:cs="Arial" w:eastAsia="Arial" w:hAnsi="Arial"/>
                <w:sz w:val="18"/>
                <w:szCs w:val="18"/>
                <w:color w:val="0000FF"/>
                <w:w w:val="96"/>
              </w:rPr>
              <w:t>ITEM 3</w:t>
            </w:r>
          </w:p>
        </w:tc>
        <w:tc>
          <w:tcPr>
            <w:tcW w:w="6160" w:type="dxa"/>
            <w:vAlign w:val="bottom"/>
            <w:gridSpan w:val="12"/>
          </w:tcPr>
          <w:p>
            <w:pPr>
              <w:ind w:left="20"/>
              <w:spacing w:after="0" w:line="204" w:lineRule="exact"/>
              <w:rPr>
                <w:sz w:val="20"/>
                <w:szCs w:val="20"/>
                <w:color w:val="auto"/>
              </w:rPr>
            </w:pPr>
            <w:r>
              <w:rPr>
                <w:rFonts w:ascii="Arial" w:cs="Arial" w:eastAsia="Arial" w:hAnsi="Arial"/>
                <w:sz w:val="18"/>
                <w:szCs w:val="18"/>
                <w:color w:val="0000FF"/>
              </w:rPr>
              <w:t>— DEFAULTS UPON SENIOR SECURITIES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Arial" w:cs="Arial" w:eastAsia="Arial" w:hAnsi="Arial"/>
                <w:sz w:val="18"/>
                <w:szCs w:val="18"/>
                <w:color w:val="0000FF"/>
                <w:w w:val="96"/>
              </w:rPr>
              <w:t>ITEM 4</w:t>
            </w:r>
          </w:p>
        </w:tc>
        <w:tc>
          <w:tcPr>
            <w:tcW w:w="3340" w:type="dxa"/>
            <w:vAlign w:val="bottom"/>
            <w:gridSpan w:val="10"/>
          </w:tcPr>
          <w:p>
            <w:pPr>
              <w:ind w:left="20"/>
              <w:spacing w:after="0" w:line="204" w:lineRule="exact"/>
              <w:rPr>
                <w:sz w:val="20"/>
                <w:szCs w:val="20"/>
                <w:color w:val="auto"/>
              </w:rPr>
            </w:pPr>
            <w:r>
              <w:rPr>
                <w:rFonts w:ascii="Arial" w:cs="Arial" w:eastAsia="Arial" w:hAnsi="Arial"/>
                <w:sz w:val="18"/>
                <w:szCs w:val="18"/>
                <w:color w:val="0000FF"/>
              </w:rPr>
              <w:t>— MINE SAFETY DISCLOSURES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Arial" w:cs="Arial" w:eastAsia="Arial" w:hAnsi="Arial"/>
                <w:sz w:val="18"/>
                <w:szCs w:val="18"/>
                <w:color w:val="0000FF"/>
                <w:w w:val="96"/>
              </w:rPr>
              <w:t>ITEM 5</w:t>
            </w:r>
          </w:p>
        </w:tc>
        <w:tc>
          <w:tcPr>
            <w:tcW w:w="2080" w:type="dxa"/>
            <w:vAlign w:val="bottom"/>
            <w:gridSpan w:val="6"/>
          </w:tcPr>
          <w:p>
            <w:pPr>
              <w:ind w:left="20"/>
              <w:spacing w:after="0" w:line="204" w:lineRule="exact"/>
              <w:rPr>
                <w:sz w:val="20"/>
                <w:szCs w:val="20"/>
                <w:color w:val="auto"/>
              </w:rPr>
            </w:pPr>
            <w:r>
              <w:rPr>
                <w:rFonts w:ascii="Arial" w:cs="Arial" w:eastAsia="Arial" w:hAnsi="Arial"/>
                <w:sz w:val="18"/>
                <w:szCs w:val="18"/>
                <w:color w:val="0000FF"/>
                <w:w w:val="93"/>
              </w:rPr>
              <w:t>— OTHER INFORMATION</w:t>
            </w:r>
          </w:p>
        </w:tc>
        <w:tc>
          <w:tcPr>
            <w:tcW w:w="540" w:type="dxa"/>
            <w:vAlign w:val="bottom"/>
            <w:gridSpan w:val="2"/>
          </w:tcPr>
          <w:p>
            <w:pPr>
              <w:spacing w:after="0"/>
              <w:rPr>
                <w:sz w:val="17"/>
                <w:szCs w:val="17"/>
                <w:color w:val="auto"/>
              </w:rPr>
            </w:pPr>
          </w:p>
        </w:tc>
        <w:tc>
          <w:tcPr>
            <w:tcW w:w="6320" w:type="dxa"/>
            <w:vAlign w:val="bottom"/>
            <w:gridSpan w:val="5"/>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Arial" w:cs="Arial" w:eastAsia="Arial" w:hAnsi="Arial"/>
                <w:sz w:val="18"/>
                <w:szCs w:val="18"/>
                <w:color w:val="0000FF"/>
                <w:w w:val="96"/>
              </w:rPr>
              <w:t>ITEM 6</w:t>
            </w:r>
          </w:p>
        </w:tc>
        <w:tc>
          <w:tcPr>
            <w:tcW w:w="2080" w:type="dxa"/>
            <w:vAlign w:val="bottom"/>
            <w:gridSpan w:val="6"/>
          </w:tcPr>
          <w:p>
            <w:pPr>
              <w:ind w:left="20"/>
              <w:spacing w:after="0" w:line="204" w:lineRule="exact"/>
              <w:rPr>
                <w:sz w:val="20"/>
                <w:szCs w:val="20"/>
                <w:color w:val="auto"/>
              </w:rPr>
            </w:pPr>
            <w:r>
              <w:rPr>
                <w:rFonts w:ascii="Arial" w:cs="Arial" w:eastAsia="Arial" w:hAnsi="Arial"/>
                <w:sz w:val="18"/>
                <w:szCs w:val="18"/>
                <w:color w:val="0000FF"/>
              </w:rPr>
              <w:t>— EXHIBITS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spacing w:after="0" w:line="204" w:lineRule="exact"/>
              <w:rPr>
                <w:sz w:val="20"/>
                <w:szCs w:val="20"/>
                <w:color w:val="auto"/>
              </w:rPr>
            </w:pPr>
            <w:r>
              <w:rPr>
                <w:rFonts w:ascii="Arial" w:cs="Arial" w:eastAsia="Arial" w:hAnsi="Arial"/>
                <w:sz w:val="18"/>
                <w:szCs w:val="18"/>
                <w:b w:val="1"/>
                <w:bCs w:val="1"/>
                <w:color w:val="0000FF"/>
              </w:rPr>
              <w:t>SIGNATURES</w:t>
            </w:r>
          </w:p>
        </w:tc>
        <w:tc>
          <w:tcPr>
            <w:tcW w:w="7900" w:type="dxa"/>
            <w:vAlign w:val="bottom"/>
            <w:gridSpan w:val="11"/>
          </w:tcPr>
          <w:p>
            <w:pPr>
              <w:spacing w:after="0"/>
              <w:rPr>
                <w:sz w:val="17"/>
                <w:szCs w:val="17"/>
                <w:color w:val="auto"/>
              </w:rPr>
            </w:pPr>
          </w:p>
        </w:tc>
        <w:tc>
          <w:tcPr>
            <w:tcW w:w="1480" w:type="dxa"/>
            <w:vAlign w:val="bottom"/>
            <w:gridSpan w:val="4"/>
          </w:tcPr>
          <w:p>
            <w:pPr>
              <w:jc w:val="right"/>
              <w:ind w:right="40"/>
              <w:spacing w:after="0" w:line="204"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953"/>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320" w:type="dxa"/>
            <w:vAlign w:val="bottom"/>
            <w:gridSpan w:val="10"/>
          </w:tcPr>
          <w:p>
            <w:pPr>
              <w:jc w:val="right"/>
              <w:ind w:right="1020"/>
              <w:spacing w:after="0"/>
              <w:rPr>
                <w:sz w:val="20"/>
                <w:szCs w:val="20"/>
                <w:color w:val="auto"/>
              </w:rPr>
            </w:pPr>
            <w:r>
              <w:rPr>
                <w:rFonts w:ascii="Arial" w:cs="Arial" w:eastAsia="Arial" w:hAnsi="Arial"/>
                <w:sz w:val="18"/>
                <w:szCs w:val="18"/>
                <w:color w:val="231F20"/>
              </w:rPr>
              <w:t>2</w:t>
            </w: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49"/>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2020, as well as the following:</w:t>
      </w:r>
    </w:p>
    <w:p>
      <w:pPr>
        <w:spacing w:after="0" w:line="118" w:lineRule="exact"/>
        <w:rPr>
          <w:sz w:val="20"/>
          <w:szCs w:val="20"/>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56" w:lineRule="exact"/>
        <w:rPr>
          <w:rFonts w:ascii="Arial" w:cs="Arial" w:eastAsia="Arial" w:hAnsi="Arial"/>
          <w:sz w:val="18"/>
          <w:szCs w:val="18"/>
          <w:color w:val="auto"/>
        </w:rPr>
      </w:pPr>
    </w:p>
    <w:p>
      <w:pPr>
        <w:jc w:val="both"/>
        <w:ind w:left="640" w:hanging="319"/>
        <w:spacing w:after="0" w:line="287"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5"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79" w:lineRule="exact"/>
        <w:rPr>
          <w:rFonts w:ascii="Arial" w:cs="Arial" w:eastAsia="Arial" w:hAnsi="Arial"/>
          <w:sz w:val="16"/>
          <w:szCs w:val="16"/>
          <w:color w:val="auto"/>
        </w:rPr>
      </w:pPr>
    </w:p>
    <w:p>
      <w:pPr>
        <w:ind w:left="640" w:hanging="319"/>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79" w:lineRule="exact"/>
        <w:rPr>
          <w:rFonts w:ascii="Arial" w:cs="Arial" w:eastAsia="Arial" w:hAnsi="Arial"/>
          <w:sz w:val="16"/>
          <w:szCs w:val="16"/>
          <w:color w:val="auto"/>
        </w:rPr>
      </w:pPr>
    </w:p>
    <w:p>
      <w:pPr>
        <w:jc w:val="both"/>
        <w:ind w:left="640" w:hanging="319"/>
        <w:spacing w:after="0" w:line="252"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3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2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854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r>
      <w:tr>
        <w:trPr>
          <w:trHeight w:val="368"/>
        </w:trPr>
        <w:tc>
          <w:tcPr>
            <w:tcW w:w="2700" w:type="dxa"/>
            <w:vAlign w:val="bottom"/>
          </w:tcPr>
          <w:p>
            <w:pPr>
              <w:ind w:left="280"/>
              <w:spacing w:after="0"/>
              <w:rPr>
                <w:sz w:val="20"/>
                <w:szCs w:val="20"/>
                <w:color w:val="auto"/>
              </w:rPr>
            </w:pPr>
            <w:r>
              <w:rPr>
                <w:rFonts w:ascii="Arial" w:cs="Arial" w:eastAsia="Arial" w:hAnsi="Arial"/>
                <w:sz w:val="18"/>
                <w:szCs w:val="18"/>
                <w:color w:val="auto"/>
              </w:rPr>
              <w:t>When  the  following  terms</w:t>
            </w:r>
          </w:p>
        </w:tc>
        <w:tc>
          <w:tcPr>
            <w:tcW w:w="8540" w:type="dxa"/>
            <w:vAlign w:val="bottom"/>
          </w:tcPr>
          <w:p>
            <w:pPr>
              <w:ind w:left="60"/>
              <w:spacing w:after="0"/>
              <w:rPr>
                <w:sz w:val="20"/>
                <w:szCs w:val="20"/>
                <w:color w:val="auto"/>
              </w:rPr>
            </w:pPr>
            <w:r>
              <w:rPr>
                <w:rFonts w:ascii="Arial" w:cs="Arial" w:eastAsia="Arial" w:hAnsi="Arial"/>
                <w:sz w:val="18"/>
                <w:szCs w:val="18"/>
                <w:color w:val="auto"/>
              </w:rPr>
              <w:t>and  abbreviations  appear  in  the  text  of  this  report,  they  have  the  meanings  indicated  below:</w:t>
            </w:r>
          </w:p>
        </w:tc>
      </w:tr>
      <w:tr>
        <w:trPr>
          <w:trHeight w:val="199"/>
        </w:trPr>
        <w:tc>
          <w:tcPr>
            <w:tcW w:w="2700" w:type="dxa"/>
            <w:vAlign w:val="bottom"/>
          </w:tcPr>
          <w:p>
            <w:pPr>
              <w:ind w:left="300"/>
              <w:spacing w:after="0" w:line="199" w:lineRule="exact"/>
              <w:rPr>
                <w:sz w:val="20"/>
                <w:szCs w:val="20"/>
                <w:color w:val="auto"/>
              </w:rPr>
            </w:pPr>
            <w:r>
              <w:rPr>
                <w:rFonts w:ascii="Arial" w:cs="Arial" w:eastAsia="Arial" w:hAnsi="Arial"/>
                <w:sz w:val="18"/>
                <w:szCs w:val="18"/>
                <w:color w:val="auto"/>
              </w:rPr>
              <w:t>2025 Senior Notes</w:t>
            </w:r>
          </w:p>
        </w:tc>
        <w:tc>
          <w:tcPr>
            <w:tcW w:w="8540" w:type="dxa"/>
            <w:vAlign w:val="bottom"/>
          </w:tcPr>
          <w:p>
            <w:pPr>
              <w:ind w:left="560"/>
              <w:spacing w:after="0" w:line="199" w:lineRule="exact"/>
              <w:rPr>
                <w:sz w:val="20"/>
                <w:szCs w:val="20"/>
                <w:color w:val="auto"/>
              </w:rPr>
            </w:pPr>
            <w:r>
              <w:rPr>
                <w:rFonts w:ascii="Arial" w:cs="Arial" w:eastAsia="Arial" w:hAnsi="Arial"/>
                <w:sz w:val="18"/>
                <w:szCs w:val="18"/>
                <w:color w:val="auto"/>
                <w:w w:val="94"/>
              </w:rPr>
              <w:t>$600 million aggregate principal amount of 5.750% unsecured senior notes due 2025, issued by Clearway</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Energy Operating LLC, which were repaid in March 2021</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2026 Senior Notes</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88"/>
              </w:rPr>
              <w:t>$350 million aggregate principal amount of 5.00% unsecured senior notes due 2026, issued by Clearway Energy</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Operating LLC</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2028 Senior Notes</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4"/>
              </w:rPr>
              <w:t>$850 million aggregate principal amount of 4.750% unsecured senior notes due 2028, issued by Clearway</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Energy Operating LLC</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2031 Senior Notes</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4"/>
              </w:rPr>
              <w:t>$925 million aggregate principal amount of 3.750% unsecured senior notes due 2031, issued by Clearway</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Energy Operating LLC</w:t>
            </w:r>
          </w:p>
        </w:tc>
      </w:tr>
      <w:tr>
        <w:trPr>
          <w:trHeight w:val="212"/>
        </w:trPr>
        <w:tc>
          <w:tcPr>
            <w:tcW w:w="270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8540" w:type="dxa"/>
            <w:vAlign w:val="bottom"/>
          </w:tcPr>
          <w:p>
            <w:pPr>
              <w:ind w:left="560"/>
              <w:spacing w:after="0"/>
              <w:rPr>
                <w:sz w:val="20"/>
                <w:szCs w:val="20"/>
                <w:color w:val="auto"/>
              </w:rPr>
            </w:pPr>
            <w:r>
              <w:rPr>
                <w:rFonts w:ascii="Arial" w:cs="Arial" w:eastAsia="Arial" w:hAnsi="Arial"/>
                <w:sz w:val="18"/>
                <w:szCs w:val="18"/>
                <w:color w:val="auto"/>
                <w:w w:val="88"/>
              </w:rPr>
              <w:t>A non-GAAP measure, represents earnings before interest, tax, depreciation and amortization adjusted for mark-</w:t>
            </w:r>
          </w:p>
        </w:tc>
      </w:tr>
      <w:tr>
        <w:trPr>
          <w:trHeight w:val="197"/>
        </w:trPr>
        <w:tc>
          <w:tcPr>
            <w:tcW w:w="2700" w:type="dxa"/>
            <w:vAlign w:val="bottom"/>
          </w:tcPr>
          <w:p>
            <w:pPr>
              <w:spacing w:after="0"/>
              <w:rPr>
                <w:sz w:val="17"/>
                <w:szCs w:val="17"/>
                <w:color w:val="auto"/>
              </w:rPr>
            </w:pPr>
          </w:p>
        </w:tc>
        <w:tc>
          <w:tcPr>
            <w:tcW w:w="8540" w:type="dxa"/>
            <w:vAlign w:val="bottom"/>
          </w:tcPr>
          <w:p>
            <w:pPr>
              <w:ind w:left="280"/>
              <w:spacing w:after="0" w:line="197"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indicative of future operating performance</w:t>
            </w:r>
          </w:p>
        </w:tc>
      </w:tr>
      <w:tr>
        <w:trPr>
          <w:trHeight w:val="199"/>
        </w:trPr>
        <w:tc>
          <w:tcPr>
            <w:tcW w:w="2700" w:type="dxa"/>
            <w:vAlign w:val="bottom"/>
          </w:tcPr>
          <w:p>
            <w:pPr>
              <w:ind w:left="300"/>
              <w:spacing w:after="0" w:line="199" w:lineRule="exact"/>
              <w:rPr>
                <w:sz w:val="20"/>
                <w:szCs w:val="20"/>
                <w:color w:val="auto"/>
              </w:rPr>
            </w:pPr>
            <w:r>
              <w:rPr>
                <w:rFonts w:ascii="Arial" w:cs="Arial" w:eastAsia="Arial" w:hAnsi="Arial"/>
                <w:sz w:val="18"/>
                <w:szCs w:val="18"/>
                <w:color w:val="auto"/>
              </w:rPr>
              <w:t>Adjusted Gross Margin</w:t>
            </w:r>
          </w:p>
        </w:tc>
        <w:tc>
          <w:tcPr>
            <w:tcW w:w="8540" w:type="dxa"/>
            <w:vAlign w:val="bottom"/>
          </w:tcPr>
          <w:p>
            <w:pPr>
              <w:ind w:left="560"/>
              <w:spacing w:after="0" w:line="199" w:lineRule="exact"/>
              <w:rPr>
                <w:sz w:val="20"/>
                <w:szCs w:val="20"/>
                <w:color w:val="auto"/>
              </w:rPr>
            </w:pPr>
            <w:r>
              <w:rPr>
                <w:rFonts w:ascii="Arial" w:cs="Arial" w:eastAsia="Arial" w:hAnsi="Arial"/>
                <w:sz w:val="18"/>
                <w:szCs w:val="18"/>
                <w:color w:val="auto"/>
                <w:w w:val="89"/>
              </w:rPr>
              <w:t>A non-GAAP measure, represents total operating revenues, excluding contract amortization and mark-to-market</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Arial" w:cs="Arial" w:eastAsia="Arial" w:hAnsi="Arial"/>
                <w:sz w:val="18"/>
                <w:szCs w:val="18"/>
                <w:color w:val="auto"/>
                <w:w w:val="90"/>
              </w:rPr>
              <w:t>for economic hedges, less cost of fuels. See Item 2 Management’s Discussion and Analysis of Financial Condition</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Arial" w:cs="Arial" w:eastAsia="Arial" w:hAnsi="Arial"/>
                <w:sz w:val="18"/>
                <w:szCs w:val="18"/>
                <w:color w:val="auto"/>
                <w:w w:val="90"/>
              </w:rPr>
              <w:t>and Results of Operations – Management’s discussion of the results of operations for the quarters ended June 30,</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2021 and 2020 for a discussion of this measure</w:t>
            </w:r>
          </w:p>
        </w:tc>
      </w:tr>
      <w:tr>
        <w:trPr>
          <w:trHeight w:val="237"/>
        </w:trPr>
        <w:tc>
          <w:tcPr>
            <w:tcW w:w="2700" w:type="dxa"/>
            <w:vAlign w:val="bottom"/>
          </w:tcPr>
          <w:p>
            <w:pPr>
              <w:ind w:left="300"/>
              <w:spacing w:after="0"/>
              <w:rPr>
                <w:sz w:val="20"/>
                <w:szCs w:val="20"/>
                <w:color w:val="auto"/>
              </w:rPr>
            </w:pPr>
            <w:r>
              <w:rPr>
                <w:rFonts w:ascii="Arial" w:cs="Arial" w:eastAsia="Arial" w:hAnsi="Arial"/>
                <w:sz w:val="18"/>
                <w:szCs w:val="18"/>
                <w:color w:val="auto"/>
              </w:rPr>
              <w:t>AOCL</w:t>
            </w:r>
          </w:p>
        </w:tc>
        <w:tc>
          <w:tcPr>
            <w:tcW w:w="8540" w:type="dxa"/>
            <w:vAlign w:val="bottom"/>
          </w:tcPr>
          <w:p>
            <w:pPr>
              <w:ind w:left="560"/>
              <w:spacing w:after="0"/>
              <w:rPr>
                <w:sz w:val="20"/>
                <w:szCs w:val="20"/>
                <w:color w:val="auto"/>
              </w:rPr>
            </w:pPr>
            <w:r>
              <w:rPr>
                <w:rFonts w:ascii="Arial" w:cs="Arial" w:eastAsia="Arial" w:hAnsi="Arial"/>
                <w:sz w:val="18"/>
                <w:szCs w:val="18"/>
                <w:color w:val="auto"/>
              </w:rPr>
              <w:t>Accumulated Other Comprehensive Loss</w:t>
            </w:r>
          </w:p>
        </w:tc>
      </w:tr>
      <w:tr>
        <w:trPr>
          <w:trHeight w:val="344"/>
        </w:trPr>
        <w:tc>
          <w:tcPr>
            <w:tcW w:w="2700" w:type="dxa"/>
            <w:vAlign w:val="bottom"/>
          </w:tcPr>
          <w:p>
            <w:pPr>
              <w:ind w:left="300"/>
              <w:spacing w:after="0"/>
              <w:rPr>
                <w:sz w:val="20"/>
                <w:szCs w:val="20"/>
                <w:color w:val="auto"/>
              </w:rPr>
            </w:pPr>
            <w:r>
              <w:rPr>
                <w:rFonts w:ascii="Arial" w:cs="Arial" w:eastAsia="Arial" w:hAnsi="Arial"/>
                <w:sz w:val="18"/>
                <w:szCs w:val="18"/>
                <w:color w:val="auto"/>
              </w:rPr>
              <w:t>ASC</w:t>
            </w:r>
          </w:p>
        </w:tc>
        <w:tc>
          <w:tcPr>
            <w:tcW w:w="8540" w:type="dxa"/>
            <w:vAlign w:val="bottom"/>
          </w:tcPr>
          <w:p>
            <w:pPr>
              <w:ind w:left="5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authoritative GAAP</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ASU</w:t>
            </w:r>
          </w:p>
        </w:tc>
        <w:tc>
          <w:tcPr>
            <w:tcW w:w="8540" w:type="dxa"/>
            <w:vAlign w:val="bottom"/>
          </w:tcPr>
          <w:p>
            <w:pPr>
              <w:ind w:left="560"/>
              <w:spacing w:after="0"/>
              <w:rPr>
                <w:sz w:val="20"/>
                <w:szCs w:val="20"/>
                <w:color w:val="auto"/>
              </w:rPr>
            </w:pPr>
            <w:r>
              <w:rPr>
                <w:rFonts w:ascii="Arial" w:cs="Arial" w:eastAsia="Arial" w:hAnsi="Arial"/>
                <w:sz w:val="18"/>
                <w:szCs w:val="18"/>
                <w:color w:val="auto"/>
              </w:rPr>
              <w:t>Accounting Standards Updates - updates to the ASC</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ATM Programs</w:t>
            </w:r>
          </w:p>
        </w:tc>
        <w:tc>
          <w:tcPr>
            <w:tcW w:w="8540" w:type="dxa"/>
            <w:vAlign w:val="bottom"/>
          </w:tcPr>
          <w:p>
            <w:pPr>
              <w:ind w:left="560"/>
              <w:spacing w:after="0"/>
              <w:rPr>
                <w:sz w:val="20"/>
                <w:szCs w:val="20"/>
                <w:color w:val="auto"/>
              </w:rPr>
            </w:pPr>
            <w:r>
              <w:rPr>
                <w:rFonts w:ascii="Arial" w:cs="Arial" w:eastAsia="Arial" w:hAnsi="Arial"/>
                <w:sz w:val="18"/>
                <w:szCs w:val="18"/>
                <w:color w:val="auto"/>
              </w:rPr>
              <w:t>At-The-Market Equity Offering Programs</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CAFD</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0"/>
              </w:rPr>
              <w:t>A non-GAAP measure, Cash Available for Distribution is defined as of June 30, 2021 as Adjusted EBITDA plus</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2"/>
              </w:rPr>
              <w:t>cash distributions/return of investment from unconsolidated affiliates, adjustments to reflect CAFD generated by</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4"/>
              </w:rPr>
              <w:t>unconsolidated investments that were not able to distribute project dividends prior to PG&amp;E's emergence from</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2"/>
              </w:rPr>
              <w:t>bankruptcy on July 1, 2020 and subsequent release post-bankruptcy, cash receipts from notes receivable, cash</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6"/>
              </w:rPr>
              <w:t>distributions from noncontrolling interests, adjustments to reflect sales-type lease cash payments, less cash</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7"/>
              </w:rPr>
              <w:t>distributions to noncontrolling interests, maintenance capital expenditures, pro-rata Adjusted EBITDA from</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0"/>
              </w:rPr>
              <w:t>unconsolidated affiliates, cash interest paid, income taxes paid, principal amortization of indebtedness, changes in</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prepaid and accrued capacity payments, and adjusted for development expenses</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CEG</w:t>
            </w:r>
          </w:p>
        </w:tc>
        <w:tc>
          <w:tcPr>
            <w:tcW w:w="8540" w:type="dxa"/>
            <w:vAlign w:val="bottom"/>
          </w:tcPr>
          <w:p>
            <w:pPr>
              <w:ind w:left="56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w w:val="89"/>
              </w:rPr>
              <w:t>CEG Master Services Agreement</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89"/>
              </w:rPr>
              <w:t>Master Services Agreements entered into as of August 31, 2018 between the Company, Clearway Energy, Inc.,</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Clearway Energy Operating LLC, and CEG</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CEG ROFO Agreement</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89"/>
              </w:rPr>
              <w:t>LLC and Clearway Energy, Inc., and solely for purposes of Section 2.4, GIP III Zephyr Acquisition Partners, L.P., as</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88"/>
              </w:rPr>
              <w:t>amended by the First Amendment dated February 14, 2019, the Second Amendment dated August 1, 2019, the Third</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1"/>
              </w:rPr>
              <w:t>Amendment dated December 6, 2019, the Fourth Amendment dated November 2, 2020 and the Fifth Amendment</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dated August 2, 2021</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CARES Act</w:t>
            </w:r>
          </w:p>
        </w:tc>
        <w:tc>
          <w:tcPr>
            <w:tcW w:w="8540" w:type="dxa"/>
            <w:vAlign w:val="bottom"/>
          </w:tcPr>
          <w:p>
            <w:pPr>
              <w:ind w:left="560"/>
              <w:spacing w:after="0"/>
              <w:rPr>
                <w:sz w:val="20"/>
                <w:szCs w:val="20"/>
                <w:color w:val="auto"/>
              </w:rPr>
            </w:pPr>
            <w:r>
              <w:rPr>
                <w:rFonts w:ascii="Arial" w:cs="Arial" w:eastAsia="Arial" w:hAnsi="Arial"/>
                <w:sz w:val="18"/>
                <w:szCs w:val="18"/>
                <w:color w:val="auto"/>
              </w:rPr>
              <w:t>The Coronavirus Aid, Relief, and Economic Security Act</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Clearway Energy LLC</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4"/>
              </w:rPr>
              <w:t>The holding company through which the projects are owned by Clearway Energy Group LLC, the holder of</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89"/>
              </w:rPr>
              <w:t>Class B and Class D units of Clearway Energy LLC, and Clearway Energy, Inc., the holder of the Class A and Class</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C units</w:t>
            </w:r>
          </w:p>
        </w:tc>
      </w:tr>
      <w:tr>
        <w:trPr>
          <w:trHeight w:val="172"/>
        </w:trPr>
        <w:tc>
          <w:tcPr>
            <w:tcW w:w="2700" w:type="dxa"/>
            <w:vAlign w:val="bottom"/>
          </w:tcPr>
          <w:p>
            <w:pPr>
              <w:ind w:left="300"/>
              <w:spacing w:after="0" w:line="172" w:lineRule="exact"/>
              <w:rPr>
                <w:sz w:val="20"/>
                <w:szCs w:val="20"/>
                <w:color w:val="auto"/>
              </w:rPr>
            </w:pPr>
            <w:r>
              <w:rPr>
                <w:rFonts w:ascii="Arial" w:cs="Arial" w:eastAsia="Arial" w:hAnsi="Arial"/>
                <w:sz w:val="18"/>
                <w:szCs w:val="18"/>
                <w:color w:val="auto"/>
              </w:rPr>
              <w:t>Clearway Energy Group LLC</w:t>
            </w:r>
          </w:p>
        </w:tc>
        <w:tc>
          <w:tcPr>
            <w:tcW w:w="8540" w:type="dxa"/>
            <w:vAlign w:val="bottom"/>
          </w:tcPr>
          <w:p>
            <w:pPr>
              <w:ind w:left="560"/>
              <w:spacing w:after="0" w:line="172" w:lineRule="exact"/>
              <w:rPr>
                <w:sz w:val="20"/>
                <w:szCs w:val="20"/>
                <w:color w:val="auto"/>
              </w:rPr>
            </w:pPr>
            <w:r>
              <w:rPr>
                <w:rFonts w:ascii="Arial" w:cs="Arial" w:eastAsia="Arial" w:hAnsi="Arial"/>
                <w:sz w:val="18"/>
                <w:szCs w:val="18"/>
                <w:color w:val="auto"/>
                <w:w w:val="91"/>
              </w:rPr>
              <w:t>The holder of all of Clearway Energy, Inc.'s Class B and Class D common stock, the Company’s Class B and</w:t>
            </w:r>
          </w:p>
        </w:tc>
      </w:tr>
      <w:tr>
        <w:trPr>
          <w:trHeight w:val="171"/>
        </w:trPr>
        <w:tc>
          <w:tcPr>
            <w:tcW w:w="2700" w:type="dxa"/>
            <w:vAlign w:val="bottom"/>
          </w:tcPr>
          <w:p>
            <w:pPr>
              <w:spacing w:after="0"/>
              <w:rPr>
                <w:sz w:val="14"/>
                <w:szCs w:val="14"/>
                <w:color w:val="auto"/>
              </w:rPr>
            </w:pPr>
          </w:p>
        </w:tc>
        <w:tc>
          <w:tcPr>
            <w:tcW w:w="8540" w:type="dxa"/>
            <w:vAlign w:val="bottom"/>
          </w:tcPr>
          <w:p>
            <w:pPr>
              <w:ind w:left="280"/>
              <w:spacing w:after="0" w:line="171" w:lineRule="exact"/>
              <w:rPr>
                <w:sz w:val="20"/>
                <w:szCs w:val="20"/>
                <w:color w:val="auto"/>
              </w:rPr>
            </w:pPr>
            <w:r>
              <w:rPr>
                <w:rFonts w:ascii="Arial" w:cs="Arial" w:eastAsia="Arial" w:hAnsi="Arial"/>
                <w:sz w:val="18"/>
                <w:szCs w:val="18"/>
                <w:color w:val="auto"/>
                <w:w w:val="91"/>
              </w:rPr>
              <w:t>Class D units and, from time to time, possibly shares of Clearway Energy, Inc.’s Class A and/or Class C common</w:t>
            </w:r>
          </w:p>
        </w:tc>
      </w:tr>
      <w:tr>
        <w:trPr>
          <w:trHeight w:val="222"/>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stock</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w w:val="91"/>
              </w:rPr>
              <w:t>Clearway Energy Operating LLC</w:t>
            </w:r>
          </w:p>
        </w:tc>
        <w:tc>
          <w:tcPr>
            <w:tcW w:w="8540" w:type="dxa"/>
            <w:vAlign w:val="bottom"/>
          </w:tcPr>
          <w:p>
            <w:pPr>
              <w:ind w:left="560"/>
              <w:spacing w:after="0"/>
              <w:rPr>
                <w:sz w:val="20"/>
                <w:szCs w:val="20"/>
                <w:color w:val="auto"/>
              </w:rPr>
            </w:pPr>
            <w:r>
              <w:rPr>
                <w:rFonts w:ascii="Arial" w:cs="Arial" w:eastAsia="Arial" w:hAnsi="Arial"/>
                <w:sz w:val="18"/>
                <w:szCs w:val="18"/>
                <w:color w:val="auto"/>
              </w:rPr>
              <w:t>The holder of the project assets that are owned by Clearway Energy LLC</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COD</w:t>
            </w:r>
          </w:p>
        </w:tc>
        <w:tc>
          <w:tcPr>
            <w:tcW w:w="8540" w:type="dxa"/>
            <w:vAlign w:val="bottom"/>
          </w:tcPr>
          <w:p>
            <w:pPr>
              <w:ind w:left="560"/>
              <w:spacing w:after="0"/>
              <w:rPr>
                <w:sz w:val="20"/>
                <w:szCs w:val="20"/>
                <w:color w:val="auto"/>
              </w:rPr>
            </w:pPr>
            <w:r>
              <w:rPr>
                <w:rFonts w:ascii="Arial" w:cs="Arial" w:eastAsia="Arial" w:hAnsi="Arial"/>
                <w:sz w:val="18"/>
                <w:szCs w:val="18"/>
                <w:color w:val="auto"/>
              </w:rPr>
              <w:t>Commercial Operation Date</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Company</w:t>
            </w:r>
          </w:p>
        </w:tc>
        <w:tc>
          <w:tcPr>
            <w:tcW w:w="8540" w:type="dxa"/>
            <w:vAlign w:val="bottom"/>
          </w:tcPr>
          <w:p>
            <w:pPr>
              <w:ind w:left="560"/>
              <w:spacing w:after="0"/>
              <w:rPr>
                <w:sz w:val="20"/>
                <w:szCs w:val="20"/>
                <w:color w:val="auto"/>
              </w:rPr>
            </w:pPr>
            <w:r>
              <w:rPr>
                <w:rFonts w:ascii="Arial" w:cs="Arial" w:eastAsia="Arial" w:hAnsi="Arial"/>
                <w:sz w:val="18"/>
                <w:szCs w:val="18"/>
                <w:color w:val="auto"/>
              </w:rPr>
              <w:t>Clearway Energy, Inc. together with its consolidated subsidiaries</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CVSR</w:t>
            </w:r>
          </w:p>
        </w:tc>
        <w:tc>
          <w:tcPr>
            <w:tcW w:w="8540" w:type="dxa"/>
            <w:vAlign w:val="bottom"/>
          </w:tcPr>
          <w:p>
            <w:pPr>
              <w:ind w:left="560"/>
              <w:spacing w:after="0"/>
              <w:rPr>
                <w:sz w:val="20"/>
                <w:szCs w:val="20"/>
                <w:color w:val="auto"/>
              </w:rPr>
            </w:pPr>
            <w:r>
              <w:rPr>
                <w:rFonts w:ascii="Arial" w:cs="Arial" w:eastAsia="Arial" w:hAnsi="Arial"/>
                <w:sz w:val="18"/>
                <w:szCs w:val="18"/>
                <w:color w:val="auto"/>
              </w:rPr>
              <w:t>California Valley Solar Ranch</w:t>
            </w:r>
          </w:p>
        </w:tc>
      </w:tr>
      <w:tr>
        <w:trPr>
          <w:trHeight w:val="224"/>
        </w:trPr>
        <w:tc>
          <w:tcPr>
            <w:tcW w:w="2700" w:type="dxa"/>
            <w:vAlign w:val="bottom"/>
          </w:tcPr>
          <w:p>
            <w:pPr>
              <w:ind w:left="300"/>
              <w:spacing w:after="0"/>
              <w:rPr>
                <w:sz w:val="20"/>
                <w:szCs w:val="20"/>
                <w:color w:val="auto"/>
              </w:rPr>
            </w:pPr>
            <w:r>
              <w:rPr>
                <w:rFonts w:ascii="Arial" w:cs="Arial" w:eastAsia="Arial" w:hAnsi="Arial"/>
                <w:sz w:val="18"/>
                <w:szCs w:val="18"/>
                <w:color w:val="auto"/>
              </w:rPr>
              <w:t>CVSR Holdco</w:t>
            </w:r>
          </w:p>
        </w:tc>
        <w:tc>
          <w:tcPr>
            <w:tcW w:w="8540" w:type="dxa"/>
            <w:vAlign w:val="bottom"/>
          </w:tcPr>
          <w:p>
            <w:pPr>
              <w:ind w:left="560"/>
              <w:spacing w:after="0"/>
              <w:rPr>
                <w:sz w:val="20"/>
                <w:szCs w:val="20"/>
                <w:color w:val="auto"/>
              </w:rPr>
            </w:pPr>
            <w:r>
              <w:rPr>
                <w:rFonts w:ascii="Arial" w:cs="Arial" w:eastAsia="Arial" w:hAnsi="Arial"/>
                <w:sz w:val="18"/>
                <w:szCs w:val="18"/>
                <w:color w:val="auto"/>
              </w:rPr>
              <w:t>CVSR Holdco LLC, the indirect owner of CVSR</w:t>
            </w:r>
          </w:p>
        </w:tc>
      </w:tr>
      <w:tr>
        <w:trPr>
          <w:trHeight w:val="605"/>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231F20"/>
              </w:rPr>
              <w:t>4</w:t>
            </w:r>
          </w:p>
        </w:tc>
      </w:tr>
      <w:tr>
        <w:trPr>
          <w:trHeight w:val="349"/>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 w:name="page5"/>
    <w:bookmarkEnd w:id="4"/>
    <w:p>
      <w:pPr>
        <w:ind w:left="580"/>
        <w:spacing w:after="0"/>
        <w:rPr>
          <w:sz w:val="20"/>
          <w:szCs w:val="20"/>
          <w:color w:val="auto"/>
        </w:rPr>
      </w:pPr>
      <w:r>
        <w:rPr>
          <w:rFonts w:ascii="Arial" w:cs="Arial" w:eastAsia="Arial" w:hAnsi="Arial"/>
          <w:sz w:val="18"/>
          <w:szCs w:val="18"/>
          <w:color w:val="auto"/>
        </w:rPr>
        <w:t>Distributed Solar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Drop Down Assets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EPA</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Exchange Act</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FASB</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GAAP</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GenConn</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GIP</w:t>
      </w:r>
    </w:p>
    <w:p>
      <w:pPr>
        <w:spacing w:after="0" w:line="20" w:lineRule="exact"/>
        <w:rPr>
          <w:sz w:val="20"/>
          <w:szCs w:val="20"/>
          <w:color w:val="auto"/>
        </w:rPr>
      </w:pPr>
      <w:r>
        <w:rPr>
          <w:sz w:val="20"/>
          <w:szCs w:val="20"/>
          <w:color w:val="auto"/>
        </w:rPr>
        <w:br w:type="column"/>
      </w:r>
    </w:p>
    <w:p>
      <w:pPr>
        <w:jc w:val="both"/>
        <w:ind w:firstLine="276"/>
        <w:spacing w:after="0" w:line="274" w:lineRule="auto"/>
        <w:rPr>
          <w:sz w:val="20"/>
          <w:szCs w:val="20"/>
          <w:color w:val="auto"/>
        </w:rPr>
      </w:pPr>
      <w:r>
        <w:rPr>
          <w:rFonts w:ascii="Arial" w:cs="Arial" w:eastAsia="Arial" w:hAnsi="Arial"/>
          <w:sz w:val="15"/>
          <w:szCs w:val="15"/>
          <w:color w:val="auto"/>
        </w:rPr>
        <w:t>Solar power projects, typically less than 20 MW in size (on an alternating current, or AC, basis), that primarily sell power produced to customers for usage on site, or are interconnected to sell power into the local distribution gr</w:t>
      </w:r>
    </w:p>
    <w:p>
      <w:pPr>
        <w:spacing w:after="0" w:line="1" w:lineRule="exact"/>
        <w:rPr>
          <w:sz w:val="20"/>
          <w:szCs w:val="20"/>
          <w:color w:val="auto"/>
        </w:rPr>
      </w:pPr>
    </w:p>
    <w:p>
      <w:pPr>
        <w:ind w:right="40" w:firstLine="276"/>
        <w:spacing w:after="0" w:line="307" w:lineRule="auto"/>
        <w:rPr>
          <w:sz w:val="20"/>
          <w:szCs w:val="20"/>
          <w:color w:val="auto"/>
        </w:rPr>
      </w:pPr>
      <w:r>
        <w:rPr>
          <w:rFonts w:ascii="Arial" w:cs="Arial" w:eastAsia="Arial" w:hAnsi="Arial"/>
          <w:sz w:val="15"/>
          <w:szCs w:val="15"/>
          <w:color w:val="auto"/>
        </w:rPr>
        <w:t>Collectively, assets under common control acquired by the Company from NRG from January 1, 2014 through the period ended August 31, 2018 and from CEG from August 31, 2018 through the period ended June 30, 2021</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United States Environmental Protection Agency</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Securities Exchange Act of 1934, as amended</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Financial Accounting Standards Board</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Accounting principles generally accepted in the U.S.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GenConn Energy LLC</w:t>
      </w:r>
    </w:p>
    <w:p>
      <w:pPr>
        <w:spacing w:after="0" w:line="109" w:lineRule="exact"/>
        <w:rPr>
          <w:sz w:val="20"/>
          <w:szCs w:val="20"/>
          <w:color w:val="auto"/>
        </w:rPr>
      </w:pPr>
    </w:p>
    <w:p>
      <w:pPr>
        <w:jc w:val="both"/>
        <w:ind w:firstLine="276"/>
        <w:spacing w:after="0" w:line="218" w:lineRule="auto"/>
        <w:rPr>
          <w:sz w:val="20"/>
          <w:szCs w:val="20"/>
          <w:color w:val="auto"/>
        </w:rPr>
      </w:pPr>
      <w:r>
        <w:rPr>
          <w:rFonts w:ascii="Arial" w:cs="Arial" w:eastAsia="Arial" w:hAnsi="Arial"/>
          <w:sz w:val="18"/>
          <w:szCs w:val="18"/>
          <w:color w:val="auto"/>
        </w:rPr>
        <w:t>Collectively, Global Infrastructure Partners III-C Intermediate AIV 3, L.P., Global Infrastructure Partners II A/B AIV 3, L.P., Global Infrastructure Partners III-C Intermediate AIV 2, L.P., Global Infrastructure Partners III-C Intermediate AIV, L.P. and GIP III Zephyr Friends &amp; Family, LLC</w:t>
      </w:r>
    </w:p>
    <w:p>
      <w:pPr>
        <w:spacing w:after="0" w:line="81" w:lineRule="exact"/>
        <w:rPr>
          <w:sz w:val="20"/>
          <w:szCs w:val="20"/>
          <w:color w:val="auto"/>
        </w:rPr>
      </w:pPr>
    </w:p>
    <w:p>
      <w:pPr>
        <w:sectPr>
          <w:pgSz w:w="11900" w:h="16838" w:orient="portrait"/>
          <w:cols w:equalWidth="0" w:num="2">
            <w:col w:w="2540" w:space="720"/>
            <w:col w:w="8080"/>
          </w:cols>
          <w:pgMar w:left="320" w:top="917"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2620" w:type="dxa"/>
            <w:vAlign w:val="bottom"/>
          </w:tcPr>
          <w:p>
            <w:pPr>
              <w:ind w:left="580"/>
              <w:spacing w:after="0"/>
              <w:rPr>
                <w:sz w:val="20"/>
                <w:szCs w:val="20"/>
                <w:color w:val="auto"/>
              </w:rPr>
            </w:pPr>
            <w:r>
              <w:rPr>
                <w:rFonts w:ascii="Arial" w:cs="Arial" w:eastAsia="Arial" w:hAnsi="Arial"/>
                <w:sz w:val="18"/>
                <w:szCs w:val="18"/>
                <w:color w:val="auto"/>
              </w:rPr>
              <w:t>HLBV</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Hypothetical Liquidation at Book Value</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LIBOR</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London Inter-Bank Offered Rate</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MBTA</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Migratory Bird Treaty Act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Mesquite Star</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Mesquite Star Special LLC</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MMBtu</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Million British Thermal Units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Mt. Storm</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NedPower Mount Storm LLC</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MW</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Megawatt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MWh</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Saleable megawatt hours, net of internal/parasitic load megawatt-hours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MWt</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Megawatts Thermal Equivalent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Net Exposure</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Counterparty credit exposure to Clearway Energy, Inc. net of collateral</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NOLs</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Net Operating Losses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NPPD</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Nebraska Public Power District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NRG</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NRG Energy, Inc.</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OCL</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Other comprehensive loss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O&amp;M</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Operations and Maintenance</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PG&amp;E</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Pacific Gas and Electric Company</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PPA</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Power Purchase Agreement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PTC</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Production Tax Credit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RENOM</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Clearway Renewable Operation &amp; Maintenance LLC</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RPV Holdco</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RPV Holdco 1 LLC</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RTO</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Regional Transmission Organization</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SCE</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Southern California Edison</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SEC</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U.S. Securities and Exchange Commission</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Senior Notes</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Collectively, the 2026 Senior Notes, the 2028 Senior Notes and the 2031 Senior Notes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SPP</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Solar Power Partners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SREC</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Solar Renewable Energy Credit</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Tax Act</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Tax Cuts and Jobs Act of 2017</w:t>
            </w:r>
          </w:p>
        </w:tc>
      </w:tr>
      <w:tr>
        <w:trPr>
          <w:trHeight w:val="172"/>
        </w:trPr>
        <w:tc>
          <w:tcPr>
            <w:tcW w:w="2620" w:type="dxa"/>
            <w:vAlign w:val="bottom"/>
          </w:tcPr>
          <w:p>
            <w:pPr>
              <w:ind w:left="580"/>
              <w:spacing w:after="0" w:line="172" w:lineRule="exact"/>
              <w:rPr>
                <w:sz w:val="20"/>
                <w:szCs w:val="20"/>
                <w:color w:val="auto"/>
              </w:rPr>
            </w:pPr>
            <w:r>
              <w:rPr>
                <w:rFonts w:ascii="Arial" w:cs="Arial" w:eastAsia="Arial" w:hAnsi="Arial"/>
                <w:sz w:val="18"/>
                <w:szCs w:val="18"/>
                <w:color w:val="auto"/>
              </w:rPr>
              <w:t>Thermal Business</w:t>
            </w:r>
          </w:p>
        </w:tc>
        <w:tc>
          <w:tcPr>
            <w:tcW w:w="8720" w:type="dxa"/>
            <w:vAlign w:val="bottom"/>
            <w:gridSpan w:val="2"/>
          </w:tcPr>
          <w:p>
            <w:pPr>
              <w:ind w:left="920"/>
              <w:spacing w:after="0" w:line="172" w:lineRule="exact"/>
              <w:rPr>
                <w:sz w:val="20"/>
                <w:szCs w:val="20"/>
                <w:color w:val="auto"/>
              </w:rPr>
            </w:pPr>
            <w:r>
              <w:rPr>
                <w:rFonts w:ascii="Arial" w:cs="Arial" w:eastAsia="Arial" w:hAnsi="Arial"/>
                <w:sz w:val="18"/>
                <w:szCs w:val="18"/>
                <w:color w:val="auto"/>
                <w:w w:val="88"/>
              </w:rPr>
              <w:t>The Company's thermal business, which consists of thermal infrastructure assets that provide steam, hot water</w:t>
            </w:r>
          </w:p>
        </w:tc>
      </w:tr>
      <w:tr>
        <w:trPr>
          <w:trHeight w:val="171"/>
        </w:trPr>
        <w:tc>
          <w:tcPr>
            <w:tcW w:w="2620" w:type="dxa"/>
            <w:vAlign w:val="bottom"/>
          </w:tcPr>
          <w:p>
            <w:pPr>
              <w:spacing w:after="0"/>
              <w:rPr>
                <w:sz w:val="14"/>
                <w:szCs w:val="14"/>
                <w:color w:val="auto"/>
              </w:rPr>
            </w:pPr>
          </w:p>
        </w:tc>
        <w:tc>
          <w:tcPr>
            <w:tcW w:w="8720" w:type="dxa"/>
            <w:vAlign w:val="bottom"/>
            <w:gridSpan w:val="2"/>
          </w:tcPr>
          <w:p>
            <w:pPr>
              <w:ind w:left="640"/>
              <w:spacing w:after="0" w:line="171" w:lineRule="exact"/>
              <w:rPr>
                <w:sz w:val="20"/>
                <w:szCs w:val="20"/>
                <w:color w:val="auto"/>
              </w:rPr>
            </w:pPr>
            <w:r>
              <w:rPr>
                <w:rFonts w:ascii="Arial" w:cs="Arial" w:eastAsia="Arial" w:hAnsi="Arial"/>
                <w:sz w:val="18"/>
                <w:szCs w:val="18"/>
                <w:color w:val="auto"/>
                <w:w w:val="93"/>
              </w:rPr>
              <w:t>and/or chilled water, and in some instances electricity, to commercial businesses, universities, hospitals and</w:t>
            </w:r>
          </w:p>
        </w:tc>
      </w:tr>
      <w:tr>
        <w:trPr>
          <w:trHeight w:val="222"/>
        </w:trPr>
        <w:tc>
          <w:tcPr>
            <w:tcW w:w="2620" w:type="dxa"/>
            <w:vAlign w:val="bottom"/>
          </w:tcPr>
          <w:p>
            <w:pPr>
              <w:spacing w:after="0"/>
              <w:rPr>
                <w:sz w:val="19"/>
                <w:szCs w:val="19"/>
                <w:color w:val="auto"/>
              </w:rPr>
            </w:pPr>
          </w:p>
        </w:tc>
        <w:tc>
          <w:tcPr>
            <w:tcW w:w="8720" w:type="dxa"/>
            <w:vAlign w:val="bottom"/>
            <w:gridSpan w:val="2"/>
          </w:tcPr>
          <w:p>
            <w:pPr>
              <w:ind w:left="640"/>
              <w:spacing w:after="0"/>
              <w:rPr>
                <w:sz w:val="20"/>
                <w:szCs w:val="20"/>
                <w:color w:val="auto"/>
              </w:rPr>
            </w:pPr>
            <w:r>
              <w:rPr>
                <w:rFonts w:ascii="Arial" w:cs="Arial" w:eastAsia="Arial" w:hAnsi="Arial"/>
                <w:sz w:val="18"/>
                <w:szCs w:val="18"/>
                <w:color w:val="auto"/>
              </w:rPr>
              <w:t>governmental units</w:t>
            </w:r>
          </w:p>
        </w:tc>
      </w:tr>
      <w:tr>
        <w:trPr>
          <w:trHeight w:val="224"/>
        </w:trPr>
        <w:tc>
          <w:tcPr>
            <w:tcW w:w="2620" w:type="dxa"/>
            <w:vAlign w:val="bottom"/>
          </w:tcPr>
          <w:p>
            <w:pPr>
              <w:ind w:left="580"/>
              <w:spacing w:after="0"/>
              <w:rPr>
                <w:sz w:val="20"/>
                <w:szCs w:val="20"/>
                <w:color w:val="auto"/>
              </w:rPr>
            </w:pPr>
            <w:r>
              <w:rPr>
                <w:rFonts w:ascii="Arial" w:cs="Arial" w:eastAsia="Arial" w:hAnsi="Arial"/>
                <w:sz w:val="18"/>
                <w:szCs w:val="18"/>
                <w:color w:val="auto"/>
              </w:rPr>
              <w:t>U.S.</w:t>
            </w:r>
          </w:p>
        </w:tc>
        <w:tc>
          <w:tcPr>
            <w:tcW w:w="8720" w:type="dxa"/>
            <w:vAlign w:val="bottom"/>
            <w:gridSpan w:val="2"/>
          </w:tcPr>
          <w:p>
            <w:pPr>
              <w:ind w:left="920"/>
              <w:spacing w:after="0"/>
              <w:rPr>
                <w:sz w:val="20"/>
                <w:szCs w:val="20"/>
                <w:color w:val="auto"/>
              </w:rPr>
            </w:pPr>
            <w:r>
              <w:rPr>
                <w:rFonts w:ascii="Arial" w:cs="Arial" w:eastAsia="Arial" w:hAnsi="Arial"/>
                <w:sz w:val="18"/>
                <w:szCs w:val="18"/>
                <w:color w:val="auto"/>
              </w:rPr>
              <w:t>United States of America</w:t>
            </w:r>
          </w:p>
        </w:tc>
      </w:tr>
      <w:tr>
        <w:trPr>
          <w:trHeight w:val="172"/>
        </w:trPr>
        <w:tc>
          <w:tcPr>
            <w:tcW w:w="2620" w:type="dxa"/>
            <w:vAlign w:val="bottom"/>
          </w:tcPr>
          <w:p>
            <w:pPr>
              <w:ind w:left="580"/>
              <w:spacing w:after="0" w:line="172" w:lineRule="exact"/>
              <w:rPr>
                <w:sz w:val="20"/>
                <w:szCs w:val="20"/>
                <w:color w:val="auto"/>
              </w:rPr>
            </w:pPr>
            <w:r>
              <w:rPr>
                <w:rFonts w:ascii="Arial" w:cs="Arial" w:eastAsia="Arial" w:hAnsi="Arial"/>
                <w:sz w:val="18"/>
                <w:szCs w:val="18"/>
                <w:color w:val="auto"/>
              </w:rPr>
              <w:t>Utah Solar Portfolio</w:t>
            </w:r>
          </w:p>
        </w:tc>
        <w:tc>
          <w:tcPr>
            <w:tcW w:w="8720" w:type="dxa"/>
            <w:vAlign w:val="bottom"/>
            <w:gridSpan w:val="2"/>
          </w:tcPr>
          <w:p>
            <w:pPr>
              <w:ind w:left="920"/>
              <w:spacing w:after="0" w:line="172" w:lineRule="exact"/>
              <w:rPr>
                <w:sz w:val="20"/>
                <w:szCs w:val="20"/>
                <w:color w:val="auto"/>
              </w:rPr>
            </w:pPr>
            <w:r>
              <w:rPr>
                <w:rFonts w:ascii="Arial" w:cs="Arial" w:eastAsia="Arial" w:hAnsi="Arial"/>
                <w:sz w:val="18"/>
                <w:szCs w:val="18"/>
                <w:color w:val="auto"/>
                <w:w w:val="90"/>
              </w:rPr>
              <w:t>Collection consists of Four Brothers Solar, LLC, Granite Mountain Holdings, LLC, and Iron Springs Holdings,</w:t>
            </w:r>
          </w:p>
        </w:tc>
      </w:tr>
      <w:tr>
        <w:trPr>
          <w:trHeight w:val="171"/>
        </w:trPr>
        <w:tc>
          <w:tcPr>
            <w:tcW w:w="2620" w:type="dxa"/>
            <w:vAlign w:val="bottom"/>
          </w:tcPr>
          <w:p>
            <w:pPr>
              <w:spacing w:after="0"/>
              <w:rPr>
                <w:sz w:val="14"/>
                <w:szCs w:val="14"/>
                <w:color w:val="auto"/>
              </w:rPr>
            </w:pPr>
          </w:p>
        </w:tc>
        <w:tc>
          <w:tcPr>
            <w:tcW w:w="8720" w:type="dxa"/>
            <w:vAlign w:val="bottom"/>
            <w:gridSpan w:val="2"/>
          </w:tcPr>
          <w:p>
            <w:pPr>
              <w:ind w:left="640"/>
              <w:spacing w:after="0" w:line="171" w:lineRule="exact"/>
              <w:rPr>
                <w:sz w:val="20"/>
                <w:szCs w:val="20"/>
                <w:color w:val="auto"/>
              </w:rPr>
            </w:pPr>
            <w:r>
              <w:rPr>
                <w:rFonts w:ascii="Arial" w:cs="Arial" w:eastAsia="Arial" w:hAnsi="Arial"/>
                <w:sz w:val="18"/>
                <w:szCs w:val="18"/>
                <w:color w:val="auto"/>
                <w:w w:val="90"/>
              </w:rPr>
              <w:t>LLC, which are equity investments owned by Four Brothers Capital, LLC, Granite Mountain Capital, LLC, and Iro</w:t>
            </w:r>
          </w:p>
        </w:tc>
      </w:tr>
      <w:tr>
        <w:trPr>
          <w:trHeight w:val="222"/>
        </w:trPr>
        <w:tc>
          <w:tcPr>
            <w:tcW w:w="2620" w:type="dxa"/>
            <w:vAlign w:val="bottom"/>
          </w:tcPr>
          <w:p>
            <w:pPr>
              <w:spacing w:after="0"/>
              <w:rPr>
                <w:sz w:val="19"/>
                <w:szCs w:val="19"/>
                <w:color w:val="auto"/>
              </w:rPr>
            </w:pPr>
          </w:p>
        </w:tc>
        <w:tc>
          <w:tcPr>
            <w:tcW w:w="8720" w:type="dxa"/>
            <w:vAlign w:val="bottom"/>
            <w:gridSpan w:val="2"/>
          </w:tcPr>
          <w:p>
            <w:pPr>
              <w:ind w:left="640"/>
              <w:spacing w:after="0"/>
              <w:rPr>
                <w:sz w:val="20"/>
                <w:szCs w:val="20"/>
                <w:color w:val="auto"/>
              </w:rPr>
            </w:pPr>
            <w:r>
              <w:rPr>
                <w:rFonts w:ascii="Arial" w:cs="Arial" w:eastAsia="Arial" w:hAnsi="Arial"/>
                <w:sz w:val="18"/>
                <w:szCs w:val="18"/>
                <w:color w:val="auto"/>
              </w:rPr>
              <w:t>Springs Capital, LLC, respectively</w:t>
            </w:r>
          </w:p>
        </w:tc>
      </w:tr>
      <w:tr>
        <w:trPr>
          <w:trHeight w:val="605"/>
        </w:trPr>
        <w:tc>
          <w:tcPr>
            <w:tcW w:w="2620" w:type="dxa"/>
            <w:vAlign w:val="bottom"/>
          </w:tcPr>
          <w:p>
            <w:pPr>
              <w:spacing w:after="0"/>
              <w:rPr>
                <w:sz w:val="24"/>
                <w:szCs w:val="24"/>
                <w:color w:val="auto"/>
              </w:rPr>
            </w:pPr>
          </w:p>
        </w:tc>
        <w:tc>
          <w:tcPr>
            <w:tcW w:w="8620" w:type="dxa"/>
            <w:vAlign w:val="bottom"/>
          </w:tcPr>
          <w:p>
            <w:pPr>
              <w:ind w:left="2960"/>
              <w:spacing w:after="0"/>
              <w:rPr>
                <w:sz w:val="20"/>
                <w:szCs w:val="20"/>
                <w:color w:val="auto"/>
              </w:rPr>
            </w:pPr>
            <w:r>
              <w:rPr>
                <w:rFonts w:ascii="Arial" w:cs="Arial" w:eastAsia="Arial" w:hAnsi="Arial"/>
                <w:sz w:val="18"/>
                <w:szCs w:val="18"/>
                <w:color w:val="231F20"/>
              </w:rPr>
              <w:t>5</w:t>
            </w:r>
          </w:p>
        </w:tc>
        <w:tc>
          <w:tcPr>
            <w:tcW w:w="100" w:type="dxa"/>
            <w:vAlign w:val="bottom"/>
          </w:tcPr>
          <w:p>
            <w:pPr>
              <w:spacing w:after="0"/>
              <w:rPr>
                <w:sz w:val="24"/>
                <w:szCs w:val="24"/>
                <w:color w:val="auto"/>
              </w:rPr>
            </w:pPr>
          </w:p>
        </w:tc>
      </w:tr>
      <w:tr>
        <w:trPr>
          <w:trHeight w:val="349"/>
        </w:trPr>
        <w:tc>
          <w:tcPr>
            <w:tcW w:w="26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7"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560" w:type="dxa"/>
            <w:vAlign w:val="bottom"/>
          </w:tcPr>
          <w:p>
            <w:pPr>
              <w:ind w:left="580"/>
              <w:spacing w:after="0"/>
              <w:rPr>
                <w:sz w:val="20"/>
                <w:szCs w:val="20"/>
                <w:color w:val="auto"/>
              </w:rPr>
            </w:pPr>
            <w:r>
              <w:rPr>
                <w:rFonts w:ascii="Arial" w:cs="Arial" w:eastAsia="Arial" w:hAnsi="Arial"/>
                <w:sz w:val="18"/>
                <w:szCs w:val="18"/>
                <w:color w:val="auto"/>
              </w:rPr>
              <w:t>Utility Scale Solar</w:t>
            </w:r>
          </w:p>
        </w:tc>
        <w:tc>
          <w:tcPr>
            <w:tcW w:w="8680" w:type="dxa"/>
            <w:vAlign w:val="bottom"/>
          </w:tcPr>
          <w:p>
            <w:pPr>
              <w:ind w:left="980"/>
              <w:spacing w:after="0"/>
              <w:rPr>
                <w:sz w:val="20"/>
                <w:szCs w:val="20"/>
                <w:color w:val="auto"/>
              </w:rPr>
            </w:pPr>
            <w:r>
              <w:rPr>
                <w:rFonts w:ascii="Arial" w:cs="Arial" w:eastAsia="Arial" w:hAnsi="Arial"/>
                <w:sz w:val="18"/>
                <w:szCs w:val="18"/>
                <w:color w:val="auto"/>
                <w:w w:val="92"/>
              </w:rPr>
              <w:t>Solar power projects, typically 20 MW or greater in size (on an alternating current, or AC, basis), that are</w:t>
            </w:r>
          </w:p>
        </w:tc>
      </w:tr>
      <w:tr>
        <w:trPr>
          <w:trHeight w:val="222"/>
        </w:trPr>
        <w:tc>
          <w:tcPr>
            <w:tcW w:w="256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r>
      <w:tr>
        <w:trPr>
          <w:trHeight w:val="224"/>
        </w:trPr>
        <w:tc>
          <w:tcPr>
            <w:tcW w:w="2560" w:type="dxa"/>
            <w:vAlign w:val="bottom"/>
          </w:tcPr>
          <w:p>
            <w:pPr>
              <w:ind w:left="580"/>
              <w:spacing w:after="0"/>
              <w:rPr>
                <w:sz w:val="20"/>
                <w:szCs w:val="20"/>
                <w:color w:val="auto"/>
              </w:rPr>
            </w:pPr>
            <w:r>
              <w:rPr>
                <w:rFonts w:ascii="Arial" w:cs="Arial" w:eastAsia="Arial" w:hAnsi="Arial"/>
                <w:sz w:val="18"/>
                <w:szCs w:val="18"/>
                <w:color w:val="auto"/>
              </w:rPr>
              <w:t>VaR</w:t>
            </w:r>
          </w:p>
        </w:tc>
        <w:tc>
          <w:tcPr>
            <w:tcW w:w="8680" w:type="dxa"/>
            <w:vAlign w:val="bottom"/>
          </w:tcPr>
          <w:p>
            <w:pPr>
              <w:ind w:left="980"/>
              <w:spacing w:after="0"/>
              <w:rPr>
                <w:sz w:val="20"/>
                <w:szCs w:val="20"/>
                <w:color w:val="auto"/>
              </w:rPr>
            </w:pPr>
            <w:r>
              <w:rPr>
                <w:rFonts w:ascii="Arial" w:cs="Arial" w:eastAsia="Arial" w:hAnsi="Arial"/>
                <w:sz w:val="18"/>
                <w:szCs w:val="18"/>
                <w:color w:val="auto"/>
              </w:rPr>
              <w:t>Value at Risk</w:t>
            </w:r>
          </w:p>
        </w:tc>
      </w:tr>
      <w:tr>
        <w:trPr>
          <w:trHeight w:val="224"/>
        </w:trPr>
        <w:tc>
          <w:tcPr>
            <w:tcW w:w="2560" w:type="dxa"/>
            <w:vAlign w:val="bottom"/>
          </w:tcPr>
          <w:p>
            <w:pPr>
              <w:ind w:left="580"/>
              <w:spacing w:after="0"/>
              <w:rPr>
                <w:sz w:val="20"/>
                <w:szCs w:val="20"/>
                <w:color w:val="auto"/>
              </w:rPr>
            </w:pPr>
            <w:r>
              <w:rPr>
                <w:rFonts w:ascii="Arial" w:cs="Arial" w:eastAsia="Arial" w:hAnsi="Arial"/>
                <w:sz w:val="18"/>
                <w:szCs w:val="18"/>
                <w:color w:val="auto"/>
              </w:rPr>
              <w:t>VIE</w:t>
            </w:r>
          </w:p>
        </w:tc>
        <w:tc>
          <w:tcPr>
            <w:tcW w:w="8680" w:type="dxa"/>
            <w:vAlign w:val="bottom"/>
          </w:tcPr>
          <w:p>
            <w:pPr>
              <w:ind w:left="980"/>
              <w:spacing w:after="0"/>
              <w:rPr>
                <w:sz w:val="20"/>
                <w:szCs w:val="20"/>
                <w:color w:val="auto"/>
              </w:rPr>
            </w:pPr>
            <w:r>
              <w:rPr>
                <w:rFonts w:ascii="Arial" w:cs="Arial" w:eastAsia="Arial" w:hAnsi="Arial"/>
                <w:sz w:val="18"/>
                <w:szCs w:val="18"/>
                <w:color w:val="auto"/>
              </w:rPr>
              <w:t>Variable Interest Entity</w:t>
            </w:r>
          </w:p>
        </w:tc>
      </w:tr>
      <w:tr>
        <w:trPr>
          <w:trHeight w:val="842"/>
        </w:trPr>
        <w:tc>
          <w:tcPr>
            <w:tcW w:w="2560" w:type="dxa"/>
            <w:vAlign w:val="bottom"/>
          </w:tcPr>
          <w:p>
            <w:pPr>
              <w:spacing w:after="0"/>
              <w:rPr>
                <w:sz w:val="24"/>
                <w:szCs w:val="24"/>
                <w:color w:val="auto"/>
              </w:rPr>
            </w:pPr>
          </w:p>
        </w:tc>
        <w:tc>
          <w:tcPr>
            <w:tcW w:w="8680" w:type="dxa"/>
            <w:vAlign w:val="bottom"/>
          </w:tcPr>
          <w:p>
            <w:pPr>
              <w:ind w:left="3020"/>
              <w:spacing w:after="0"/>
              <w:rPr>
                <w:sz w:val="20"/>
                <w:szCs w:val="20"/>
                <w:color w:val="auto"/>
              </w:rPr>
            </w:pPr>
            <w:r>
              <w:rPr>
                <w:rFonts w:ascii="Arial" w:cs="Arial" w:eastAsia="Arial" w:hAnsi="Arial"/>
                <w:sz w:val="18"/>
                <w:szCs w:val="18"/>
                <w:color w:val="231F20"/>
              </w:rPr>
              <w:t>6</w:t>
            </w:r>
          </w:p>
        </w:tc>
      </w:tr>
      <w:tr>
        <w:trPr>
          <w:trHeight w:val="349"/>
        </w:trPr>
        <w:tc>
          <w:tcPr>
            <w:tcW w:w="256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5"/>
        </w:trPr>
        <w:tc>
          <w:tcPr>
            <w:tcW w:w="63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Operating Revenues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4"/>
        </w:trPr>
        <w:tc>
          <w:tcPr>
            <w:tcW w:w="63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38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8"/>
              </w:rPr>
              <w:t>Cost of operations, exclusive of depreciation, amortization and accretion shown</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separately below</w:t>
            </w: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4"/>
        </w:trPr>
        <w:tc>
          <w:tcPr>
            <w:tcW w:w="63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2"/>
              </w:rPr>
              <w:t>Less: (Loss) income attributable to noncontrolling interests and redeemable interests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8"/>
                <w:szCs w:val="18"/>
                <w:b w:val="1"/>
                <w:bCs w:val="1"/>
                <w:color w:val="auto"/>
                <w:w w:val="95"/>
              </w:rPr>
              <w:t>Earnings Per Share Attributable to Clearway Energy, Inc. Class A and Class 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number of Class A common shares outstanding - basic and diluted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4"/>
                <w:szCs w:val="14"/>
                <w:color w:val="auto"/>
              </w:rPr>
              <w:t>Weighted average number of Class C common shares outstanding - basic and diluted</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1"/>
        </w:trPr>
        <w:tc>
          <w:tcPr>
            <w:tcW w:w="638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b w:val="1"/>
                <w:bCs w:val="1"/>
                <w:color w:val="auto"/>
                <w:w w:val="91"/>
              </w:rPr>
              <w:t>Earnings per Weighted Average Class A and Class C Common Share - Basic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shd w:val="clear" w:color="auto" w:fill="CCEEFF"/>
          </w:tcPr>
          <w:p>
            <w:pPr>
              <w:ind w:left="180"/>
              <w:spacing w:after="0" w:line="197" w:lineRule="exact"/>
              <w:rPr>
                <w:sz w:val="20"/>
                <w:szCs w:val="20"/>
                <w:color w:val="auto"/>
              </w:rPr>
            </w:pPr>
            <w:r>
              <w:rPr>
                <w:rFonts w:ascii="Arial" w:cs="Arial" w:eastAsia="Arial" w:hAnsi="Arial"/>
                <w:sz w:val="18"/>
                <w:szCs w:val="18"/>
                <w:b w:val="1"/>
                <w:bCs w:val="1"/>
                <w:color w:val="auto"/>
              </w:rPr>
              <w:t>Diluted</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Dividends Per Class A Common Share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C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0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BFE4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BFE4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53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FE4FF"/>
          </w:tcPr>
          <w:p>
            <w:pPr>
              <w:ind w:left="7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center"/>
              <w:ind w:left="777"/>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320" w:type="dxa"/>
            <w:vAlign w:val="bottom"/>
            <w:shd w:val="clear" w:color="auto" w:fill="BFE4FF"/>
          </w:tcPr>
          <w:p>
            <w:pPr>
              <w:ind w:left="180"/>
              <w:spacing w:after="0" w:line="172" w:lineRule="exact"/>
              <w:rPr>
                <w:sz w:val="20"/>
                <w:szCs w:val="20"/>
                <w:color w:val="auto"/>
              </w:rPr>
            </w:pPr>
            <w:r>
              <w:rPr>
                <w:rFonts w:ascii="Arial" w:cs="Arial" w:eastAsia="Arial" w:hAnsi="Arial"/>
                <w:sz w:val="18"/>
                <w:szCs w:val="18"/>
                <w:color w:val="auto"/>
              </w:rPr>
              <w:t>Unrealized gain (loss) on derivatives, net of income tax expense</w:t>
            </w:r>
          </w:p>
        </w:tc>
        <w:tc>
          <w:tcPr>
            <w:tcW w:w="240" w:type="dxa"/>
            <w:vAlign w:val="bottom"/>
            <w:shd w:val="clear" w:color="auto" w:fill="BFE4FF"/>
          </w:tcPr>
          <w:p>
            <w:pPr>
              <w:spacing w:after="0"/>
              <w:rPr>
                <w:sz w:val="14"/>
                <w:szCs w:val="14"/>
                <w:color w:val="auto"/>
              </w:rPr>
            </w:pPr>
          </w:p>
        </w:tc>
        <w:tc>
          <w:tcPr>
            <w:tcW w:w="980" w:type="dxa"/>
            <w:vAlign w:val="bottom"/>
            <w:vMerge w:val="restart"/>
            <w:shd w:val="clear" w:color="auto" w:fill="BFE4FF"/>
          </w:tcPr>
          <w:p>
            <w:pPr>
              <w:ind w:left="7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BFE4FF"/>
          </w:tcPr>
          <w:p>
            <w:pPr>
              <w:spacing w:after="0"/>
              <w:rPr>
                <w:sz w:val="14"/>
                <w:szCs w:val="14"/>
                <w:color w:val="auto"/>
              </w:rPr>
            </w:pPr>
          </w:p>
        </w:tc>
        <w:tc>
          <w:tcPr>
            <w:tcW w:w="380" w:type="dxa"/>
            <w:vAlign w:val="bottom"/>
            <w:shd w:val="clear" w:color="auto" w:fill="BFE4FF"/>
          </w:tcPr>
          <w:p>
            <w:pPr>
              <w:spacing w:after="0"/>
              <w:rPr>
                <w:sz w:val="14"/>
                <w:szCs w:val="14"/>
                <w:color w:val="auto"/>
              </w:rPr>
            </w:pPr>
          </w:p>
        </w:tc>
        <w:tc>
          <w:tcPr>
            <w:tcW w:w="1200" w:type="dxa"/>
            <w:vAlign w:val="bottom"/>
            <w:vMerge w:val="restart"/>
            <w:shd w:val="clear" w:color="auto" w:fill="BFE4FF"/>
          </w:tcPr>
          <w:p>
            <w:pPr>
              <w:jc w:val="center"/>
              <w:ind w:left="817"/>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BFE4FF"/>
          </w:tcPr>
          <w:p>
            <w:pPr>
              <w:spacing w:after="0"/>
              <w:rPr>
                <w:sz w:val="14"/>
                <w:szCs w:val="14"/>
                <w:color w:val="auto"/>
              </w:rPr>
            </w:pPr>
          </w:p>
        </w:tc>
        <w:tc>
          <w:tcPr>
            <w:tcW w:w="380" w:type="dxa"/>
            <w:vAlign w:val="bottom"/>
            <w:shd w:val="clear" w:color="auto" w:fill="BFE4FF"/>
          </w:tcPr>
          <w:p>
            <w:pPr>
              <w:spacing w:after="0"/>
              <w:rPr>
                <w:sz w:val="14"/>
                <w:szCs w:val="14"/>
                <w:color w:val="auto"/>
              </w:rPr>
            </w:pPr>
          </w:p>
        </w:tc>
        <w:tc>
          <w:tcPr>
            <w:tcW w:w="12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20" w:type="dxa"/>
            <w:vAlign w:val="bottom"/>
            <w:shd w:val="clear" w:color="auto" w:fill="BFE4FF"/>
          </w:tcPr>
          <w:p>
            <w:pPr>
              <w:ind w:left="180"/>
              <w:spacing w:after="0"/>
              <w:rPr>
                <w:sz w:val="20"/>
                <w:szCs w:val="20"/>
                <w:color w:val="auto"/>
              </w:rPr>
            </w:pPr>
            <w:r>
              <w:rPr>
                <w:rFonts w:ascii="Arial" w:cs="Arial" w:eastAsia="Arial" w:hAnsi="Arial"/>
                <w:sz w:val="18"/>
                <w:szCs w:val="18"/>
                <w:color w:val="auto"/>
              </w:rPr>
              <w:t>(benefit) of $—, $1, $2 and $(1)</w:t>
            </w:r>
          </w:p>
        </w:tc>
        <w:tc>
          <w:tcPr>
            <w:tcW w:w="2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vMerge w:val="continue"/>
            <w:shd w:val="clear" w:color="auto" w:fill="BFE4FF"/>
          </w:tcPr>
          <w:p>
            <w:pPr>
              <w:spacing w:after="0"/>
              <w:rPr>
                <w:sz w:val="19"/>
                <w:szCs w:val="19"/>
                <w:color w:val="auto"/>
              </w:rPr>
            </w:pPr>
          </w:p>
        </w:tc>
        <w:tc>
          <w:tcPr>
            <w:tcW w:w="100" w:type="dxa"/>
            <w:vAlign w:val="bottom"/>
            <w:vMerge w:val="continue"/>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1200" w:type="dxa"/>
            <w:vAlign w:val="bottom"/>
            <w:tcBorders>
              <w:bottom w:val="single" w:sz="8" w:color="auto"/>
            </w:tcBorders>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122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left="817"/>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53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ind w:left="74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auto"/>
            </w:tcBorders>
            <w:shd w:val="clear" w:color="auto" w:fill="BFE4FF"/>
          </w:tcPr>
          <w:p>
            <w:pPr>
              <w:spacing w:after="0"/>
              <w:rPr>
                <w:sz w:val="18"/>
                <w:szCs w:val="18"/>
                <w:color w:val="auto"/>
              </w:rPr>
            </w:pPr>
          </w:p>
        </w:tc>
        <w:tc>
          <w:tcPr>
            <w:tcW w:w="9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BFE4FF"/>
            </w:tcBorders>
            <w:shd w:val="clear" w:color="auto" w:fill="BFE4FF"/>
          </w:tcPr>
          <w:p>
            <w:pPr>
              <w:spacing w:after="0"/>
              <w:rPr>
                <w:sz w:val="18"/>
                <w:szCs w:val="18"/>
                <w:color w:val="auto"/>
              </w:rPr>
            </w:pPr>
          </w:p>
        </w:tc>
        <w:tc>
          <w:tcPr>
            <w:tcW w:w="380" w:type="dxa"/>
            <w:vAlign w:val="bottom"/>
            <w:tcBorders>
              <w:top w:val="single" w:sz="8" w:color="auto"/>
            </w:tcBorders>
            <w:shd w:val="clear" w:color="auto" w:fill="BFE4FF"/>
          </w:tcPr>
          <w:p>
            <w:pPr>
              <w:spacing w:after="0"/>
              <w:rPr>
                <w:sz w:val="18"/>
                <w:szCs w:val="18"/>
                <w:color w:val="auto"/>
              </w:rPr>
            </w:pPr>
          </w:p>
        </w:tc>
        <w:tc>
          <w:tcPr>
            <w:tcW w:w="1200" w:type="dxa"/>
            <w:vAlign w:val="bottom"/>
            <w:tcBorders>
              <w:top w:val="single" w:sz="8" w:color="auto"/>
            </w:tcBorders>
            <w:shd w:val="clear" w:color="auto" w:fill="BFE4FF"/>
          </w:tcPr>
          <w:p>
            <w:pPr>
              <w:jc w:val="center"/>
              <w:ind w:left="777"/>
              <w:spacing w:after="0"/>
              <w:rPr>
                <w:sz w:val="20"/>
                <w:szCs w:val="20"/>
                <w:color w:val="auto"/>
              </w:rPr>
            </w:pPr>
            <w:r>
              <w:rPr>
                <w:rFonts w:ascii="Arial" w:cs="Arial" w:eastAsia="Arial" w:hAnsi="Arial"/>
                <w:sz w:val="18"/>
                <w:szCs w:val="18"/>
                <w:color w:val="auto"/>
                <w:w w:val="93"/>
              </w:rPr>
              <w:t>(33)</w:t>
            </w:r>
          </w:p>
        </w:tc>
        <w:tc>
          <w:tcPr>
            <w:tcW w:w="100" w:type="dxa"/>
            <w:vAlign w:val="bottom"/>
            <w:tcBorders>
              <w:top w:val="single" w:sz="8" w:color="BFE4FF"/>
            </w:tcBorders>
            <w:shd w:val="clear" w:color="auto" w:fill="BFE4FF"/>
          </w:tcPr>
          <w:p>
            <w:pPr>
              <w:spacing w:after="0"/>
              <w:rPr>
                <w:sz w:val="18"/>
                <w:szCs w:val="18"/>
                <w:color w:val="auto"/>
              </w:rPr>
            </w:pPr>
          </w:p>
        </w:tc>
        <w:tc>
          <w:tcPr>
            <w:tcW w:w="380" w:type="dxa"/>
            <w:vAlign w:val="bottom"/>
            <w:tcBorders>
              <w:top w:val="single" w:sz="8" w:color="auto"/>
            </w:tcBorders>
            <w:shd w:val="clear" w:color="auto" w:fill="BFE4FF"/>
          </w:tcPr>
          <w:p>
            <w:pPr>
              <w:spacing w:after="0"/>
              <w:rPr>
                <w:sz w:val="18"/>
                <w:szCs w:val="18"/>
                <w:color w:val="auto"/>
              </w:rPr>
            </w:pPr>
          </w:p>
        </w:tc>
        <w:tc>
          <w:tcPr>
            <w:tcW w:w="12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2"/>
        </w:trPr>
        <w:tc>
          <w:tcPr>
            <w:tcW w:w="5320" w:type="dxa"/>
            <w:vAlign w:val="bottom"/>
          </w:tcPr>
          <w:p>
            <w:pPr>
              <w:ind w:left="180"/>
              <w:spacing w:after="0" w:line="172" w:lineRule="exact"/>
              <w:rPr>
                <w:sz w:val="20"/>
                <w:szCs w:val="20"/>
                <w:color w:val="auto"/>
              </w:rPr>
            </w:pPr>
            <w:r>
              <w:rPr>
                <w:rFonts w:ascii="Arial" w:cs="Arial" w:eastAsia="Arial" w:hAnsi="Arial"/>
                <w:sz w:val="18"/>
                <w:szCs w:val="18"/>
                <w:color w:val="auto"/>
                <w:w w:val="98"/>
              </w:rPr>
              <w:t>Less: Comprehensive (loss) income attributable to noncontrolling</w:t>
            </w:r>
          </w:p>
        </w:tc>
        <w:tc>
          <w:tcPr>
            <w:tcW w:w="240" w:type="dxa"/>
            <w:vAlign w:val="bottom"/>
          </w:tcPr>
          <w:p>
            <w:pPr>
              <w:spacing w:after="0"/>
              <w:rPr>
                <w:sz w:val="14"/>
                <w:szCs w:val="14"/>
                <w:color w:val="auto"/>
              </w:rPr>
            </w:pPr>
          </w:p>
        </w:tc>
        <w:tc>
          <w:tcPr>
            <w:tcW w:w="980" w:type="dxa"/>
            <w:vAlign w:val="bottom"/>
            <w:vMerge w:val="restart"/>
          </w:tcPr>
          <w:p>
            <w:pPr>
              <w:ind w:left="76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center"/>
              <w:ind w:left="777"/>
              <w:spacing w:after="0"/>
              <w:rPr>
                <w:sz w:val="20"/>
                <w:szCs w:val="20"/>
                <w:color w:val="auto"/>
              </w:rPr>
            </w:pPr>
            <w:r>
              <w:rPr>
                <w:rFonts w:ascii="Arial" w:cs="Arial" w:eastAsia="Arial" w:hAnsi="Arial"/>
                <w:sz w:val="18"/>
                <w:szCs w:val="18"/>
                <w:color w:val="auto"/>
                <w:w w:val="93"/>
              </w:rPr>
              <w:t>(75)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BFE4FF"/>
            </w:tcBorders>
          </w:tcPr>
          <w:p>
            <w:pPr>
              <w:ind w:left="180"/>
              <w:spacing w:after="0"/>
              <w:rPr>
                <w:sz w:val="20"/>
                <w:szCs w:val="20"/>
                <w:color w:val="auto"/>
              </w:rPr>
            </w:pPr>
            <w:r>
              <w:rPr>
                <w:rFonts w:ascii="Arial" w:cs="Arial" w:eastAsia="Arial" w:hAnsi="Arial"/>
                <w:sz w:val="18"/>
                <w:szCs w:val="18"/>
                <w:color w:val="auto"/>
              </w:rPr>
              <w:t>interests and redeemable interests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240" w:type="dxa"/>
            <w:vAlign w:val="bottom"/>
            <w:tcBorders>
              <w:bottom w:val="single" w:sz="8" w:color="auto"/>
            </w:tcBorders>
            <w:shd w:val="clear" w:color="auto" w:fill="BFE4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E4FF"/>
          </w:tcPr>
          <w:p>
            <w:pPr>
              <w:ind w:left="74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auto"/>
            </w:tcBorders>
            <w:shd w:val="clear" w:color="auto" w:fill="BFE4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auto"/>
            </w:tcBorders>
            <w:shd w:val="clear" w:color="auto" w:fill="BFE4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BFE4FF"/>
          </w:tcPr>
          <w:p>
            <w:pPr>
              <w:jc w:val="center"/>
              <w:ind w:left="817"/>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auto"/>
            </w:tcBorders>
            <w:shd w:val="clear" w:color="auto" w:fill="BFE4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bottom w:val="single" w:sz="8" w:color="auto"/>
            </w:tcBorders>
          </w:tcPr>
          <w:p>
            <w:pPr>
              <w:spacing w:after="0" w:line="20" w:lineRule="exact"/>
              <w:rPr>
                <w:sz w:val="1"/>
                <w:szCs w:val="1"/>
                <w:color w:val="auto"/>
              </w:rPr>
            </w:pPr>
          </w:p>
        </w:tc>
        <w:tc>
          <w:tcPr>
            <w:tcW w:w="12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7"/>
              </w:rPr>
              <w:t>June 30,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91"/>
        </w:trPr>
        <w:tc>
          <w:tcPr>
            <w:tcW w:w="716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7"/>
        </w:trPr>
        <w:tc>
          <w:tcPr>
            <w:tcW w:w="716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7"/>
        </w:trPr>
        <w:tc>
          <w:tcPr>
            <w:tcW w:w="7160" w:type="dxa"/>
            <w:vAlign w:val="bottom"/>
          </w:tcPr>
          <w:p>
            <w:pPr>
              <w:ind w:left="180"/>
              <w:spacing w:after="0"/>
              <w:rPr>
                <w:sz w:val="20"/>
                <w:szCs w:val="20"/>
                <w:color w:val="auto"/>
              </w:rPr>
            </w:pPr>
            <w:r>
              <w:rPr>
                <w:rFonts w:ascii="Arial" w:cs="Arial" w:eastAsia="Arial" w:hAnsi="Arial"/>
                <w:sz w:val="16"/>
                <w:szCs w:val="16"/>
                <w:color w:val="auto"/>
              </w:rPr>
              <w:t>Accounts receivable — affiliates</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0"/>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80" w:type="dxa"/>
            <w:vAlign w:val="bottom"/>
          </w:tcPr>
          <w:p>
            <w:pPr>
              <w:spacing w:after="0"/>
              <w:rPr>
                <w:sz w:val="17"/>
                <w:szCs w:val="17"/>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7,537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07"/>
        </w:trPr>
        <w:tc>
          <w:tcPr>
            <w:tcW w:w="716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71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 of use assets,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shd w:val="clear" w:color="auto" w:fill="CCEEFF"/>
          </w:tcPr>
          <w:p>
            <w:pPr>
              <w:ind w:left="186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affiliates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88"/>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0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7,877</w:t>
            </w:r>
          </w:p>
        </w:tc>
        <w:tc>
          <w:tcPr>
            <w:tcW w:w="0" w:type="dxa"/>
            <w:vAlign w:val="bottom"/>
          </w:tcPr>
          <w:p>
            <w:pPr>
              <w:spacing w:after="0"/>
              <w:rPr>
                <w:sz w:val="1"/>
                <w:szCs w:val="1"/>
                <w:color w:val="auto"/>
              </w:rPr>
            </w:pPr>
          </w:p>
        </w:tc>
      </w:tr>
      <w:tr>
        <w:trPr>
          <w:trHeight w:val="19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7160" w:type="dxa"/>
            <w:vAlign w:val="bottom"/>
          </w:tcPr>
          <w:p>
            <w:pPr>
              <w:ind w:left="140"/>
              <w:spacing w:after="0" w:line="161" w:lineRule="exact"/>
              <w:rPr>
                <w:sz w:val="20"/>
                <w:szCs w:val="20"/>
                <w:color w:val="auto"/>
              </w:rPr>
            </w:pPr>
            <w:r>
              <w:rPr>
                <w:rFonts w:ascii="Arial" w:cs="Arial" w:eastAsia="Arial" w:hAnsi="Arial"/>
                <w:sz w:val="16"/>
                <w:szCs w:val="16"/>
                <w:color w:val="auto"/>
                <w:w w:val="93"/>
              </w:rPr>
              <w:t>Class A, Class B, Class C and Class D common stock, $0.01 par value; 3,000,000,000 shares authorized</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60" w:type="dxa"/>
            <w:vAlign w:val="bottom"/>
          </w:tcPr>
          <w:p>
            <w:pPr>
              <w:ind w:left="140"/>
              <w:spacing w:after="0" w:line="158" w:lineRule="exact"/>
              <w:rPr>
                <w:sz w:val="20"/>
                <w:szCs w:val="20"/>
                <w:color w:val="auto"/>
              </w:rPr>
            </w:pPr>
            <w:r>
              <w:rPr>
                <w:rFonts w:ascii="Arial" w:cs="Arial" w:eastAsia="Arial" w:hAnsi="Arial"/>
                <w:sz w:val="16"/>
                <w:szCs w:val="16"/>
                <w:color w:val="auto"/>
                <w:w w:val="92"/>
              </w:rPr>
              <w:t>(Class A 500,000,000, Class B 500,000,000, Class C 1,000,000,000, Class D 1,000,000,000); 201,836,708</w:t>
            </w: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Pr>
          <w:p>
            <w:pPr>
              <w:ind w:left="140"/>
              <w:spacing w:after="0" w:line="158" w:lineRule="exact"/>
              <w:rPr>
                <w:sz w:val="20"/>
                <w:szCs w:val="20"/>
                <w:color w:val="auto"/>
              </w:rPr>
            </w:pPr>
            <w:r>
              <w:rPr>
                <w:rFonts w:ascii="Arial" w:cs="Arial" w:eastAsia="Arial" w:hAnsi="Arial"/>
                <w:sz w:val="16"/>
                <w:szCs w:val="16"/>
                <w:color w:val="auto"/>
                <w:w w:val="95"/>
              </w:rPr>
              <w:t>shares issued and outstanding (Class A 34,599,645, Class B 42,738,750, Class C 81,759,563, Class D</w:t>
            </w: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Pr>
          <w:p>
            <w:pPr>
              <w:ind w:left="140"/>
              <w:spacing w:after="0" w:line="158" w:lineRule="exact"/>
              <w:rPr>
                <w:sz w:val="20"/>
                <w:szCs w:val="20"/>
                <w:color w:val="auto"/>
              </w:rPr>
            </w:pPr>
            <w:r>
              <w:rPr>
                <w:rFonts w:ascii="Arial" w:cs="Arial" w:eastAsia="Arial" w:hAnsi="Arial"/>
                <w:sz w:val="16"/>
                <w:szCs w:val="16"/>
                <w:color w:val="auto"/>
                <w:w w:val="91"/>
              </w:rPr>
              <w:t>42,738,750) at June 30, 2021 and 201,635,990 shares issued and outstanding (Class A 34,599,645, Class B</w:t>
            </w:r>
          </w:p>
        </w:tc>
        <w:tc>
          <w:tcPr>
            <w:tcW w:w="280" w:type="dxa"/>
            <w:vAlign w:val="bottom"/>
          </w:tcPr>
          <w:p>
            <w:pPr>
              <w:spacing w:after="0"/>
              <w:rPr>
                <w:sz w:val="13"/>
                <w:szCs w:val="13"/>
                <w:color w:val="auto"/>
              </w:rPr>
            </w:pPr>
          </w:p>
        </w:tc>
        <w:tc>
          <w:tcPr>
            <w:tcW w:w="150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7160" w:type="dxa"/>
            <w:vAlign w:val="bottom"/>
          </w:tcPr>
          <w:p>
            <w:pPr>
              <w:ind w:left="140"/>
              <w:spacing w:after="0"/>
              <w:rPr>
                <w:sz w:val="20"/>
                <w:szCs w:val="20"/>
                <w:color w:val="auto"/>
              </w:rPr>
            </w:pPr>
            <w:r>
              <w:rPr>
                <w:rFonts w:ascii="Arial" w:cs="Arial" w:eastAsia="Arial" w:hAnsi="Arial"/>
                <w:sz w:val="16"/>
                <w:szCs w:val="16"/>
                <w:color w:val="auto"/>
              </w:rPr>
              <w:t>42,738,750, Class C 81,558,845, Class D 42,738,750) at December 31, 2020</w:t>
            </w:r>
          </w:p>
        </w:tc>
        <w:tc>
          <w:tcPr>
            <w:tcW w:w="2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214630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540" w:top="753" w:right="5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4"/>
        </w:trPr>
        <w:tc>
          <w:tcPr>
            <w:tcW w:w="83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4"/>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Equity in earnings of unconsolidated affiliates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Reduction (increase) in carrying amount of right-of-use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unconsolidated affiliate</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360" w:type="dxa"/>
            <w:vAlign w:val="bottom"/>
          </w:tcPr>
          <w:p>
            <w:pPr>
              <w:ind w:left="120"/>
              <w:spacing w:after="0"/>
              <w:rPr>
                <w:sz w:val="20"/>
                <w:szCs w:val="20"/>
                <w:color w:val="auto"/>
              </w:rPr>
            </w:pPr>
            <w:r>
              <w:rPr>
                <w:rFonts w:ascii="Arial" w:cs="Arial" w:eastAsia="Arial" w:hAnsi="Arial"/>
                <w:sz w:val="18"/>
                <w:szCs w:val="18"/>
                <w:color w:val="auto"/>
              </w:rPr>
              <w:t>Cash used in changes in other working capital</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Changes in other working capital</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4"/>
        </w:trPr>
        <w:tc>
          <w:tcPr>
            <w:tcW w:w="83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Acquisition of Drop Down Asset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Consolidation of DGPV Holdco 3 LLC</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purchase from affiliate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Cash receipts from notes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4"/>
        </w:trPr>
        <w:tc>
          <w:tcPr>
            <w:tcW w:w="83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Buyout of Repowering Partnership II LLC noncontrolling interest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4"/>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long-term debt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214630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7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Common</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3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3"/>
              <w:spacing w:after="0" w:line="118"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5"/>
        </w:trPr>
        <w:tc>
          <w:tcPr>
            <w:tcW w:w="38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Comprehensive Loss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07"/>
        </w:trPr>
        <w:tc>
          <w:tcPr>
            <w:tcW w:w="38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Agua Caliente acquisition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w w:val="94"/>
              </w:rPr>
              <w:t>Dividends to common stockholders and distributions to</w:t>
            </w: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CEG</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7"/>
        </w:trPr>
        <w:tc>
          <w:tcPr>
            <w:tcW w:w="38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(loss) on derivatives,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Rattlesnake Drop Down</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w w:val="94"/>
              </w:rPr>
              <w:t>Dividends to common stockholders and distributions to</w:t>
            </w: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CEG</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Common</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3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3"/>
              <w:spacing w:after="0" w:line="118"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5"/>
        </w:trPr>
        <w:tc>
          <w:tcPr>
            <w:tcW w:w="38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Comprehensive Loss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07"/>
        </w:trPr>
        <w:tc>
          <w:tcPr>
            <w:tcW w:w="38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3880" w:type="dxa"/>
            <w:vAlign w:val="bottom"/>
            <w:shd w:val="clear" w:color="auto" w:fill="CCEEFF"/>
          </w:tcPr>
          <w:p>
            <w:pPr>
              <w:ind w:left="200"/>
              <w:spacing w:after="0" w:line="165" w:lineRule="exact"/>
              <w:rPr>
                <w:sz w:val="20"/>
                <w:szCs w:val="20"/>
                <w:color w:val="auto"/>
              </w:rPr>
            </w:pPr>
            <w:r>
              <w:rPr>
                <w:rFonts w:ascii="Arial" w:cs="Arial" w:eastAsia="Arial" w:hAnsi="Arial"/>
                <w:sz w:val="16"/>
                <w:szCs w:val="16"/>
                <w:color w:val="auto"/>
              </w:rPr>
              <w:t>Contributions from noncontrolling interests, net of</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w w:val="92"/>
              </w:rPr>
              <w:t>Net proceeds from the issuance of common stock under</w:t>
            </w:r>
          </w:p>
        </w:tc>
        <w:tc>
          <w:tcPr>
            <w:tcW w:w="10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6"/>
                <w:szCs w:val="16"/>
                <w:color w:val="auto"/>
              </w:rPr>
              <w:t>the ATM Program</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 non-cash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w w:val="94"/>
              </w:rPr>
              <w:t>Dividends to common stockholders and distributions to</w:t>
            </w: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CEG</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7"/>
        </w:trPr>
        <w:tc>
          <w:tcPr>
            <w:tcW w:w="38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rPr>
              <w:t>Distributions from noncontrolling interests, net of</w:t>
            </w:r>
          </w:p>
        </w:tc>
        <w:tc>
          <w:tcPr>
            <w:tcW w:w="10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6"/>
                <w:szCs w:val="16"/>
                <w:color w:val="auto"/>
              </w:rPr>
              <w:t>contribution, cash</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rPr>
              <w:t>Buyout of Repowering Partnership II LLC</w:t>
            </w:r>
          </w:p>
        </w:tc>
        <w:tc>
          <w:tcPr>
            <w:tcW w:w="10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Non-cash adjustment for change in tax basis</w:t>
            </w: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4"/>
        </w:trPr>
        <w:tc>
          <w:tcPr>
            <w:tcW w:w="3880" w:type="dxa"/>
            <w:vAlign w:val="bottom"/>
            <w:shd w:val="clear" w:color="auto" w:fill="CCEEFF"/>
          </w:tcPr>
          <w:p>
            <w:pPr>
              <w:ind w:left="200"/>
              <w:spacing w:after="0" w:line="165" w:lineRule="exact"/>
              <w:rPr>
                <w:sz w:val="20"/>
                <w:szCs w:val="20"/>
                <w:color w:val="auto"/>
              </w:rPr>
            </w:pPr>
            <w:r>
              <w:rPr>
                <w:rFonts w:ascii="Arial" w:cs="Arial" w:eastAsia="Arial" w:hAnsi="Arial"/>
                <w:sz w:val="16"/>
                <w:szCs w:val="16"/>
                <w:color w:val="auto"/>
                <w:w w:val="92"/>
              </w:rPr>
              <w:t>Net proceeds from the issuance of common stock under</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 ATM Program</w:t>
            </w: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80" w:type="dxa"/>
            <w:vAlign w:val="bottom"/>
          </w:tcPr>
          <w:p>
            <w:pPr>
              <w:ind w:left="200"/>
              <w:spacing w:after="0" w:line="161" w:lineRule="exact"/>
              <w:rPr>
                <w:sz w:val="20"/>
                <w:szCs w:val="20"/>
                <w:color w:val="auto"/>
              </w:rPr>
            </w:pPr>
            <w:r>
              <w:rPr>
                <w:rFonts w:ascii="Arial" w:cs="Arial" w:eastAsia="Arial" w:hAnsi="Arial"/>
                <w:sz w:val="16"/>
                <w:szCs w:val="16"/>
                <w:color w:val="auto"/>
                <w:w w:val="94"/>
              </w:rPr>
              <w:t>Dividends to common stockholders and distributions to</w:t>
            </w: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CEG</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0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4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231F20"/>
        </w:rPr>
        <w:t xml:space="preserve">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Arial" w:cs="Arial" w:eastAsia="Arial" w:hAnsi="Arial"/>
          <w:sz w:val="18"/>
          <w:szCs w:val="18"/>
          <w:color w:val="000000"/>
        </w:rPr>
        <w:t>From time to time, CEG may</w:t>
      </w:r>
      <w:r>
        <w:rPr>
          <w:rFonts w:ascii="Arial" w:cs="Arial" w:eastAsia="Arial" w:hAnsi="Arial"/>
          <w:sz w:val="18"/>
          <w:szCs w:val="18"/>
          <w:color w:val="231F20"/>
        </w:rPr>
        <w:t xml:space="preserve"> </w:t>
      </w:r>
      <w:r>
        <w:rPr>
          <w:rFonts w:ascii="Arial" w:cs="Arial" w:eastAsia="Arial" w:hAnsi="Arial"/>
          <w:sz w:val="18"/>
          <w:szCs w:val="18"/>
          <w:color w:val="000000"/>
        </w:rPr>
        <w:t>also hold shares of the Company's Class A and/or Class C common stock.</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 owns 57.65% of the economic interests of Clearway Energy LLC, with CEG owning 42.35% of the economic interests of Clearway Energy LLC as of June 30,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color w:val="auto"/>
        </w:rPr>
        <w:t>The following table represents the structure of the Company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5715000" cy="4286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0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1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2021, and results of operations, comprehensive income (loss) and cash flows for the six months ended June 30, 2021 and 2020.</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1"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6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Cash and cash equivalents include highly liquid investments with an original maturity of three months or less at the time of purchase. Cash and cash equivalents held at project subsidiaries was $125 million and $149 million as of June 30, 2021 and December 31, 2020, respectively.</w:t>
      </w:r>
    </w:p>
    <w:p>
      <w:pPr>
        <w:spacing w:after="0" w:line="8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04"/>
        </w:trPr>
        <w:tc>
          <w:tcPr>
            <w:tcW w:w="7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w w:val="95"/>
              </w:rPr>
              <w:t>(In millions)</w:t>
            </w:r>
          </w:p>
        </w:tc>
        <w:tc>
          <w:tcPr>
            <w:tcW w:w="1400" w:type="dxa"/>
            <w:vAlign w:val="bottom"/>
          </w:tcPr>
          <w:p>
            <w:pPr>
              <w:spacing w:after="0"/>
              <w:rPr>
                <w:sz w:val="17"/>
                <w:szCs w:val="17"/>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2"/>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144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Restricted cash consists primarily of funds held to satisfy the requirements of certain debt agreements and funds held within the Company's projects that are restricted in their use. As of June 30, 2021, these restricted funds were comprised of $131 million designated to fund operating expenses, approximately $38 million designated for current debt service payments, and $130 million restricted for reserves including debt service, performance obligations and other reserves, as well as capital expenditures. The remaining $33 million is held in distribution reserve accounts.</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will be held in a restricted account and utilized to offset future invoiced amounts under the projects' PPAs.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2021 and December 31,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6"/>
                <w:szCs w:val="16"/>
                <w:b w:val="1"/>
                <w:bCs w:val="1"/>
                <w:color w:val="auto"/>
              </w:rPr>
              <w:t>December 31, 2020</w:t>
            </w:r>
          </w:p>
        </w:tc>
      </w:tr>
      <w:tr>
        <w:trPr>
          <w:trHeight w:val="204"/>
        </w:trPr>
        <w:tc>
          <w:tcPr>
            <w:tcW w:w="7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gridSpan w:val="2"/>
          </w:tcPr>
          <w:p>
            <w:pPr>
              <w:jc w:val="right"/>
              <w:ind w:right="437"/>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r>
      <w:tr>
        <w:trPr>
          <w:trHeight w:val="22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2,573</w:t>
            </w:r>
          </w:p>
        </w:tc>
        <w:tc>
          <w:tcPr>
            <w:tcW w:w="9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w:t>
            </w:r>
          </w:p>
        </w:tc>
        <w:tc>
          <w:tcPr>
            <w:tcW w:w="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lists the dividends paid on the Company's Class A common stock and Class C common stock during the six months ended June 30, 2021:</w:t>
      </w: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Second Quarter 2021</w:t>
            </w:r>
          </w:p>
        </w:tc>
        <w:tc>
          <w:tcPr>
            <w:tcW w:w="140" w:type="dxa"/>
            <w:vAlign w:val="bottom"/>
          </w:tcPr>
          <w:p>
            <w:pPr>
              <w:spacing w:after="0"/>
              <w:rPr>
                <w:sz w:val="16"/>
                <w:szCs w:val="16"/>
                <w:color w:val="auto"/>
              </w:rPr>
            </w:pPr>
          </w:p>
        </w:tc>
        <w:tc>
          <w:tcPr>
            <w:tcW w:w="1300" w:type="dxa"/>
            <w:vAlign w:val="bottom"/>
          </w:tcPr>
          <w:p>
            <w:pPr>
              <w:jc w:val="right"/>
              <w:ind w:right="58"/>
              <w:spacing w:after="0"/>
              <w:rPr>
                <w:sz w:val="20"/>
                <w:szCs w:val="20"/>
                <w:color w:val="auto"/>
              </w:rPr>
            </w:pPr>
            <w:r>
              <w:rPr>
                <w:rFonts w:ascii="Arial" w:cs="Arial" w:eastAsia="Arial" w:hAnsi="Arial"/>
                <w:sz w:val="14"/>
                <w:szCs w:val="14"/>
                <w:b w:val="1"/>
                <w:bCs w:val="1"/>
                <w:color w:val="auto"/>
                <w:w w:val="95"/>
              </w:rPr>
              <w:t>First Quarter 2021</w:t>
            </w:r>
          </w:p>
        </w:tc>
      </w:tr>
      <w:tr>
        <w:trPr>
          <w:trHeight w:val="222"/>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50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500" w:type="dxa"/>
            <w:vAlign w:val="bottom"/>
          </w:tcPr>
          <w:p>
            <w:pPr>
              <w:jc w:val="right"/>
              <w:ind w:right="3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0.324</w:t>
            </w:r>
          </w:p>
        </w:tc>
      </w:tr>
    </w:tbl>
    <w:p>
      <w:pPr>
        <w:spacing w:after="0" w:line="2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July 23, 2021, the Company declared quarterly dividends on its Class A common stock and Class C common stock of $0.3345 per share payable on September 15, 2021 to stockholders of record as of September 1,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lists distributions paid to CEG during the six months ended June 30, 2021 on Clearway Energy LLC's Class B and D units: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Second Quarter 2021</w:t>
            </w:r>
          </w:p>
        </w:tc>
        <w:tc>
          <w:tcPr>
            <w:tcW w:w="120" w:type="dxa"/>
            <w:vAlign w:val="bottom"/>
          </w:tcPr>
          <w:p>
            <w:pPr>
              <w:spacing w:after="0"/>
              <w:rPr>
                <w:sz w:val="16"/>
                <w:szCs w:val="16"/>
                <w:color w:val="auto"/>
              </w:rPr>
            </w:pPr>
          </w:p>
        </w:tc>
        <w:tc>
          <w:tcPr>
            <w:tcW w:w="1320" w:type="dxa"/>
            <w:vAlign w:val="bottom"/>
          </w:tcPr>
          <w:p>
            <w:pPr>
              <w:jc w:val="right"/>
              <w:ind w:right="78"/>
              <w:spacing w:after="0"/>
              <w:rPr>
                <w:sz w:val="20"/>
                <w:szCs w:val="20"/>
                <w:color w:val="auto"/>
              </w:rPr>
            </w:pPr>
            <w:r>
              <w:rPr>
                <w:rFonts w:ascii="Arial" w:cs="Arial" w:eastAsia="Arial" w:hAnsi="Arial"/>
                <w:sz w:val="14"/>
                <w:szCs w:val="14"/>
                <w:b w:val="1"/>
                <w:bCs w:val="1"/>
                <w:color w:val="auto"/>
                <w:w w:val="95"/>
              </w:rPr>
              <w:t>First Quarter 2021</w:t>
            </w:r>
          </w:p>
        </w:tc>
      </w:tr>
      <w:tr>
        <w:trPr>
          <w:trHeight w:val="222"/>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54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540" w:type="dxa"/>
            <w:vAlign w:val="bottom"/>
          </w:tcPr>
          <w:p>
            <w:pPr>
              <w:jc w:val="right"/>
              <w:ind w:right="33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0.324</w:t>
            </w:r>
          </w:p>
        </w:tc>
      </w:tr>
    </w:tbl>
    <w:p>
      <w:pPr>
        <w:spacing w:after="0" w:line="317"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On July 23, 2021, Clearway Energy LLC declared a distribution on its Class B and Class D units of $0.3345 per unit payable on September 15, 2021 to unit holders of record as of September 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Thermal Revenues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1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Power Purchase Agreements, or PPAs</w:t>
      </w:r>
    </w:p>
    <w:p>
      <w:pPr>
        <w:spacing w:after="0" w:line="16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 the Company retained its historical lease assessments and classification upon adoption of ASC 842.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Renewable Energy Credits, or RECs</w:t>
      </w:r>
    </w:p>
    <w:p>
      <w:pPr>
        <w:spacing w:after="0" w:line="16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ind w:firstLine="395"/>
        <w:spacing w:after="0" w:line="252"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Disaggregated Revenues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2021 and 2020,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8"/>
              </w:rPr>
              <w:t>Three months ended June 30, 2021</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Conventional</w:t>
            </w:r>
          </w:p>
        </w:tc>
        <w:tc>
          <w:tcPr>
            <w:tcW w:w="18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10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261</w:t>
            </w:r>
          </w:p>
        </w:tc>
        <w:tc>
          <w:tcPr>
            <w:tcW w:w="10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333333"/>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w w:val="89"/>
              </w:rPr>
              <w:t>29</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333333"/>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292</w:t>
            </w:r>
          </w:p>
        </w:tc>
        <w:tc>
          <w:tcPr>
            <w:tcW w:w="0" w:type="dxa"/>
            <w:vAlign w:val="bottom"/>
          </w:tcPr>
          <w:p>
            <w:pPr>
              <w:spacing w:after="0"/>
              <w:rPr>
                <w:sz w:val="1"/>
                <w:szCs w:val="1"/>
                <w:color w:val="auto"/>
              </w:rPr>
            </w:pPr>
          </w:p>
        </w:tc>
      </w:tr>
      <w:tr>
        <w:trPr>
          <w:trHeight w:val="289"/>
        </w:trPr>
        <w:tc>
          <w:tcPr>
            <w:tcW w:w="614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33333"/>
              </w:rPr>
              <w:t>128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333333"/>
                <w:w w:val="99"/>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(37)</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33333"/>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333333"/>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33333"/>
              </w:rPr>
              <w:t>28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(31)</w:t>
            </w:r>
          </w:p>
        </w:tc>
        <w:tc>
          <w:tcPr>
            <w:tcW w:w="0" w:type="dxa"/>
            <w:vAlign w:val="bottom"/>
          </w:tcPr>
          <w:p>
            <w:pPr>
              <w:spacing w:after="0"/>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109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222</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w w:val="89"/>
              </w:rPr>
              <w:t>49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42424"/>
              </w:rPr>
              <w:t>380</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440" w:hanging="156"/>
        <w:spacing w:after="0"/>
        <w:tabs>
          <w:tab w:leader="none" w:pos="24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1720" w:type="dxa"/>
        <w:tblCellMar>
          <w:top w:w="0" w:type="dxa"/>
          <w:left w:w="0" w:type="dxa"/>
          <w:bottom w:w="0" w:type="dxa"/>
          <w:right w:w="0" w:type="dxa"/>
        </w:tblCellMar>
      </w:tblPr>
      <w:tr>
        <w:trPr>
          <w:trHeight w:val="15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ind w:left="840"/>
              <w:spacing w:after="0" w:line="151" w:lineRule="exact"/>
              <w:rPr>
                <w:sz w:val="20"/>
                <w:szCs w:val="20"/>
                <w:color w:val="auto"/>
              </w:rPr>
            </w:pPr>
            <w:r>
              <w:rPr>
                <w:rFonts w:ascii="Arial" w:cs="Arial" w:eastAsia="Arial" w:hAnsi="Arial"/>
                <w:sz w:val="14"/>
                <w:szCs w:val="14"/>
                <w:b w:val="1"/>
                <w:bCs w:val="1"/>
                <w:color w:val="auto"/>
              </w:rPr>
              <w:t>Conventional</w:t>
            </w:r>
          </w:p>
        </w:tc>
        <w:tc>
          <w:tcPr>
            <w:tcW w:w="17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Renewables</w:t>
            </w:r>
          </w:p>
        </w:tc>
        <w:tc>
          <w:tcPr>
            <w:tcW w:w="16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Thermal</w:t>
            </w:r>
          </w:p>
        </w:tc>
        <w:tc>
          <w:tcPr>
            <w:tcW w:w="90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3"/>
        </w:trPr>
        <w:tc>
          <w:tcPr>
            <w:tcW w:w="1440" w:type="dxa"/>
            <w:vAlign w:val="bottom"/>
            <w:vMerge w:val="continue"/>
          </w:tcPr>
          <w:p>
            <w:pPr>
              <w:spacing w:after="0"/>
              <w:rPr>
                <w:sz w:val="15"/>
                <w:szCs w:val="15"/>
                <w:color w:val="auto"/>
              </w:rPr>
            </w:pPr>
          </w:p>
        </w:tc>
        <w:tc>
          <w:tcPr>
            <w:tcW w:w="2140" w:type="dxa"/>
            <w:vAlign w:val="bottom"/>
          </w:tcPr>
          <w:p>
            <w:pPr>
              <w:ind w:left="700"/>
              <w:spacing w:after="0"/>
              <w:rPr>
                <w:sz w:val="20"/>
                <w:szCs w:val="20"/>
                <w:color w:val="auto"/>
              </w:rPr>
            </w:pPr>
            <w:r>
              <w:rPr>
                <w:rFonts w:ascii="Arial" w:cs="Arial" w:eastAsia="Arial" w:hAnsi="Arial"/>
                <w:sz w:val="14"/>
                <w:szCs w:val="14"/>
                <w:b w:val="1"/>
                <w:bCs w:val="1"/>
                <w:color w:val="auto"/>
              </w:rPr>
              <w:t>Generation</w:t>
            </w:r>
          </w:p>
        </w:tc>
        <w:tc>
          <w:tcPr>
            <w:tcW w:w="17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8"/>
        </w:trPr>
        <w:tc>
          <w:tcPr>
            <w:tcW w:w="20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Energy revenue</w:t>
            </w:r>
          </w:p>
        </w:tc>
        <w:tc>
          <w:tcPr>
            <w:tcW w:w="96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2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Capacity revenue</w:t>
            </w:r>
          </w:p>
        </w:tc>
        <w:tc>
          <w:tcPr>
            <w:tcW w:w="9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 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Conventional</w:t>
            </w:r>
          </w:p>
        </w:tc>
        <w:tc>
          <w:tcPr>
            <w:tcW w:w="18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89"/>
        </w:trPr>
        <w:tc>
          <w:tcPr>
            <w:tcW w:w="614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614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240" w:hanging="154"/>
        <w:spacing w:after="0"/>
        <w:tabs>
          <w:tab w:leader="none" w:pos="2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0" w:type="dxa"/>
        <w:tblCellMar>
          <w:top w:w="0" w:type="dxa"/>
          <w:left w:w="0" w:type="dxa"/>
          <w:bottom w:w="0" w:type="dxa"/>
          <w:right w:w="0" w:type="dxa"/>
        </w:tblCellMar>
      </w:tblPr>
      <w:tr>
        <w:trPr>
          <w:trHeight w:val="151"/>
        </w:trPr>
        <w:tc>
          <w:tcPr>
            <w:tcW w:w="1300" w:type="dxa"/>
            <w:vAlign w:val="bottom"/>
          </w:tcPr>
          <w:p>
            <w:pPr>
              <w:spacing w:after="0"/>
              <w:rPr>
                <w:sz w:val="13"/>
                <w:szCs w:val="13"/>
                <w:color w:val="auto"/>
              </w:rPr>
            </w:pPr>
          </w:p>
        </w:tc>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220" w:type="dxa"/>
            <w:vAlign w:val="bottom"/>
          </w:tcPr>
          <w:p>
            <w:pPr>
              <w:jc w:val="right"/>
              <w:ind w:right="239"/>
              <w:spacing w:after="0" w:line="151" w:lineRule="exact"/>
              <w:rPr>
                <w:sz w:val="20"/>
                <w:szCs w:val="20"/>
                <w:color w:val="auto"/>
              </w:rPr>
            </w:pPr>
            <w:r>
              <w:rPr>
                <w:rFonts w:ascii="Arial" w:cs="Arial" w:eastAsia="Arial" w:hAnsi="Arial"/>
                <w:sz w:val="14"/>
                <w:szCs w:val="14"/>
                <w:b w:val="1"/>
                <w:bCs w:val="1"/>
                <w:color w:val="auto"/>
                <w:w w:val="99"/>
              </w:rPr>
              <w:t>Conventional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12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27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Capacity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231F20"/>
                <w:w w:val="99"/>
              </w:rPr>
              <w:t>17</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tbl>
      <w:tblPr>
        <w:tblLayout w:type="fixed"/>
        <w:tblInd w:w="120" w:type="dxa"/>
        <w:tblCellMar>
          <w:top w:w="0" w:type="dxa"/>
          <w:left w:w="0" w:type="dxa"/>
          <w:bottom w:w="0" w:type="dxa"/>
          <w:right w:w="0" w:type="dxa"/>
        </w:tblCellMar>
      </w:tblPr>
      <w:tr>
        <w:trPr>
          <w:trHeight w:val="188"/>
        </w:trPr>
        <w:tc>
          <w:tcPr>
            <w:tcW w:w="6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Three months ended June 30, 2020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Conventional</w:t>
            </w:r>
          </w:p>
        </w:tc>
        <w:tc>
          <w:tcPr>
            <w:tcW w:w="12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89"/>
        </w:trPr>
        <w:tc>
          <w:tcPr>
            <w:tcW w:w="620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33333"/>
              </w:rPr>
              <w:t>112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33333"/>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33333"/>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620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620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40" w:hanging="154"/>
        <w:spacing w:after="0"/>
        <w:tabs>
          <w:tab w:leader="none" w:pos="224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1140" w:type="dxa"/>
        <w:tblCellMar>
          <w:top w:w="0" w:type="dxa"/>
          <w:left w:w="0" w:type="dxa"/>
          <w:bottom w:w="0" w:type="dxa"/>
          <w:right w:w="0" w:type="dxa"/>
        </w:tblCellMar>
      </w:tblPr>
      <w:tr>
        <w:trPr>
          <w:trHeight w:val="151"/>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340" w:type="dxa"/>
            <w:vAlign w:val="bottom"/>
            <w:gridSpan w:val="2"/>
          </w:tcPr>
          <w:p>
            <w:pPr>
              <w:ind w:left="100"/>
              <w:spacing w:after="0" w:line="151" w:lineRule="exact"/>
              <w:rPr>
                <w:sz w:val="20"/>
                <w:szCs w:val="20"/>
                <w:color w:val="auto"/>
              </w:rPr>
            </w:pPr>
            <w:r>
              <w:rPr>
                <w:rFonts w:ascii="Arial" w:cs="Arial" w:eastAsia="Arial" w:hAnsi="Arial"/>
                <w:sz w:val="14"/>
                <w:szCs w:val="14"/>
                <w:b w:val="1"/>
                <w:bCs w:val="1"/>
                <w:color w:val="auto"/>
              </w:rPr>
              <w:t>Conventional</w:t>
            </w:r>
          </w:p>
        </w:tc>
        <w:tc>
          <w:tcPr>
            <w:tcW w:w="260" w:type="dxa"/>
            <w:vAlign w:val="bottom"/>
          </w:tcPr>
          <w:p>
            <w:pPr>
              <w:spacing w:after="0"/>
              <w:rPr>
                <w:sz w:val="13"/>
                <w:szCs w:val="13"/>
                <w:color w:val="auto"/>
              </w:rPr>
            </w:pP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Renewables</w:t>
            </w:r>
          </w:p>
        </w:tc>
        <w:tc>
          <w:tcPr>
            <w:tcW w:w="100" w:type="dxa"/>
            <w:vAlign w:val="bottom"/>
            <w:vMerge w:val="restart"/>
          </w:tcPr>
          <w:p>
            <w:pPr>
              <w:spacing w:after="0"/>
              <w:rPr>
                <w:sz w:val="13"/>
                <w:szCs w:val="13"/>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7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Capacity revenue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Six months ended June 30, 2020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Conventional</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89"/>
        </w:trPr>
        <w:tc>
          <w:tcPr>
            <w:tcW w:w="63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36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636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40" w:hanging="154"/>
        <w:spacing w:after="0"/>
        <w:tabs>
          <w:tab w:leader="none" w:pos="2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0" w:type="dxa"/>
        <w:tblCellMar>
          <w:top w:w="0" w:type="dxa"/>
          <w:left w:w="0" w:type="dxa"/>
          <w:bottom w:w="0" w:type="dxa"/>
          <w:right w:w="0" w:type="dxa"/>
        </w:tblCellMar>
      </w:tblPr>
      <w:tr>
        <w:trPr>
          <w:trHeight w:val="151"/>
        </w:trPr>
        <w:tc>
          <w:tcPr>
            <w:tcW w:w="1140" w:type="dxa"/>
            <w:vAlign w:val="bottom"/>
          </w:tcPr>
          <w:p>
            <w:pPr>
              <w:spacing w:after="0"/>
              <w:rPr>
                <w:sz w:val="13"/>
                <w:szCs w:val="13"/>
                <w:color w:val="auto"/>
              </w:rPr>
            </w:pPr>
          </w:p>
        </w:tc>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0"/>
              </w:rPr>
              <w:t>Conventional</w:t>
            </w:r>
          </w:p>
        </w:tc>
        <w:tc>
          <w:tcPr>
            <w:tcW w:w="32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3"/>
                <w:szCs w:val="13"/>
                <w:color w:val="auto"/>
              </w:rPr>
            </w:pPr>
          </w:p>
        </w:tc>
        <w:tc>
          <w:tcPr>
            <w:tcW w:w="2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Generation</w:t>
            </w:r>
          </w:p>
        </w:tc>
        <w:tc>
          <w:tcPr>
            <w:tcW w:w="3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31F20"/>
              </w:rPr>
              <w:t>18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8" w:name="page19"/>
    <w:bookmarkEnd w:id="18"/>
    <w:p>
      <w:pPr>
        <w:ind w:left="400"/>
        <w:spacing w:after="0"/>
        <w:rPr>
          <w:sz w:val="20"/>
          <w:szCs w:val="20"/>
          <w:color w:val="auto"/>
        </w:rPr>
      </w:pPr>
      <w:r>
        <w:rPr>
          <w:rFonts w:ascii="Arial" w:cs="Arial" w:eastAsia="Arial" w:hAnsi="Arial"/>
          <w:sz w:val="18"/>
          <w:szCs w:val="18"/>
          <w:i w:val="1"/>
          <w:iCs w:val="1"/>
          <w:color w:val="auto"/>
        </w:rPr>
        <w:t>Contract Amortization</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Contract Balances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contract assets and liabilities included on the Company’s balance sheet as of June 30, 2021 and December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2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0"/>
              </w:rPr>
              <w:t>December 31, 2020</w:t>
            </w:r>
          </w:p>
        </w:tc>
      </w:tr>
      <w:tr>
        <w:trPr>
          <w:trHeight w:val="220"/>
        </w:trPr>
        <w:tc>
          <w:tcPr>
            <w:tcW w:w="6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580" w:type="dxa"/>
            <w:vAlign w:val="bottom"/>
          </w:tcPr>
          <w:p>
            <w:pPr>
              <w:spacing w:after="0"/>
              <w:rPr>
                <w:sz w:val="19"/>
                <w:szCs w:val="19"/>
                <w:color w:val="auto"/>
              </w:rPr>
            </w:pPr>
          </w:p>
        </w:tc>
      </w:tr>
      <w:tr>
        <w:trPr>
          <w:trHeight w:val="224"/>
        </w:trPr>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 Contracts with customers</w:t>
            </w:r>
          </w:p>
        </w:tc>
        <w:tc>
          <w:tcPr>
            <w:tcW w:w="182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Accounts receivable, net - Leases</w:t>
            </w:r>
          </w:p>
        </w:tc>
        <w:tc>
          <w:tcPr>
            <w:tcW w:w="1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2"/>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82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Company adopted the guidance as of January 1, 2021, with no material impact to the financial statements.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0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 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6"/>
          <w:szCs w:val="16"/>
          <w:i w:val="1"/>
          <w:iCs w:val="1"/>
          <w:color w:val="auto"/>
        </w:rPr>
        <w:t>Investments Accounted for by the Equity Method and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 Entities. </w:t>
      </w:r>
      <w:r>
        <w:rPr>
          <w:rFonts w:ascii="Arial" w:cs="Arial" w:eastAsia="Arial" w:hAnsi="Arial"/>
          <w:sz w:val="16"/>
          <w:szCs w:val="16"/>
          <w:color w:val="auto"/>
        </w:rPr>
        <w:t>The project has a 20-year PPA with Avista Corporation, which began when the facility reached commercial operations in December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CEG's noncontrolling interest balance.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19" w:name="page20"/>
    <w:bookmarkEnd w:id="19"/>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Rattlesnake</w:t>
            </w: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4"/>
        </w:trPr>
        <w:tc>
          <w:tcPr>
            <w:tcW w:w="8380" w:type="dxa"/>
            <w:vAlign w:val="bottom"/>
          </w:tcPr>
          <w:p>
            <w:pPr>
              <w:ind w:left="140"/>
              <w:spacing w:after="0" w:line="224" w:lineRule="exact"/>
              <w:rPr>
                <w:sz w:val="20"/>
                <w:szCs w:val="20"/>
                <w:color w:val="auto"/>
              </w:rPr>
            </w:pPr>
            <w:r>
              <w:rPr>
                <w:rFonts w:ascii="Arial" w:cs="Arial" w:eastAsia="Arial" w:hAnsi="Arial"/>
                <w:sz w:val="18"/>
                <w:szCs w:val="18"/>
                <w:color w:val="auto"/>
              </w:rPr>
              <w:t>Debt</w:t>
            </w:r>
            <w:r>
              <w:rPr>
                <w:rFonts w:ascii="Arial" w:cs="Arial" w:eastAsia="Arial" w:hAnsi="Arial"/>
                <w:sz w:val="22"/>
                <w:szCs w:val="22"/>
                <w:color w:val="auto"/>
                <w:vertAlign w:val="superscript"/>
              </w:rPr>
              <w:t>(a)</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7"/>
        </w:trPr>
        <w:tc>
          <w:tcPr>
            <w:tcW w:w="838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firstLine="400"/>
        <w:spacing w:after="0" w:line="234" w:lineRule="auto"/>
        <w:tabs>
          <w:tab w:leader="none" w:pos="54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144"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b w:val="1"/>
          <w:bCs w:val="1"/>
          <w:i w:val="1"/>
          <w:iCs w:val="1"/>
          <w:color w:val="auto"/>
        </w:rPr>
        <w:t xml:space="preserve">Agua Caliente Acquisition — </w:t>
      </w:r>
      <w:r>
        <w:rPr>
          <w:rFonts w:ascii="Arial" w:cs="Arial" w:eastAsia="Arial" w:hAnsi="Arial"/>
          <w:sz w:val="16"/>
          <w:szCs w:val="16"/>
          <w:color w:val="auto"/>
        </w:rPr>
        <w:t>On February 3, 2021, the Company acquired Agua Caliente Borrower 1 LLC from NRG Energy, Inc. for $202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Agua Caliente Borrower 1 LLC indirectly owns a 35% equity interest in Agua Caliente,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and was valued at historical carrying amount increased for the incremental fair value determined at the acquisition date.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Agua Caliente</w:t>
            </w: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43"/>
        </w:trPr>
        <w:tc>
          <w:tcPr>
            <w:tcW w:w="8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7"/>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54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17"/>
        </w:trPr>
        <w:tc>
          <w:tcPr>
            <w:tcW w:w="8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7"/>
        </w:trPr>
        <w:tc>
          <w:tcPr>
            <w:tcW w:w="838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67" w:lineRule="exact"/>
        <w:rPr>
          <w:sz w:val="20"/>
          <w:szCs w:val="20"/>
          <w:color w:val="auto"/>
        </w:rPr>
      </w:pPr>
    </w:p>
    <w:p>
      <w:pPr>
        <w:jc w:val="both"/>
        <w:ind w:firstLine="316"/>
        <w:spacing w:after="0" w:line="362" w:lineRule="auto"/>
        <w:rPr>
          <w:sz w:val="20"/>
          <w:szCs w:val="20"/>
          <w:color w:val="auto"/>
        </w:rPr>
      </w:pPr>
      <w:r>
        <w:rPr>
          <w:rFonts w:ascii="Arial" w:cs="Arial" w:eastAsia="Arial" w:hAnsi="Arial"/>
          <w:sz w:val="15"/>
          <w:szCs w:val="15"/>
          <w:color w:val="auto"/>
        </w:rPr>
        <w:t>The fair values of the property, plant and equipment, and intangible assets at the acquisition date were measured primarily based on significant inputs that are not observable in the market and thus represent a Level 3 measurement as defined in ASC 820, Fair Value Measurement. Significant inputs were as follows:</w:t>
      </w:r>
    </w:p>
    <w:p>
      <w:pPr>
        <w:spacing w:after="0" w:line="5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were determined primarily based on an income method using discounted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validated using a cost approach based on the replacement cost of the assets less economic obsolescence. The income approach was applied by determining the enterprise value for each acquired entity and subtracting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18"/>
          <w:szCs w:val="18"/>
          <w:color w:val="auto"/>
        </w:rPr>
        <w:t>the fair value of the intangible assets and working capital to determine the implied value of the tangible fixed assets. This 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the regulatory environment as of the acquisition date.</w:t>
      </w:r>
    </w:p>
    <w:p>
      <w:pPr>
        <w:spacing w:after="0" w:line="138"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19 years.</w:t>
      </w:r>
    </w:p>
    <w:p>
      <w:pPr>
        <w:spacing w:after="0" w:line="138"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equivalent credit quality.</w:t>
      </w:r>
    </w:p>
    <w:p>
      <w:pPr>
        <w:spacing w:after="0" w:line="12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13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b w:val="1"/>
          <w:bCs w:val="1"/>
          <w:i w:val="1"/>
          <w:iCs w:val="1"/>
          <w:color w:val="auto"/>
        </w:rPr>
        <w:t xml:space="preserve">Mt. Storm Wind Acquisition — </w:t>
      </w:r>
      <w:r>
        <w:rPr>
          <w:rFonts w:ascii="Arial" w:cs="Arial" w:eastAsia="Arial" w:hAnsi="Arial"/>
          <w:sz w:val="16"/>
          <w:szCs w:val="16"/>
          <w:color w:val="auto"/>
        </w:rPr>
        <w:t>On April 23, 2021, the Company acquired 100% of the equity interests in NedPower Mount Storm LLC, or Mt. Storm,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 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Mt. Storm</w:t>
            </w: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 acquired</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8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8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67" w:lineRule="exact"/>
        <w:rPr>
          <w:sz w:val="20"/>
          <w:szCs w:val="20"/>
          <w:color w:val="auto"/>
        </w:rPr>
      </w:pPr>
    </w:p>
    <w:p>
      <w:pPr>
        <w:ind w:firstLine="316"/>
        <w:spacing w:after="0" w:line="324" w:lineRule="auto"/>
        <w:rPr>
          <w:sz w:val="20"/>
          <w:szCs w:val="20"/>
          <w:color w:val="auto"/>
        </w:rPr>
      </w:pPr>
      <w:r>
        <w:rPr>
          <w:rFonts w:ascii="Arial" w:cs="Arial" w:eastAsia="Arial" w:hAnsi="Arial"/>
          <w:sz w:val="16"/>
          <w:szCs w:val="16"/>
          <w:color w:val="auto"/>
        </w:rPr>
        <w:t>The fair values of the property, plant and equipment, derivative instrument and intangible asset at the acquisition date were measured primarily based on significant inputs that are not observable in the market and thus represent a Level 3 measurement as defined in ASC 820, Fair Value Measurement.</w:t>
      </w:r>
    </w:p>
    <w:p>
      <w:pPr>
        <w:spacing w:after="0" w:line="82" w:lineRule="exact"/>
        <w:rPr>
          <w:sz w:val="20"/>
          <w:szCs w:val="20"/>
          <w:color w:val="auto"/>
        </w:rPr>
      </w:pPr>
    </w:p>
    <w:p>
      <w:pPr>
        <w:ind w:firstLine="316"/>
        <w:spacing w:after="0" w:line="261"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of property, plant and equipment were determined primarily based on an income method using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cash flows.</w:t>
      </w:r>
    </w:p>
    <w:p>
      <w:pPr>
        <w:spacing w:after="0" w:line="129" w:lineRule="exact"/>
        <w:rPr>
          <w:sz w:val="20"/>
          <w:szCs w:val="20"/>
          <w:color w:val="auto"/>
        </w:rPr>
      </w:pPr>
    </w:p>
    <w:p>
      <w:pPr>
        <w:ind w:right="40" w:firstLine="316"/>
        <w:spacing w:after="0" w:line="261"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intangible asset was using a market approach based on quoted prices of renewable energy credits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market.</w:t>
      </w:r>
    </w:p>
    <w:p>
      <w:pPr>
        <w:spacing w:after="0" w:line="129" w:lineRule="exact"/>
        <w:rPr>
          <w:sz w:val="20"/>
          <w:szCs w:val="20"/>
          <w:color w:val="auto"/>
        </w:rPr>
      </w:pPr>
    </w:p>
    <w:p>
      <w:pPr>
        <w:ind w:firstLine="316"/>
        <w:spacing w:after="0" w:line="261"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derivative instruments was determined based on the discounted cash flows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commodity contract.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b w:val="1"/>
          <w:bCs w:val="1"/>
          <w:i w:val="1"/>
          <w:iCs w:val="1"/>
          <w:color w:val="auto"/>
        </w:rPr>
        <w:t xml:space="preserve">Sale of Energy Center Dover LLC and Energy Center Smyrna LLC Assets </w:t>
      </w:r>
      <w:r>
        <w:rPr>
          <w:rFonts w:ascii="Arial" w:cs="Arial" w:eastAsia="Arial" w:hAnsi="Arial"/>
          <w:sz w:val="16"/>
          <w:szCs w:val="16"/>
          <w:color w:val="auto"/>
        </w:rPr>
        <w:t>— On March 3, 2020, the Company, through Clearway Thermal LLC,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its interests in Energy Center Dover LLC and 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right="4780"/>
        <w:spacing w:after="0" w:line="43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2020 Form 10-K.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tcPr>
          <w:p>
            <w:pPr>
              <w:ind w:left="400"/>
              <w:spacing w:after="0"/>
              <w:rPr>
                <w:sz w:val="20"/>
                <w:szCs w:val="20"/>
                <w:color w:val="auto"/>
              </w:rPr>
            </w:pPr>
            <w:r>
              <w:rPr>
                <w:rFonts w:ascii="Arial" w:cs="Arial" w:eastAsia="Arial" w:hAnsi="Arial"/>
                <w:sz w:val="18"/>
                <w:szCs w:val="18"/>
                <w:color w:val="auto"/>
              </w:rPr>
              <w:t>Summarized  financial</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information</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for</w:t>
            </w:r>
          </w:p>
        </w:tc>
        <w:tc>
          <w:tcPr>
            <w:tcW w:w="2420" w:type="dxa"/>
            <w:vAlign w:val="bottom"/>
            <w:gridSpan w:val="5"/>
          </w:tcPr>
          <w:p>
            <w:pPr>
              <w:jc w:val="right"/>
              <w:ind w:right="1"/>
              <w:spacing w:after="0"/>
              <w:rPr>
                <w:sz w:val="20"/>
                <w:szCs w:val="20"/>
                <w:color w:val="auto"/>
              </w:rPr>
            </w:pPr>
            <w:r>
              <w:rPr>
                <w:rFonts w:ascii="Arial" w:cs="Arial" w:eastAsia="Arial" w:hAnsi="Arial"/>
                <w:sz w:val="18"/>
                <w:szCs w:val="18"/>
                <w:color w:val="auto"/>
                <w:w w:val="98"/>
              </w:rPr>
              <w:t>the  Company's  consolidated</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VIEs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consisted</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of  the</w:t>
            </w:r>
          </w:p>
        </w:tc>
        <w:tc>
          <w:tcPr>
            <w:tcW w:w="780" w:type="dxa"/>
            <w:vAlign w:val="bottom"/>
          </w:tcPr>
          <w:p>
            <w:pPr>
              <w:jc w:val="right"/>
              <w:ind w:right="23"/>
              <w:spacing w:after="0"/>
              <w:rPr>
                <w:sz w:val="20"/>
                <w:szCs w:val="20"/>
                <w:color w:val="auto"/>
              </w:rPr>
            </w:pPr>
            <w:r>
              <w:rPr>
                <w:rFonts w:ascii="Arial" w:cs="Arial" w:eastAsia="Arial" w:hAnsi="Arial"/>
                <w:sz w:val="18"/>
                <w:szCs w:val="18"/>
                <w:color w:val="auto"/>
                <w:w w:val="94"/>
              </w:rPr>
              <w:t>following</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as  of</w:t>
            </w:r>
          </w:p>
        </w:tc>
        <w:tc>
          <w:tcPr>
            <w:tcW w:w="540" w:type="dxa"/>
            <w:vAlign w:val="bottom"/>
          </w:tcPr>
          <w:p>
            <w:pPr>
              <w:ind w:left="60"/>
              <w:spacing w:after="0"/>
              <w:rPr>
                <w:sz w:val="20"/>
                <w:szCs w:val="20"/>
                <w:color w:val="auto"/>
              </w:rPr>
            </w:pPr>
            <w:r>
              <w:rPr>
                <w:rFonts w:ascii="Arial" w:cs="Arial" w:eastAsia="Arial" w:hAnsi="Arial"/>
                <w:sz w:val="18"/>
                <w:szCs w:val="18"/>
                <w:color w:val="auto"/>
              </w:rPr>
              <w:t>June</w:t>
            </w:r>
          </w:p>
        </w:tc>
        <w:tc>
          <w:tcPr>
            <w:tcW w:w="860" w:type="dxa"/>
            <w:vAlign w:val="bottom"/>
          </w:tcPr>
          <w:p>
            <w:pPr>
              <w:jc w:val="right"/>
              <w:spacing w:after="0"/>
              <w:rPr>
                <w:sz w:val="20"/>
                <w:szCs w:val="20"/>
                <w:color w:val="auto"/>
              </w:rPr>
            </w:pPr>
            <w:r>
              <w:rPr>
                <w:rFonts w:ascii="Arial" w:cs="Arial" w:eastAsia="Arial" w:hAnsi="Arial"/>
                <w:sz w:val="18"/>
                <w:szCs w:val="18"/>
                <w:color w:val="auto"/>
              </w:rPr>
              <w:t>30,  2021:</w:t>
            </w:r>
          </w:p>
        </w:tc>
        <w:tc>
          <w:tcPr>
            <w:tcW w:w="0" w:type="dxa"/>
            <w:vAlign w:val="bottom"/>
          </w:tcPr>
          <w:p>
            <w:pPr>
              <w:spacing w:after="0"/>
              <w:rPr>
                <w:sz w:val="1"/>
                <w:szCs w:val="1"/>
                <w:color w:val="auto"/>
              </w:rPr>
            </w:pPr>
          </w:p>
        </w:tc>
      </w:tr>
      <w:tr>
        <w:trPr>
          <w:trHeight w:val="145"/>
        </w:trPr>
        <w:tc>
          <w:tcPr>
            <w:tcW w:w="22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gridSpan w:val="2"/>
            <w:vMerge w:val="restart"/>
          </w:tcPr>
          <w:p>
            <w:pPr>
              <w:jc w:val="right"/>
              <w:ind w:right="12"/>
              <w:spacing w:after="0"/>
              <w:rPr>
                <w:sz w:val="20"/>
                <w:szCs w:val="20"/>
                <w:color w:val="auto"/>
              </w:rPr>
            </w:pPr>
            <w:r>
              <w:rPr>
                <w:rFonts w:ascii="Arial" w:cs="Arial" w:eastAsia="Arial" w:hAnsi="Arial"/>
                <w:sz w:val="12"/>
                <w:szCs w:val="12"/>
                <w:b w:val="1"/>
                <w:bCs w:val="1"/>
                <w:color w:val="auto"/>
              </w:rPr>
              <w:t>Alta TE Holdco</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Buckthorn</w:t>
            </w:r>
          </w:p>
        </w:tc>
        <w:tc>
          <w:tcPr>
            <w:tcW w:w="144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DGPV Funds</w:t>
            </w:r>
            <w:r>
              <w:rPr>
                <w:rFonts w:ascii="Arial" w:cs="Arial" w:eastAsia="Arial" w:hAnsi="Arial"/>
                <w:sz w:val="15"/>
                <w:szCs w:val="15"/>
                <w:b w:val="1"/>
                <w:bCs w:val="1"/>
                <w:color w:val="auto"/>
                <w:vertAlign w:val="superscript"/>
              </w:rPr>
              <w: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Kawailoa</w:t>
            </w:r>
          </w:p>
        </w:tc>
        <w:tc>
          <w:tcPr>
            <w:tcW w:w="1500" w:type="dxa"/>
            <w:vAlign w:val="bottom"/>
            <w:gridSpan w:val="3"/>
          </w:tcPr>
          <w:p>
            <w:pPr>
              <w:ind w:left="540"/>
              <w:spacing w:after="0"/>
              <w:rPr>
                <w:sz w:val="20"/>
                <w:szCs w:val="20"/>
                <w:color w:val="auto"/>
              </w:rPr>
            </w:pPr>
            <w:r>
              <w:rPr>
                <w:rFonts w:ascii="Arial" w:cs="Arial" w:eastAsia="Arial" w:hAnsi="Arial"/>
                <w:sz w:val="12"/>
                <w:szCs w:val="12"/>
                <w:b w:val="1"/>
                <w:bCs w:val="1"/>
                <w:color w:val="auto"/>
              </w:rPr>
              <w:t>Langford TE</w:t>
            </w:r>
          </w:p>
        </w:tc>
        <w:tc>
          <w:tcPr>
            <w:tcW w:w="540" w:type="dxa"/>
            <w:vAlign w:val="bottom"/>
          </w:tcPr>
          <w:p>
            <w:pPr>
              <w:spacing w:after="0"/>
              <w:rPr>
                <w:sz w:val="12"/>
                <w:szCs w:val="12"/>
                <w:color w:val="auto"/>
              </w:rPr>
            </w:pPr>
          </w:p>
        </w:tc>
        <w:tc>
          <w:tcPr>
            <w:tcW w:w="860" w:type="dxa"/>
            <w:vAlign w:val="bottom"/>
          </w:tcPr>
          <w:p>
            <w:pPr>
              <w:jc w:val="right"/>
              <w:ind w:right="135"/>
              <w:spacing w:after="0"/>
              <w:rPr>
                <w:sz w:val="20"/>
                <w:szCs w:val="20"/>
                <w:color w:val="auto"/>
              </w:rPr>
            </w:pPr>
            <w:r>
              <w:rPr>
                <w:rFonts w:ascii="Arial" w:cs="Arial" w:eastAsia="Arial" w:hAnsi="Arial"/>
                <w:sz w:val="12"/>
                <w:szCs w:val="12"/>
                <w:b w:val="1"/>
                <w:bCs w:val="1"/>
                <w:color w:val="auto"/>
                <w:w w:val="95"/>
              </w:rPr>
              <w:t>Lighthouse</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2"/>
                <w:szCs w:val="12"/>
                <w:b w:val="1"/>
                <w:bCs w:val="1"/>
                <w:color w:val="auto"/>
              </w:rPr>
              <w:t>Renewables, LLC</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2"/>
                <w:szCs w:val="12"/>
                <w:b w:val="1"/>
                <w:bCs w:val="1"/>
                <w:color w:val="auto"/>
              </w:rPr>
              <w:t>Partnership</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2"/>
                <w:szCs w:val="12"/>
                <w:b w:val="1"/>
                <w:bCs w:val="1"/>
                <w:color w:val="auto"/>
              </w:rPr>
              <w:t>Partnership LLC</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8"/>
              </w:rPr>
              <w:t>Renewable Holdco LLC</w:t>
            </w: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ind w:left="420"/>
              <w:spacing w:after="0" w:line="152" w:lineRule="exact"/>
              <w:rPr>
                <w:sz w:val="20"/>
                <w:szCs w:val="20"/>
                <w:color w:val="auto"/>
              </w:rPr>
            </w:pPr>
            <w:r>
              <w:rPr>
                <w:rFonts w:ascii="Arial" w:cs="Arial" w:eastAsia="Arial" w:hAnsi="Arial"/>
                <w:sz w:val="16"/>
                <w:szCs w:val="16"/>
                <w:color w:val="auto"/>
              </w:rPr>
              <w:t>Other current and non-</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220" w:type="dxa"/>
            <w:vAlign w:val="bottom"/>
          </w:tcPr>
          <w:p>
            <w:pPr>
              <w:ind w:left="420"/>
              <w:spacing w:after="0" w:line="172" w:lineRule="exact"/>
              <w:rPr>
                <w:sz w:val="20"/>
                <w:szCs w:val="20"/>
                <w:color w:val="auto"/>
              </w:rPr>
            </w:pPr>
            <w:r>
              <w:rPr>
                <w:rFonts w:ascii="Arial" w:cs="Arial" w:eastAsia="Arial" w:hAnsi="Arial"/>
                <w:sz w:val="18"/>
                <w:szCs w:val="18"/>
                <w:color w:val="auto"/>
              </w:rPr>
              <w:t>Property, plant and</w:t>
            </w:r>
          </w:p>
        </w:tc>
        <w:tc>
          <w:tcPr>
            <w:tcW w:w="10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0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20" w:type="dxa"/>
            <w:vAlign w:val="bottom"/>
          </w:tcPr>
          <w:p>
            <w:pPr>
              <w:ind w:left="580"/>
              <w:spacing w:after="0"/>
              <w:rPr>
                <w:sz w:val="20"/>
                <w:szCs w:val="20"/>
                <w:color w:val="auto"/>
              </w:rPr>
            </w:pPr>
            <w:r>
              <w:rPr>
                <w:rFonts w:ascii="Arial" w:cs="Arial" w:eastAsia="Arial" w:hAnsi="Arial"/>
                <w:sz w:val="18"/>
                <w:szCs w:val="18"/>
                <w:color w:val="auto"/>
              </w:rPr>
              <w:t>Total assets</w:t>
            </w: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420"/>
              <w:spacing w:after="0" w:line="172" w:lineRule="exact"/>
              <w:rPr>
                <w:sz w:val="20"/>
                <w:szCs w:val="20"/>
                <w:color w:val="auto"/>
              </w:rPr>
            </w:pPr>
            <w:r>
              <w:rPr>
                <w:rFonts w:ascii="Arial" w:cs="Arial" w:eastAsia="Arial" w:hAnsi="Arial"/>
                <w:sz w:val="18"/>
                <w:szCs w:val="18"/>
                <w:color w:val="auto"/>
                <w:w w:val="92"/>
              </w:rPr>
              <w:t>Current and non-current</w:t>
            </w:r>
          </w:p>
        </w:tc>
        <w:tc>
          <w:tcPr>
            <w:tcW w:w="10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4"/>
        </w:trPr>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52"/>
        </w:trPr>
        <w:tc>
          <w:tcPr>
            <w:tcW w:w="2220" w:type="dxa"/>
            <w:vAlign w:val="bottom"/>
          </w:tcPr>
          <w:p>
            <w:pPr>
              <w:ind w:left="520"/>
              <w:spacing w:after="0" w:line="152" w:lineRule="exact"/>
              <w:rPr>
                <w:sz w:val="20"/>
                <w:szCs w:val="20"/>
                <w:color w:val="auto"/>
              </w:rPr>
            </w:pPr>
            <w:r>
              <w:rPr>
                <w:rFonts w:ascii="Arial" w:cs="Arial" w:eastAsia="Arial" w:hAnsi="Arial"/>
                <w:sz w:val="16"/>
                <w:szCs w:val="16"/>
                <w:color w:val="auto"/>
              </w:rPr>
              <w:t>Net assets less</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3"/>
                <w:szCs w:val="13"/>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642</w:t>
            </w:r>
          </w:p>
        </w:tc>
        <w:tc>
          <w:tcPr>
            <w:tcW w:w="70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7"/>
        </w:trPr>
        <w:tc>
          <w:tcPr>
            <w:tcW w:w="2220" w:type="dxa"/>
            <w:vAlign w:val="bottom"/>
          </w:tcPr>
          <w:p>
            <w:pPr>
              <w:ind w:left="120"/>
              <w:spacing w:after="0" w:line="196" w:lineRule="exact"/>
              <w:rPr>
                <w:sz w:val="20"/>
                <w:szCs w:val="20"/>
                <w:color w:val="auto"/>
              </w:rPr>
            </w:pPr>
            <w:r>
              <w:rPr>
                <w:rFonts w:ascii="Arial" w:cs="Arial" w:eastAsia="Arial" w:hAnsi="Arial"/>
                <w:sz w:val="18"/>
                <w:szCs w:val="18"/>
                <w:color w:val="auto"/>
              </w:rPr>
              <w:t>noncontrolling interests</w:t>
            </w:r>
          </w:p>
        </w:tc>
        <w:tc>
          <w:tcPr>
            <w:tcW w:w="10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hanging="175"/>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Oahu</w:t>
            </w:r>
          </w:p>
        </w:tc>
        <w:tc>
          <w:tcPr>
            <w:tcW w:w="13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2"/>
              </w:rPr>
              <w:t>Pinnacle Repowering</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Rattlesnake TE Holdco</w:t>
            </w:r>
          </w:p>
        </w:tc>
        <w:tc>
          <w:tcPr>
            <w:tcW w:w="13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Rosie TargetCo LLC</w:t>
            </w:r>
          </w:p>
        </w:tc>
        <w:tc>
          <w:tcPr>
            <w:tcW w:w="24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Wildorado</w:t>
            </w:r>
          </w:p>
        </w:tc>
        <w:tc>
          <w:tcPr>
            <w:tcW w:w="260" w:type="dxa"/>
            <w:vAlign w:val="bottom"/>
          </w:tcPr>
          <w:p>
            <w:pPr>
              <w:spacing w:after="0"/>
              <w:rPr>
                <w:sz w:val="12"/>
                <w:szCs w:val="12"/>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5"/>
                <w:szCs w:val="15"/>
                <w:b w:val="1"/>
                <w:bCs w:val="1"/>
                <w:color w:val="auto"/>
                <w:vertAlign w:val="superscript"/>
              </w:rPr>
              <w:t>(a)</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Solar Partnership</w:t>
            </w: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Partnership LLC</w:t>
            </w:r>
          </w:p>
        </w:tc>
        <w:tc>
          <w:tcPr>
            <w:tcW w:w="32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LLC</w:t>
            </w:r>
          </w:p>
        </w:tc>
        <w:tc>
          <w:tcPr>
            <w:tcW w:w="1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TE Holdco</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30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7"/>
        </w:trPr>
        <w:tc>
          <w:tcPr>
            <w:tcW w:w="3060" w:type="dxa"/>
            <w:vAlign w:val="bottom"/>
          </w:tcPr>
          <w:p>
            <w:pPr>
              <w:ind w:left="120"/>
              <w:spacing w:after="0"/>
              <w:rPr>
                <w:sz w:val="20"/>
                <w:szCs w:val="20"/>
                <w:color w:val="auto"/>
              </w:rPr>
            </w:pPr>
            <w:r>
              <w:rPr>
                <w:rFonts w:ascii="Arial" w:cs="Arial" w:eastAsia="Arial" w:hAnsi="Arial"/>
                <w:sz w:val="18"/>
                <w:szCs w:val="18"/>
                <w:color w:val="auto"/>
                <w:w w:val="93"/>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80" w:hanging="175"/>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2021.</w:t>
      </w:r>
    </w:p>
    <w:p>
      <w:pPr>
        <w:spacing w:after="0" w:line="161"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b w:val="1"/>
          <w:bCs w:val="1"/>
          <w:i w:val="1"/>
          <w:iCs w:val="1"/>
          <w:color w:val="auto"/>
        </w:rPr>
        <w:t xml:space="preserve">Rattlesnake TE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January 12, 2021, the Company acquired CEG's equity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61"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b w:val="1"/>
          <w:bCs w:val="1"/>
          <w:i w:val="1"/>
          <w:iCs w:val="1"/>
          <w:color w:val="auto"/>
        </w:rPr>
        <w:t>Pinnacle Repowering Partnership LL</w:t>
      </w:r>
      <w:r>
        <w:rPr>
          <w:rFonts w:ascii="Arial" w:cs="Arial" w:eastAsia="Arial" w:hAnsi="Arial"/>
          <w:sz w:val="16"/>
          <w:szCs w:val="16"/>
          <w:color w:val="auto"/>
        </w:rPr>
        <w:t>C</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On February 26, 2021, the Company entered into an amended agreement with CWSP Pinnacle Holding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 indirect subsidiary of CEG, with respect to Pinnacle Repowering Partnership LLC in order to facilitate the repowering of the Pinnacle wind project, a 55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to the consolidated financial statements included in the Company's 2020 Form 10-K.</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Company's maximum exposure to loss as of June 30, 2021 is limited to its equity investment in the unconsolidated entities, as further summarized in the table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500" w:type="dxa"/>
            <w:vAlign w:val="bottom"/>
            <w:tcBorders>
              <w:bottom w:val="single" w:sz="8" w:color="auto"/>
            </w:tcBorders>
          </w:tcPr>
          <w:p>
            <w:pPr>
              <w:jc w:val="center"/>
              <w:ind w:left="2954"/>
              <w:spacing w:after="0"/>
              <w:rPr>
                <w:sz w:val="20"/>
                <w:szCs w:val="20"/>
                <w:color w:val="auto"/>
              </w:rPr>
            </w:pPr>
            <w:r>
              <w:rPr>
                <w:rFonts w:ascii="Arial" w:cs="Arial" w:eastAsia="Arial" w:hAnsi="Arial"/>
                <w:sz w:val="16"/>
                <w:szCs w:val="16"/>
                <w:b w:val="1"/>
                <w:bCs w:val="1"/>
                <w:color w:val="auto"/>
                <w:w w:val="87"/>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5"/>
              </w:rPr>
              <w:t>Investment Balance</w:t>
            </w:r>
          </w:p>
        </w:tc>
      </w:tr>
      <w:tr>
        <w:trPr>
          <w:trHeight w:val="180"/>
        </w:trPr>
        <w:tc>
          <w:tcPr>
            <w:tcW w:w="47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jc w:val="right"/>
              <w:ind w:right="555"/>
              <w:spacing w:after="0"/>
              <w:rPr>
                <w:sz w:val="20"/>
                <w:szCs w:val="20"/>
                <w:color w:val="auto"/>
              </w:rPr>
            </w:pPr>
            <w:r>
              <w:rPr>
                <w:rFonts w:ascii="Arial" w:cs="Arial" w:eastAsia="Arial" w:hAnsi="Arial"/>
                <w:sz w:val="14"/>
                <w:szCs w:val="14"/>
                <w:b w:val="1"/>
                <w:bCs w:val="1"/>
                <w:color w:val="auto"/>
              </w:rPr>
              <w:t>(In millions)</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500" w:type="dxa"/>
            <w:vAlign w:val="bottom"/>
            <w:shd w:val="clear" w:color="auto" w:fill="CCEEFF"/>
          </w:tcPr>
          <w:p>
            <w:pPr>
              <w:jc w:val="center"/>
              <w:ind w:left="2974"/>
              <w:spacing w:after="0"/>
              <w:rPr>
                <w:sz w:val="20"/>
                <w:szCs w:val="20"/>
                <w:color w:val="auto"/>
              </w:rPr>
            </w:pPr>
            <w:r>
              <w:rPr>
                <w:rFonts w:ascii="Arial" w:cs="Arial" w:eastAsia="Arial" w:hAnsi="Arial"/>
                <w:sz w:val="18"/>
                <w:szCs w:val="18"/>
                <w:color w:val="auto"/>
                <w:w w:val="88"/>
              </w:rPr>
              <w:t>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500" w:type="dxa"/>
            <w:vAlign w:val="bottom"/>
          </w:tcPr>
          <w:p>
            <w:pPr>
              <w:jc w:val="center"/>
              <w:ind w:left="2974"/>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500" w:type="dxa"/>
            <w:vAlign w:val="bottom"/>
            <w:shd w:val="clear" w:color="auto" w:fill="CCEEFF"/>
          </w:tcPr>
          <w:p>
            <w:pPr>
              <w:jc w:val="center"/>
              <w:ind w:left="2974"/>
              <w:spacing w:after="0"/>
              <w:rPr>
                <w:sz w:val="20"/>
                <w:szCs w:val="20"/>
                <w:color w:val="auto"/>
              </w:rPr>
            </w:pPr>
            <w:r>
              <w:rPr>
                <w:rFonts w:ascii="Arial" w:cs="Arial" w:eastAsia="Arial" w:hAnsi="Arial"/>
                <w:sz w:val="18"/>
                <w:szCs w:val="18"/>
                <w:color w:val="auto"/>
                <w:w w:val="88"/>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4"/>
        </w:trPr>
        <w:tc>
          <w:tcPr>
            <w:tcW w:w="4720" w:type="dxa"/>
            <w:vAlign w:val="bottom"/>
          </w:tcPr>
          <w:p>
            <w:pPr>
              <w:ind w:left="20"/>
              <w:spacing w:after="0" w:line="224" w:lineRule="exact"/>
              <w:rPr>
                <w:sz w:val="20"/>
                <w:szCs w:val="20"/>
                <w:color w:val="auto"/>
              </w:rPr>
            </w:pPr>
            <w:r>
              <w:rPr>
                <w:rFonts w:ascii="Arial" w:cs="Arial" w:eastAsia="Arial" w:hAnsi="Arial"/>
                <w:sz w:val="18"/>
                <w:szCs w:val="18"/>
                <w:color w:val="auto"/>
              </w:rPr>
              <w:t>GenConn</w:t>
            </w:r>
            <w:r>
              <w:rPr>
                <w:rFonts w:ascii="Arial" w:cs="Arial" w:eastAsia="Arial" w:hAnsi="Arial"/>
                <w:sz w:val="22"/>
                <w:szCs w:val="22"/>
                <w:color w:val="auto"/>
                <w:vertAlign w:val="superscript"/>
              </w:rPr>
              <w:t>(a)</w:t>
            </w:r>
          </w:p>
        </w:tc>
        <w:tc>
          <w:tcPr>
            <w:tcW w:w="4500" w:type="dxa"/>
            <w:vAlign w:val="bottom"/>
          </w:tcPr>
          <w:p>
            <w:pPr>
              <w:jc w:val="center"/>
              <w:ind w:left="2974"/>
              <w:spacing w:after="0"/>
              <w:rPr>
                <w:sz w:val="20"/>
                <w:szCs w:val="20"/>
                <w:color w:val="auto"/>
              </w:rPr>
            </w:pPr>
            <w:r>
              <w:rPr>
                <w:rFonts w:ascii="Arial" w:cs="Arial" w:eastAsia="Arial" w:hAnsi="Arial"/>
                <w:sz w:val="18"/>
                <w:szCs w:val="18"/>
                <w:color w:val="auto"/>
                <w:w w:val="88"/>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500" w:type="dxa"/>
            <w:vAlign w:val="bottom"/>
            <w:shd w:val="clear" w:color="auto" w:fill="CCEEFF"/>
          </w:tcPr>
          <w:p>
            <w:pPr>
              <w:jc w:val="center"/>
              <w:ind w:left="2974"/>
              <w:spacing w:after="0"/>
              <w:rPr>
                <w:sz w:val="20"/>
                <w:szCs w:val="20"/>
                <w:color w:val="auto"/>
              </w:rPr>
            </w:pPr>
            <w:r>
              <w:rPr>
                <w:rFonts w:ascii="Arial" w:cs="Arial" w:eastAsia="Arial" w:hAnsi="Arial"/>
                <w:sz w:val="18"/>
                <w:szCs w:val="18"/>
                <w:color w:val="auto"/>
                <w:w w:val="88"/>
              </w:rPr>
              <w:t>75%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47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2"/>
                <w:szCs w:val="22"/>
                <w:color w:val="auto"/>
                <w:vertAlign w:val="superscript"/>
              </w:rPr>
              <w:t>(b)</w:t>
            </w:r>
          </w:p>
        </w:tc>
        <w:tc>
          <w:tcPr>
            <w:tcW w:w="4500" w:type="dxa"/>
            <w:vAlign w:val="bottom"/>
            <w:tcBorders>
              <w:bottom w:val="single" w:sz="8" w:color="CCEEFF"/>
            </w:tcBorders>
          </w:tcPr>
          <w:p>
            <w:pPr>
              <w:jc w:val="center"/>
              <w:ind w:left="2974"/>
              <w:spacing w:after="0"/>
              <w:rPr>
                <w:sz w:val="20"/>
                <w:szCs w:val="20"/>
                <w:color w:val="auto"/>
              </w:rPr>
            </w:pPr>
            <w:r>
              <w:rPr>
                <w:rFonts w:ascii="Arial" w:cs="Arial" w:eastAsia="Arial" w:hAnsi="Arial"/>
                <w:sz w:val="18"/>
                <w:szCs w:val="18"/>
                <w:color w:val="auto"/>
                <w:w w:val="88"/>
              </w:rPr>
              <w:t>50%</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2"/>
        </w:trPr>
        <w:tc>
          <w:tcPr>
            <w:tcW w:w="47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20"/>
          <w:szCs w:val="20"/>
          <w:color w:val="auto"/>
          <w:vertAlign w:val="superscript"/>
        </w:rPr>
        <w: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GenConn is a variable interest entity.</w:t>
      </w:r>
    </w:p>
    <w:p>
      <w:pPr>
        <w:spacing w:after="0" w:line="7" w:lineRule="exact"/>
        <w:rPr>
          <w:sz w:val="20"/>
          <w:szCs w:val="20"/>
          <w:color w:val="auto"/>
        </w:rPr>
      </w:pPr>
    </w:p>
    <w:p>
      <w:pPr>
        <w:ind w:right="140" w:firstLine="5"/>
        <w:spacing w:after="0" w:line="282" w:lineRule="auto"/>
        <w:tabs>
          <w:tab w:leader="none" w:pos="145"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Economic interest based on cash to be distributed. Four Brothers Solar, LLC, Granite Mountain Holdings, LLC and Iron Springs Holdings, LLC are tax equity structures and VIEs.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79" w:lineRule="exact"/>
        <w:rPr>
          <w:sz w:val="20"/>
          <w:szCs w:val="20"/>
          <w:color w:val="auto"/>
        </w:rPr>
      </w:pPr>
    </w:p>
    <w:p>
      <w:pPr>
        <w:ind w:left="1180" w:hanging="227"/>
        <w:spacing w:after="0" w:line="261"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23" w:lineRule="exact"/>
        <w:rPr>
          <w:rFonts w:ascii="Arial" w:cs="Arial" w:eastAsia="Arial" w:hAnsi="Arial"/>
          <w:sz w:val="18"/>
          <w:szCs w:val="18"/>
          <w:color w:val="auto"/>
        </w:rPr>
      </w:pPr>
    </w:p>
    <w:p>
      <w:pPr>
        <w:ind w:left="1180" w:hanging="227"/>
        <w:spacing w:after="0" w:line="261"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23" w:lineRule="exact"/>
        <w:rPr>
          <w:rFonts w:ascii="Arial" w:cs="Arial" w:eastAsia="Arial" w:hAnsi="Arial"/>
          <w:sz w:val="18"/>
          <w:szCs w:val="18"/>
          <w:color w:val="auto"/>
        </w:rPr>
      </w:pPr>
    </w:p>
    <w:p>
      <w:pPr>
        <w:ind w:left="1180" w:hanging="227"/>
        <w:spacing w:after="0" w:line="261"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6"/>
          <w:szCs w:val="16"/>
          <w:color w:val="auto"/>
        </w:rPr>
        <w:t>The estimated carrying amounts and fair values of the Company’s recorded financial instruments not carried at fair market value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June 30, 2021</w:t>
            </w:r>
          </w:p>
        </w:tc>
        <w:tc>
          <w:tcPr>
            <w:tcW w:w="320" w:type="dxa"/>
            <w:vAlign w:val="bottom"/>
          </w:tcPr>
          <w:p>
            <w:pPr>
              <w:spacing w:after="0"/>
              <w:rPr>
                <w:sz w:val="16"/>
                <w:szCs w:val="16"/>
                <w:color w:val="auto"/>
              </w:rPr>
            </w:pPr>
          </w:p>
        </w:tc>
        <w:tc>
          <w:tcPr>
            <w:tcW w:w="22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 2020</w:t>
            </w:r>
          </w:p>
        </w:tc>
      </w:tr>
      <w:tr>
        <w:trPr>
          <w:trHeight w:val="181"/>
        </w:trPr>
        <w:tc>
          <w:tcPr>
            <w:tcW w:w="6040" w:type="dxa"/>
            <w:vAlign w:val="bottom"/>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w w:val="97"/>
              </w:rPr>
              <w:t>Carrying Amount</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Fair Value</w:t>
            </w:r>
          </w:p>
        </w:tc>
      </w:tr>
      <w:tr>
        <w:trPr>
          <w:trHeight w:val="16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604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2"/>
                <w:szCs w:val="22"/>
                <w:color w:val="auto"/>
                <w:vertAlign w:val="superscript"/>
              </w:rPr>
              <w:t>(a)</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8,030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7,048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868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225" w:lineRule="exact"/>
        <w:rPr>
          <w:sz w:val="20"/>
          <w:szCs w:val="20"/>
          <w:color w:val="auto"/>
        </w:rPr>
      </w:pPr>
    </w:p>
    <w:p>
      <w:pPr>
        <w:ind w:left="140" w:hanging="135"/>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2021 and December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June 30, 2021</w:t>
            </w:r>
          </w:p>
        </w:tc>
        <w:tc>
          <w:tcPr>
            <w:tcW w:w="340" w:type="dxa"/>
            <w:vAlign w:val="bottom"/>
          </w:tcPr>
          <w:p>
            <w:pPr>
              <w:spacing w:after="0"/>
              <w:rPr>
                <w:sz w:val="16"/>
                <w:szCs w:val="16"/>
                <w:color w:val="auto"/>
              </w:rPr>
            </w:pPr>
          </w:p>
        </w:tc>
        <w:tc>
          <w:tcPr>
            <w:tcW w:w="21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w w:val="98"/>
              </w:rPr>
              <w:t>As of December 31, 2020</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20" w:type="dxa"/>
            <w:vAlign w:val="bottom"/>
            <w:gridSpan w:val="2"/>
            <w:shd w:val="clear" w:color="auto" w:fill="CCEEFF"/>
          </w:tcPr>
          <w:p>
            <w:pPr>
              <w:jc w:val="right"/>
              <w:ind w:right="3240"/>
              <w:spacing w:after="0" w:line="172" w:lineRule="exact"/>
              <w:rPr>
                <w:sz w:val="20"/>
                <w:szCs w:val="20"/>
                <w:color w:val="auto"/>
              </w:rPr>
            </w:pPr>
            <w:r>
              <w:rPr>
                <w:rFonts w:ascii="Arial" w:cs="Arial" w:eastAsia="Arial" w:hAnsi="Arial"/>
                <w:sz w:val="18"/>
                <w:szCs w:val="18"/>
                <w:color w:val="auto"/>
                <w:w w:val="94"/>
              </w:rPr>
              <w:t>Long-term debt, including current portion</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2,166</w:t>
            </w:r>
          </w:p>
        </w:tc>
        <w:tc>
          <w:tcPr>
            <w:tcW w:w="3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5,840</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1,905</w:t>
            </w:r>
          </w:p>
        </w:tc>
        <w:tc>
          <w:tcPr>
            <w:tcW w:w="3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1"/>
        </w:trPr>
        <w:tc>
          <w:tcPr>
            <w:tcW w:w="6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61" w:lineRule="exact"/>
        <w:rPr>
          <w:sz w:val="20"/>
          <w:szCs w:val="20"/>
          <w:color w:val="auto"/>
        </w:rPr>
      </w:pPr>
    </w:p>
    <w:p>
      <w:pPr>
        <w:jc w:val="both"/>
        <w:ind w:firstLine="395"/>
        <w:spacing w:after="0" w:line="313" w:lineRule="auto"/>
        <w:rPr>
          <w:sz w:val="20"/>
          <w:szCs w:val="20"/>
          <w:color w:val="auto"/>
        </w:rPr>
      </w:pPr>
      <w:r>
        <w:rPr>
          <w:rFonts w:ascii="Arial" w:cs="Arial" w:eastAsia="Arial" w:hAnsi="Arial"/>
          <w:sz w:val="15"/>
          <w:szCs w:val="15"/>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As of June 30, 2021</w:t>
            </w: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4"/>
        </w:trPr>
        <w:tc>
          <w:tcPr>
            <w:tcW w:w="56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34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Other financial instruments </w:t>
            </w:r>
            <w:r>
              <w:rPr>
                <w:rFonts w:ascii="Arial" w:cs="Arial" w:eastAsia="Arial" w:hAnsi="Arial"/>
                <w:sz w:val="22"/>
                <w:szCs w:val="22"/>
                <w:color w:val="auto"/>
                <w:vertAlign w:val="superscript"/>
              </w:rPr>
              <w:t>(b)</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56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80" w:hanging="159"/>
        <w:spacing w:after="0"/>
        <w:tabs>
          <w:tab w:leader="none" w:pos="48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There were no derivative assets classified as Level 1 or Level 3 and no liabilities classified as Level 1 as of June 30, 2021 and December 31, 2020.</w:t>
      </w:r>
    </w:p>
    <w:p>
      <w:pPr>
        <w:spacing w:after="0" w:line="23" w:lineRule="exact"/>
        <w:rPr>
          <w:rFonts w:ascii="Arial" w:cs="Arial" w:eastAsia="Arial" w:hAnsi="Arial"/>
          <w:sz w:val="19"/>
          <w:szCs w:val="19"/>
          <w:color w:val="auto"/>
          <w:vertAlign w:val="superscript"/>
        </w:rPr>
      </w:pPr>
    </w:p>
    <w:p>
      <w:pPr>
        <w:ind w:left="460" w:hanging="139"/>
        <w:spacing w:after="0"/>
        <w:tabs>
          <w:tab w:leader="none" w:pos="460" w:val="left"/>
        </w:tabs>
        <w:numPr>
          <w:ilvl w:val="0"/>
          <w:numId w:val="13"/>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right="720" w:firstLine="395"/>
        <w:spacing w:after="0" w:line="261"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24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5"/>
        </w:trPr>
        <w:tc>
          <w:tcPr>
            <w:tcW w:w="46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0"/>
                <w:szCs w:val="10"/>
                <w:color w:val="auto"/>
              </w:rPr>
            </w:pPr>
          </w:p>
        </w:tc>
        <w:tc>
          <w:tcPr>
            <w:tcW w:w="2820" w:type="dxa"/>
            <w:vAlign w:val="bottom"/>
            <w:gridSpan w:val="4"/>
          </w:tcPr>
          <w:p>
            <w:pPr>
              <w:jc w:val="right"/>
              <w:ind w:right="135"/>
              <w:spacing w:after="0" w:line="125" w:lineRule="exact"/>
              <w:rPr>
                <w:sz w:val="20"/>
                <w:szCs w:val="20"/>
                <w:color w:val="auto"/>
              </w:rPr>
            </w:pPr>
            <w:r>
              <w:rPr>
                <w:rFonts w:ascii="Arial" w:cs="Arial" w:eastAsia="Arial" w:hAnsi="Arial"/>
                <w:sz w:val="14"/>
                <w:szCs w:val="14"/>
                <w:b w:val="1"/>
                <w:bCs w:val="1"/>
                <w:color w:val="auto"/>
                <w:w w:val="92"/>
              </w:rPr>
              <w:t>Fair Value Measurement Using Significant</w:t>
            </w:r>
          </w:p>
        </w:tc>
        <w:tc>
          <w:tcPr>
            <w:tcW w:w="100" w:type="dxa"/>
            <w:vAlign w:val="bottom"/>
          </w:tcPr>
          <w:p>
            <w:pPr>
              <w:spacing w:after="0"/>
              <w:rPr>
                <w:sz w:val="10"/>
                <w:szCs w:val="10"/>
                <w:color w:val="auto"/>
              </w:rPr>
            </w:pPr>
          </w:p>
        </w:tc>
        <w:tc>
          <w:tcPr>
            <w:tcW w:w="3000" w:type="dxa"/>
            <w:vAlign w:val="bottom"/>
            <w:gridSpan w:val="5"/>
          </w:tcPr>
          <w:p>
            <w:pPr>
              <w:ind w:left="420"/>
              <w:spacing w:after="0" w:line="125" w:lineRule="exact"/>
              <w:rPr>
                <w:sz w:val="20"/>
                <w:szCs w:val="20"/>
                <w:color w:val="auto"/>
              </w:rPr>
            </w:pPr>
            <w:r>
              <w:rPr>
                <w:rFonts w:ascii="Arial" w:cs="Arial" w:eastAsia="Arial" w:hAnsi="Arial"/>
                <w:sz w:val="14"/>
                <w:szCs w:val="14"/>
                <w:b w:val="1"/>
                <w:bCs w:val="1"/>
                <w:color w:val="auto"/>
                <w:w w:val="91"/>
              </w:rPr>
              <w:t>Fair Value Measurement Using Significant</w:t>
            </w: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Unobservable Inputs (Level 3)</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w w:val="92"/>
              </w:rPr>
              <w:t>Unobservable Inputs (Level 3)</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Beginning balance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620" w:type="dxa"/>
            <w:vAlign w:val="bottom"/>
          </w:tcPr>
          <w:p>
            <w:pPr>
              <w:ind w:left="420"/>
              <w:spacing w:after="0"/>
              <w:rPr>
                <w:sz w:val="20"/>
                <w:szCs w:val="20"/>
                <w:color w:val="auto"/>
              </w:rPr>
            </w:pPr>
            <w:r>
              <w:rPr>
                <w:rFonts w:ascii="Arial" w:cs="Arial" w:eastAsia="Arial" w:hAnsi="Arial"/>
                <w:sz w:val="18"/>
                <w:szCs w:val="18"/>
                <w:color w:val="auto"/>
              </w:rPr>
              <w:t>Total losses for the period included in earnings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420"/>
              <w:spacing w:after="0"/>
              <w:rPr>
                <w:sz w:val="20"/>
                <w:szCs w:val="20"/>
                <w:color w:val="auto"/>
              </w:rPr>
            </w:pPr>
            <w:r>
              <w:rPr>
                <w:rFonts w:ascii="Arial" w:cs="Arial" w:eastAsia="Arial" w:hAnsi="Arial"/>
                <w:sz w:val="18"/>
                <w:szCs w:val="18"/>
                <w:color w:val="auto"/>
              </w:rPr>
              <w:t>Settlements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6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Ending balance</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line="158" w:lineRule="exact"/>
              <w:rPr>
                <w:sz w:val="20"/>
                <w:szCs w:val="20"/>
                <w:color w:val="auto"/>
              </w:rPr>
            </w:pPr>
            <w:r>
              <w:rPr>
                <w:rFonts w:ascii="Arial" w:cs="Arial" w:eastAsia="Arial" w:hAnsi="Arial"/>
                <w:sz w:val="18"/>
                <w:szCs w:val="18"/>
                <w:color w:val="auto"/>
              </w:rPr>
              <w:t>Change in unrealized losses included in earnings for</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6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ind w:left="20"/>
              <w:spacing w:after="0" w:line="171" w:lineRule="exact"/>
              <w:rPr>
                <w:sz w:val="20"/>
                <w:szCs w:val="20"/>
                <w:color w:val="auto"/>
              </w:rPr>
            </w:pPr>
            <w:r>
              <w:rPr>
                <w:rFonts w:ascii="Arial" w:cs="Arial" w:eastAsia="Arial" w:hAnsi="Arial"/>
                <w:sz w:val="18"/>
                <w:szCs w:val="18"/>
                <w:color w:val="auto"/>
                <w:w w:val="92"/>
              </w:rPr>
              <w:t>derivatives and other financial instruments held as of June 30,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Arial" w:cs="Arial" w:eastAsia="Arial" w:hAnsi="Arial"/>
                <w:sz w:val="18"/>
                <w:szCs w:val="18"/>
                <w:color w:val="auto"/>
              </w:rPr>
              <w:t>2021</w:t>
            </w:r>
          </w:p>
        </w:tc>
        <w:tc>
          <w:tcPr>
            <w:tcW w:w="5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June 30, 2021, contracts valued with prices provided by models and other valuation techniques make up 54% of derivative liabilities and 100% of other financial instruments.</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Company’s significant positions classified as Level 3 include physical power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8"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 as of 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2021</w:t>
            </w:r>
          </w:p>
        </w:tc>
        <w:tc>
          <w:tcPr>
            <w:tcW w:w="1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w w:val="90"/>
              </w:rPr>
              <w:t>Fair Value</w:t>
            </w: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Input/Range</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8"/>
              </w:rPr>
              <w:t>Valuation</w:t>
            </w:r>
          </w:p>
        </w:tc>
        <w:tc>
          <w:tcPr>
            <w:tcW w:w="1700" w:type="dxa"/>
            <w:vAlign w:val="bottom"/>
          </w:tcPr>
          <w:p>
            <w:pPr>
              <w:jc w:val="center"/>
              <w:ind w:left="38"/>
              <w:spacing w:after="0" w:line="164" w:lineRule="exact"/>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right"/>
              <w:ind w:right="257"/>
              <w:spacing w:after="0"/>
              <w:rPr>
                <w:sz w:val="20"/>
                <w:szCs w:val="20"/>
                <w:color w:val="auto"/>
              </w:rPr>
            </w:pPr>
            <w:r>
              <w:rPr>
                <w:rFonts w:ascii="Arial" w:cs="Arial" w:eastAsia="Arial" w:hAnsi="Arial"/>
                <w:sz w:val="18"/>
                <w:szCs w:val="18"/>
                <w:b w:val="1"/>
                <w:bCs w:val="1"/>
                <w:color w:val="auto"/>
              </w:rPr>
              <w:t>Liabilities</w:t>
            </w:r>
          </w:p>
        </w:tc>
        <w:tc>
          <w:tcPr>
            <w:tcW w:w="1180" w:type="dxa"/>
            <w:vAlign w:val="bottom"/>
            <w:vMerge w:val="continue"/>
          </w:tcPr>
          <w:p>
            <w:pPr>
              <w:spacing w:after="0"/>
              <w:rPr>
                <w:sz w:val="14"/>
                <w:szCs w:val="14"/>
                <w:color w:val="auto"/>
              </w:rPr>
            </w:pPr>
          </w:p>
        </w:tc>
        <w:tc>
          <w:tcPr>
            <w:tcW w:w="1700" w:type="dxa"/>
            <w:vAlign w:val="bottom"/>
          </w:tcPr>
          <w:p>
            <w:pPr>
              <w:jc w:val="center"/>
              <w:ind w:right="198"/>
              <w:spacing w:after="0" w:line="171" w:lineRule="exact"/>
              <w:rPr>
                <w:sz w:val="20"/>
                <w:szCs w:val="20"/>
                <w:color w:val="auto"/>
              </w:rPr>
            </w:pPr>
            <w:r>
              <w:rPr>
                <w:rFonts w:ascii="Arial" w:cs="Arial" w:eastAsia="Arial" w:hAnsi="Arial"/>
                <w:sz w:val="18"/>
                <w:szCs w:val="18"/>
                <w:b w:val="1"/>
                <w:bCs w:val="1"/>
                <w:color w:val="auto"/>
                <w:w w:val="85"/>
              </w:rPr>
              <w:t>Unobservable</w:t>
            </w:r>
          </w:p>
        </w:tc>
        <w:tc>
          <w:tcPr>
            <w:tcW w:w="1140" w:type="dxa"/>
            <w:vAlign w:val="bottom"/>
            <w:vMerge w:val="restart"/>
          </w:tcPr>
          <w:p>
            <w:pPr>
              <w:jc w:val="right"/>
              <w:ind w:right="359"/>
              <w:spacing w:after="0"/>
              <w:rPr>
                <w:sz w:val="20"/>
                <w:szCs w:val="20"/>
                <w:color w:val="auto"/>
              </w:rPr>
            </w:pPr>
            <w:r>
              <w:rPr>
                <w:rFonts w:ascii="Arial" w:cs="Arial" w:eastAsia="Arial" w:hAnsi="Arial"/>
                <w:sz w:val="18"/>
                <w:szCs w:val="18"/>
                <w:b w:val="1"/>
                <w:bCs w:val="1"/>
                <w:color w:val="auto"/>
              </w:rPr>
              <w:t>Low</w:t>
            </w:r>
          </w:p>
        </w:tc>
        <w:tc>
          <w:tcPr>
            <w:tcW w:w="1280" w:type="dxa"/>
            <w:vAlign w:val="bottom"/>
            <w:vMerge w:val="restart"/>
          </w:tcPr>
          <w:p>
            <w:pPr>
              <w:jc w:val="right"/>
              <w:ind w:right="378"/>
              <w:spacing w:after="0"/>
              <w:rPr>
                <w:sz w:val="20"/>
                <w:szCs w:val="20"/>
                <w:color w:val="auto"/>
              </w:rPr>
            </w:pPr>
            <w:r>
              <w:rPr>
                <w:rFonts w:ascii="Arial" w:cs="Arial" w:eastAsia="Arial" w:hAnsi="Arial"/>
                <w:sz w:val="18"/>
                <w:szCs w:val="18"/>
                <w:b w:val="1"/>
                <w:bCs w:val="1"/>
                <w:color w:val="auto"/>
              </w:rPr>
              <w:t>High</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8"/>
                <w:szCs w:val="18"/>
                <w:b w:val="1"/>
                <w:bCs w:val="1"/>
                <w:color w:val="auto"/>
                <w:w w:val="86"/>
              </w:rPr>
              <w:t>Technique</w:t>
            </w:r>
          </w:p>
        </w:tc>
        <w:tc>
          <w:tcPr>
            <w:tcW w:w="1700" w:type="dxa"/>
            <w:vAlign w:val="bottom"/>
            <w:tcBorders>
              <w:bottom w:val="single" w:sz="8" w:color="auto"/>
            </w:tcBorders>
          </w:tcPr>
          <w:p>
            <w:pPr>
              <w:jc w:val="center"/>
              <w:ind w:right="198"/>
              <w:spacing w:after="0"/>
              <w:rPr>
                <w:sz w:val="20"/>
                <w:szCs w:val="20"/>
                <w:color w:val="auto"/>
              </w:rPr>
            </w:pPr>
            <w:r>
              <w:rPr>
                <w:rFonts w:ascii="Arial" w:cs="Arial" w:eastAsia="Arial" w:hAnsi="Arial"/>
                <w:sz w:val="18"/>
                <w:szCs w:val="18"/>
                <w:b w:val="1"/>
                <w:bCs w:val="1"/>
                <w:color w:val="auto"/>
                <w:w w:val="95"/>
              </w:rPr>
              <w:t>Input</w:t>
            </w:r>
          </w:p>
        </w:tc>
        <w:tc>
          <w:tcPr>
            <w:tcW w:w="1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0" w:type="dxa"/>
            <w:vAlign w:val="bottom"/>
            <w:gridSpan w:val="3"/>
          </w:tcPr>
          <w:p>
            <w:pPr>
              <w:ind w:left="10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6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97"/>
              </w:rPr>
              <w:t>Discounted</w:t>
            </w:r>
          </w:p>
        </w:tc>
        <w:tc>
          <w:tcPr>
            <w:tcW w:w="1700" w:type="dxa"/>
            <w:vAlign w:val="bottom"/>
            <w:shd w:val="clear" w:color="auto" w:fill="CCEEFF"/>
          </w:tcPr>
          <w:p>
            <w:pPr>
              <w:jc w:val="center"/>
              <w:ind w:left="38"/>
              <w:spacing w:after="0" w:line="164" w:lineRule="exact"/>
              <w:rPr>
                <w:sz w:val="20"/>
                <w:szCs w:val="20"/>
                <w:color w:val="auto"/>
              </w:rPr>
            </w:pPr>
            <w:r>
              <w:rPr>
                <w:rFonts w:ascii="Arial" w:cs="Arial" w:eastAsia="Arial" w:hAnsi="Arial"/>
                <w:sz w:val="16"/>
                <w:szCs w:val="16"/>
                <w:color w:val="auto"/>
                <w:w w:val="91"/>
              </w:rPr>
              <w:t>Forward</w:t>
            </w:r>
          </w:p>
        </w:tc>
        <w:tc>
          <w:tcPr>
            <w:tcW w:w="1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0" w:type="dxa"/>
            <w:vAlign w:val="bottom"/>
            <w:vMerge w:val="restart"/>
            <w:shd w:val="clear" w:color="auto" w:fill="CCEEFF"/>
          </w:tcPr>
          <w:p>
            <w:pPr>
              <w:ind w:left="420"/>
              <w:spacing w:after="0"/>
              <w:rPr>
                <w:sz w:val="20"/>
                <w:szCs w:val="20"/>
                <w:color w:val="auto"/>
              </w:rPr>
            </w:pPr>
            <w:r>
              <w:rPr>
                <w:rFonts w:ascii="Arial" w:cs="Arial" w:eastAsia="Arial" w:hAnsi="Arial"/>
                <w:sz w:val="16"/>
                <w:szCs w:val="16"/>
                <w:b w:val="1"/>
                <w:bCs w:val="1"/>
                <w:color w:val="auto"/>
                <w:w w:val="91"/>
              </w:rPr>
              <w:t>Power Contracts</w:t>
            </w:r>
          </w:p>
        </w:tc>
        <w:tc>
          <w:tcPr>
            <w:tcW w:w="1240" w:type="dxa"/>
            <w:vAlign w:val="bottom"/>
            <w:vMerge w:val="restart"/>
            <w:shd w:val="clear" w:color="auto" w:fill="CCEEFF"/>
          </w:tcPr>
          <w:p>
            <w:pPr>
              <w:jc w:val="right"/>
              <w:ind w:right="678"/>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7"/>
              <w:spacing w:after="0"/>
              <w:rPr>
                <w:sz w:val="20"/>
                <w:szCs w:val="20"/>
                <w:color w:val="auto"/>
              </w:rPr>
            </w:pPr>
            <w:r>
              <w:rPr>
                <w:rFonts w:ascii="Arial" w:cs="Arial" w:eastAsia="Arial" w:hAnsi="Arial"/>
                <w:sz w:val="16"/>
                <w:szCs w:val="16"/>
                <w:color w:val="auto"/>
              </w:rPr>
              <w:t>(103)</w:t>
            </w:r>
          </w:p>
        </w:tc>
        <w:tc>
          <w:tcPr>
            <w:tcW w:w="1180" w:type="dxa"/>
            <w:vAlign w:val="bottom"/>
            <w:vMerge w:val="continue"/>
            <w:shd w:val="clear" w:color="auto" w:fill="CCEEFF"/>
          </w:tcPr>
          <w:p>
            <w:pPr>
              <w:spacing w:after="0"/>
              <w:rPr>
                <w:sz w:val="13"/>
                <w:szCs w:val="13"/>
                <w:color w:val="auto"/>
              </w:rPr>
            </w:pPr>
          </w:p>
        </w:tc>
        <w:tc>
          <w:tcPr>
            <w:tcW w:w="1700" w:type="dxa"/>
            <w:vAlign w:val="bottom"/>
            <w:shd w:val="clear" w:color="auto" w:fill="CCEEFF"/>
          </w:tcPr>
          <w:p>
            <w:pPr>
              <w:jc w:val="center"/>
              <w:ind w:right="198"/>
              <w:spacing w:after="0" w:line="158" w:lineRule="exact"/>
              <w:rPr>
                <w:sz w:val="20"/>
                <w:szCs w:val="20"/>
                <w:color w:val="auto"/>
              </w:rPr>
            </w:pPr>
            <w:r>
              <w:rPr>
                <w:rFonts w:ascii="Arial" w:cs="Arial" w:eastAsia="Arial" w:hAnsi="Arial"/>
                <w:sz w:val="16"/>
                <w:szCs w:val="16"/>
                <w:color w:val="auto"/>
                <w:w w:val="89"/>
              </w:rPr>
              <w:t>Market Price (per</w:t>
            </w:r>
          </w:p>
        </w:tc>
        <w:tc>
          <w:tcPr>
            <w:tcW w:w="11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12.56</w:t>
            </w:r>
          </w:p>
        </w:tc>
        <w:tc>
          <w:tcPr>
            <w:tcW w:w="1280" w:type="dxa"/>
            <w:vAlign w:val="bottom"/>
            <w:vMerge w:val="restart"/>
            <w:shd w:val="clear" w:color="auto" w:fill="CCEEFF"/>
          </w:tcPr>
          <w:p>
            <w:pPr>
              <w:jc w:val="right"/>
              <w:ind w:right="198"/>
              <w:spacing w:after="0"/>
              <w:rPr>
                <w:sz w:val="20"/>
                <w:szCs w:val="20"/>
                <w:color w:val="auto"/>
              </w:rPr>
            </w:pPr>
            <w:r>
              <w:rPr>
                <w:rFonts w:ascii="Arial" w:cs="Arial" w:eastAsia="Arial" w:hAnsi="Arial"/>
                <w:sz w:val="16"/>
                <w:szCs w:val="16"/>
                <w:color w:val="auto"/>
              </w:rPr>
              <w:t>58.94</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07"/>
        </w:trPr>
        <w:tc>
          <w:tcPr>
            <w:tcW w:w="16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center"/>
              <w:ind w:right="18"/>
              <w:spacing w:after="0"/>
              <w:rPr>
                <w:sz w:val="20"/>
                <w:szCs w:val="20"/>
                <w:color w:val="auto"/>
              </w:rPr>
            </w:pPr>
            <w:r>
              <w:rPr>
                <w:rFonts w:ascii="Arial" w:cs="Arial" w:eastAsia="Arial" w:hAnsi="Arial"/>
                <w:sz w:val="16"/>
                <w:szCs w:val="16"/>
                <w:color w:val="auto"/>
                <w:w w:val="89"/>
              </w:rPr>
              <w:t>Cash Flow</w:t>
            </w:r>
          </w:p>
        </w:tc>
        <w:tc>
          <w:tcPr>
            <w:tcW w:w="1700" w:type="dxa"/>
            <w:vAlign w:val="bottom"/>
            <w:shd w:val="clear" w:color="auto" w:fill="CCEEFF"/>
          </w:tcPr>
          <w:p>
            <w:pPr>
              <w:jc w:val="center"/>
              <w:ind w:right="198"/>
              <w:spacing w:after="0"/>
              <w:rPr>
                <w:sz w:val="20"/>
                <w:szCs w:val="20"/>
                <w:color w:val="auto"/>
              </w:rPr>
            </w:pPr>
            <w:r>
              <w:rPr>
                <w:rFonts w:ascii="Arial" w:cs="Arial" w:eastAsia="Arial" w:hAnsi="Arial"/>
                <w:sz w:val="16"/>
                <w:szCs w:val="16"/>
                <w:color w:val="auto"/>
                <w:w w:val="98"/>
              </w:rPr>
              <w:t>MWh)</w:t>
            </w:r>
          </w:p>
        </w:tc>
        <w:tc>
          <w:tcPr>
            <w:tcW w:w="1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center"/>
              <w:ind w:left="38"/>
              <w:spacing w:after="0" w:line="161" w:lineRule="exact"/>
              <w:rPr>
                <w:sz w:val="20"/>
                <w:szCs w:val="20"/>
                <w:color w:val="auto"/>
              </w:rPr>
            </w:pPr>
            <w:r>
              <w:rPr>
                <w:rFonts w:ascii="Arial" w:cs="Arial" w:eastAsia="Arial" w:hAnsi="Arial"/>
                <w:sz w:val="16"/>
                <w:szCs w:val="16"/>
                <w:color w:val="auto"/>
                <w:w w:val="86"/>
              </w:rPr>
              <w:t>Forecast</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0" w:type="dxa"/>
            <w:vAlign w:val="bottom"/>
            <w:vMerge w:val="restart"/>
          </w:tcPr>
          <w:p>
            <w:pPr>
              <w:ind w:left="420"/>
              <w:spacing w:after="0"/>
              <w:rPr>
                <w:sz w:val="20"/>
                <w:szCs w:val="20"/>
                <w:color w:val="auto"/>
              </w:rPr>
            </w:pPr>
            <w:r>
              <w:rPr>
                <w:rFonts w:ascii="Arial" w:cs="Arial" w:eastAsia="Arial" w:hAnsi="Arial"/>
                <w:sz w:val="16"/>
                <w:szCs w:val="16"/>
                <w:b w:val="1"/>
                <w:bCs w:val="1"/>
                <w:color w:val="auto"/>
                <w:w w:val="99"/>
              </w:rPr>
              <w:t>Other Financial</w:t>
            </w: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vMerge w:val="restart"/>
          </w:tcPr>
          <w:p>
            <w:pPr>
              <w:ind w:left="380"/>
              <w:spacing w:after="0"/>
              <w:rPr>
                <w:sz w:val="20"/>
                <w:szCs w:val="20"/>
                <w:color w:val="auto"/>
              </w:rPr>
            </w:pPr>
            <w:r>
              <w:rPr>
                <w:rFonts w:ascii="Arial" w:cs="Arial" w:eastAsia="Arial" w:hAnsi="Arial"/>
                <w:sz w:val="16"/>
                <w:szCs w:val="16"/>
                <w:color w:val="auto"/>
                <w:w w:val="97"/>
              </w:rPr>
              <w:t>Discounted</w:t>
            </w:r>
          </w:p>
        </w:tc>
        <w:tc>
          <w:tcPr>
            <w:tcW w:w="1700" w:type="dxa"/>
            <w:vAlign w:val="bottom"/>
          </w:tcPr>
          <w:p>
            <w:pPr>
              <w:jc w:val="center"/>
              <w:ind w:right="198"/>
              <w:spacing w:after="0" w:line="158" w:lineRule="exact"/>
              <w:rPr>
                <w:sz w:val="20"/>
                <w:szCs w:val="20"/>
                <w:color w:val="auto"/>
              </w:rPr>
            </w:pPr>
            <w:r>
              <w:rPr>
                <w:rFonts w:ascii="Arial" w:cs="Arial" w:eastAsia="Arial" w:hAnsi="Arial"/>
                <w:sz w:val="16"/>
                <w:szCs w:val="16"/>
                <w:color w:val="auto"/>
                <w:w w:val="88"/>
              </w:rPr>
              <w:t>annual generation</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80,872</w:t>
            </w:r>
          </w:p>
        </w:tc>
        <w:tc>
          <w:tcPr>
            <w:tcW w:w="1280" w:type="dxa"/>
            <w:vAlign w:val="bottom"/>
            <w:vMerge w:val="restart"/>
          </w:tcPr>
          <w:p>
            <w:pPr>
              <w:jc w:val="right"/>
              <w:ind w:right="158"/>
              <w:spacing w:after="0"/>
              <w:rPr>
                <w:sz w:val="20"/>
                <w:szCs w:val="20"/>
                <w:color w:val="auto"/>
              </w:rPr>
            </w:pPr>
            <w:r>
              <w:rPr>
                <w:rFonts w:ascii="Arial" w:cs="Arial" w:eastAsia="Arial" w:hAnsi="Arial"/>
                <w:sz w:val="16"/>
                <w:szCs w:val="16"/>
                <w:color w:val="auto"/>
              </w:rPr>
              <w:t>129,913</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124,783</w:t>
            </w:r>
          </w:p>
        </w:tc>
        <w:tc>
          <w:tcPr>
            <w:tcW w:w="0" w:type="dxa"/>
            <w:vAlign w:val="bottom"/>
          </w:tcPr>
          <w:p>
            <w:pPr>
              <w:spacing w:after="0"/>
              <w:rPr>
                <w:sz w:val="1"/>
                <w:szCs w:val="1"/>
                <w:color w:val="auto"/>
              </w:rPr>
            </w:pPr>
          </w:p>
        </w:tc>
      </w:tr>
      <w:tr>
        <w:trPr>
          <w:trHeight w:val="155"/>
        </w:trPr>
        <w:tc>
          <w:tcPr>
            <w:tcW w:w="1600" w:type="dxa"/>
            <w:vAlign w:val="bottom"/>
            <w:vMerge w:val="continue"/>
          </w:tcPr>
          <w:p>
            <w:pPr>
              <w:spacing w:after="0"/>
              <w:rPr>
                <w:sz w:val="13"/>
                <w:szCs w:val="13"/>
                <w:color w:val="auto"/>
              </w:rPr>
            </w:pPr>
          </w:p>
        </w:tc>
        <w:tc>
          <w:tcPr>
            <w:tcW w:w="1240" w:type="dxa"/>
            <w:vAlign w:val="bottom"/>
            <w:vMerge w:val="restart"/>
          </w:tcPr>
          <w:p>
            <w:pPr>
              <w:jc w:val="right"/>
              <w:ind w:right="678"/>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40"/>
              <w:spacing w:after="0"/>
              <w:rPr>
                <w:sz w:val="20"/>
                <w:szCs w:val="20"/>
                <w:color w:val="auto"/>
              </w:rPr>
            </w:pPr>
            <w:r>
              <w:rPr>
                <w:rFonts w:ascii="Arial" w:cs="Arial" w:eastAsia="Arial" w:hAnsi="Arial"/>
                <w:sz w:val="16"/>
                <w:szCs w:val="16"/>
                <w:color w:val="auto"/>
              </w:rPr>
              <w:t>24</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97"/>
              <w:spacing w:after="0"/>
              <w:rPr>
                <w:sz w:val="20"/>
                <w:szCs w:val="20"/>
                <w:color w:val="auto"/>
              </w:rPr>
            </w:pPr>
            <w:r>
              <w:rPr>
                <w:rFonts w:ascii="Arial" w:cs="Arial" w:eastAsia="Arial" w:hAnsi="Arial"/>
                <w:sz w:val="16"/>
                <w:szCs w:val="16"/>
                <w:color w:val="auto"/>
              </w:rPr>
              <w:t>—</w:t>
            </w:r>
          </w:p>
        </w:tc>
        <w:tc>
          <w:tcPr>
            <w:tcW w:w="1180" w:type="dxa"/>
            <w:vAlign w:val="bottom"/>
            <w:vMerge w:val="continue"/>
          </w:tcPr>
          <w:p>
            <w:pPr>
              <w:spacing w:after="0"/>
              <w:rPr>
                <w:sz w:val="13"/>
                <w:szCs w:val="13"/>
                <w:color w:val="auto"/>
              </w:rPr>
            </w:pPr>
          </w:p>
        </w:tc>
        <w:tc>
          <w:tcPr>
            <w:tcW w:w="1700" w:type="dxa"/>
            <w:vAlign w:val="bottom"/>
          </w:tcPr>
          <w:p>
            <w:pPr>
              <w:jc w:val="center"/>
              <w:ind w:right="198"/>
              <w:spacing w:after="0" w:line="155" w:lineRule="exact"/>
              <w:rPr>
                <w:sz w:val="20"/>
                <w:szCs w:val="20"/>
                <w:color w:val="auto"/>
              </w:rPr>
            </w:pPr>
            <w:r>
              <w:rPr>
                <w:rFonts w:ascii="Arial" w:cs="Arial" w:eastAsia="Arial" w:hAnsi="Arial"/>
                <w:sz w:val="16"/>
                <w:szCs w:val="16"/>
                <w:color w:val="auto"/>
                <w:w w:val="90"/>
              </w:rPr>
              <w:t>levels of certain DG</w:t>
            </w:r>
          </w:p>
        </w:tc>
        <w:tc>
          <w:tcPr>
            <w:tcW w:w="11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12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80" w:type="dxa"/>
            <w:vAlign w:val="bottom"/>
          </w:tcPr>
          <w:p>
            <w:pPr>
              <w:jc w:val="center"/>
              <w:ind w:right="18"/>
              <w:spacing w:after="0"/>
              <w:rPr>
                <w:sz w:val="20"/>
                <w:szCs w:val="20"/>
                <w:color w:val="auto"/>
              </w:rPr>
            </w:pPr>
            <w:r>
              <w:rPr>
                <w:rFonts w:ascii="Arial" w:cs="Arial" w:eastAsia="Arial" w:hAnsi="Arial"/>
                <w:sz w:val="16"/>
                <w:szCs w:val="16"/>
                <w:color w:val="auto"/>
                <w:w w:val="89"/>
              </w:rPr>
              <w:t>Cash Flow</w:t>
            </w:r>
          </w:p>
        </w:tc>
        <w:tc>
          <w:tcPr>
            <w:tcW w:w="1700" w:type="dxa"/>
            <w:vAlign w:val="bottom"/>
          </w:tcPr>
          <w:p>
            <w:pPr>
              <w:jc w:val="center"/>
              <w:ind w:right="198"/>
              <w:spacing w:after="0"/>
              <w:rPr>
                <w:sz w:val="20"/>
                <w:szCs w:val="20"/>
                <w:color w:val="auto"/>
              </w:rPr>
            </w:pPr>
            <w:r>
              <w:rPr>
                <w:rFonts w:ascii="Arial" w:cs="Arial" w:eastAsia="Arial" w:hAnsi="Arial"/>
                <w:sz w:val="16"/>
                <w:szCs w:val="16"/>
                <w:color w:val="auto"/>
                <w:w w:val="93"/>
              </w:rPr>
              <w:t>solar facilities</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MWh</w:t>
            </w:r>
          </w:p>
        </w:tc>
        <w:tc>
          <w:tcPr>
            <w:tcW w:w="1280" w:type="dxa"/>
            <w:vAlign w:val="bottom"/>
          </w:tcPr>
          <w:p>
            <w:pPr>
              <w:jc w:val="right"/>
              <w:ind w:right="158"/>
              <w:spacing w:after="0"/>
              <w:rPr>
                <w:sz w:val="20"/>
                <w:szCs w:val="20"/>
                <w:color w:val="auto"/>
              </w:rPr>
            </w:pPr>
            <w:r>
              <w:rPr>
                <w:rFonts w:ascii="Arial" w:cs="Arial" w:eastAsia="Arial" w:hAnsi="Arial"/>
                <w:sz w:val="16"/>
                <w:szCs w:val="16"/>
                <w:color w:val="auto"/>
              </w:rPr>
              <w:t>MWh</w:t>
            </w:r>
          </w:p>
        </w:tc>
        <w:tc>
          <w:tcPr>
            <w:tcW w:w="1080" w:type="dxa"/>
            <w:vAlign w:val="bottom"/>
          </w:tcPr>
          <w:p>
            <w:pPr>
              <w:jc w:val="right"/>
              <w:spacing w:after="0"/>
              <w:rPr>
                <w:sz w:val="20"/>
                <w:szCs w:val="20"/>
                <w:color w:val="auto"/>
              </w:rPr>
            </w:pPr>
            <w:r>
              <w:rPr>
                <w:rFonts w:ascii="Arial" w:cs="Arial" w:eastAsia="Arial" w:hAnsi="Arial"/>
                <w:sz w:val="16"/>
                <w:szCs w:val="16"/>
                <w:color w:val="auto"/>
              </w:rPr>
              <w:t>MWh</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June 30,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Significant Observable Input</w:t>
            </w: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2240" w:type="dxa"/>
            <w:vAlign w:val="bottom"/>
            <w:vMerge w:val="restart"/>
          </w:tcPr>
          <w:p>
            <w:pPr>
              <w:jc w:val="center"/>
              <w:ind w:left="92"/>
              <w:spacing w:after="0"/>
              <w:rPr>
                <w:sz w:val="20"/>
                <w:szCs w:val="20"/>
                <w:color w:val="auto"/>
              </w:rPr>
            </w:pPr>
            <w:r>
              <w:rPr>
                <w:rFonts w:ascii="Arial" w:cs="Arial" w:eastAsia="Arial" w:hAnsi="Arial"/>
                <w:sz w:val="18"/>
                <w:szCs w:val="18"/>
                <w:b w:val="1"/>
                <w:bCs w:val="1"/>
                <w:color w:val="auto"/>
                <w:w w:val="92"/>
              </w:rPr>
              <w:t>Change In Input</w:t>
            </w:r>
          </w:p>
        </w:tc>
        <w:tc>
          <w:tcPr>
            <w:tcW w:w="2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Impact on Fair Value</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364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Measurement</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Forward Market Price Power</w:t>
            </w: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Buy</w:t>
            </w:r>
          </w:p>
        </w:tc>
        <w:tc>
          <w:tcPr>
            <w:tcW w:w="224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Higher/(Lower)</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Forward Market Price Power</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240" w:type="dxa"/>
            <w:vAlign w:val="bottom"/>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78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Lower/(Higher)</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Forecast Generation Levels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24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4"/>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Higher/(Lower)</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5"/>
        </w:trPr>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40" w:type="dxa"/>
            <w:vAlign w:val="bottom"/>
          </w:tcPr>
          <w:p>
            <w:pPr>
              <w:jc w:val="right"/>
              <w:ind w:right="412"/>
              <w:spacing w:after="0"/>
              <w:rPr>
                <w:sz w:val="20"/>
                <w:szCs w:val="20"/>
                <w:color w:val="auto"/>
              </w:rPr>
            </w:pPr>
            <w:r>
              <w:rPr>
                <w:rFonts w:ascii="Arial" w:cs="Arial" w:eastAsia="Arial" w:hAnsi="Arial"/>
                <w:sz w:val="18"/>
                <w:szCs w:val="18"/>
                <w:color w:val="231F20"/>
              </w:rPr>
              <w:t>27</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7" w:name="page28"/>
    <w:bookmarkEnd w:id="27"/>
    <w:p>
      <w:pPr>
        <w:jc w:val="both"/>
        <w:ind w:firstLine="395"/>
        <w:spacing w:after="0" w:line="282" w:lineRule="auto"/>
        <w:rPr>
          <w:sz w:val="20"/>
          <w:szCs w:val="20"/>
          <w:color w:val="auto"/>
        </w:rPr>
      </w:pPr>
      <w:r>
        <w:rPr>
          <w:rFonts w:ascii="Arial" w:cs="Arial" w:eastAsia="Arial" w:hAnsi="Arial"/>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2021, the non-performance reserve was a $9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In addition to the credit risk discussion as disclosed under Item 15 —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w:t>
      </w:r>
      <w:r>
        <w:rPr>
          <w:rFonts w:ascii="Arial" w:cs="Arial" w:eastAsia="Arial" w:hAnsi="Arial"/>
          <w:sz w:val="16"/>
          <w:szCs w:val="16"/>
          <w:color w:val="auto"/>
        </w:rPr>
        <w:t xml:space="preserve"> consolidated financial statements included in the </w:t>
      </w:r>
      <w:r>
        <w:rPr>
          <w:rFonts w:ascii="Arial" w:cs="Arial" w:eastAsia="Arial" w:hAnsi="Arial"/>
          <w:sz w:val="16"/>
          <w:szCs w:val="16"/>
          <w:color w:val="231F20"/>
        </w:rPr>
        <w:t>Company's</w:t>
      </w:r>
      <w:r>
        <w:rPr>
          <w:rFonts w:ascii="Arial" w:cs="Arial" w:eastAsia="Arial" w:hAnsi="Arial"/>
          <w:sz w:val="16"/>
          <w:szCs w:val="16"/>
          <w:color w:val="auto"/>
        </w:rPr>
        <w:t xml:space="preserve"> 2020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1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 grade.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the Company's 2020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2021,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June 30, 2021, the Company had energy-related derivative instruments extending through 2032. At June 30, 2021, these contracts were not designated as cash flow or fair value hedges.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net notional volume buy/(sell) of the Company's open derivative transactions broken out by commodity as of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3"/>
          </w:tcPr>
          <w:p>
            <w:pPr>
              <w:jc w:val="right"/>
              <w:ind w:right="1257"/>
              <w:spacing w:after="0"/>
              <w:rPr>
                <w:sz w:val="20"/>
                <w:szCs w:val="20"/>
                <w:color w:val="auto"/>
              </w:rPr>
            </w:pPr>
            <w:r>
              <w:rPr>
                <w:rFonts w:ascii="Arial" w:cs="Arial" w:eastAsia="Arial" w:hAnsi="Arial"/>
                <w:sz w:val="14"/>
                <w:szCs w:val="14"/>
                <w:b w:val="1"/>
                <w:bCs w:val="1"/>
                <w:color w:val="auto"/>
              </w:rPr>
              <w:t>Total Volume</w:t>
            </w:r>
          </w:p>
        </w:tc>
      </w:t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December 31, 2020</w:t>
            </w:r>
          </w:p>
        </w:tc>
      </w:tr>
      <w:tr>
        <w:trPr>
          <w:trHeight w:val="145"/>
        </w:trPr>
        <w:tc>
          <w:tcPr>
            <w:tcW w:w="2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4"/>
                <w:szCs w:val="14"/>
                <w:b w:val="1"/>
                <w:bCs w:val="1"/>
                <w:color w:val="auto"/>
                <w:w w:val="90"/>
              </w:rPr>
              <w:t>Commodity</w:t>
            </w:r>
          </w:p>
        </w:tc>
        <w:tc>
          <w:tcPr>
            <w:tcW w:w="360" w:type="dxa"/>
            <w:vAlign w:val="bottom"/>
          </w:tcPr>
          <w:p>
            <w:pPr>
              <w:spacing w:after="0"/>
              <w:rPr>
                <w:sz w:val="12"/>
                <w:szCs w:val="12"/>
                <w:color w:val="auto"/>
              </w:rPr>
            </w:pPr>
          </w:p>
        </w:tc>
        <w:tc>
          <w:tcPr>
            <w:tcW w:w="6640" w:type="dxa"/>
            <w:vAlign w:val="bottom"/>
            <w:gridSpan w:val="3"/>
          </w:tcPr>
          <w:p>
            <w:pPr>
              <w:ind w:left="240"/>
              <w:spacing w:after="0" w:line="145" w:lineRule="exact"/>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3220" w:type="dxa"/>
            <w:vAlign w:val="bottom"/>
            <w:gridSpan w:val="3"/>
          </w:tcPr>
          <w:p>
            <w:pPr>
              <w:ind w:left="1100"/>
              <w:spacing w:after="0" w:line="145" w:lineRule="exact"/>
              <w:rPr>
                <w:sz w:val="20"/>
                <w:szCs w:val="20"/>
                <w:color w:val="auto"/>
              </w:rPr>
            </w:pPr>
            <w:r>
              <w:rPr>
                <w:rFonts w:ascii="Arial" w:cs="Arial" w:eastAsia="Arial" w:hAnsi="Arial"/>
                <w:sz w:val="14"/>
                <w:szCs w:val="14"/>
                <w:b w:val="1"/>
                <w:bCs w:val="1"/>
                <w:color w:val="auto"/>
              </w:rPr>
              <w:t>(In millions)</w:t>
            </w:r>
          </w:p>
        </w:tc>
      </w:tr>
      <w:tr>
        <w:trPr>
          <w:trHeight w:val="30"/>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6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MMBtu</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Power</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MWh</w:t>
            </w:r>
          </w:p>
        </w:tc>
        <w:tc>
          <w:tcPr>
            <w:tcW w:w="280" w:type="dxa"/>
            <w:vAlign w:val="bottom"/>
          </w:tcPr>
          <w:p>
            <w:pPr>
              <w:spacing w:after="0"/>
              <w:rPr>
                <w:sz w:val="19"/>
                <w:szCs w:val="19"/>
                <w:color w:val="auto"/>
              </w:rPr>
            </w:pPr>
          </w:p>
        </w:tc>
        <w:tc>
          <w:tcPr>
            <w:tcW w:w="1460" w:type="dxa"/>
            <w:vAlign w:val="bottom"/>
          </w:tcPr>
          <w:p>
            <w:pPr>
              <w:ind w:left="11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6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Dollars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1,486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Fair Value</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Derivative Assets</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Derivative 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96"/>
              </w:rPr>
              <w:t>Derivatives Designated as Cash Flow Hedges: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540"/>
              <w:spacing w:after="0"/>
              <w:rPr>
                <w:sz w:val="20"/>
                <w:szCs w:val="20"/>
                <w:color w:val="auto"/>
              </w:rPr>
            </w:pPr>
            <w:r>
              <w:rPr>
                <w:rFonts w:ascii="Arial" w:cs="Arial" w:eastAsia="Arial" w:hAnsi="Arial"/>
                <w:sz w:val="18"/>
                <w:szCs w:val="18"/>
                <w:color w:val="auto"/>
              </w:rPr>
              <w:t>Interest rate contracts current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contracts long-term</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240" w:type="dxa"/>
            <w:vAlign w:val="bottom"/>
          </w:tcPr>
          <w:p>
            <w:pPr>
              <w:ind w:left="580"/>
              <w:spacing w:after="0" w:line="152" w:lineRule="exact"/>
              <w:rPr>
                <w:sz w:val="20"/>
                <w:szCs w:val="20"/>
                <w:color w:val="auto"/>
              </w:rPr>
            </w:pPr>
            <w:r>
              <w:rPr>
                <w:rFonts w:ascii="Arial" w:cs="Arial" w:eastAsia="Arial" w:hAnsi="Arial"/>
                <w:sz w:val="16"/>
                <w:szCs w:val="16"/>
                <w:b w:val="1"/>
                <w:bCs w:val="1"/>
                <w:color w:val="auto"/>
              </w:rPr>
              <w:t>Total Derivatives Designated as Cash Flow</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Hedges</w:t>
            </w:r>
          </w:p>
        </w:tc>
        <w:tc>
          <w:tcPr>
            <w:tcW w:w="5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88"/>
              </w:rPr>
              <w:t>Derivatives Not Designated as Cash Flow Hedges: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540"/>
              <w:spacing w:after="0"/>
              <w:rPr>
                <w:sz w:val="20"/>
                <w:szCs w:val="20"/>
                <w:color w:val="auto"/>
              </w:rPr>
            </w:pPr>
            <w:r>
              <w:rPr>
                <w:rFonts w:ascii="Arial" w:cs="Arial" w:eastAsia="Arial" w:hAnsi="Arial"/>
                <w:sz w:val="18"/>
                <w:szCs w:val="18"/>
                <w:color w:val="auto"/>
              </w:rPr>
              <w:t>Interest rate contracts current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contracts long-term</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540"/>
              <w:spacing w:after="0"/>
              <w:rPr>
                <w:sz w:val="20"/>
                <w:szCs w:val="20"/>
                <w:color w:val="auto"/>
              </w:rPr>
            </w:pPr>
            <w:r>
              <w:rPr>
                <w:rFonts w:ascii="Arial" w:cs="Arial" w:eastAsia="Arial" w:hAnsi="Arial"/>
                <w:sz w:val="18"/>
                <w:szCs w:val="18"/>
                <w:color w:val="auto"/>
              </w:rPr>
              <w:t>Commodity contracts current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Commodity contracts long-term</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240" w:type="dxa"/>
            <w:vAlign w:val="bottom"/>
          </w:tcPr>
          <w:p>
            <w:pPr>
              <w:ind w:left="420"/>
              <w:spacing w:after="0" w:line="152" w:lineRule="exact"/>
              <w:rPr>
                <w:sz w:val="20"/>
                <w:szCs w:val="20"/>
                <w:color w:val="auto"/>
              </w:rPr>
            </w:pPr>
            <w:r>
              <w:rPr>
                <w:rFonts w:ascii="Arial" w:cs="Arial" w:eastAsia="Arial" w:hAnsi="Arial"/>
                <w:sz w:val="16"/>
                <w:szCs w:val="16"/>
                <w:b w:val="1"/>
                <w:bCs w:val="1"/>
                <w:color w:val="auto"/>
              </w:rPr>
              <w:t>Total Derivatives Not Designated as Cash Flow</w:t>
            </w: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Hedges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Derivatives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31F20"/>
              </w:rPr>
              <w:t>29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9" w:name="page30"/>
    <w:bookmarkEnd w:id="29"/>
    <w:p>
      <w:pPr>
        <w:jc w:val="both"/>
        <w:ind w:firstLine="395"/>
        <w:spacing w:after="0" w:line="287"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June 30, 2021 and December 31, 2020, there was no outstanding collateral paid or received. The following tables summarize the offsetting of derivatives by counterparty master agreement level as of June 30, 2021 and December 31, 2020:</w:t>
      </w:r>
    </w:p>
    <w:tbl>
      <w:tblPr>
        <w:tblLayout w:type="fixed"/>
        <w:tblInd w:w="0" w:type="dxa"/>
        <w:tblCellMar>
          <w:top w:w="0" w:type="dxa"/>
          <w:left w:w="0" w:type="dxa"/>
          <w:bottom w:w="0" w:type="dxa"/>
          <w:right w:w="0" w:type="dxa"/>
        </w:tblCellMar>
      </w:tblPr>
      <w:tr>
        <w:trPr>
          <w:trHeight w:val="142"/>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June 30, 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Gross Amounts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Derivative Instruments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Recognized Assets/Liabilities</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Commodity contracts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Interest rate contracts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Gross Amounts of</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Derivative Instruments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Recognized Assets/Liabilities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20" w:type="dxa"/>
            <w:vAlign w:val="bottom"/>
          </w:tcPr>
          <w:p>
            <w:pPr>
              <w:ind w:left="80"/>
              <w:spacing w:after="0" w:line="204" w:lineRule="exact"/>
              <w:rPr>
                <w:sz w:val="20"/>
                <w:szCs w:val="20"/>
                <w:color w:val="auto"/>
              </w:rPr>
            </w:pPr>
            <w:r>
              <w:rPr>
                <w:rFonts w:ascii="Arial" w:cs="Arial" w:eastAsia="Arial" w:hAnsi="Arial"/>
                <w:sz w:val="18"/>
                <w:szCs w:val="18"/>
                <w:b w:val="1"/>
                <w:bCs w:val="1"/>
                <w:color w:val="auto"/>
              </w:rPr>
              <w:t>Commodity contracts</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Interest rate contracts: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2"/>
        </w:trPr>
        <w:tc>
          <w:tcPr>
            <w:tcW w:w="5540" w:type="dxa"/>
            <w:vAlign w:val="bottom"/>
          </w:tcPr>
          <w:p>
            <w:pPr>
              <w:ind w:left="20"/>
              <w:spacing w:after="0" w:line="172" w:lineRule="exact"/>
              <w:rPr>
                <w:sz w:val="20"/>
                <w:szCs w:val="20"/>
                <w:color w:val="auto"/>
              </w:rPr>
            </w:pPr>
            <w:r>
              <w:rPr>
                <w:rFonts w:ascii="Arial" w:cs="Arial" w:eastAsia="Arial" w:hAnsi="Arial"/>
                <w:sz w:val="18"/>
                <w:szCs w:val="18"/>
                <w:color w:val="auto"/>
              </w:rPr>
              <w:t>Reclassified from accumulated OCL to income due to realization of</w:t>
            </w:r>
          </w:p>
        </w:tc>
        <w:tc>
          <w:tcPr>
            <w:tcW w:w="9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vMerge w:val="restart"/>
          </w:tcPr>
          <w:p>
            <w:pPr>
              <w:ind w:lef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40" w:type="dxa"/>
            <w:vAlign w:val="bottom"/>
          </w:tcPr>
          <w:p>
            <w:pPr>
              <w:ind w:left="180"/>
              <w:spacing w:after="0"/>
              <w:rPr>
                <w:sz w:val="20"/>
                <w:szCs w:val="20"/>
                <w:color w:val="auto"/>
              </w:rPr>
            </w:pPr>
            <w:r>
              <w:rPr>
                <w:rFonts w:ascii="Arial" w:cs="Arial" w:eastAsia="Arial" w:hAnsi="Arial"/>
                <w:sz w:val="18"/>
                <w:szCs w:val="18"/>
                <w:color w:val="auto"/>
              </w:rPr>
              <w:t>previously deferred amounts</w:t>
            </w:r>
          </w:p>
        </w:tc>
        <w:tc>
          <w:tcPr>
            <w:tcW w:w="9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of cash flow hedge accounting contracts</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2"/>
        </w:trPr>
        <w:tc>
          <w:tcPr>
            <w:tcW w:w="5540" w:type="dxa"/>
            <w:vAlign w:val="bottom"/>
          </w:tcPr>
          <w:p>
            <w:pPr>
              <w:ind w:left="20"/>
              <w:spacing w:after="0" w:line="152" w:lineRule="exact"/>
              <w:rPr>
                <w:sz w:val="20"/>
                <w:szCs w:val="20"/>
                <w:color w:val="auto"/>
              </w:rPr>
            </w:pPr>
            <w:r>
              <w:rPr>
                <w:rFonts w:ascii="Arial" w:cs="Arial" w:eastAsia="Arial" w:hAnsi="Arial"/>
                <w:sz w:val="16"/>
                <w:szCs w:val="16"/>
                <w:color w:val="auto"/>
                <w:w w:val="99"/>
              </w:rPr>
              <w:t>Accumulated OCL ending balance, net of income tax benefit of $4, $7, $4 and</w:t>
            </w:r>
          </w:p>
        </w:tc>
        <w:tc>
          <w:tcPr>
            <w:tcW w:w="9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vMerge w:val="restart"/>
          </w:tcPr>
          <w:p>
            <w:pPr>
              <w:ind w:left="100"/>
              <w:spacing w:after="0"/>
              <w:rPr>
                <w:sz w:val="20"/>
                <w:szCs w:val="20"/>
                <w:color w:val="auto"/>
              </w:rPr>
            </w:pPr>
            <w:r>
              <w:rPr>
                <w:rFonts w:ascii="Arial" w:cs="Arial" w:eastAsia="Arial" w:hAnsi="Arial"/>
                <w:sz w:val="18"/>
                <w:szCs w:val="18"/>
                <w:color w:val="auto"/>
                <w:w w:val="93"/>
              </w:rPr>
              <w:t>(39)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$7, respectively</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OCL attributable to noncontrolling interests</w:t>
            </w: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5540" w:type="dxa"/>
            <w:vAlign w:val="bottom"/>
          </w:tcPr>
          <w:p>
            <w:pPr>
              <w:ind w:left="120"/>
              <w:spacing w:after="0"/>
              <w:rPr>
                <w:sz w:val="20"/>
                <w:szCs w:val="20"/>
                <w:color w:val="auto"/>
              </w:rPr>
            </w:pPr>
            <w:r>
              <w:rPr>
                <w:rFonts w:ascii="Arial" w:cs="Arial" w:eastAsia="Arial" w:hAnsi="Arial"/>
                <w:sz w:val="18"/>
                <w:szCs w:val="18"/>
                <w:color w:val="auto"/>
              </w:rPr>
              <w:t>Accumulated OCL attributable to Clearway Energy, Inc.</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54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expected to be realized from OCL during the next 12 months, net of</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of $3</w:t>
            </w:r>
          </w:p>
        </w:tc>
        <w:tc>
          <w:tcPr>
            <w:tcW w:w="9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5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4260" w:type="dxa"/>
            <w:vAlign w:val="bottom"/>
          </w:tcPr>
          <w:p>
            <w:pPr>
              <w:ind w:left="400"/>
              <w:spacing w:after="0"/>
              <w:rPr>
                <w:sz w:val="20"/>
                <w:szCs w:val="20"/>
                <w:color w:val="auto"/>
              </w:rPr>
            </w:pPr>
            <w:r>
              <w:rPr>
                <w:rFonts w:ascii="Arial" w:cs="Arial" w:eastAsia="Arial" w:hAnsi="Arial"/>
                <w:sz w:val="18"/>
                <w:szCs w:val="18"/>
                <w:color w:val="auto"/>
              </w:rPr>
              <w:t>Gains  and  losses  related  to  the  Company's</w:t>
            </w:r>
          </w:p>
        </w:tc>
        <w:tc>
          <w:tcPr>
            <w:tcW w:w="1300" w:type="dxa"/>
            <w:vAlign w:val="bottom"/>
          </w:tcPr>
          <w:p>
            <w:pPr>
              <w:jc w:val="right"/>
              <w:spacing w:after="0"/>
              <w:rPr>
                <w:sz w:val="20"/>
                <w:szCs w:val="20"/>
                <w:color w:val="auto"/>
              </w:rPr>
            </w:pPr>
            <w:r>
              <w:rPr>
                <w:rFonts w:ascii="Arial" w:cs="Arial" w:eastAsia="Arial" w:hAnsi="Arial"/>
                <w:sz w:val="18"/>
                <w:szCs w:val="18"/>
                <w:color w:val="auto"/>
                <w:w w:val="99"/>
              </w:rPr>
              <w:t>derivatives  are</w:t>
            </w:r>
          </w:p>
        </w:tc>
        <w:tc>
          <w:tcPr>
            <w:tcW w:w="820" w:type="dxa"/>
            <w:vAlign w:val="bottom"/>
          </w:tcPr>
          <w:p>
            <w:pPr>
              <w:jc w:val="right"/>
              <w:spacing w:after="0"/>
              <w:rPr>
                <w:sz w:val="20"/>
                <w:szCs w:val="20"/>
                <w:color w:val="auto"/>
              </w:rPr>
            </w:pPr>
            <w:r>
              <w:rPr>
                <w:rFonts w:ascii="Arial" w:cs="Arial" w:eastAsia="Arial" w:hAnsi="Arial"/>
                <w:sz w:val="18"/>
                <w:szCs w:val="18"/>
                <w:color w:val="auto"/>
              </w:rPr>
              <w:t>recorded</w:t>
            </w:r>
          </w:p>
        </w:tc>
        <w:tc>
          <w:tcPr>
            <w:tcW w:w="320" w:type="dxa"/>
            <w:vAlign w:val="bottom"/>
          </w:tcPr>
          <w:p>
            <w:pPr>
              <w:jc w:val="right"/>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96"/>
              </w:rPr>
              <w:t>the  consolidated</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w w:val="96"/>
              </w:rPr>
              <w:t>statement</w:t>
            </w:r>
          </w:p>
        </w:tc>
        <w:tc>
          <w:tcPr>
            <w:tcW w:w="380" w:type="dxa"/>
            <w:vAlign w:val="bottom"/>
          </w:tcPr>
          <w:p>
            <w:pPr>
              <w:ind w:left="60"/>
              <w:spacing w:after="0"/>
              <w:rPr>
                <w:sz w:val="20"/>
                <w:szCs w:val="20"/>
                <w:color w:val="auto"/>
              </w:rPr>
            </w:pPr>
            <w:r>
              <w:rPr>
                <w:rFonts w:ascii="Arial" w:cs="Arial" w:eastAsia="Arial" w:hAnsi="Arial"/>
                <w:sz w:val="18"/>
                <w:szCs w:val="18"/>
                <w:color w:val="auto"/>
              </w:rPr>
              <w:t>of</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85"/>
              </w:rPr>
              <w:t>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as  follows:</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3880" w:type="dxa"/>
            <w:vAlign w:val="bottom"/>
            <w:gridSpan w:val="6"/>
          </w:tcPr>
          <w:p>
            <w:pPr>
              <w:ind w:left="1040"/>
              <w:spacing w:after="0"/>
              <w:rPr>
                <w:sz w:val="20"/>
                <w:szCs w:val="20"/>
                <w:color w:val="auto"/>
              </w:rPr>
            </w:pPr>
            <w:r>
              <w:rPr>
                <w:rFonts w:ascii="Arial" w:cs="Arial" w:eastAsia="Arial" w:hAnsi="Arial"/>
                <w:sz w:val="14"/>
                <w:szCs w:val="14"/>
                <w:b w:val="1"/>
                <w:bCs w:val="1"/>
                <w:color w:val="auto"/>
              </w:rPr>
              <w:t>Three months ended June 30,</w:t>
            </w:r>
          </w:p>
        </w:tc>
        <w:tc>
          <w:tcPr>
            <w:tcW w:w="310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4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Contracts (Interest expense)</w:t>
            </w:r>
          </w:p>
        </w:tc>
        <w:tc>
          <w:tcPr>
            <w:tcW w:w="13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242424"/>
              </w:rPr>
              <w:t>$</w:t>
            </w:r>
          </w:p>
        </w:tc>
        <w:tc>
          <w:tcPr>
            <w:tcW w:w="8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242424"/>
              </w:rPr>
              <w:t>(11)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4242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36</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1"/>
        </w:trPr>
        <w:tc>
          <w:tcPr>
            <w:tcW w:w="4260" w:type="dxa"/>
            <w:vAlign w:val="bottom"/>
          </w:tcPr>
          <w:p>
            <w:pPr>
              <w:ind w:left="420"/>
              <w:spacing w:after="0" w:line="171" w:lineRule="exact"/>
              <w:rPr>
                <w:sz w:val="20"/>
                <w:szCs w:val="20"/>
                <w:color w:val="auto"/>
              </w:rPr>
            </w:pPr>
            <w:r>
              <w:rPr>
                <w:rFonts w:ascii="Arial" w:cs="Arial" w:eastAsia="Arial" w:hAnsi="Arial"/>
                <w:sz w:val="18"/>
                <w:szCs w:val="18"/>
                <w:color w:val="auto"/>
                <w:w w:val="92"/>
              </w:rPr>
              <w:t>Commodity Contracts (Mark-to-market for economic</w:t>
            </w:r>
          </w:p>
        </w:tc>
        <w:tc>
          <w:tcPr>
            <w:tcW w:w="1300" w:type="dxa"/>
            <w:vAlign w:val="bottom"/>
          </w:tcPr>
          <w:p>
            <w:pPr>
              <w:spacing w:after="0"/>
              <w:rPr>
                <w:sz w:val="14"/>
                <w:szCs w:val="14"/>
                <w:color w:val="auto"/>
              </w:rPr>
            </w:pPr>
          </w:p>
        </w:tc>
        <w:tc>
          <w:tcPr>
            <w:tcW w:w="820" w:type="dxa"/>
            <w:vAlign w:val="bottom"/>
            <w:vMerge w:val="restart"/>
          </w:tcPr>
          <w:p>
            <w:pPr>
              <w:jc w:val="right"/>
              <w:ind w:right="372"/>
              <w:spacing w:after="0"/>
              <w:rPr>
                <w:sz w:val="20"/>
                <w:szCs w:val="20"/>
                <w:color w:val="auto"/>
              </w:rPr>
            </w:pPr>
            <w:r>
              <w:rPr>
                <w:rFonts w:ascii="Arial" w:cs="Arial" w:eastAsia="Arial" w:hAnsi="Arial"/>
                <w:sz w:val="18"/>
                <w:szCs w:val="18"/>
                <w:color w:val="242424"/>
              </w:rPr>
              <w:t>(28)</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242424"/>
              </w:rPr>
              <w:t>(50)</w:t>
            </w:r>
          </w:p>
        </w:tc>
        <w:tc>
          <w:tcPr>
            <w:tcW w:w="8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8"/>
        </w:trPr>
        <w:tc>
          <w:tcPr>
            <w:tcW w:w="4260" w:type="dxa"/>
            <w:vAlign w:val="bottom"/>
          </w:tcPr>
          <w:p>
            <w:pPr>
              <w:ind w:left="20"/>
              <w:spacing w:after="0"/>
              <w:rPr>
                <w:sz w:val="20"/>
                <w:szCs w:val="20"/>
                <w:color w:val="auto"/>
              </w:rPr>
            </w:pPr>
            <w:r>
              <w:rPr>
                <w:rFonts w:ascii="Arial" w:cs="Arial" w:eastAsia="Arial" w:hAnsi="Arial"/>
                <w:sz w:val="18"/>
                <w:szCs w:val="18"/>
                <w:color w:val="auto"/>
              </w:rPr>
              <w:t xml:space="preserve">hedging activities) </w:t>
            </w:r>
            <w:r>
              <w:rPr>
                <w:rFonts w:ascii="Arial" w:cs="Arial" w:eastAsia="Arial" w:hAnsi="Arial"/>
                <w:sz w:val="22"/>
                <w:szCs w:val="22"/>
                <w:color w:val="auto"/>
                <w:vertAlign w:val="superscript"/>
              </w:rPr>
              <w:t>(a)</w:t>
            </w:r>
          </w:p>
        </w:tc>
        <w:tc>
          <w:tcPr>
            <w:tcW w:w="13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Relates to long-term power hedges at Elbow Creek Wind Project LLC, or Elbow Creek, Mesquite Star Special LLC, or Mesquite Star, and NedPower Mount Storm LLC, or Mt. Storm.</w:t>
      </w:r>
    </w:p>
    <w:p>
      <w:pPr>
        <w:spacing w:after="0" w:line="21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15" w:lineRule="exact"/>
        <w:rPr>
          <w:sz w:val="20"/>
          <w:szCs w:val="20"/>
          <w:color w:val="auto"/>
        </w:rPr>
      </w:pPr>
    </w:p>
    <w:p>
      <w:pPr>
        <w:ind w:right="20" w:firstLine="395"/>
        <w:spacing w:after="0" w:line="261"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2020 Form 10-K. Long-term debt consisted of the following:</w:t>
      </w:r>
    </w:p>
    <w:tbl>
      <w:tblPr>
        <w:tblLayout w:type="fixed"/>
        <w:tblInd w:w="0" w:type="dxa"/>
        <w:tblCellMar>
          <w:top w:w="0" w:type="dxa"/>
          <w:left w:w="0" w:type="dxa"/>
          <w:bottom w:w="0" w:type="dxa"/>
          <w:right w:w="0" w:type="dxa"/>
        </w:tblCellMar>
      </w:tblPr>
      <w:tr>
        <w:trPr>
          <w:trHeight w:val="141"/>
        </w:trPr>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7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tcPr>
          <w:p>
            <w:pPr>
              <w:jc w:val="right"/>
              <w:ind w:right="130"/>
              <w:spacing w:after="0" w:line="141" w:lineRule="exact"/>
              <w:rPr>
                <w:sz w:val="20"/>
                <w:szCs w:val="20"/>
                <w:color w:val="auto"/>
              </w:rPr>
            </w:pPr>
            <w:r>
              <w:rPr>
                <w:rFonts w:ascii="Arial" w:cs="Arial" w:eastAsia="Arial" w:hAnsi="Arial"/>
                <w:sz w:val="14"/>
                <w:szCs w:val="14"/>
                <w:b w:val="1"/>
                <w:bCs w:val="1"/>
                <w:color w:val="auto"/>
              </w:rPr>
              <w:t>Letters of</w:t>
            </w:r>
          </w:p>
        </w:tc>
        <w:tc>
          <w:tcPr>
            <w:tcW w:w="0" w:type="dxa"/>
            <w:vAlign w:val="bottom"/>
          </w:tcPr>
          <w:p>
            <w:pPr>
              <w:spacing w:after="0"/>
              <w:rPr>
                <w:sz w:val="1"/>
                <w:szCs w:val="1"/>
                <w:color w:val="auto"/>
              </w:rPr>
            </w:pPr>
          </w:p>
        </w:tc>
      </w:tr>
      <w:tr>
        <w:trPr>
          <w:trHeight w:val="132"/>
        </w:trPr>
        <w:tc>
          <w:tcPr>
            <w:tcW w:w="51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 except rates)</w:t>
            </w:r>
          </w:p>
        </w:tc>
        <w:tc>
          <w:tcPr>
            <w:tcW w:w="13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vMerge w:val="restart"/>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360" w:type="dxa"/>
            <w:vAlign w:val="bottom"/>
          </w:tcPr>
          <w:p>
            <w:pPr>
              <w:jc w:val="right"/>
              <w:spacing w:after="0" w:line="132" w:lineRule="exact"/>
              <w:rPr>
                <w:sz w:val="20"/>
                <w:szCs w:val="20"/>
                <w:color w:val="auto"/>
              </w:rPr>
            </w:pPr>
            <w:r>
              <w:rPr>
                <w:rFonts w:ascii="Arial" w:cs="Arial" w:eastAsia="Arial" w:hAnsi="Arial"/>
                <w:sz w:val="14"/>
                <w:szCs w:val="14"/>
                <w:b w:val="1"/>
                <w:bCs w:val="1"/>
                <w:color w:val="auto"/>
                <w:w w:val="92"/>
              </w:rPr>
              <w:t>Credit Outstanding at</w:t>
            </w:r>
          </w:p>
        </w:tc>
        <w:tc>
          <w:tcPr>
            <w:tcW w:w="0" w:type="dxa"/>
            <w:vAlign w:val="bottom"/>
          </w:tcPr>
          <w:p>
            <w:pPr>
              <w:spacing w:after="0"/>
              <w:rPr>
                <w:sz w:val="1"/>
                <w:szCs w:val="1"/>
                <w:color w:val="auto"/>
              </w:rPr>
            </w:pPr>
          </w:p>
        </w:tc>
      </w:tr>
      <w:tr>
        <w:trPr>
          <w:trHeight w:val="184"/>
        </w:trPr>
        <w:tc>
          <w:tcPr>
            <w:tcW w:w="516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30"/>
              <w:spacing w:after="0" w:line="184" w:lineRule="exact"/>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18"/>
                <w:szCs w:val="18"/>
                <w:b w:val="1"/>
                <w:bCs w:val="1"/>
                <w:color w:val="auto"/>
                <w:vertAlign w:val="superscript"/>
              </w:rPr>
              <w:t>(a)</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2025 Senior Notes</w:t>
            </w: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740" w:type="dxa"/>
            <w:vAlign w:val="bottom"/>
            <w:gridSpan w:val="2"/>
            <w:shd w:val="clear" w:color="auto" w:fill="CCEEFF"/>
          </w:tcPr>
          <w:p>
            <w:pPr>
              <w:jc w:val="center"/>
              <w:ind w:left="1250"/>
              <w:spacing w:after="0"/>
              <w:rPr>
                <w:sz w:val="20"/>
                <w:szCs w:val="20"/>
                <w:color w:val="auto"/>
              </w:rPr>
            </w:pPr>
            <w:r>
              <w:rPr>
                <w:rFonts w:ascii="Arial" w:cs="Arial" w:eastAsia="Arial" w:hAnsi="Arial"/>
                <w:sz w:val="14"/>
                <w:szCs w:val="14"/>
                <w:color w:val="auto"/>
                <w:w w:val="85"/>
              </w:rPr>
              <w:t>5.750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20"/>
              <w:spacing w:after="0"/>
              <w:rPr>
                <w:sz w:val="20"/>
                <w:szCs w:val="20"/>
                <w:color w:val="auto"/>
              </w:rPr>
            </w:pPr>
            <w:r>
              <w:rPr>
                <w:rFonts w:ascii="Arial" w:cs="Arial" w:eastAsia="Arial" w:hAnsi="Arial"/>
                <w:sz w:val="16"/>
                <w:szCs w:val="16"/>
                <w:color w:val="auto"/>
              </w:rPr>
              <w:t>2026 Senior Notes</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5.000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2028 Senior Notes</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740" w:type="dxa"/>
            <w:vAlign w:val="bottom"/>
            <w:gridSpan w:val="2"/>
            <w:shd w:val="clear" w:color="auto" w:fill="CCEEFF"/>
          </w:tcPr>
          <w:p>
            <w:pPr>
              <w:jc w:val="center"/>
              <w:ind w:left="1250"/>
              <w:spacing w:after="0"/>
              <w:rPr>
                <w:sz w:val="20"/>
                <w:szCs w:val="20"/>
                <w:color w:val="auto"/>
              </w:rPr>
            </w:pPr>
            <w:r>
              <w:rPr>
                <w:rFonts w:ascii="Arial" w:cs="Arial" w:eastAsia="Arial" w:hAnsi="Arial"/>
                <w:sz w:val="14"/>
                <w:szCs w:val="14"/>
                <w:color w:val="auto"/>
                <w:w w:val="85"/>
              </w:rPr>
              <w:t>4.750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20"/>
              <w:spacing w:after="0"/>
              <w:rPr>
                <w:sz w:val="20"/>
                <w:szCs w:val="20"/>
                <w:color w:val="auto"/>
              </w:rPr>
            </w:pPr>
            <w:r>
              <w:rPr>
                <w:rFonts w:ascii="Arial" w:cs="Arial" w:eastAsia="Arial" w:hAnsi="Arial"/>
                <w:sz w:val="16"/>
                <w:szCs w:val="16"/>
                <w:color w:val="auto"/>
              </w:rPr>
              <w:t>2031 Senior Notes</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3.750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160" w:type="dxa"/>
            <w:vAlign w:val="bottom"/>
            <w:shd w:val="clear" w:color="auto" w:fill="CCEEFF"/>
          </w:tcPr>
          <w:p>
            <w:pPr>
              <w:ind w:left="420"/>
              <w:spacing w:after="0" w:line="165" w:lineRule="exact"/>
              <w:rPr>
                <w:sz w:val="20"/>
                <w:szCs w:val="20"/>
                <w:color w:val="auto"/>
              </w:rPr>
            </w:pPr>
            <w:r>
              <w:rPr>
                <w:rFonts w:ascii="Arial" w:cs="Arial" w:eastAsia="Arial" w:hAnsi="Arial"/>
                <w:sz w:val="16"/>
                <w:szCs w:val="16"/>
                <w:color w:val="auto"/>
                <w:w w:val="95"/>
              </w:rPr>
              <w:t>Clearway Energy LLC and Clearway Energy Operating LLC Revolving</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Credit Facility, due 2023 </w:t>
            </w:r>
            <w:r>
              <w:rPr>
                <w:rFonts w:ascii="Arial" w:cs="Arial" w:eastAsia="Arial" w:hAnsi="Arial"/>
                <w:sz w:val="20"/>
                <w:szCs w:val="20"/>
                <w:color w:val="auto"/>
                <w:vertAlign w:val="superscript"/>
              </w:rPr>
              <w:t>(b)</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88</w:t>
            </w:r>
          </w:p>
        </w:tc>
        <w:tc>
          <w:tcPr>
            <w:tcW w:w="0" w:type="dxa"/>
            <w:vAlign w:val="bottom"/>
          </w:tcPr>
          <w:p>
            <w:pPr>
              <w:spacing w:after="0"/>
              <w:rPr>
                <w:sz w:val="1"/>
                <w:szCs w:val="1"/>
                <w:color w:val="auto"/>
              </w:rPr>
            </w:pPr>
          </w:p>
        </w:tc>
      </w:tr>
      <w:tr>
        <w:trPr>
          <w:trHeight w:val="208"/>
        </w:trPr>
        <w:tc>
          <w:tcPr>
            <w:tcW w:w="5160" w:type="dxa"/>
            <w:vAlign w:val="bottom"/>
          </w:tcPr>
          <w:p>
            <w:pPr>
              <w:ind w:left="420"/>
              <w:spacing w:after="0"/>
              <w:rPr>
                <w:sz w:val="20"/>
                <w:szCs w:val="20"/>
                <w:color w:val="auto"/>
              </w:rPr>
            </w:pPr>
            <w:r>
              <w:rPr>
                <w:rFonts w:ascii="Arial" w:cs="Arial" w:eastAsia="Arial" w:hAnsi="Arial"/>
                <w:sz w:val="16"/>
                <w:szCs w:val="16"/>
                <w:b w:val="1"/>
                <w:bCs w:val="1"/>
                <w:color w:val="auto"/>
              </w:rPr>
              <w:t>Project-level debt:</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Agua Caliente Solar LLC, due 2037</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2.395 - 3.633</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44</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Alta Wind Asset Management LLC, due 2031</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L+2.625</w:t>
            </w:r>
          </w:p>
        </w:tc>
        <w:tc>
          <w:tcPr>
            <w:tcW w:w="1360" w:type="dxa"/>
            <w:vAlign w:val="bottom"/>
          </w:tcPr>
          <w:p>
            <w:pPr>
              <w:jc w:val="right"/>
              <w:spacing w:after="0"/>
              <w:rPr>
                <w:sz w:val="20"/>
                <w:szCs w:val="20"/>
                <w:color w:val="auto"/>
              </w:rPr>
            </w:pPr>
            <w:r>
              <w:rPr>
                <w:rFonts w:ascii="Arial" w:cs="Arial" w:eastAsia="Arial" w:hAnsi="Arial"/>
                <w:sz w:val="14"/>
                <w:szCs w:val="14"/>
                <w:color w:val="242424"/>
              </w:rPr>
              <w:t>26</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Alta Wind I-V lease financing arrangements, due 2034 and 2035</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5.696 - 7.015</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Alta Wind Realty Investments LLC, due 2031</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Borrego, due 2024 and 2038</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left="1010"/>
              <w:spacing w:after="0"/>
              <w:rPr>
                <w:sz w:val="20"/>
                <w:szCs w:val="20"/>
                <w:color w:val="auto"/>
              </w:rPr>
            </w:pPr>
            <w:r>
              <w:rPr>
                <w:rFonts w:ascii="Arial" w:cs="Arial" w:eastAsia="Arial" w:hAnsi="Arial"/>
                <w:sz w:val="14"/>
                <w:szCs w:val="14"/>
                <w:color w:val="auto"/>
                <w:w w:val="92"/>
              </w:rPr>
              <w:t>Various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Buckthorn Solar, due 2025</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360" w:type="dxa"/>
            <w:vAlign w:val="bottom"/>
          </w:tcPr>
          <w:p>
            <w:pPr>
              <w:jc w:val="right"/>
              <w:spacing w:after="0"/>
              <w:rPr>
                <w:sz w:val="20"/>
                <w:szCs w:val="20"/>
                <w:color w:val="auto"/>
              </w:rPr>
            </w:pPr>
            <w:r>
              <w:rPr>
                <w:rFonts w:ascii="Arial" w:cs="Arial" w:eastAsia="Arial" w:hAnsi="Arial"/>
                <w:sz w:val="14"/>
                <w:szCs w:val="14"/>
                <w:color w:val="242424"/>
              </w:rPr>
              <w:t>23</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Carlsbad Energy Holdings LLC, due 2027</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L+1.625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82</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Carlsbad Energy Holdings LLC, due 2038</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407</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4.120</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Carlsbad Holdco, due 2038</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740" w:type="dxa"/>
            <w:vAlign w:val="bottom"/>
            <w:gridSpan w:val="2"/>
            <w:shd w:val="clear" w:color="auto" w:fill="CCEEFF"/>
          </w:tcPr>
          <w:p>
            <w:pPr>
              <w:jc w:val="center"/>
              <w:ind w:left="1250"/>
              <w:spacing w:after="0"/>
              <w:rPr>
                <w:sz w:val="20"/>
                <w:szCs w:val="20"/>
                <w:color w:val="auto"/>
              </w:rPr>
            </w:pPr>
            <w:r>
              <w:rPr>
                <w:rFonts w:ascii="Arial" w:cs="Arial" w:eastAsia="Arial" w:hAnsi="Arial"/>
                <w:sz w:val="14"/>
                <w:szCs w:val="14"/>
                <w:color w:val="auto"/>
                <w:w w:val="85"/>
              </w:rPr>
              <w:t>4.210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CVSR Holdco Notes, due 2037</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4.680</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13</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CVSR, due 2037</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2.339 - 3.775</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DG-CS Master Borrower LLC, due 2040</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467</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3.510</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30</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Duquesne, due 2059</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740" w:type="dxa"/>
            <w:vAlign w:val="bottom"/>
            <w:gridSpan w:val="2"/>
            <w:shd w:val="clear" w:color="auto" w:fill="CCEEFF"/>
          </w:tcPr>
          <w:p>
            <w:pPr>
              <w:jc w:val="center"/>
              <w:ind w:left="1250"/>
              <w:spacing w:after="0"/>
              <w:rPr>
                <w:sz w:val="20"/>
                <w:szCs w:val="20"/>
                <w:color w:val="auto"/>
              </w:rPr>
            </w:pPr>
            <w:r>
              <w:rPr>
                <w:rFonts w:ascii="Arial" w:cs="Arial" w:eastAsia="Arial" w:hAnsi="Arial"/>
                <w:sz w:val="14"/>
                <w:szCs w:val="14"/>
                <w:color w:val="auto"/>
                <w:w w:val="85"/>
              </w:rPr>
              <w:t>4.620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El Segundo Energy Center, due 2023</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L+1.875 - L+2.500</w:t>
            </w:r>
          </w:p>
        </w:tc>
        <w:tc>
          <w:tcPr>
            <w:tcW w:w="1360" w:type="dxa"/>
            <w:vAlign w:val="bottom"/>
          </w:tcPr>
          <w:p>
            <w:pPr>
              <w:jc w:val="right"/>
              <w:spacing w:after="0"/>
              <w:rPr>
                <w:sz w:val="20"/>
                <w:szCs w:val="20"/>
                <w:color w:val="auto"/>
              </w:rPr>
            </w:pPr>
            <w:r>
              <w:rPr>
                <w:rFonts w:ascii="Arial" w:cs="Arial" w:eastAsia="Arial" w:hAnsi="Arial"/>
                <w:sz w:val="14"/>
                <w:szCs w:val="14"/>
                <w:color w:val="242424"/>
              </w:rPr>
              <w:t>138</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Energy Center Minneapolis Series D, E, F, G, H Notes, due 2025-2037</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left="1010"/>
              <w:spacing w:after="0"/>
              <w:rPr>
                <w:sz w:val="20"/>
                <w:szCs w:val="20"/>
                <w:color w:val="auto"/>
              </w:rPr>
            </w:pPr>
            <w:r>
              <w:rPr>
                <w:rFonts w:ascii="Arial" w:cs="Arial" w:eastAsia="Arial" w:hAnsi="Arial"/>
                <w:sz w:val="14"/>
                <w:szCs w:val="14"/>
                <w:color w:val="auto"/>
                <w:w w:val="92"/>
              </w:rPr>
              <w:t>Various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Kawailoa Solar Portfolio LLC, due 2026</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360" w:type="dxa"/>
            <w:vAlign w:val="bottom"/>
          </w:tcPr>
          <w:p>
            <w:pPr>
              <w:jc w:val="right"/>
              <w:spacing w:after="0"/>
              <w:rPr>
                <w:sz w:val="20"/>
                <w:szCs w:val="20"/>
                <w:color w:val="auto"/>
              </w:rPr>
            </w:pPr>
            <w:r>
              <w:rPr>
                <w:rFonts w:ascii="Arial" w:cs="Arial" w:eastAsia="Arial" w:hAnsi="Arial"/>
                <w:sz w:val="14"/>
                <w:szCs w:val="14"/>
                <w:color w:val="242424"/>
              </w:rPr>
              <w:t>15</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Laredo Ridge, due 2028</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L+2.125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9</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Marsh Landing, due 2023</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L+2.375</w:t>
            </w:r>
          </w:p>
        </w:tc>
        <w:tc>
          <w:tcPr>
            <w:tcW w:w="1360" w:type="dxa"/>
            <w:vAlign w:val="bottom"/>
          </w:tcPr>
          <w:p>
            <w:pPr>
              <w:jc w:val="right"/>
              <w:spacing w:after="0"/>
              <w:rPr>
                <w:sz w:val="20"/>
                <w:szCs w:val="20"/>
                <w:color w:val="auto"/>
              </w:rPr>
            </w:pPr>
            <w:r>
              <w:rPr>
                <w:rFonts w:ascii="Arial" w:cs="Arial" w:eastAsia="Arial" w:hAnsi="Arial"/>
                <w:sz w:val="14"/>
                <w:szCs w:val="14"/>
                <w:color w:val="242424"/>
              </w:rPr>
              <w:t>99</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NIMH Solar, due 2024</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L+2.00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16</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Oahu Solar Holdings LLC, due 2026</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360" w:type="dxa"/>
            <w:vAlign w:val="bottom"/>
          </w:tcPr>
          <w:p>
            <w:pPr>
              <w:jc w:val="right"/>
              <w:spacing w:after="0"/>
              <w:rPr>
                <w:sz w:val="20"/>
                <w:szCs w:val="20"/>
                <w:color w:val="auto"/>
              </w:rPr>
            </w:pPr>
            <w:r>
              <w:rPr>
                <w:rFonts w:ascii="Arial" w:cs="Arial" w:eastAsia="Arial" w:hAnsi="Arial"/>
                <w:sz w:val="14"/>
                <w:szCs w:val="14"/>
                <w:color w:val="242424"/>
              </w:rPr>
              <w:t>11</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Pinnacle Repowering Partnership Holdco LLC, due 2021</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L+1.00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2</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Rosie Class B LLC, due 2027</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L+1.75</w:t>
            </w:r>
          </w:p>
        </w:tc>
        <w:tc>
          <w:tcPr>
            <w:tcW w:w="1360" w:type="dxa"/>
            <w:vAlign w:val="bottom"/>
          </w:tcPr>
          <w:p>
            <w:pPr>
              <w:jc w:val="right"/>
              <w:spacing w:after="0"/>
              <w:rPr>
                <w:sz w:val="20"/>
                <w:szCs w:val="20"/>
                <w:color w:val="auto"/>
              </w:rPr>
            </w:pPr>
            <w:r>
              <w:rPr>
                <w:rFonts w:ascii="Arial" w:cs="Arial" w:eastAsia="Arial" w:hAnsi="Arial"/>
                <w:sz w:val="14"/>
                <w:szCs w:val="14"/>
                <w:color w:val="242424"/>
              </w:rPr>
              <w:t>21</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Tapestry Wind LLC, due 2031</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11</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Utah Solar Holdings, due 2036</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w:t>
            </w:r>
          </w:p>
        </w:tc>
        <w:tc>
          <w:tcPr>
            <w:tcW w:w="1740" w:type="dxa"/>
            <w:vAlign w:val="bottom"/>
            <w:gridSpan w:val="2"/>
          </w:tcPr>
          <w:p>
            <w:pPr>
              <w:jc w:val="center"/>
              <w:ind w:left="1250"/>
              <w:spacing w:after="0"/>
              <w:rPr>
                <w:sz w:val="20"/>
                <w:szCs w:val="20"/>
                <w:color w:val="auto"/>
              </w:rPr>
            </w:pPr>
            <w:r>
              <w:rPr>
                <w:rFonts w:ascii="Arial" w:cs="Arial" w:eastAsia="Arial" w:hAnsi="Arial"/>
                <w:sz w:val="14"/>
                <w:szCs w:val="14"/>
                <w:color w:val="auto"/>
                <w:w w:val="85"/>
              </w:rPr>
              <w:t>3.590</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16</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Walnut Creek, due 2023</w:t>
            </w: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103</w:t>
            </w:r>
          </w:p>
        </w:tc>
        <w:tc>
          <w:tcPr>
            <w:tcW w:w="0" w:type="dxa"/>
            <w:vAlign w:val="bottom"/>
          </w:tcPr>
          <w:p>
            <w:pPr>
              <w:spacing w:after="0"/>
              <w:rPr>
                <w:sz w:val="1"/>
                <w:szCs w:val="1"/>
                <w:color w:val="auto"/>
              </w:rPr>
            </w:pPr>
          </w:p>
        </w:tc>
      </w:tr>
      <w:tr>
        <w:trPr>
          <w:trHeight w:val="182"/>
        </w:trPr>
        <w:tc>
          <w:tcPr>
            <w:tcW w:w="5160" w:type="dxa"/>
            <w:vAlign w:val="bottom"/>
          </w:tcPr>
          <w:p>
            <w:pPr>
              <w:ind w:left="420"/>
              <w:spacing w:after="0"/>
              <w:rPr>
                <w:sz w:val="20"/>
                <w:szCs w:val="20"/>
                <w:color w:val="auto"/>
              </w:rPr>
            </w:pPr>
            <w:r>
              <w:rPr>
                <w:rFonts w:ascii="Arial" w:cs="Arial" w:eastAsia="Arial" w:hAnsi="Arial"/>
                <w:sz w:val="14"/>
                <w:szCs w:val="14"/>
                <w:color w:val="auto"/>
              </w:rPr>
              <w:t>WCEP Holdings, LLC, due 2023</w:t>
            </w:r>
          </w:p>
        </w:tc>
        <w:tc>
          <w:tcPr>
            <w:tcW w:w="7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L+3.00</w:t>
            </w: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left="1010"/>
              <w:spacing w:after="0"/>
              <w:rPr>
                <w:sz w:val="20"/>
                <w:szCs w:val="20"/>
                <w:color w:val="auto"/>
              </w:rPr>
            </w:pPr>
            <w:r>
              <w:rPr>
                <w:rFonts w:ascii="Arial" w:cs="Arial" w:eastAsia="Arial" w:hAnsi="Arial"/>
                <w:sz w:val="14"/>
                <w:szCs w:val="14"/>
                <w:color w:val="auto"/>
                <w:w w:val="92"/>
              </w:rPr>
              <w:t>Various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38</w:t>
            </w:r>
          </w:p>
        </w:tc>
        <w:tc>
          <w:tcPr>
            <w:tcW w:w="0" w:type="dxa"/>
            <w:vAlign w:val="bottom"/>
          </w:tcPr>
          <w:p>
            <w:pPr>
              <w:spacing w:after="0"/>
              <w:rPr>
                <w:sz w:val="1"/>
                <w:szCs w:val="1"/>
                <w:color w:val="auto"/>
              </w:rPr>
            </w:pPr>
          </w:p>
        </w:tc>
      </w:tr>
      <w:tr>
        <w:trPr>
          <w:trHeight w:val="200"/>
        </w:trPr>
        <w:tc>
          <w:tcPr>
            <w:tcW w:w="5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Subtotal project-level debt:</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5,834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debt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8,026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20"/>
              <w:spacing w:after="0"/>
              <w:rPr>
                <w:sz w:val="20"/>
                <w:szCs w:val="20"/>
                <w:color w:val="auto"/>
              </w:rPr>
            </w:pPr>
            <w:r>
              <w:rPr>
                <w:rFonts w:ascii="Arial" w:cs="Arial" w:eastAsia="Arial" w:hAnsi="Arial"/>
                <w:sz w:val="16"/>
                <w:szCs w:val="16"/>
                <w:color w:val="auto"/>
              </w:rPr>
              <w:t>Less current maturities</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Less net debt issuance costs</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ind w:left="420"/>
              <w:spacing w:after="0" w:line="210" w:lineRule="exact"/>
              <w:rPr>
                <w:sz w:val="20"/>
                <w:szCs w:val="20"/>
                <w:color w:val="auto"/>
              </w:rPr>
            </w:pPr>
            <w:r>
              <w:rPr>
                <w:rFonts w:ascii="Arial" w:cs="Arial" w:eastAsia="Arial" w:hAnsi="Arial"/>
                <w:sz w:val="16"/>
                <w:szCs w:val="16"/>
                <w:color w:val="auto"/>
              </w:rPr>
              <w:t>Add premiums</w:t>
            </w:r>
            <w:r>
              <w:rPr>
                <w:rFonts w:ascii="Arial" w:cs="Arial" w:eastAsia="Arial" w:hAnsi="Arial"/>
                <w:sz w:val="20"/>
                <w:szCs w:val="20"/>
                <w:color w:val="auto"/>
                <w:vertAlign w:val="superscript"/>
              </w:rPr>
              <w:t>(c)</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long-term debt</w:t>
            </w:r>
          </w:p>
        </w:tc>
        <w:tc>
          <w:tcPr>
            <w:tcW w:w="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7,434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660" w:firstLine="5"/>
        <w:spacing w:after="0" w:line="244" w:lineRule="auto"/>
        <w:tabs>
          <w:tab w:leader="none" w:pos="191"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June 30, 2021, L+ equals 3 month LIBOR plus x%, except Clearway Energy Operating LLC Revolving Credit Facility, due 2023, Marsh Landing, due 2023, Pinnacle Repowering Partnership HoldCo LLC, due 2021, and Walnut Creek, due 2023, where L+ equals 1 month LIBOR plus x%.</w:t>
      </w:r>
    </w:p>
    <w:p>
      <w:pPr>
        <w:ind w:left="200" w:hanging="195"/>
        <w:spacing w:after="0" w:line="235" w:lineRule="auto"/>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ind w:left="200" w:hanging="195"/>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28"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2021, the Company was in compliance with all of the required covenants.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2" w:name="page33"/>
    <w:bookmarkEnd w:id="32"/>
    <w:p>
      <w:pPr>
        <w:ind w:left="40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2021.</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As of June 30, 2021, the Company had $67 million of borrowings under the revolving credit facility and $88 million in letters of credit outstanding. During the six months ended June 30, 2021, the Company borrowed $300 million under the revolving credit facility, and subsequently repaid $233 million, utilizing cash on hand and proceeds from the issuance of the 2031 Senior Notes as described below. During July 2021, the company repaid the outstanding $67 million balance under the revolving credit facility and as of July 31, 2021, the Company had no loans outstanding under the revolving credit facility and a total of $75 million in letters of credit outstanding.</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On March 17, 2021,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Agua Caliente Solar LLC</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As part of the acquisition of Agua Caliente Borrower 1 LLC and the consolidation of Agua Caliente, as further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the Company consolidated non-recourse debt of $716 million related to Agua Caliente Solar, LLC on February 3, 2021. The debt consists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with the Federal Financing Bank and accrues interest at fixed rates between 2.395% and 3.633%, which matures in 2037.</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The Company will continue to draw on the construction loan to fund the repowering activities of the Pinnacle wind project up to the total commitment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67"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reconciliation of Clearway Energy, Inc.'s basic and diluted earnings per share is shown in the following tables:</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3"/>
              </w:rPr>
              <w:t>2020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240" w:type="dxa"/>
            <w:vAlign w:val="bottom"/>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8"/>
                <w:szCs w:val="18"/>
                <w:b w:val="1"/>
                <w:bCs w:val="1"/>
                <w:color w:val="auto"/>
                <w:vertAlign w:val="superscript"/>
              </w:rPr>
              <w:t>(a)</w:t>
            </w:r>
          </w:p>
        </w:tc>
        <w:tc>
          <w:tcPr>
            <w:tcW w:w="150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50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50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40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Common Class</w:t>
            </w:r>
          </w:p>
        </w:tc>
        <w:tc>
          <w:tcPr>
            <w:tcW w:w="0" w:type="dxa"/>
            <w:vAlign w:val="bottom"/>
          </w:tcPr>
          <w:p>
            <w:pPr>
              <w:spacing w:after="0"/>
              <w:rPr>
                <w:sz w:val="1"/>
                <w:szCs w:val="1"/>
                <w:color w:val="auto"/>
              </w:rPr>
            </w:pPr>
          </w:p>
        </w:tc>
      </w:tr>
      <w:tr>
        <w:trPr>
          <w:trHeight w:val="184"/>
        </w:trPr>
        <w:tc>
          <w:tcPr>
            <w:tcW w:w="524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w:t>
            </w:r>
          </w:p>
        </w:tc>
        <w:tc>
          <w:tcPr>
            <w:tcW w:w="5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C</w:t>
            </w:r>
          </w:p>
        </w:tc>
        <w:tc>
          <w:tcPr>
            <w:tcW w:w="5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w:t>
            </w: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77"/>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71"/>
        </w:trPr>
        <w:tc>
          <w:tcPr>
            <w:tcW w:w="5240" w:type="dxa"/>
            <w:vAlign w:val="bottom"/>
          </w:tcPr>
          <w:p>
            <w:pPr>
              <w:ind w:left="420"/>
              <w:spacing w:after="0" w:line="171" w:lineRule="exact"/>
              <w:rPr>
                <w:sz w:val="20"/>
                <w:szCs w:val="20"/>
                <w:color w:val="auto"/>
              </w:rPr>
            </w:pPr>
            <w:r>
              <w:rPr>
                <w:rFonts w:ascii="Arial" w:cs="Arial" w:eastAsia="Arial" w:hAnsi="Arial"/>
                <w:sz w:val="18"/>
                <w:szCs w:val="18"/>
                <w:b w:val="1"/>
                <w:bCs w:val="1"/>
                <w:color w:val="auto"/>
                <w:w w:val="93"/>
              </w:rPr>
              <w:t>Basic and diluted income per share attributable to Clearway</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Energy, Inc. common stockholders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Clearway Energy, Inc.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2"/>
        </w:trPr>
        <w:tc>
          <w:tcPr>
            <w:tcW w:w="5240" w:type="dxa"/>
            <w:vAlign w:val="bottom"/>
          </w:tcPr>
          <w:p>
            <w:pPr>
              <w:ind w:left="420"/>
              <w:spacing w:after="0" w:line="172" w:lineRule="exact"/>
              <w:rPr>
                <w:sz w:val="20"/>
                <w:szCs w:val="20"/>
                <w:color w:val="auto"/>
              </w:rPr>
            </w:pPr>
            <w:r>
              <w:rPr>
                <w:rFonts w:ascii="Arial" w:cs="Arial" w:eastAsia="Arial" w:hAnsi="Arial"/>
                <w:sz w:val="18"/>
                <w:szCs w:val="18"/>
                <w:color w:val="auto"/>
                <w:w w:val="90"/>
              </w:rPr>
              <w:t>Weighted average number of common shares outstanding — basic</w:t>
            </w:r>
          </w:p>
        </w:tc>
        <w:tc>
          <w:tcPr>
            <w:tcW w:w="5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diluted</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420"/>
              <w:spacing w:after="0" w:line="152" w:lineRule="exact"/>
              <w:rPr>
                <w:sz w:val="20"/>
                <w:szCs w:val="20"/>
                <w:color w:val="auto"/>
              </w:rPr>
            </w:pPr>
            <w:r>
              <w:rPr>
                <w:rFonts w:ascii="Arial" w:cs="Arial" w:eastAsia="Arial" w:hAnsi="Arial"/>
                <w:sz w:val="16"/>
                <w:szCs w:val="16"/>
                <w:b w:val="1"/>
                <w:bCs w:val="1"/>
                <w:color w:val="auto"/>
              </w:rPr>
              <w:t>Earnings per weighted average common share — basic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b w:val="1"/>
                <w:bCs w:val="1"/>
                <w:color w:val="auto"/>
              </w:rPr>
              <w:t>diluted</w:t>
            </w: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80" w:hanging="138"/>
        <w:spacing w:after="0"/>
        <w:tabs>
          <w:tab w:leader="none" w:pos="38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Basic and diluted earnings per share might not recalculate due to presenting values in millions rather than whole dollars.</w:t>
      </w:r>
    </w:p>
    <w:p>
      <w:pPr>
        <w:spacing w:after="0" w:line="317"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9"/>
              </w:rPr>
              <w:t>Six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3"/>
              </w:rPr>
              <w:t>2020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220" w:type="dxa"/>
            <w:vAlign w:val="bottom"/>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8"/>
                <w:szCs w:val="18"/>
                <w:color w:val="auto"/>
                <w:vertAlign w:val="superscript"/>
              </w:rPr>
              <w:t>(a)</w:t>
            </w:r>
          </w:p>
        </w:tc>
        <w:tc>
          <w:tcPr>
            <w:tcW w:w="150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50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480" w:type="dxa"/>
            <w:vAlign w:val="bottom"/>
            <w:gridSpan w:val="3"/>
            <w:shd w:val="clear" w:color="auto" w:fill="CCEEFF"/>
          </w:tcPr>
          <w:p>
            <w:pPr>
              <w:ind w:left="440"/>
              <w:spacing w:after="0" w:line="125" w:lineRule="exact"/>
              <w:rPr>
                <w:sz w:val="20"/>
                <w:szCs w:val="20"/>
                <w:color w:val="auto"/>
              </w:rPr>
            </w:pPr>
            <w:r>
              <w:rPr>
                <w:rFonts w:ascii="Arial" w:cs="Arial" w:eastAsia="Arial" w:hAnsi="Arial"/>
                <w:sz w:val="14"/>
                <w:szCs w:val="14"/>
                <w:b w:val="1"/>
                <w:bCs w:val="1"/>
                <w:color w:val="auto"/>
              </w:rPr>
              <w:t>Common Class</w:t>
            </w:r>
          </w:p>
        </w:tc>
        <w:tc>
          <w:tcPr>
            <w:tcW w:w="1240" w:type="dxa"/>
            <w:vAlign w:val="bottom"/>
            <w:gridSpan w:val="2"/>
            <w:shd w:val="clear" w:color="auto" w:fill="CCEEFF"/>
          </w:tcPr>
          <w:p>
            <w:pPr>
              <w:ind w:left="420"/>
              <w:spacing w:after="0" w:line="125" w:lineRule="exact"/>
              <w:rPr>
                <w:sz w:val="20"/>
                <w:szCs w:val="20"/>
                <w:color w:val="auto"/>
              </w:rPr>
            </w:pPr>
            <w:r>
              <w:rPr>
                <w:rFonts w:ascii="Arial" w:cs="Arial" w:eastAsia="Arial" w:hAnsi="Arial"/>
                <w:sz w:val="14"/>
                <w:szCs w:val="14"/>
                <w:b w:val="1"/>
                <w:bCs w:val="1"/>
                <w:color w:val="auto"/>
                <w:w w:val="92"/>
              </w:rPr>
              <w:t>Common Cla</w:t>
            </w:r>
          </w:p>
        </w:tc>
        <w:tc>
          <w:tcPr>
            <w:tcW w:w="0" w:type="dxa"/>
            <w:vAlign w:val="bottom"/>
          </w:tcPr>
          <w:p>
            <w:pPr>
              <w:spacing w:after="0"/>
              <w:rPr>
                <w:sz w:val="1"/>
                <w:szCs w:val="1"/>
                <w:color w:val="auto"/>
              </w:rPr>
            </w:pPr>
          </w:p>
        </w:tc>
      </w:tr>
      <w:tr>
        <w:trPr>
          <w:trHeight w:val="184"/>
        </w:trPr>
        <w:tc>
          <w:tcPr>
            <w:tcW w:w="522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w:t>
            </w: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C</w:t>
            </w:r>
          </w:p>
        </w:tc>
        <w:tc>
          <w:tcPr>
            <w:tcW w:w="96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A</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71"/>
        </w:trPr>
        <w:tc>
          <w:tcPr>
            <w:tcW w:w="5220" w:type="dxa"/>
            <w:vAlign w:val="bottom"/>
          </w:tcPr>
          <w:p>
            <w:pPr>
              <w:ind w:left="420"/>
              <w:spacing w:after="0" w:line="171" w:lineRule="exact"/>
              <w:rPr>
                <w:sz w:val="20"/>
                <w:szCs w:val="20"/>
                <w:color w:val="auto"/>
              </w:rPr>
            </w:pPr>
            <w:r>
              <w:rPr>
                <w:rFonts w:ascii="Arial" w:cs="Arial" w:eastAsia="Arial" w:hAnsi="Arial"/>
                <w:sz w:val="18"/>
                <w:szCs w:val="18"/>
                <w:b w:val="1"/>
                <w:bCs w:val="1"/>
                <w:color w:val="auto"/>
                <w:w w:val="93"/>
              </w:rPr>
              <w:t>Basic and diluted income per share attributable to Clearway</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Energy, Inc. common stockholders</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Clearway Energy, Inc.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2"/>
        </w:trPr>
        <w:tc>
          <w:tcPr>
            <w:tcW w:w="5220" w:type="dxa"/>
            <w:vAlign w:val="bottom"/>
          </w:tcPr>
          <w:p>
            <w:pPr>
              <w:ind w:left="420"/>
              <w:spacing w:after="0" w:line="172" w:lineRule="exact"/>
              <w:rPr>
                <w:sz w:val="20"/>
                <w:szCs w:val="20"/>
                <w:color w:val="auto"/>
              </w:rPr>
            </w:pPr>
            <w:r>
              <w:rPr>
                <w:rFonts w:ascii="Arial" w:cs="Arial" w:eastAsia="Arial" w:hAnsi="Arial"/>
                <w:sz w:val="18"/>
                <w:szCs w:val="18"/>
                <w:color w:val="auto"/>
                <w:w w:val="89"/>
              </w:rPr>
              <w:t>Weighted average number of common shares outstanding — basic</w:t>
            </w:r>
          </w:p>
        </w:tc>
        <w:tc>
          <w:tcPr>
            <w:tcW w:w="5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diluted</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220" w:type="dxa"/>
            <w:vAlign w:val="bottom"/>
            <w:shd w:val="clear" w:color="auto" w:fill="CCEEFF"/>
          </w:tcPr>
          <w:p>
            <w:pPr>
              <w:ind w:left="420"/>
              <w:spacing w:after="0" w:line="152" w:lineRule="exact"/>
              <w:rPr>
                <w:sz w:val="20"/>
                <w:szCs w:val="20"/>
                <w:color w:val="auto"/>
              </w:rPr>
            </w:pPr>
            <w:r>
              <w:rPr>
                <w:rFonts w:ascii="Arial" w:cs="Arial" w:eastAsia="Arial" w:hAnsi="Arial"/>
                <w:sz w:val="16"/>
                <w:szCs w:val="16"/>
                <w:b w:val="1"/>
                <w:bCs w:val="1"/>
                <w:color w:val="auto"/>
              </w:rPr>
              <w:t>Earnings per weighted average common share — basic and</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0.16</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b w:val="1"/>
                <w:bCs w:val="1"/>
                <w:color w:val="auto"/>
              </w:rPr>
              <w:t>diluted</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20" w:hanging="136"/>
        <w:spacing w:after="0"/>
        <w:tabs>
          <w:tab w:leader="none" w:pos="22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Basic and diluted earnings per share might not recalculate due to presenting values in millions rather than whole dollars.</w:t>
      </w:r>
    </w:p>
    <w:p>
      <w:pPr>
        <w:spacing w:after="0" w:line="156"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The Company had 2 million Common Class C shares related to the outstanding 2020 Convertible Notes that were anti-dilutive and were not included in the computation of the Company's diluted earnings per share for the three and six months ended June 30, 2020. The 2020 Convertible Notes were repaid on June 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67"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2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w w:val="88"/>
              </w:rPr>
              <w:t>Three months ended June 30, 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420" w:type="dxa"/>
            <w:vAlign w:val="bottom"/>
            <w:gridSpan w:val="3"/>
          </w:tcPr>
          <w:p>
            <w:pPr>
              <w:jc w:val="right"/>
              <w:ind w:right="240"/>
              <w:spacing w:after="0" w:line="130" w:lineRule="exact"/>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gridSpan w:val="2"/>
            <w:vMerge w:val="restart"/>
          </w:tcPr>
          <w:p>
            <w:pPr>
              <w:spacing w:after="0"/>
              <w:rPr>
                <w:sz w:val="11"/>
                <w:szCs w:val="11"/>
                <w:color w:val="auto"/>
              </w:rPr>
            </w:pPr>
          </w:p>
        </w:tc>
        <w:tc>
          <w:tcPr>
            <w:tcW w:w="400" w:type="dxa"/>
            <w:vAlign w:val="bottom"/>
            <w:gridSpan w:val="2"/>
            <w:vMerge w:val="restart"/>
          </w:tcPr>
          <w:p>
            <w:pPr>
              <w:spacing w:after="0"/>
              <w:rPr>
                <w:sz w:val="11"/>
                <w:szCs w:val="11"/>
                <w:color w:val="auto"/>
              </w:rPr>
            </w:pPr>
          </w:p>
        </w:tc>
        <w:tc>
          <w:tcPr>
            <w:tcW w:w="98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8"/>
              </w:rPr>
              <w:t xml:space="preserve">Corporate </w:t>
            </w:r>
            <w:r>
              <w:rPr>
                <w:rFonts w:ascii="Arial" w:cs="Arial" w:eastAsia="Arial" w:hAnsi="Arial"/>
                <w:sz w:val="18"/>
                <w:szCs w:val="18"/>
                <w:color w:val="auto"/>
                <w:w w:val="98"/>
                <w:vertAlign w:val="superscript"/>
              </w:rPr>
              <w:t>(a)</w:t>
            </w:r>
          </w:p>
        </w:tc>
        <w:tc>
          <w:tcPr>
            <w:tcW w:w="10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tcPr>
          <w:p>
            <w:pPr>
              <w:ind w:left="580"/>
              <w:spacing w:after="0" w:line="172" w:lineRule="exact"/>
              <w:rPr>
                <w:sz w:val="20"/>
                <w:szCs w:val="20"/>
                <w:color w:val="auto"/>
              </w:rPr>
            </w:pPr>
            <w:r>
              <w:rPr>
                <w:rFonts w:ascii="Arial" w:cs="Arial" w:eastAsia="Arial" w:hAnsi="Arial"/>
                <w:sz w:val="18"/>
                <w:szCs w:val="18"/>
                <w:color w:val="auto"/>
              </w:rPr>
              <w:t>Cost of operations, exclusive of</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180"/>
              <w:spacing w:after="0" w:line="171" w:lineRule="exact"/>
              <w:rPr>
                <w:sz w:val="20"/>
                <w:szCs w:val="20"/>
                <w:color w:val="auto"/>
              </w:rPr>
            </w:pPr>
            <w:r>
              <w:rPr>
                <w:rFonts w:ascii="Arial" w:cs="Arial" w:eastAsia="Arial" w:hAnsi="Arial"/>
                <w:sz w:val="18"/>
                <w:szCs w:val="18"/>
                <w:color w:val="auto"/>
                <w:w w:val="90"/>
              </w:rPr>
              <w:t>depreciation, amortization and accretion shown</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Depreciation, amortization and accretion</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80"/>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tcPr>
          <w:p>
            <w:pPr>
              <w:ind w:left="580"/>
              <w:spacing w:after="0" w:line="172" w:lineRule="exact"/>
              <w:rPr>
                <w:sz w:val="20"/>
                <w:szCs w:val="20"/>
                <w:color w:val="auto"/>
              </w:rPr>
            </w:pPr>
            <w:r>
              <w:rPr>
                <w:rFonts w:ascii="Arial" w:cs="Arial" w:eastAsia="Arial" w:hAnsi="Arial"/>
                <w:sz w:val="18"/>
                <w:szCs w:val="18"/>
                <w:color w:val="auto"/>
              </w:rPr>
              <w:t>Equity in earnings of unconsolidated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5"/>
            <w:vMerge w:val="restart"/>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8"/>
                <w:szCs w:val="18"/>
                <w:color w:val="auto"/>
              </w:rPr>
            </w:pPr>
          </w:p>
        </w:tc>
        <w:tc>
          <w:tcPr>
            <w:tcW w:w="4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6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2,500</w:t>
            </w:r>
          </w:p>
        </w:tc>
        <w:tc>
          <w:tcPr>
            <w:tcW w:w="120" w:type="dxa"/>
            <w:vAlign w:val="bottom"/>
          </w:tcPr>
          <w:p>
            <w:pPr>
              <w:spacing w:after="0"/>
              <w:rPr>
                <w:sz w:val="17"/>
                <w:szCs w:val="17"/>
                <w:color w:val="auto"/>
              </w:rPr>
            </w:pPr>
          </w:p>
        </w:tc>
        <w:tc>
          <w:tcPr>
            <w:tcW w:w="6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8,617</w:t>
            </w:r>
          </w:p>
        </w:tc>
        <w:tc>
          <w:tcPr>
            <w:tcW w:w="700" w:type="dxa"/>
            <w:vAlign w:val="bottom"/>
            <w:gridSpan w:val="4"/>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70"/>
        </w:trPr>
        <w:tc>
          <w:tcPr>
            <w:tcW w:w="3600" w:type="dxa"/>
            <w:vAlign w:val="bottom"/>
          </w:tcPr>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6"/>
                <w:szCs w:val="16"/>
                <w:color w:val="auto"/>
              </w:rPr>
              <w:t xml:space="preserve"> Includes eliminations</w:t>
            </w: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10"/>
          </w:tcPr>
          <w:p>
            <w:pPr>
              <w:jc w:val="center"/>
              <w:ind w:right="15"/>
              <w:spacing w:after="0"/>
              <w:rPr>
                <w:sz w:val="20"/>
                <w:szCs w:val="20"/>
                <w:color w:val="auto"/>
              </w:rPr>
            </w:pPr>
            <w:r>
              <w:rPr>
                <w:rFonts w:ascii="Arial" w:cs="Arial" w:eastAsia="Arial" w:hAnsi="Arial"/>
                <w:sz w:val="14"/>
                <w:szCs w:val="14"/>
                <w:b w:val="1"/>
                <w:bCs w:val="1"/>
                <w:color w:val="auto"/>
                <w:w w:val="89"/>
              </w:rPr>
              <w:t>Three months ended June 30, 2020</w:t>
            </w:r>
          </w:p>
        </w:tc>
        <w:tc>
          <w:tcPr>
            <w:tcW w:w="8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36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120"/>
              <w:spacing w:after="0" w:line="130" w:lineRule="exact"/>
              <w:rPr>
                <w:sz w:val="20"/>
                <w:szCs w:val="20"/>
                <w:color w:val="auto"/>
              </w:rPr>
            </w:pPr>
            <w:r>
              <w:rPr>
                <w:rFonts w:ascii="Arial" w:cs="Arial" w:eastAsia="Arial" w:hAnsi="Arial"/>
                <w:sz w:val="14"/>
                <w:szCs w:val="14"/>
                <w:b w:val="1"/>
                <w:bCs w:val="1"/>
                <w:color w:val="auto"/>
                <w:w w:val="87"/>
              </w:rPr>
              <w:t>Conventional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Renewables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gridSpan w:val="2"/>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00" w:type="dxa"/>
            <w:vAlign w:val="bottom"/>
            <w:tcBorders>
              <w:bottom w:val="single" w:sz="8" w:color="BFE4FF"/>
            </w:tcBorders>
            <w:vMerge w:val="continue"/>
          </w:tcPr>
          <w:p>
            <w:pPr>
              <w:spacing w:after="0"/>
              <w:rPr>
                <w:sz w:val="15"/>
                <w:szCs w:val="15"/>
                <w:color w:val="auto"/>
              </w:rPr>
            </w:pPr>
          </w:p>
        </w:tc>
        <w:tc>
          <w:tcPr>
            <w:tcW w:w="160" w:type="dxa"/>
            <w:vAlign w:val="bottom"/>
            <w:tcBorders>
              <w:bottom w:val="single" w:sz="8" w:color="BFE4FF"/>
            </w:tcBorders>
          </w:tcPr>
          <w:p>
            <w:pPr>
              <w:spacing w:after="0"/>
              <w:rPr>
                <w:sz w:val="15"/>
                <w:szCs w:val="15"/>
                <w:color w:val="auto"/>
              </w:rPr>
            </w:pPr>
          </w:p>
        </w:tc>
        <w:tc>
          <w:tcPr>
            <w:tcW w:w="14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BFE4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BFE4FF"/>
            </w:tcBorders>
          </w:tcPr>
          <w:p>
            <w:pPr>
              <w:spacing w:after="0"/>
              <w:rPr>
                <w:sz w:val="15"/>
                <w:szCs w:val="15"/>
                <w:color w:val="auto"/>
              </w:rPr>
            </w:pPr>
          </w:p>
        </w:tc>
        <w:tc>
          <w:tcPr>
            <w:tcW w:w="40" w:type="dxa"/>
            <w:vAlign w:val="bottom"/>
            <w:tcBorders>
              <w:bottom w:val="single" w:sz="8" w:color="BFE4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BFE4FF"/>
            </w:tcBorders>
            <w:gridSpan w:val="2"/>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BFE4FF"/>
            </w:tcBorders>
            <w:vMerge w:val="continue"/>
          </w:tcPr>
          <w:p>
            <w:pPr>
              <w:spacing w:after="0"/>
              <w:rPr>
                <w:sz w:val="15"/>
                <w:szCs w:val="15"/>
                <w:color w:val="auto"/>
              </w:rPr>
            </w:pPr>
          </w:p>
        </w:tc>
        <w:tc>
          <w:tcPr>
            <w:tcW w:w="60" w:type="dxa"/>
            <w:vAlign w:val="bottom"/>
            <w:tcBorders>
              <w:bottom w:val="single" w:sz="8" w:color="BFE4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BFE4FF"/>
          </w:tcPr>
          <w:p>
            <w:pPr>
              <w:ind w:left="420"/>
              <w:spacing w:after="0"/>
              <w:rPr>
                <w:sz w:val="20"/>
                <w:szCs w:val="20"/>
                <w:color w:val="auto"/>
              </w:rPr>
            </w:pPr>
            <w:r>
              <w:rPr>
                <w:rFonts w:ascii="Arial" w:cs="Arial" w:eastAsia="Arial" w:hAnsi="Arial"/>
                <w:sz w:val="18"/>
                <w:szCs w:val="18"/>
                <w:color w:val="auto"/>
              </w:rPr>
              <w:t>Operating revenues</w:t>
            </w:r>
          </w:p>
        </w:tc>
        <w:tc>
          <w:tcPr>
            <w:tcW w:w="6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107</w:t>
            </w:r>
          </w:p>
        </w:tc>
        <w:tc>
          <w:tcPr>
            <w:tcW w:w="6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180</w:t>
            </w:r>
          </w:p>
        </w:tc>
        <w:tc>
          <w:tcPr>
            <w:tcW w:w="700" w:type="dxa"/>
            <w:vAlign w:val="bottom"/>
            <w:gridSpan w:val="4"/>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2"/>
        </w:trPr>
        <w:tc>
          <w:tcPr>
            <w:tcW w:w="3600" w:type="dxa"/>
            <w:vAlign w:val="bottom"/>
          </w:tcPr>
          <w:p>
            <w:pPr>
              <w:ind w:left="580"/>
              <w:spacing w:after="0" w:line="172" w:lineRule="exact"/>
              <w:rPr>
                <w:sz w:val="20"/>
                <w:szCs w:val="20"/>
                <w:color w:val="auto"/>
              </w:rPr>
            </w:pPr>
            <w:r>
              <w:rPr>
                <w:rFonts w:ascii="Arial" w:cs="Arial" w:eastAsia="Arial" w:hAnsi="Arial"/>
                <w:sz w:val="18"/>
                <w:szCs w:val="18"/>
                <w:color w:val="auto"/>
              </w:rPr>
              <w:t>Cost of operations, exclusive of</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180"/>
              <w:spacing w:after="0" w:line="171" w:lineRule="exact"/>
              <w:rPr>
                <w:sz w:val="20"/>
                <w:szCs w:val="20"/>
                <w:color w:val="auto"/>
              </w:rPr>
            </w:pPr>
            <w:r>
              <w:rPr>
                <w:rFonts w:ascii="Arial" w:cs="Arial" w:eastAsia="Arial" w:hAnsi="Arial"/>
                <w:sz w:val="18"/>
                <w:szCs w:val="18"/>
                <w:color w:val="auto"/>
                <w:w w:val="90"/>
              </w:rPr>
              <w:t>depreciation, amortization and accretion shown</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BFE4FF"/>
          </w:tcPr>
          <w:p>
            <w:pPr>
              <w:ind w:left="580"/>
              <w:spacing w:after="0"/>
              <w:rPr>
                <w:sz w:val="20"/>
                <w:szCs w:val="20"/>
                <w:color w:val="auto"/>
              </w:rPr>
            </w:pPr>
            <w:r>
              <w:rPr>
                <w:rFonts w:ascii="Arial" w:cs="Arial" w:eastAsia="Arial" w:hAnsi="Arial"/>
                <w:sz w:val="18"/>
                <w:szCs w:val="18"/>
                <w:color w:val="auto"/>
                <w:w w:val="93"/>
              </w:rPr>
              <w:t>Depreciation, amortization and accretion</w:t>
            </w:r>
          </w:p>
        </w:tc>
        <w:tc>
          <w:tcPr>
            <w:tcW w:w="16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20" w:type="dxa"/>
            <w:vAlign w:val="bottom"/>
            <w:gridSpan w:val="3"/>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BFE4FF"/>
          </w:tcPr>
          <w:p>
            <w:pPr>
              <w:ind w:left="580"/>
              <w:spacing w:after="0"/>
              <w:rPr>
                <w:sz w:val="20"/>
                <w:szCs w:val="20"/>
                <w:color w:val="auto"/>
              </w:rPr>
            </w:pPr>
            <w:r>
              <w:rPr>
                <w:rFonts w:ascii="Arial" w:cs="Arial" w:eastAsia="Arial" w:hAnsi="Arial"/>
                <w:sz w:val="18"/>
                <w:szCs w:val="18"/>
                <w:color w:val="auto"/>
              </w:rPr>
              <w:t>Development costs</w:t>
            </w:r>
          </w:p>
        </w:tc>
        <w:tc>
          <w:tcPr>
            <w:tcW w:w="16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20" w:type="dxa"/>
            <w:vAlign w:val="bottom"/>
            <w:gridSpan w:val="3"/>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2"/>
        </w:trPr>
        <w:tc>
          <w:tcPr>
            <w:tcW w:w="3600" w:type="dxa"/>
            <w:vAlign w:val="bottom"/>
            <w:shd w:val="clear" w:color="auto" w:fill="BFE4FF"/>
          </w:tcPr>
          <w:p>
            <w:pPr>
              <w:ind w:left="580"/>
              <w:spacing w:after="0" w:line="172" w:lineRule="exact"/>
              <w:rPr>
                <w:sz w:val="20"/>
                <w:szCs w:val="20"/>
                <w:color w:val="auto"/>
              </w:rPr>
            </w:pPr>
            <w:r>
              <w:rPr>
                <w:rFonts w:ascii="Arial" w:cs="Arial" w:eastAsia="Arial" w:hAnsi="Arial"/>
                <w:sz w:val="18"/>
                <w:szCs w:val="18"/>
                <w:color w:val="auto"/>
              </w:rPr>
              <w:t>Equity in earnings of unconsolidated</w:t>
            </w:r>
          </w:p>
        </w:tc>
        <w:tc>
          <w:tcPr>
            <w:tcW w:w="160" w:type="dxa"/>
            <w:vAlign w:val="bottom"/>
            <w:shd w:val="clear" w:color="auto" w:fill="BFE4FF"/>
          </w:tcPr>
          <w:p>
            <w:pPr>
              <w:spacing w:after="0"/>
              <w:rPr>
                <w:sz w:val="14"/>
                <w:szCs w:val="14"/>
                <w:color w:val="auto"/>
              </w:rPr>
            </w:pPr>
          </w:p>
        </w:tc>
        <w:tc>
          <w:tcPr>
            <w:tcW w:w="500" w:type="dxa"/>
            <w:vAlign w:val="bottom"/>
            <w:shd w:val="clear" w:color="auto" w:fill="BFE4FF"/>
          </w:tcPr>
          <w:p>
            <w:pPr>
              <w:spacing w:after="0"/>
              <w:rPr>
                <w:sz w:val="14"/>
                <w:szCs w:val="14"/>
                <w:color w:val="auto"/>
              </w:rPr>
            </w:pPr>
          </w:p>
        </w:tc>
        <w:tc>
          <w:tcPr>
            <w:tcW w:w="920" w:type="dxa"/>
            <w:vAlign w:val="bottom"/>
            <w:gridSpan w:val="2"/>
            <w:vMerge w:val="restart"/>
            <w:shd w:val="clear" w:color="auto" w:fill="BFE4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8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BFE4FF"/>
          </w:tcPr>
          <w:p>
            <w:pPr>
              <w:spacing w:after="0"/>
              <w:rPr>
                <w:sz w:val="14"/>
                <w:szCs w:val="14"/>
                <w:color w:val="auto"/>
              </w:rPr>
            </w:pPr>
          </w:p>
        </w:tc>
        <w:tc>
          <w:tcPr>
            <w:tcW w:w="60" w:type="dxa"/>
            <w:vAlign w:val="bottom"/>
            <w:shd w:val="clear" w:color="auto" w:fill="BFE4FF"/>
          </w:tcPr>
          <w:p>
            <w:pPr>
              <w:spacing w:after="0"/>
              <w:rPr>
                <w:sz w:val="14"/>
                <w:szCs w:val="14"/>
                <w:color w:val="auto"/>
              </w:rPr>
            </w:pPr>
          </w:p>
        </w:tc>
        <w:tc>
          <w:tcPr>
            <w:tcW w:w="4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1320" w:type="dxa"/>
            <w:vAlign w:val="bottom"/>
            <w:gridSpan w:val="5"/>
            <w:vMerge w:val="restart"/>
            <w:shd w:val="clear" w:color="auto" w:fill="BFE4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4"/>
                <w:szCs w:val="14"/>
                <w:color w:val="auto"/>
              </w:rPr>
            </w:pPr>
          </w:p>
        </w:tc>
        <w:tc>
          <w:tcPr>
            <w:tcW w:w="920" w:type="dxa"/>
            <w:vAlign w:val="bottom"/>
            <w:gridSpan w:val="3"/>
            <w:vMerge w:val="restart"/>
            <w:shd w:val="clear" w:color="auto" w:fill="BFE4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BFE4FF"/>
          </w:tcPr>
          <w:p>
            <w:pPr>
              <w:ind w:left="180"/>
              <w:spacing w:after="0"/>
              <w:rPr>
                <w:sz w:val="20"/>
                <w:szCs w:val="20"/>
                <w:color w:val="auto"/>
              </w:rPr>
            </w:pPr>
            <w:r>
              <w:rPr>
                <w:rFonts w:ascii="Arial" w:cs="Arial" w:eastAsia="Arial" w:hAnsi="Arial"/>
                <w:sz w:val="18"/>
                <w:szCs w:val="18"/>
                <w:color w:val="auto"/>
              </w:rPr>
              <w:t>affiliates</w:t>
            </w:r>
          </w:p>
        </w:tc>
        <w:tc>
          <w:tcPr>
            <w:tcW w:w="16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920" w:type="dxa"/>
            <w:vAlign w:val="bottom"/>
            <w:gridSpan w:val="2"/>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vMerge w:val="continue"/>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4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1320" w:type="dxa"/>
            <w:vAlign w:val="bottom"/>
            <w:gridSpan w:val="5"/>
            <w:vMerge w:val="continue"/>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20" w:type="dxa"/>
            <w:vAlign w:val="bottom"/>
            <w:gridSpan w:val="3"/>
            <w:vMerge w:val="continue"/>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80"/>
              <w:spacing w:after="0"/>
              <w:rPr>
                <w:sz w:val="20"/>
                <w:szCs w:val="20"/>
                <w:color w:val="auto"/>
              </w:rPr>
            </w:pPr>
            <w:r>
              <w:rPr>
                <w:rFonts w:ascii="Arial" w:cs="Arial" w:eastAsia="Arial" w:hAnsi="Arial"/>
                <w:sz w:val="18"/>
                <w:szCs w:val="18"/>
                <w:color w:val="auto"/>
                <w:w w:val="97"/>
              </w:rPr>
              <w:t>Gain on sale of unconsolidated affiliate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5"/>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BFE4FF"/>
          </w:tcPr>
          <w:p>
            <w:pPr>
              <w:ind w:left="5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BFE4FF"/>
          </w:tcPr>
          <w:p>
            <w:pPr>
              <w:spacing w:after="0"/>
              <w:rPr>
                <w:sz w:val="19"/>
                <w:szCs w:val="19"/>
                <w:color w:val="auto"/>
              </w:rPr>
            </w:pPr>
          </w:p>
        </w:tc>
        <w:tc>
          <w:tcPr>
            <w:tcW w:w="50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shd w:val="clear" w:color="auto" w:fill="BFE4FF"/>
          </w:tcPr>
          <w:p>
            <w:pPr>
              <w:spacing w:after="0"/>
              <w:rPr>
                <w:sz w:val="19"/>
                <w:szCs w:val="19"/>
                <w:color w:val="auto"/>
              </w:rPr>
            </w:pPr>
          </w:p>
        </w:tc>
        <w:tc>
          <w:tcPr>
            <w:tcW w:w="40" w:type="dxa"/>
            <w:vAlign w:val="bottom"/>
            <w:tcBorders>
              <w:bottom w:val="single" w:sz="8" w:color="auto"/>
            </w:tcBorders>
            <w:shd w:val="clear" w:color="auto" w:fill="BFE4FF"/>
          </w:tcPr>
          <w:p>
            <w:pPr>
              <w:spacing w:after="0"/>
              <w:rPr>
                <w:sz w:val="19"/>
                <w:szCs w:val="19"/>
                <w:color w:val="auto"/>
              </w:rPr>
            </w:pPr>
          </w:p>
        </w:tc>
        <w:tc>
          <w:tcPr>
            <w:tcW w:w="560" w:type="dxa"/>
            <w:vAlign w:val="bottom"/>
            <w:tcBorders>
              <w:bottom w:val="single" w:sz="8" w:color="auto"/>
            </w:tcBorders>
            <w:shd w:val="clear" w:color="auto" w:fill="BFE4FF"/>
          </w:tcPr>
          <w:p>
            <w:pPr>
              <w:spacing w:after="0"/>
              <w:rPr>
                <w:sz w:val="19"/>
                <w:szCs w:val="19"/>
                <w:color w:val="auto"/>
              </w:rPr>
            </w:pPr>
          </w:p>
        </w:tc>
        <w:tc>
          <w:tcPr>
            <w:tcW w:w="840" w:type="dxa"/>
            <w:vAlign w:val="bottom"/>
            <w:tcBorders>
              <w:bottom w:val="single" w:sz="8" w:color="auto"/>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shd w:val="clear" w:color="auto" w:fill="BFE4FF"/>
          </w:tcPr>
          <w:p>
            <w:pPr>
              <w:spacing w:after="0"/>
              <w:rPr>
                <w:sz w:val="19"/>
                <w:szCs w:val="19"/>
                <w:color w:val="auto"/>
              </w:rPr>
            </w:pPr>
          </w:p>
        </w:tc>
        <w:tc>
          <w:tcPr>
            <w:tcW w:w="20" w:type="dxa"/>
            <w:vAlign w:val="bottom"/>
            <w:tcBorders>
              <w:bottom w:val="single" w:sz="8" w:color="auto"/>
            </w:tcBorders>
            <w:shd w:val="clear" w:color="auto" w:fill="BFE4FF"/>
          </w:tcPr>
          <w:p>
            <w:pPr>
              <w:spacing w:after="0"/>
              <w:rPr>
                <w:sz w:val="19"/>
                <w:szCs w:val="19"/>
                <w:color w:val="auto"/>
              </w:rPr>
            </w:pPr>
          </w:p>
        </w:tc>
        <w:tc>
          <w:tcPr>
            <w:tcW w:w="380" w:type="dxa"/>
            <w:vAlign w:val="bottom"/>
            <w:tcBorders>
              <w:bottom w:val="single" w:sz="8" w:color="auto"/>
            </w:tcBorders>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auto"/>
            </w:tcBorders>
            <w:shd w:val="clear" w:color="auto" w:fill="BFE4FF"/>
          </w:tcPr>
          <w:p>
            <w:pPr>
              <w:spacing w:after="0"/>
              <w:rPr>
                <w:sz w:val="19"/>
                <w:szCs w:val="19"/>
                <w:color w:val="auto"/>
              </w:rPr>
            </w:pPr>
          </w:p>
        </w:tc>
        <w:tc>
          <w:tcPr>
            <w:tcW w:w="60" w:type="dxa"/>
            <w:vAlign w:val="bottom"/>
            <w:tcBorders>
              <w:bottom w:val="single" w:sz="8" w:color="auto"/>
            </w:tcBorders>
            <w:shd w:val="clear" w:color="auto" w:fill="BFE4FF"/>
          </w:tcPr>
          <w:p>
            <w:pPr>
              <w:spacing w:after="0"/>
              <w:rPr>
                <w:sz w:val="19"/>
                <w:szCs w:val="19"/>
                <w:color w:val="auto"/>
              </w:rPr>
            </w:pPr>
          </w:p>
        </w:tc>
        <w:tc>
          <w:tcPr>
            <w:tcW w:w="620" w:type="dxa"/>
            <w:vAlign w:val="bottom"/>
            <w:tcBorders>
              <w:bottom w:val="single" w:sz="8" w:color="auto"/>
            </w:tcBorders>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BFE4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BFE4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40" w:type="dxa"/>
            <w:vAlign w:val="bottom"/>
            <w:tcBorders>
              <w:bottom w:val="single" w:sz="8" w:color="BFE4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2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600" w:type="dxa"/>
            <w:vAlign w:val="bottom"/>
            <w:shd w:val="clear" w:color="auto" w:fill="BFE4FF"/>
          </w:tcPr>
          <w:p>
            <w:pPr>
              <w:ind w:left="5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spacing w:after="0"/>
              <w:rPr>
                <w:sz w:val="18"/>
                <w:szCs w:val="18"/>
                <w:color w:val="auto"/>
              </w:rPr>
            </w:pPr>
          </w:p>
        </w:tc>
        <w:tc>
          <w:tcPr>
            <w:tcW w:w="920" w:type="dxa"/>
            <w:vAlign w:val="bottom"/>
            <w:tcBorders>
              <w:bottom w:val="single" w:sz="8" w:color="auto"/>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560" w:type="dxa"/>
            <w:vAlign w:val="bottom"/>
            <w:tcBorders>
              <w:bottom w:val="single" w:sz="8" w:color="auto"/>
            </w:tcBorders>
            <w:shd w:val="clear" w:color="auto" w:fill="BFE4FF"/>
          </w:tcPr>
          <w:p>
            <w:pPr>
              <w:spacing w:after="0"/>
              <w:rPr>
                <w:sz w:val="18"/>
                <w:szCs w:val="18"/>
                <w:color w:val="auto"/>
              </w:rPr>
            </w:pPr>
          </w:p>
        </w:tc>
        <w:tc>
          <w:tcPr>
            <w:tcW w:w="840" w:type="dxa"/>
            <w:vAlign w:val="bottom"/>
            <w:tcBorders>
              <w:bottom w:val="single" w:sz="8" w:color="auto"/>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BFE4FF"/>
          </w:tcPr>
          <w:p>
            <w:pPr>
              <w:spacing w:after="0"/>
              <w:rPr>
                <w:sz w:val="18"/>
                <w:szCs w:val="18"/>
                <w:color w:val="auto"/>
              </w:rPr>
            </w:pPr>
          </w:p>
        </w:tc>
        <w:tc>
          <w:tcPr>
            <w:tcW w:w="380" w:type="dxa"/>
            <w:vAlign w:val="bottom"/>
            <w:tcBorders>
              <w:bottom w:val="single" w:sz="8" w:color="auto"/>
            </w:tcBorders>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spacing w:after="0"/>
              <w:rPr>
                <w:sz w:val="18"/>
                <w:szCs w:val="18"/>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auto"/>
            </w:tcBorders>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620" w:type="dxa"/>
            <w:vAlign w:val="bottom"/>
            <w:tcBorders>
              <w:bottom w:val="single" w:sz="8" w:color="auto"/>
            </w:tcBorders>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214630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720" w:top="90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89"/>
              </w:rPr>
              <w:t>Six months ended June 30, 2021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3"/>
          </w:tcPr>
          <w:p>
            <w:pPr>
              <w:jc w:val="right"/>
              <w:spacing w:after="0" w:line="130"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vMerge w:val="restart"/>
          </w:tcPr>
          <w:p>
            <w:pPr>
              <w:jc w:val="right"/>
              <w:ind w:right="117"/>
              <w:spacing w:after="0"/>
              <w:rPr>
                <w:sz w:val="20"/>
                <w:szCs w:val="20"/>
                <w:color w:val="auto"/>
              </w:rPr>
            </w:pPr>
            <w:r>
              <w:rPr>
                <w:rFonts w:ascii="Arial" w:cs="Arial" w:eastAsia="Arial" w:hAnsi="Arial"/>
                <w:sz w:val="14"/>
                <w:szCs w:val="14"/>
                <w:b w:val="1"/>
                <w:bCs w:val="1"/>
                <w:color w:val="auto"/>
                <w:w w:val="91"/>
              </w:rPr>
              <w:t>Renewables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93"/>
              <w:spacing w:after="0"/>
              <w:rPr>
                <w:sz w:val="20"/>
                <w:szCs w:val="20"/>
                <w:color w:val="auto"/>
              </w:rPr>
            </w:pPr>
            <w:r>
              <w:rPr>
                <w:rFonts w:ascii="Arial" w:cs="Arial" w:eastAsia="Arial" w:hAnsi="Arial"/>
                <w:sz w:val="14"/>
                <w:szCs w:val="14"/>
                <w:b w:val="1"/>
                <w:bCs w:val="1"/>
                <w:color w:val="auto"/>
                <w:w w:val="86"/>
              </w:rPr>
              <w:t xml:space="preserve">Corporate </w:t>
            </w:r>
            <w:r>
              <w:rPr>
                <w:rFonts w:ascii="Arial" w:cs="Arial" w:eastAsia="Arial" w:hAnsi="Arial"/>
                <w:sz w:val="18"/>
                <w:szCs w:val="18"/>
                <w:color w:val="auto"/>
                <w:w w:val="86"/>
                <w:vertAlign w:val="superscript"/>
              </w:rPr>
              <w:t>(a)</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560" w:type="dxa"/>
            <w:vAlign w:val="bottom"/>
            <w:tcBorders>
              <w:bottom w:val="single" w:sz="8" w:color="BFE4FF"/>
            </w:tcBorders>
            <w:gridSpan w:val="3"/>
            <w:vMerge w:val="continue"/>
          </w:tcPr>
          <w:p>
            <w:pPr>
              <w:spacing w:after="0"/>
              <w:rPr>
                <w:sz w:val="16"/>
                <w:szCs w:val="16"/>
                <w:color w:val="auto"/>
              </w:rPr>
            </w:pPr>
          </w:p>
        </w:tc>
        <w:tc>
          <w:tcPr>
            <w:tcW w:w="140" w:type="dxa"/>
            <w:vAlign w:val="bottom"/>
            <w:tcBorders>
              <w:bottom w:val="single" w:sz="8" w:color="BFE4FF"/>
            </w:tcBorders>
          </w:tcPr>
          <w:p>
            <w:pPr>
              <w:spacing w:after="0"/>
              <w:rPr>
                <w:sz w:val="16"/>
                <w:szCs w:val="16"/>
                <w:color w:val="auto"/>
              </w:rPr>
            </w:pPr>
          </w:p>
        </w:tc>
        <w:tc>
          <w:tcPr>
            <w:tcW w:w="500" w:type="dxa"/>
            <w:vAlign w:val="bottom"/>
            <w:tcBorders>
              <w:bottom w:val="single" w:sz="8" w:color="BFE4FF"/>
            </w:tcBorders>
          </w:tcPr>
          <w:p>
            <w:pPr>
              <w:spacing w:after="0"/>
              <w:rPr>
                <w:sz w:val="16"/>
                <w:szCs w:val="16"/>
                <w:color w:val="auto"/>
              </w:rPr>
            </w:pPr>
          </w:p>
        </w:tc>
        <w:tc>
          <w:tcPr>
            <w:tcW w:w="10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Generation</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BFE4FF"/>
          </w:tcPr>
          <w:p>
            <w:pPr>
              <w:spacing w:after="0"/>
              <w:rPr>
                <w:sz w:val="18"/>
                <w:szCs w:val="18"/>
                <w:color w:val="auto"/>
              </w:rPr>
            </w:pPr>
          </w:p>
        </w:tc>
        <w:tc>
          <w:tcPr>
            <w:tcW w:w="920" w:type="dxa"/>
            <w:vAlign w:val="bottom"/>
            <w:gridSpan w:val="2"/>
            <w:shd w:val="clear" w:color="auto" w:fill="BFE4FF"/>
          </w:tcPr>
          <w:p>
            <w:pPr>
              <w:jc w:val="right"/>
              <w:ind w:right="236"/>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8"/>
                <w:szCs w:val="18"/>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gridSpan w:val="3"/>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308</w:t>
            </w:r>
          </w:p>
        </w:tc>
        <w:tc>
          <w:tcPr>
            <w:tcW w:w="26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BFE4FF"/>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BFE4FF"/>
          </w:tcPr>
          <w:p>
            <w:pPr>
              <w:spacing w:after="0"/>
              <w:rPr>
                <w:sz w:val="18"/>
                <w:szCs w:val="18"/>
                <w:color w:val="auto"/>
              </w:rPr>
            </w:pP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560" w:type="dxa"/>
            <w:vAlign w:val="bottom"/>
            <w:gridSpan w:val="3"/>
          </w:tcPr>
          <w:p>
            <w:pPr>
              <w:ind w:left="140"/>
              <w:spacing w:after="0" w:line="172" w:lineRule="exact"/>
              <w:rPr>
                <w:sz w:val="20"/>
                <w:szCs w:val="20"/>
                <w:color w:val="auto"/>
              </w:rPr>
            </w:pPr>
            <w:r>
              <w:rPr>
                <w:rFonts w:ascii="Arial" w:cs="Arial" w:eastAsia="Arial" w:hAnsi="Arial"/>
                <w:sz w:val="18"/>
                <w:szCs w:val="18"/>
                <w:color w:val="auto"/>
                <w:w w:val="88"/>
              </w:rPr>
              <w:t>Cost of operations, exclusive of depreciation, amortization and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14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gridSpan w:val="3"/>
            <w:shd w:val="clear" w:color="auto" w:fill="BFE4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4"/>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tcBorders>
              <w:top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BFE4FF"/>
            </w:tcBorders>
            <w:shd w:val="clear" w:color="auto" w:fill="BFE4FF"/>
          </w:tcPr>
          <w:p>
            <w:pPr>
              <w:spacing w:after="0"/>
              <w:rPr>
                <w:sz w:val="18"/>
                <w:szCs w:val="18"/>
                <w:color w:val="auto"/>
              </w:rPr>
            </w:pPr>
          </w:p>
        </w:tc>
        <w:tc>
          <w:tcPr>
            <w:tcW w:w="500" w:type="dxa"/>
            <w:vAlign w:val="bottom"/>
            <w:tcBorders>
              <w:top w:val="single" w:sz="8" w:color="BFE4FF"/>
            </w:tcBorders>
            <w:shd w:val="clear" w:color="auto" w:fill="BFE4FF"/>
          </w:tcPr>
          <w:p>
            <w:pPr>
              <w:spacing w:after="0"/>
              <w:rPr>
                <w:sz w:val="18"/>
                <w:szCs w:val="18"/>
                <w:color w:val="auto"/>
              </w:rPr>
            </w:pPr>
          </w:p>
        </w:tc>
        <w:tc>
          <w:tcPr>
            <w:tcW w:w="4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spacing w:after="0"/>
              <w:rPr>
                <w:sz w:val="18"/>
                <w:szCs w:val="18"/>
                <w:color w:val="auto"/>
              </w:rPr>
            </w:pPr>
          </w:p>
        </w:tc>
        <w:tc>
          <w:tcPr>
            <w:tcW w:w="5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gridSpan w:val="3"/>
            <w:shd w:val="clear" w:color="auto" w:fill="BFE4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gridSpan w:val="3"/>
            <w:shd w:val="clear" w:color="auto" w:fill="BFE4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BFE4FF"/>
            </w:tcBorders>
            <w:shd w:val="clear" w:color="auto" w:fill="BFE4FF"/>
          </w:tcPr>
          <w:p>
            <w:pPr>
              <w:spacing w:after="0"/>
              <w:rPr>
                <w:sz w:val="18"/>
                <w:szCs w:val="18"/>
                <w:color w:val="auto"/>
              </w:rPr>
            </w:pPr>
          </w:p>
        </w:tc>
        <w:tc>
          <w:tcPr>
            <w:tcW w:w="180" w:type="dxa"/>
            <w:vAlign w:val="bottom"/>
            <w:tcBorders>
              <w:top w:val="single" w:sz="8" w:color="auto"/>
            </w:tcBorders>
            <w:shd w:val="clear" w:color="auto" w:fill="BFE4FF"/>
          </w:tcPr>
          <w:p>
            <w:pPr>
              <w:spacing w:after="0"/>
              <w:rPr>
                <w:sz w:val="18"/>
                <w:szCs w:val="18"/>
                <w:color w:val="auto"/>
              </w:rPr>
            </w:pPr>
          </w:p>
        </w:tc>
        <w:tc>
          <w:tcPr>
            <w:tcW w:w="180" w:type="dxa"/>
            <w:vAlign w:val="bottom"/>
            <w:tcBorders>
              <w:top w:val="single" w:sz="8" w:color="auto"/>
            </w:tcBorders>
            <w:shd w:val="clear" w:color="auto" w:fill="BFE4FF"/>
          </w:tcPr>
          <w:p>
            <w:pPr>
              <w:spacing w:after="0"/>
              <w:rPr>
                <w:sz w:val="18"/>
                <w:szCs w:val="18"/>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BFE4FF"/>
            </w:tcBorders>
            <w:shd w:val="clear" w:color="auto" w:fill="BFE4FF"/>
          </w:tcPr>
          <w:p>
            <w:pPr>
              <w:spacing w:after="0"/>
              <w:rPr>
                <w:sz w:val="18"/>
                <w:szCs w:val="18"/>
                <w:color w:val="auto"/>
              </w:rPr>
            </w:pPr>
          </w:p>
        </w:tc>
        <w:tc>
          <w:tcPr>
            <w:tcW w:w="20" w:type="dxa"/>
            <w:vAlign w:val="bottom"/>
            <w:tcBorders>
              <w:top w:val="single" w:sz="8" w:color="auto"/>
            </w:tcBorders>
            <w:shd w:val="clear" w:color="auto" w:fill="BFE4FF"/>
          </w:tcPr>
          <w:p>
            <w:pPr>
              <w:spacing w:after="0"/>
              <w:rPr>
                <w:sz w:val="18"/>
                <w:szCs w:val="18"/>
                <w:color w:val="auto"/>
              </w:rPr>
            </w:pPr>
          </w:p>
        </w:tc>
        <w:tc>
          <w:tcPr>
            <w:tcW w:w="80" w:type="dxa"/>
            <w:vAlign w:val="bottom"/>
            <w:tcBorders>
              <w:top w:val="single" w:sz="8" w:color="auto"/>
            </w:tcBorders>
            <w:shd w:val="clear" w:color="auto" w:fill="BFE4FF"/>
          </w:tcPr>
          <w:p>
            <w:pPr>
              <w:spacing w:after="0"/>
              <w:rPr>
                <w:sz w:val="18"/>
                <w:szCs w:val="18"/>
                <w:color w:val="auto"/>
              </w:rPr>
            </w:pPr>
          </w:p>
        </w:tc>
        <w:tc>
          <w:tcPr>
            <w:tcW w:w="10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gridSpan w:val="3"/>
            <w:shd w:val="clear" w:color="auto" w:fill="BFE4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620" w:type="dxa"/>
            <w:vAlign w:val="bottom"/>
            <w:tcBorders>
              <w:bottom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gridSpan w:val="3"/>
            <w:shd w:val="clear" w:color="auto" w:fill="BFE4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gridSpan w:val="3"/>
            <w:shd w:val="clear" w:color="auto" w:fill="BFE4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BFE4FF"/>
          </w:tcPr>
          <w:p>
            <w:pPr>
              <w:spacing w:after="0"/>
              <w:rPr>
                <w:sz w:val="19"/>
                <w:szCs w:val="19"/>
                <w:color w:val="auto"/>
              </w:rPr>
            </w:pPr>
          </w:p>
        </w:tc>
        <w:tc>
          <w:tcPr>
            <w:tcW w:w="20" w:type="dxa"/>
            <w:vAlign w:val="bottom"/>
            <w:tcBorders>
              <w:bottom w:val="single" w:sz="8" w:color="auto"/>
            </w:tcBorders>
            <w:shd w:val="clear" w:color="auto" w:fill="BFE4FF"/>
          </w:tcPr>
          <w:p>
            <w:pPr>
              <w:spacing w:after="0"/>
              <w:rPr>
                <w:sz w:val="19"/>
                <w:szCs w:val="19"/>
                <w:color w:val="auto"/>
              </w:rPr>
            </w:pPr>
          </w:p>
        </w:tc>
        <w:tc>
          <w:tcPr>
            <w:tcW w:w="8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tcBorders>
              <w:bottom w:val="single" w:sz="8" w:color="BFE4FF"/>
            </w:tcBorders>
            <w:gridSpan w:val="3"/>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BFE4FF"/>
            </w:tcBorders>
          </w:tcPr>
          <w:p>
            <w:pPr>
              <w:spacing w:after="0"/>
              <w:rPr>
                <w:sz w:val="18"/>
                <w:szCs w:val="18"/>
                <w:color w:val="auto"/>
              </w:rPr>
            </w:pPr>
          </w:p>
        </w:tc>
        <w:tc>
          <w:tcPr>
            <w:tcW w:w="500" w:type="dxa"/>
            <w:vAlign w:val="bottom"/>
            <w:tcBorders>
              <w:bottom w:val="single" w:sz="8" w:color="BFE4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BFE4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42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spacing w:after="0"/>
              <w:rPr>
                <w:sz w:val="18"/>
                <w:szCs w:val="18"/>
                <w:color w:val="auto"/>
              </w:rPr>
            </w:pPr>
          </w:p>
        </w:tc>
        <w:tc>
          <w:tcPr>
            <w:tcW w:w="980" w:type="dxa"/>
            <w:vAlign w:val="bottom"/>
            <w:tcBorders>
              <w:bottom w:val="single" w:sz="8" w:color="auto"/>
            </w:tcBorders>
            <w:gridSpan w:val="3"/>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BFE4FF"/>
          </w:tcPr>
          <w:p>
            <w:pPr>
              <w:spacing w:after="0"/>
              <w:rPr>
                <w:sz w:val="18"/>
                <w:szCs w:val="18"/>
                <w:color w:val="auto"/>
              </w:rPr>
            </w:pPr>
          </w:p>
        </w:tc>
        <w:tc>
          <w:tcPr>
            <w:tcW w:w="20" w:type="dxa"/>
            <w:vAlign w:val="bottom"/>
            <w:tcBorders>
              <w:bottom w:val="single" w:sz="8" w:color="auto"/>
            </w:tcBorders>
            <w:shd w:val="clear" w:color="auto" w:fill="BFE4FF"/>
          </w:tcPr>
          <w:p>
            <w:pPr>
              <w:spacing w:after="0"/>
              <w:rPr>
                <w:sz w:val="18"/>
                <w:szCs w:val="18"/>
                <w:color w:val="auto"/>
              </w:rPr>
            </w:pPr>
          </w:p>
        </w:tc>
        <w:tc>
          <w:tcPr>
            <w:tcW w:w="8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92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400"/>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45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89"/>
              </w:rPr>
              <w:t>Six months ended June 30, 2020</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400" w:type="dxa"/>
            <w:vAlign w:val="bottom"/>
          </w:tcPr>
          <w:p>
            <w:pPr>
              <w:spacing w:after="0"/>
              <w:rPr>
                <w:sz w:val="11"/>
                <w:szCs w:val="11"/>
                <w:color w:val="auto"/>
              </w:rPr>
            </w:pPr>
          </w:p>
        </w:tc>
        <w:tc>
          <w:tcPr>
            <w:tcW w:w="37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ind w:right="220"/>
              <w:spacing w:after="0" w:line="130" w:lineRule="exact"/>
              <w:rPr>
                <w:sz w:val="20"/>
                <w:szCs w:val="20"/>
                <w:color w:val="auto"/>
              </w:rPr>
            </w:pPr>
            <w:r>
              <w:rPr>
                <w:rFonts w:ascii="Arial" w:cs="Arial" w:eastAsia="Arial" w:hAnsi="Arial"/>
                <w:sz w:val="14"/>
                <w:szCs w:val="14"/>
                <w:b w:val="1"/>
                <w:bCs w:val="1"/>
                <w:color w:val="auto"/>
                <w:w w:val="87"/>
              </w:rPr>
              <w:t>Conventional</w:t>
            </w:r>
          </w:p>
        </w:tc>
        <w:tc>
          <w:tcPr>
            <w:tcW w:w="540" w:type="dxa"/>
            <w:vAlign w:val="bottom"/>
          </w:tcPr>
          <w:p>
            <w:pPr>
              <w:spacing w:after="0"/>
              <w:rPr>
                <w:sz w:val="11"/>
                <w:szCs w:val="11"/>
                <w:color w:val="auto"/>
              </w:rPr>
            </w:pPr>
          </w:p>
        </w:tc>
        <w:tc>
          <w:tcPr>
            <w:tcW w:w="860" w:type="dxa"/>
            <w:vAlign w:val="bottom"/>
            <w:gridSpan w:val="4"/>
            <w:vMerge w:val="restart"/>
          </w:tcPr>
          <w:p>
            <w:pPr>
              <w:jc w:val="right"/>
              <w:ind w:right="53"/>
              <w:spacing w:after="0"/>
              <w:rPr>
                <w:sz w:val="20"/>
                <w:szCs w:val="20"/>
                <w:color w:val="auto"/>
              </w:rPr>
            </w:pPr>
            <w:r>
              <w:rPr>
                <w:rFonts w:ascii="Arial" w:cs="Arial" w:eastAsia="Arial" w:hAnsi="Arial"/>
                <w:sz w:val="14"/>
                <w:szCs w:val="14"/>
                <w:b w:val="1"/>
                <w:bCs w:val="1"/>
                <w:color w:val="auto"/>
                <w:w w:val="86"/>
              </w:rPr>
              <w:t>Renewables</w:t>
            </w:r>
          </w:p>
        </w:tc>
        <w:tc>
          <w:tcPr>
            <w:tcW w:w="10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Thermal</w:t>
            </w:r>
          </w:p>
        </w:tc>
        <w:tc>
          <w:tcPr>
            <w:tcW w:w="100" w:type="dxa"/>
            <w:vAlign w:val="bottom"/>
            <w:vMerge w:val="restart"/>
          </w:tcPr>
          <w:p>
            <w:pPr>
              <w:spacing w:after="0"/>
              <w:rPr>
                <w:sz w:val="11"/>
                <w:szCs w:val="11"/>
                <w:color w:val="auto"/>
              </w:rPr>
            </w:pPr>
          </w:p>
        </w:tc>
        <w:tc>
          <w:tcPr>
            <w:tcW w:w="180" w:type="dxa"/>
            <w:vAlign w:val="bottom"/>
            <w:gridSpan w:val="2"/>
            <w:vMerge w:val="restart"/>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3780" w:type="dxa"/>
            <w:vAlign w:val="bottom"/>
            <w:tcBorders>
              <w:bottom w:val="single" w:sz="8" w:color="BFE4FF"/>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89"/>
              </w:rPr>
              <w:t>Generation</w:t>
            </w:r>
          </w:p>
        </w:tc>
        <w:tc>
          <w:tcPr>
            <w:tcW w:w="100" w:type="dxa"/>
            <w:vAlign w:val="bottom"/>
            <w:tcBorders>
              <w:bottom w:val="single" w:sz="8" w:color="BFE4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BFE4FF"/>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vMerge w:val="continue"/>
          </w:tcPr>
          <w:p>
            <w:pPr>
              <w:spacing w:after="0"/>
              <w:rPr>
                <w:sz w:val="15"/>
                <w:szCs w:val="15"/>
                <w:color w:val="auto"/>
              </w:rPr>
            </w:pPr>
          </w:p>
        </w:tc>
        <w:tc>
          <w:tcPr>
            <w:tcW w:w="1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160" w:type="dxa"/>
            <w:vAlign w:val="bottom"/>
            <w:gridSpan w:val="2"/>
            <w:shd w:val="clear" w:color="auto" w:fill="BFE4FF"/>
          </w:tcPr>
          <w:p>
            <w:pPr>
              <w:ind w:left="46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BFE4FF"/>
          </w:tcPr>
          <w:p>
            <w:pPr>
              <w:spacing w:after="0"/>
              <w:rPr>
                <w:sz w:val="18"/>
                <w:szCs w:val="18"/>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260" w:type="dxa"/>
            <w:vAlign w:val="bottom"/>
            <w:gridSpan w:val="2"/>
            <w:shd w:val="clear" w:color="auto" w:fill="BFE4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20" w:type="dxa"/>
            <w:vAlign w:val="bottom"/>
            <w:shd w:val="clear" w:color="auto" w:fill="BFE4FF"/>
          </w:tcPr>
          <w:p>
            <w:pPr>
              <w:jc w:val="right"/>
              <w:ind w:right="434"/>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4160" w:type="dxa"/>
            <w:vAlign w:val="bottom"/>
            <w:gridSpan w:val="2"/>
          </w:tcPr>
          <w:p>
            <w:pPr>
              <w:ind w:left="580"/>
              <w:spacing w:after="0" w:line="172" w:lineRule="exact"/>
              <w:rPr>
                <w:sz w:val="20"/>
                <w:szCs w:val="20"/>
                <w:color w:val="auto"/>
              </w:rPr>
            </w:pPr>
            <w:r>
              <w:rPr>
                <w:rFonts w:ascii="Arial" w:cs="Arial" w:eastAsia="Arial" w:hAnsi="Arial"/>
                <w:sz w:val="18"/>
                <w:szCs w:val="18"/>
                <w:color w:val="auto"/>
                <w:w w:val="99"/>
              </w:rPr>
              <w:t>Cost of operations, exclusive of depreciation,</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160" w:type="dxa"/>
            <w:vAlign w:val="bottom"/>
            <w:gridSpan w:val="2"/>
          </w:tcPr>
          <w:p>
            <w:pPr>
              <w:ind w:left="180"/>
              <w:spacing w:after="0" w:line="171" w:lineRule="exact"/>
              <w:rPr>
                <w:sz w:val="20"/>
                <w:szCs w:val="20"/>
                <w:color w:val="auto"/>
              </w:rPr>
            </w:pPr>
            <w:r>
              <w:rPr>
                <w:rFonts w:ascii="Arial" w:cs="Arial" w:eastAsia="Arial" w:hAnsi="Arial"/>
                <w:sz w:val="18"/>
                <w:szCs w:val="18"/>
                <w:color w:val="auto"/>
              </w:rPr>
              <w:t>amortization and accretion shown separately</w:t>
            </w:r>
          </w:p>
        </w:tc>
        <w:tc>
          <w:tcPr>
            <w:tcW w:w="1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below</w:t>
            </w: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60" w:type="dxa"/>
            <w:vAlign w:val="bottom"/>
            <w:gridSpan w:val="2"/>
            <w:shd w:val="clear" w:color="auto" w:fill="BFE4FF"/>
          </w:tcPr>
          <w:p>
            <w:pPr>
              <w:ind w:left="5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160" w:type="dxa"/>
            <w:vAlign w:val="bottom"/>
            <w:gridSpan w:val="2"/>
          </w:tcPr>
          <w:p>
            <w:pPr>
              <w:ind w:left="5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60" w:type="dxa"/>
            <w:vAlign w:val="bottom"/>
            <w:gridSpan w:val="2"/>
            <w:shd w:val="clear" w:color="auto" w:fill="BFE4FF"/>
          </w:tcPr>
          <w:p>
            <w:pPr>
              <w:ind w:left="5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5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3"/>
            <w:shd w:val="clear" w:color="auto" w:fill="BFE4FF"/>
          </w:tcPr>
          <w:p>
            <w:pPr>
              <w:jc w:val="right"/>
              <w:ind w:right="417"/>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4"/>
            <w:shd w:val="clear" w:color="auto" w:fill="BFE4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780" w:type="dxa"/>
            <w:vAlign w:val="bottom"/>
            <w:tcBorders>
              <w:bottom w:val="single" w:sz="8" w:color="BFE4FF"/>
            </w:tcBorders>
          </w:tcPr>
          <w:p>
            <w:pPr>
              <w:ind w:left="580"/>
              <w:spacing w:after="0"/>
              <w:rPr>
                <w:sz w:val="20"/>
                <w:szCs w:val="20"/>
                <w:color w:val="auto"/>
              </w:rPr>
            </w:pPr>
            <w:r>
              <w:rPr>
                <w:rFonts w:ascii="Arial" w:cs="Arial" w:eastAsia="Arial" w:hAnsi="Arial"/>
                <w:sz w:val="18"/>
                <w:szCs w:val="18"/>
                <w:color w:val="auto"/>
              </w:rPr>
              <w:t>Development costs</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BFE4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16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BFE4FF"/>
          </w:tcPr>
          <w:p>
            <w:pPr>
              <w:spacing w:after="0"/>
              <w:rPr>
                <w:sz w:val="18"/>
                <w:szCs w:val="18"/>
                <w:color w:val="auto"/>
              </w:rPr>
            </w:pPr>
          </w:p>
        </w:tc>
        <w:tc>
          <w:tcPr>
            <w:tcW w:w="9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6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4160" w:type="dxa"/>
            <w:vAlign w:val="bottom"/>
            <w:gridSpan w:val="2"/>
          </w:tcPr>
          <w:p>
            <w:pPr>
              <w:ind w:left="580"/>
              <w:spacing w:after="0" w:line="172" w:lineRule="exact"/>
              <w:rPr>
                <w:sz w:val="20"/>
                <w:szCs w:val="20"/>
                <w:color w:val="auto"/>
              </w:rPr>
            </w:pPr>
            <w:r>
              <w:rPr>
                <w:rFonts w:ascii="Arial" w:cs="Arial" w:eastAsia="Arial" w:hAnsi="Arial"/>
                <w:sz w:val="18"/>
                <w:szCs w:val="18"/>
                <w:color w:val="auto"/>
              </w:rPr>
              <w:t>Equity in earnings of unconsolidated</w:t>
            </w:r>
          </w:p>
        </w:tc>
        <w:tc>
          <w:tcPr>
            <w:tcW w:w="1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right"/>
              <w:ind w:right="4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vMerge w:val="restart"/>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affiliates</w:t>
            </w: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60" w:type="dxa"/>
            <w:vAlign w:val="bottom"/>
            <w:gridSpan w:val="2"/>
            <w:shd w:val="clear" w:color="auto" w:fill="BFE4FF"/>
          </w:tcPr>
          <w:p>
            <w:pPr>
              <w:ind w:left="5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5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3"/>
            <w:shd w:val="clear" w:color="auto" w:fill="BFE4FF"/>
          </w:tcPr>
          <w:p>
            <w:pPr>
              <w:jc w:val="right"/>
              <w:ind w:right="417"/>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4"/>
            <w:shd w:val="clear" w:color="auto" w:fill="BFE4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160" w:type="dxa"/>
            <w:vAlign w:val="bottom"/>
            <w:gridSpan w:val="2"/>
          </w:tcPr>
          <w:p>
            <w:pPr>
              <w:ind w:left="5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160" w:type="dxa"/>
            <w:vAlign w:val="bottom"/>
            <w:gridSpan w:val="2"/>
            <w:shd w:val="clear" w:color="auto" w:fill="BFE4FF"/>
          </w:tcPr>
          <w:p>
            <w:pPr>
              <w:ind w:left="5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5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3"/>
            <w:shd w:val="clear" w:color="auto" w:fill="BFE4FF"/>
          </w:tcPr>
          <w:p>
            <w:pPr>
              <w:jc w:val="right"/>
              <w:ind w:right="417"/>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4"/>
            <w:shd w:val="clear" w:color="auto" w:fill="BFE4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86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780" w:type="dxa"/>
            <w:vAlign w:val="bottom"/>
            <w:tcBorders>
              <w:bottom w:val="single" w:sz="8" w:color="BFE4FF"/>
            </w:tcBorders>
          </w:tcPr>
          <w:p>
            <w:pPr>
              <w:ind w:left="5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BFE4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FE4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378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920" w:type="dxa"/>
            <w:vAlign w:val="bottom"/>
            <w:tcBorders>
              <w:bottom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BFE4FF"/>
          </w:tcPr>
          <w:p>
            <w:pPr>
              <w:spacing w:after="0"/>
              <w:rPr>
                <w:sz w:val="18"/>
                <w:szCs w:val="18"/>
                <w:color w:val="auto"/>
              </w:rPr>
            </w:pPr>
          </w:p>
        </w:tc>
        <w:tc>
          <w:tcPr>
            <w:tcW w:w="540" w:type="dxa"/>
            <w:vAlign w:val="bottom"/>
            <w:tcBorders>
              <w:bottom w:val="single" w:sz="8" w:color="auto"/>
            </w:tcBorders>
            <w:shd w:val="clear" w:color="auto" w:fill="BFE4FF"/>
          </w:tcPr>
          <w:p>
            <w:pPr>
              <w:spacing w:after="0"/>
              <w:rPr>
                <w:sz w:val="18"/>
                <w:szCs w:val="18"/>
                <w:color w:val="auto"/>
              </w:rPr>
            </w:pPr>
          </w:p>
        </w:tc>
        <w:tc>
          <w:tcPr>
            <w:tcW w:w="8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spacing w:after="0"/>
              <w:rPr>
                <w:sz w:val="18"/>
                <w:szCs w:val="18"/>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FE4FF"/>
          </w:tcPr>
          <w:p>
            <w:pPr>
              <w:spacing w:after="0"/>
              <w:rPr>
                <w:sz w:val="18"/>
                <w:szCs w:val="18"/>
                <w:color w:val="auto"/>
              </w:rPr>
            </w:pPr>
          </w:p>
        </w:tc>
        <w:tc>
          <w:tcPr>
            <w:tcW w:w="8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860" w:type="dxa"/>
            <w:vAlign w:val="bottom"/>
            <w:tcBorders>
              <w:bottom w:val="single" w:sz="8" w:color="auto"/>
            </w:tcBorders>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spacing w:after="0"/>
              <w:rPr>
                <w:sz w:val="18"/>
                <w:szCs w:val="18"/>
                <w:color w:val="auto"/>
              </w:rPr>
            </w:pPr>
          </w:p>
        </w:tc>
        <w:tc>
          <w:tcPr>
            <w:tcW w:w="100" w:type="dxa"/>
            <w:vAlign w:val="bottom"/>
            <w:tcBorders>
              <w:bottom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3780" w:type="dxa"/>
            <w:vAlign w:val="bottom"/>
            <w:tcBorders>
              <w:bottom w:val="single" w:sz="8" w:color="BFE4FF"/>
            </w:tcBorders>
          </w:tcPr>
          <w:p>
            <w:pPr>
              <w:ind w:left="58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16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BFE4FF"/>
          </w:tcPr>
          <w:p>
            <w:pPr>
              <w:spacing w:after="0"/>
              <w:rPr>
                <w:sz w:val="20"/>
                <w:szCs w:val="20"/>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60" w:type="dxa"/>
            <w:vAlign w:val="bottom"/>
            <w:shd w:val="clear" w:color="auto" w:fill="BFE4FF"/>
          </w:tcPr>
          <w:p>
            <w:pPr>
              <w:spacing w:after="0"/>
              <w:rPr>
                <w:sz w:val="20"/>
                <w:szCs w:val="20"/>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BFE4FF"/>
          </w:tcPr>
          <w:p>
            <w:pPr>
              <w:spacing w:after="0"/>
              <w:rPr>
                <w:sz w:val="20"/>
                <w:szCs w:val="20"/>
                <w:color w:val="auto"/>
              </w:rPr>
            </w:pPr>
          </w:p>
        </w:tc>
        <w:tc>
          <w:tcPr>
            <w:tcW w:w="340" w:type="dxa"/>
            <w:vAlign w:val="bottom"/>
            <w:shd w:val="clear" w:color="auto" w:fill="BFE4FF"/>
          </w:tcPr>
          <w:p>
            <w:pPr>
              <w:spacing w:after="0"/>
              <w:rPr>
                <w:sz w:val="20"/>
                <w:szCs w:val="20"/>
                <w:color w:val="auto"/>
              </w:rPr>
            </w:pPr>
          </w:p>
        </w:tc>
        <w:tc>
          <w:tcPr>
            <w:tcW w:w="260" w:type="dxa"/>
            <w:vAlign w:val="bottom"/>
            <w:gridSpan w:val="2"/>
            <w:shd w:val="clear" w:color="auto" w:fill="BFE4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180" w:type="dxa"/>
            <w:vAlign w:val="bottom"/>
            <w:shd w:val="clear" w:color="auto" w:fill="BFE4FF"/>
          </w:tcPr>
          <w:p>
            <w:pPr>
              <w:spacing w:after="0"/>
              <w:rPr>
                <w:sz w:val="20"/>
                <w:szCs w:val="20"/>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20" w:type="dxa"/>
            <w:vAlign w:val="bottom"/>
            <w:shd w:val="clear" w:color="auto" w:fill="BFE4FF"/>
          </w:tcPr>
          <w:p>
            <w:pPr>
              <w:jc w:val="right"/>
              <w:ind w:right="434"/>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78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231F20"/>
              </w:rPr>
              <w:t>36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0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income tax provision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1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77"/>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w:t>
            </w:r>
          </w:p>
        </w:tc>
        <w:tc>
          <w:tcPr>
            <w:tcW w:w="94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(27)</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4</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17.9 %</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bl>
    <w:p>
      <w:pPr>
        <w:spacing w:after="0" w:line="17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three and six months ended June 30, 2021 and 2020 the overall effective tax rate was different than the statutory rate of 21% primarily due to taxable earnings and losses allocated to partners' interest in Clearway Energy LLC, which includes the effects of applying the HLBV method of accounting for book purposes for certain partnerships.</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March 27, 2020 the Coronavirus Aid, Relief, and Economic Security (CARES) Act, or the CARES Act, was signed into law, which includes</w:t>
      </w:r>
    </w:p>
    <w:p>
      <w:pPr>
        <w:spacing w:after="0" w:line="6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modifications to the business interest expense disallowance and net operating loss provisions. While the Company utilized previously disallowed interest expense during 2020 as a result of the modifications, the CARES Act did not have a material impact on the consolidated financial statements. The Company will continue to assess the effects of the CARES Act and ongoing government guidance related to COVID-19 that may be issued.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Related Party Transactions</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$14 million and $9 million for the three months ended June 30, 2021 and 2020, respectively. The Company incurred total expenses for these services of $27 million and $18 million for the six months ended June 30, 2021 and 2020, respectively. There was a balance of $10 million due to RENOM as of June 30, 2021 and December 31, 2020.</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$4 million and $2 million for the three months ended June 30, 2021 and 2020, respectively. The Company incurred expenses under these agreements of $7 million and $4 million for the six months ended June 30, 2021 and 2020, respectively.</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61" w:lineRule="exact"/>
        <w:rPr>
          <w:sz w:val="20"/>
          <w:szCs w:val="20"/>
          <w:color w:val="auto"/>
        </w:rPr>
      </w:pPr>
    </w:p>
    <w:p>
      <w:pPr>
        <w:jc w:val="both"/>
        <w:ind w:firstLine="395"/>
        <w:spacing w:after="0" w:line="285"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affiliates on the Company's consolidated balance sheet. The Company incurred net expenses of $1 million and $0.6 million under these agreements for the three months ended June 30, 2021 and 2020, respectively. The Company incurred net expenses of $2 million and $1.2 million under these agreements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ind w:firstLine="395"/>
        <w:spacing w:after="0" w:line="252"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61"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6"/>
          <w:szCs w:val="16"/>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was held on March 18, 2021. The Company believes the allegations of NPPD are meritless and the Company is vigorously defending its rights under the PPAs.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Buckthorn Solar Litigation</w:t>
      </w:r>
    </w:p>
    <w:p>
      <w:pPr>
        <w:spacing w:after="0" w:line="16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discussion analyzes the Company's historical financial condition and results of operations.</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six months ended June 30, 2021 and 2020. Also refer to the Company's 2020 Form 10-K, which includes detailed discussions of various items impacting the Company's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61" w:lineRule="exact"/>
        <w:rPr>
          <w:sz w:val="20"/>
          <w:szCs w:val="20"/>
          <w:color w:val="auto"/>
        </w:rPr>
      </w:pPr>
    </w:p>
    <w:p>
      <w:pPr>
        <w:ind w:left="960" w:right="660" w:hanging="7"/>
        <w:spacing w:after="0" w:line="261" w:lineRule="auto"/>
        <w:tabs>
          <w:tab w:leader="none" w:pos="1271"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28" w:lineRule="exact"/>
        <w:rPr>
          <w:rFonts w:ascii="Arial" w:cs="Arial" w:eastAsia="Arial" w:hAnsi="Arial"/>
          <w:sz w:val="18"/>
          <w:szCs w:val="18"/>
          <w:color w:val="231F20"/>
        </w:rPr>
      </w:pPr>
    </w:p>
    <w:p>
      <w:pPr>
        <w:ind w:left="960" w:right="220" w:hanging="7"/>
        <w:spacing w:after="0" w:line="261" w:lineRule="auto"/>
        <w:tabs>
          <w:tab w:leader="none" w:pos="1271"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128" w:lineRule="exact"/>
        <w:rPr>
          <w:rFonts w:ascii="Arial" w:cs="Arial" w:eastAsia="Arial" w:hAnsi="Arial"/>
          <w:sz w:val="18"/>
          <w:szCs w:val="18"/>
          <w:color w:val="auto"/>
        </w:rPr>
      </w:pPr>
    </w:p>
    <w:p>
      <w:pPr>
        <w:ind w:left="960" w:right="480" w:hanging="7"/>
        <w:spacing w:after="0" w:line="261" w:lineRule="auto"/>
        <w:tabs>
          <w:tab w:leader="none" w:pos="1271"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128" w:lineRule="exact"/>
        <w:rPr>
          <w:rFonts w:ascii="Arial" w:cs="Arial" w:eastAsia="Arial" w:hAnsi="Arial"/>
          <w:sz w:val="18"/>
          <w:szCs w:val="18"/>
          <w:color w:val="231F20"/>
        </w:rPr>
      </w:pPr>
    </w:p>
    <w:p>
      <w:pPr>
        <w:ind w:left="1260" w:hanging="307"/>
        <w:spacing w:after="0"/>
        <w:tabs>
          <w:tab w:leader="none" w:pos="12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161" w:lineRule="exact"/>
        <w:rPr>
          <w:rFonts w:ascii="Arial" w:cs="Arial" w:eastAsia="Arial" w:hAnsi="Arial"/>
          <w:sz w:val="18"/>
          <w:szCs w:val="18"/>
          <w:color w:val="231F20"/>
        </w:rPr>
      </w:pPr>
    </w:p>
    <w:p>
      <w:pPr>
        <w:ind w:left="960" w:right="220" w:hanging="7"/>
        <w:spacing w:after="0" w:line="261" w:lineRule="auto"/>
        <w:tabs>
          <w:tab w:leader="none" w:pos="12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Executive Summary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0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June 30, 2021 </w:t>
      </w:r>
      <w:r>
        <w:rPr>
          <w:rFonts w:ascii="Arial" w:cs="Arial" w:eastAsia="Arial" w:hAnsi="Arial"/>
          <w:sz w:val="18"/>
          <w:szCs w:val="18"/>
          <w:color w:val="231F20"/>
        </w:rPr>
        <w:t>based on CAFD.</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2021, the Company's operating assets are comprised of the following projects: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Projects</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60" w:type="dxa"/>
            <w:vAlign w:val="bottom"/>
          </w:tcPr>
          <w:p>
            <w:pPr>
              <w:jc w:val="right"/>
              <w:ind w:right="70"/>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2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4"/>
        </w:trPr>
        <w:tc>
          <w:tcPr>
            <w:tcW w:w="3340" w:type="dxa"/>
            <w:vAlign w:val="bottom"/>
            <w:gridSpan w:val="2"/>
            <w:vMerge w:val="continue"/>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60" w:type="dxa"/>
            <w:vAlign w:val="bottom"/>
          </w:tcPr>
          <w:p>
            <w:pPr>
              <w:jc w:val="right"/>
              <w:ind w:right="230"/>
              <w:spacing w:after="0" w:line="184"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Carlsbad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ind w:lef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tcPr>
          <w:p>
            <w:pPr>
              <w:ind w:left="40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i w:val="1"/>
                <w:iCs w:val="1"/>
                <w:color w:val="auto"/>
              </w:rPr>
              <w:t>Total Conventional</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ind w:left="40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Tucson Electric Power</w:t>
            </w:r>
          </w:p>
        </w:tc>
        <w:tc>
          <w:tcPr>
            <w:tcW w:w="1080" w:type="dxa"/>
            <w:vAlign w:val="bottom"/>
          </w:tcPr>
          <w:p>
            <w:pPr>
              <w:ind w:left="400"/>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San Diego Gas and Electric</w:t>
            </w:r>
          </w:p>
        </w:tc>
        <w:tc>
          <w:tcPr>
            <w:tcW w:w="1080" w:type="dxa"/>
            <w:vAlign w:val="bottom"/>
          </w:tcPr>
          <w:p>
            <w:pPr>
              <w:ind w:left="400"/>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line="187"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ind w:left="400"/>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ind w:left="400"/>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4"/>
        </w:trPr>
        <w:tc>
          <w:tcPr>
            <w:tcW w:w="3340" w:type="dxa"/>
            <w:vAlign w:val="bottom"/>
            <w:gridSpan w:val="2"/>
          </w:tcPr>
          <w:p>
            <w:pPr>
              <w:ind w:left="120"/>
              <w:spacing w:after="0" w:line="184"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tcPr>
          <w:p>
            <w:pPr>
              <w:ind w:left="40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4"/>
        </w:trPr>
        <w:tc>
          <w:tcPr>
            <w:tcW w:w="3340" w:type="dxa"/>
            <w:vAlign w:val="bottom"/>
            <w:gridSpan w:val="2"/>
            <w:shd w:val="clear" w:color="auto" w:fill="CCEEFF"/>
          </w:tcPr>
          <w:p>
            <w:pPr>
              <w:ind w:left="120"/>
              <w:spacing w:after="0" w:line="184"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El Paso Electric</w:t>
            </w:r>
          </w:p>
        </w:tc>
        <w:tc>
          <w:tcPr>
            <w:tcW w:w="1080" w:type="dxa"/>
            <w:vAlign w:val="bottom"/>
          </w:tcPr>
          <w:p>
            <w:pPr>
              <w:ind w:left="400"/>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line="187"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ind w:left="40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line="187"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75"/>
        </w:trPr>
        <w:tc>
          <w:tcPr>
            <w:tcW w:w="334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rPr>
              <w:t>Total Solar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120"/>
              <w:spacing w:after="0" w:line="184"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ind w:left="400"/>
              <w:spacing w:after="0"/>
              <w:rPr>
                <w:sz w:val="20"/>
                <w:szCs w:val="20"/>
                <w:color w:val="auto"/>
              </w:rPr>
            </w:pPr>
            <w:r>
              <w:rPr>
                <w:rFonts w:ascii="Arial" w:cs="Arial" w:eastAsia="Arial" w:hAnsi="Arial"/>
                <w:sz w:val="14"/>
                <w:szCs w:val="14"/>
                <w:color w:val="auto"/>
                <w:w w:val="88"/>
              </w:rPr>
              <w:t>2030 - 2044</w:t>
            </w:r>
          </w:p>
        </w:tc>
        <w:tc>
          <w:tcPr>
            <w:tcW w:w="0" w:type="dxa"/>
            <w:vAlign w:val="bottom"/>
          </w:tcPr>
          <w:p>
            <w:pPr>
              <w:spacing w:after="0"/>
              <w:rPr>
                <w:sz w:val="1"/>
                <w:szCs w:val="1"/>
                <w:color w:val="auto"/>
              </w:rPr>
            </w:pPr>
          </w:p>
        </w:tc>
      </w:tr>
      <w:tr>
        <w:trPr>
          <w:trHeight w:val="184"/>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Solar Power Partners (SPP)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8"/>
              </w:rPr>
              <w:t>2026 - 2037</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w w:val="88"/>
              </w:rPr>
              <w:t>2023 - 2039</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i w:val="1"/>
                <w:iCs w:val="1"/>
                <w:color w:val="auto"/>
              </w:rPr>
              <w:t>Total Distributed Solar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Wind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3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Projects</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60" w:type="dxa"/>
            <w:vAlign w:val="bottom"/>
          </w:tcPr>
          <w:p>
            <w:pPr>
              <w:jc w:val="right"/>
              <w:ind w:right="70"/>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2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4"/>
        </w:trPr>
        <w:tc>
          <w:tcPr>
            <w:tcW w:w="3340" w:type="dxa"/>
            <w:vAlign w:val="bottom"/>
            <w:gridSpan w:val="3"/>
            <w:vMerge w:val="continue"/>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60" w:type="dxa"/>
            <w:vAlign w:val="bottom"/>
          </w:tcPr>
          <w:p>
            <w:pPr>
              <w:jc w:val="right"/>
              <w:ind w:right="230"/>
              <w:spacing w:after="0" w:line="184"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20" w:type="dxa"/>
            <w:vAlign w:val="bottom"/>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3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SCE</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4"/>
        </w:trPr>
        <w:tc>
          <w:tcPr>
            <w:tcW w:w="33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Crosswinds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84"/>
        </w:trPr>
        <w:tc>
          <w:tcPr>
            <w:tcW w:w="3340" w:type="dxa"/>
            <w:vAlign w:val="bottom"/>
            <w:gridSpan w:val="3"/>
          </w:tcPr>
          <w:p>
            <w:pPr>
              <w:ind w:left="120"/>
              <w:spacing w:after="0" w:line="184"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4"/>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Forward</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Goat Wind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Hardin</w:t>
            </w:r>
          </w:p>
        </w:tc>
        <w:tc>
          <w:tcPr>
            <w:tcW w:w="118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line="187"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184"/>
        </w:trPr>
        <w:tc>
          <w:tcPr>
            <w:tcW w:w="3340" w:type="dxa"/>
            <w:vAlign w:val="bottom"/>
            <w:gridSpan w:val="3"/>
          </w:tcPr>
          <w:p>
            <w:pPr>
              <w:ind w:left="120"/>
              <w:spacing w:after="0" w:line="184"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2032 - 2035</w:t>
            </w:r>
          </w:p>
        </w:tc>
        <w:tc>
          <w:tcPr>
            <w:tcW w:w="0" w:type="dxa"/>
            <w:vAlign w:val="bottom"/>
          </w:tcPr>
          <w:p>
            <w:pPr>
              <w:spacing w:after="0"/>
              <w:rPr>
                <w:sz w:val="1"/>
                <w:szCs w:val="1"/>
                <w:color w:val="auto"/>
              </w:rPr>
            </w:pPr>
          </w:p>
        </w:tc>
      </w:tr>
      <w:tr>
        <w:trPr>
          <w:trHeight w:val="184"/>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Mt. Storm</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Ocotillo</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Missouri River Energy Services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32"/>
        </w:trPr>
        <w:tc>
          <w:tcPr>
            <w:tcW w:w="3340" w:type="dxa"/>
            <w:vAlign w:val="bottom"/>
            <w:gridSpan w:val="3"/>
            <w:vMerge w:val="restart"/>
          </w:tcPr>
          <w:p>
            <w:pPr>
              <w:ind w:left="120"/>
              <w:spacing w:after="0"/>
              <w:rPr>
                <w:sz w:val="20"/>
                <w:szCs w:val="20"/>
                <w:color w:val="auto"/>
              </w:rPr>
            </w:pPr>
            <w:r>
              <w:rPr>
                <w:rFonts w:ascii="Arial" w:cs="Arial" w:eastAsia="Arial" w:hAnsi="Arial"/>
                <w:sz w:val="14"/>
                <w:szCs w:val="14"/>
                <w:color w:val="auto"/>
              </w:rPr>
              <w:t>Pinnacle</w:t>
            </w:r>
            <w:r>
              <w:rPr>
                <w:rFonts w:ascii="Arial" w:cs="Arial" w:eastAsia="Arial" w:hAnsi="Arial"/>
                <w:sz w:val="18"/>
                <w:szCs w:val="18"/>
                <w:color w:val="auto"/>
                <w:vertAlign w:val="superscript"/>
              </w:rPr>
              <w:t>(b)</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4020" w:type="dxa"/>
            <w:vAlign w:val="bottom"/>
            <w:gridSpan w:val="2"/>
          </w:tcPr>
          <w:p>
            <w:pPr>
              <w:ind w:left="20"/>
              <w:spacing w:after="0" w:line="132" w:lineRule="exact"/>
              <w:rPr>
                <w:sz w:val="20"/>
                <w:szCs w:val="20"/>
                <w:color w:val="auto"/>
              </w:rPr>
            </w:pPr>
            <w:r>
              <w:rPr>
                <w:rFonts w:ascii="Arial" w:cs="Arial" w:eastAsia="Arial" w:hAnsi="Arial"/>
                <w:sz w:val="14"/>
                <w:szCs w:val="14"/>
                <w:color w:val="auto"/>
                <w:w w:val="94"/>
              </w:rPr>
              <w:t>Maryland Department of General Services and University System of</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4"/>
        </w:trPr>
        <w:tc>
          <w:tcPr>
            <w:tcW w:w="334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San Juan Mesa</w:t>
            </w:r>
          </w:p>
        </w:tc>
        <w:tc>
          <w:tcPr>
            <w:tcW w:w="118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Sleeping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AEP Energy Partners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Spanish Fork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84"/>
        </w:trPr>
        <w:tc>
          <w:tcPr>
            <w:tcW w:w="3340" w:type="dxa"/>
            <w:vAlign w:val="bottom"/>
            <w:gridSpan w:val="3"/>
          </w:tcPr>
          <w:p>
            <w:pPr>
              <w:ind w:left="120"/>
              <w:spacing w:after="0" w:line="184"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4"/>
        </w:trPr>
        <w:tc>
          <w:tcPr>
            <w:tcW w:w="33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2"/>
        </w:trPr>
        <w:tc>
          <w:tcPr>
            <w:tcW w:w="3340" w:type="dxa"/>
            <w:vAlign w:val="bottom"/>
            <w:gridSpan w:val="3"/>
          </w:tcPr>
          <w:p>
            <w:pPr>
              <w:ind w:left="12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Oklahoma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7"/>
        </w:trPr>
        <w:tc>
          <w:tcPr>
            <w:tcW w:w="3340" w:type="dxa"/>
            <w:vAlign w:val="bottom"/>
            <w:gridSpan w:val="3"/>
            <w:shd w:val="clear" w:color="auto" w:fill="CCEEFF"/>
          </w:tcPr>
          <w:p>
            <w:pPr>
              <w:ind w:left="120"/>
              <w:spacing w:after="0" w:line="187"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75"/>
        </w:trPr>
        <w:tc>
          <w:tcPr>
            <w:tcW w:w="3340" w:type="dxa"/>
            <w:vAlign w:val="bottom"/>
            <w:gridSpan w:val="3"/>
          </w:tcPr>
          <w:p>
            <w:pPr>
              <w:ind w:left="500"/>
              <w:spacing w:after="0"/>
              <w:rPr>
                <w:sz w:val="20"/>
                <w:szCs w:val="20"/>
                <w:color w:val="auto"/>
              </w:rPr>
            </w:pPr>
            <w:r>
              <w:rPr>
                <w:rFonts w:ascii="Arial" w:cs="Arial" w:eastAsia="Arial" w:hAnsi="Arial"/>
                <w:sz w:val="14"/>
                <w:szCs w:val="14"/>
                <w:b w:val="1"/>
                <w:bCs w:val="1"/>
                <w:i w:val="1"/>
                <w:iCs w:val="1"/>
                <w:color w:val="auto"/>
              </w:rPr>
              <w:t>Total Wind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3,056</w:t>
            </w: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8"/>
              </w:rPr>
              <w:t>Various</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4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Total net generation capacity</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7,255</w:t>
            </w: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gridSpan w:val="3"/>
          </w:tcPr>
          <w:p>
            <w:pPr>
              <w:ind w:left="20"/>
              <w:spacing w:after="0" w:line="184"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180" w:type="dxa"/>
            <w:vAlign w:val="bottom"/>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Various</w:t>
            </w:r>
          </w:p>
        </w:tc>
        <w:tc>
          <w:tcPr>
            <w:tcW w:w="0" w:type="dxa"/>
            <w:vAlign w:val="bottom"/>
          </w:tcPr>
          <w:p>
            <w:pPr>
              <w:spacing w:after="0"/>
              <w:rPr>
                <w:sz w:val="1"/>
                <w:szCs w:val="1"/>
                <w:color w:val="auto"/>
              </w:rPr>
            </w:pPr>
          </w:p>
        </w:tc>
      </w:tr>
      <w:tr>
        <w:trPr>
          <w:trHeight w:val="164"/>
        </w:trPr>
        <w:tc>
          <w:tcPr>
            <w:tcW w:w="21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0" w:hanging="115"/>
        <w:spacing w:after="0"/>
        <w:tabs>
          <w:tab w:leader="none" w:pos="120"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2021.</w:t>
      </w:r>
    </w:p>
    <w:p>
      <w:pPr>
        <w:spacing w:after="0" w:line="8" w:lineRule="exact"/>
        <w:rPr>
          <w:rFonts w:ascii="Arial" w:cs="Arial" w:eastAsia="Arial" w:hAnsi="Arial"/>
          <w:sz w:val="9"/>
          <w:szCs w:val="9"/>
          <w:color w:val="auto"/>
        </w:rPr>
      </w:pPr>
    </w:p>
    <w:p>
      <w:pPr>
        <w:ind w:firstLine="5"/>
        <w:spacing w:after="0" w:line="242" w:lineRule="auto"/>
        <w:tabs>
          <w:tab w:leader="none" w:pos="129" w:val="left"/>
        </w:tabs>
        <w:numPr>
          <w:ilvl w:val="0"/>
          <w:numId w:val="19"/>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and ownership percentage is based on cash to be distributed, as further described in Item 1 — Note 4, </w:t>
      </w:r>
      <w:r>
        <w:rPr>
          <w:rFonts w:ascii="Arial" w:cs="Arial" w:eastAsia="Arial" w:hAnsi="Arial"/>
          <w:sz w:val="14"/>
          <w:szCs w:val="14"/>
          <w:i w:val="1"/>
          <w:iCs w:val="1"/>
          <w:color w:val="auto"/>
        </w:rPr>
        <w:t>Investments Accounted for by the Equity Method</w:t>
      </w:r>
      <w:r>
        <w:rPr>
          <w:rFonts w:ascii="Arial" w:cs="Arial" w:eastAsia="Arial" w:hAnsi="Arial"/>
          <w:sz w:val="14"/>
          <w:szCs w:val="14"/>
          <w:color w:val="auto"/>
        </w:rPr>
        <w:t xml:space="preserve"> </w:t>
      </w:r>
      <w:r>
        <w:rPr>
          <w:rFonts w:ascii="Arial" w:cs="Arial" w:eastAsia="Arial" w:hAnsi="Arial"/>
          <w:sz w:val="14"/>
          <w:szCs w:val="14"/>
          <w:i w:val="1"/>
          <w:iCs w:val="1"/>
          <w:color w:val="auto"/>
        </w:rPr>
        <w:t>and Variable Interest Entities.</w:t>
      </w:r>
    </w:p>
    <w:p>
      <w:pPr>
        <w:spacing w:after="0" w:line="215" w:lineRule="auto"/>
        <w:rPr>
          <w:rFonts w:ascii="Arial" w:cs="Arial" w:eastAsia="Arial" w:hAnsi="Arial"/>
          <w:sz w:val="9"/>
          <w:szCs w:val="9"/>
          <w:color w:val="auto"/>
        </w:rPr>
      </w:pPr>
      <w:r>
        <w:rPr>
          <w:rFonts w:ascii="Arial" w:cs="Arial" w:eastAsia="Arial" w:hAnsi="Arial"/>
          <w:sz w:val="17"/>
          <w:szCs w:val="17"/>
          <w:color w:val="auto"/>
          <w:vertAlign w:val="superscript"/>
        </w:rPr>
        <w:t>(C)</w:t>
      </w:r>
      <w:r>
        <w:rPr>
          <w:rFonts w:ascii="Arial" w:cs="Arial" w:eastAsia="Arial" w:hAnsi="Arial"/>
          <w:sz w:val="13"/>
          <w:szCs w:val="13"/>
          <w:color w:val="auto"/>
        </w:rPr>
        <w:t xml:space="preserve"> Net MWt capacity excludes 43 MWt available under the right-to-use provisions contained in agreements between one of the Company's thermal facilities and certain of its customers.</w:t>
      </w:r>
    </w:p>
    <w:p>
      <w:pPr>
        <w:ind w:left="140" w:hanging="135"/>
        <w:spacing w:after="0" w:line="217"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Rattlesnake has a deliverable capacity of 144 MW.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Significant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61" w:lineRule="exact"/>
        <w:rPr>
          <w:sz w:val="20"/>
          <w:szCs w:val="20"/>
          <w:color w:val="auto"/>
        </w:rPr>
      </w:pPr>
    </w:p>
    <w:p>
      <w:pPr>
        <w:jc w:val="both"/>
        <w:ind w:left="640" w:hanging="319"/>
        <w:spacing w:after="0" w:line="250"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7"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61" w:lineRule="exact"/>
        <w:rPr>
          <w:sz w:val="20"/>
          <w:szCs w:val="20"/>
          <w:color w:val="auto"/>
        </w:rPr>
      </w:pPr>
    </w:p>
    <w:p>
      <w:pPr>
        <w:jc w:val="both"/>
        <w:ind w:left="640" w:hanging="319"/>
        <w:spacing w:after="0" w:line="291" w:lineRule="auto"/>
        <w:tabs>
          <w:tab w:leader="none" w:pos="636"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61" w:lineRule="exact"/>
        <w:rPr>
          <w:sz w:val="20"/>
          <w:szCs w:val="20"/>
          <w:color w:val="auto"/>
        </w:rPr>
      </w:pPr>
    </w:p>
    <w:p>
      <w:pPr>
        <w:jc w:val="both"/>
        <w:ind w:left="640" w:hanging="319"/>
        <w:spacing w:after="0" w:line="299"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April 23, 2021, the Company acquired 100% of the equity interests in NedPower Mount Storm LLC, or Mt. Storm, from Castleton Commodities International for approximately $96 million, excluding working capital and purchase price adjustments. Mt. Storm is a 264 MW wind project located in Grant County, West Virginia. Mt. Storm has a 10-year energy hedge with an investment-grade counterparty.</w:t>
      </w:r>
    </w:p>
    <w:p>
      <w:pPr>
        <w:spacing w:after="0" w:line="101" w:lineRule="exact"/>
        <w:rPr>
          <w:rFonts w:ascii="Arial" w:cs="Arial" w:eastAsia="Arial" w:hAnsi="Arial"/>
          <w:sz w:val="16"/>
          <w:szCs w:val="16"/>
          <w:color w:val="auto"/>
        </w:rPr>
      </w:pPr>
    </w:p>
    <w:p>
      <w:pPr>
        <w:jc w:val="both"/>
        <w:ind w:left="640" w:hanging="319"/>
        <w:spacing w:after="0" w:line="248"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Drop Down Transactions</w:t>
      </w:r>
    </w:p>
    <w:p>
      <w:pPr>
        <w:spacing w:after="0" w:line="161"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August 2, 2021, the CEG ROFO Agreement was amended to remove the 100 MW Wildflower utility scale solar project from the ROFO pipeline.</w:t>
      </w:r>
    </w:p>
    <w:p>
      <w:pPr>
        <w:spacing w:after="0" w:line="184" w:lineRule="exact"/>
        <w:rPr>
          <w:rFonts w:ascii="Arial" w:cs="Arial" w:eastAsia="Arial" w:hAnsi="Arial"/>
          <w:sz w:val="16"/>
          <w:szCs w:val="16"/>
          <w:color w:val="auto"/>
        </w:rPr>
      </w:pPr>
    </w:p>
    <w:p>
      <w:pPr>
        <w:jc w:val="both"/>
        <w:ind w:left="640" w:hanging="319"/>
        <w:spacing w:after="0" w:line="248"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26, 2021, the Company, through an indirect subsidiary, entered into an amended partnership agreement 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second half of 2021.</w:t>
      </w:r>
    </w:p>
    <w:p>
      <w:pPr>
        <w:spacing w:after="0" w:line="141" w:lineRule="exact"/>
        <w:rPr>
          <w:rFonts w:ascii="Arial" w:cs="Arial" w:eastAsia="Arial" w:hAnsi="Arial"/>
          <w:sz w:val="18"/>
          <w:szCs w:val="18"/>
          <w:color w:val="auto"/>
        </w:rPr>
      </w:pPr>
    </w:p>
    <w:p>
      <w:pPr>
        <w:jc w:val="both"/>
        <w:ind w:left="640" w:hanging="319"/>
        <w:spacing w:after="0" w:line="248" w:lineRule="auto"/>
        <w:tabs>
          <w:tab w:leader="none" w:pos="636"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Company's net capital commitment was $119 million after proceeds from a state sales and use tax refund, which were received in May 2021. The project has a 20-year PPA, which began when the facility reached commercial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 at Marsh Landing</w:t>
      </w:r>
    </w:p>
    <w:p>
      <w:pPr>
        <w:spacing w:after="0" w:line="161" w:lineRule="exact"/>
        <w:rPr>
          <w:sz w:val="20"/>
          <w:szCs w:val="20"/>
          <w:color w:val="auto"/>
        </w:rPr>
      </w:pPr>
    </w:p>
    <w:p>
      <w:pPr>
        <w:jc w:val="both"/>
        <w:ind w:left="640" w:hanging="319"/>
        <w:spacing w:after="0" w:line="252"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3, 2021, the Company contracted with a California Load Serving Entity to sell 100 MW of Resource Adequacy commencing in May 2023. The contract is for seven and a half years and is at terms which would maintain project level CAFD on an unlevered basis if applied to the full capacity of the plant.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61" w:lineRule="exact"/>
        <w:rPr>
          <w:sz w:val="20"/>
          <w:szCs w:val="20"/>
          <w:color w:val="auto"/>
        </w:rPr>
      </w:pPr>
    </w:p>
    <w:p>
      <w:pPr>
        <w:jc w:val="both"/>
        <w:ind w:left="640" w:hanging="319"/>
        <w:spacing w:after="0" w:line="248"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 party equity investors, the Company recorded a reduction of approximately $50 million in revenue in the first quarter of 2021 to settle obligations for wind facilities during the extreme weather conditions. After factoring in third party equity investor contributions, the cash impact during the first quarter of 2021 was approximately $25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7"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is and will continue to evaluate the impact of the legislation and regulations as they are revised but cannot fully predict the impact of each</w:t>
      </w:r>
    </w:p>
    <w:p>
      <w:pPr>
        <w:spacing w:after="0" w:line="6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until anticipated revisions and legal challenges are resolved. To the extent newly proposed legislation and regulations restrict or otherwise impact the Company's operations, the proposed legislation and regulations could have a negative impact on the Company's financial performance.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Proposed and Final State Solar Photovoltaic Module Disposal and Recycling Regulations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On June 7, 2021, this new rule went into effect, resulting in the addition of solar panels as a new category of universal wastes. The rule also adopts specific waste management standards within the existing universal waste framework and makes managing hazardous waste solar panels simpler and less costly. This rule will also allow some generators to qualify for a generator status subject to reduced regulation because universal wastes do not count toward generator status.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left="400"/>
        <w:spacing w:after="0"/>
        <w:rPr>
          <w:sz w:val="20"/>
          <w:szCs w:val="20"/>
          <w:color w:val="auto"/>
        </w:rPr>
      </w:pPr>
      <w:r>
        <w:rPr>
          <w:rFonts w:ascii="Arial" w:cs="Arial" w:eastAsia="Arial" w:hAnsi="Arial"/>
          <w:sz w:val="18"/>
          <w:szCs w:val="18"/>
          <w:i w:val="1"/>
          <w:iCs w:val="1"/>
          <w:color w:val="auto"/>
        </w:rPr>
        <w:t>Proposed Federal MBTA Incidental Take Legislation and Regulations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January 20, 2021, President Biden issued an executive order to review and consider suspending, revising, or rescinding agency actions taken between</w:t>
      </w:r>
    </w:p>
    <w:p>
      <w:pPr>
        <w:spacing w:after="0" w:line="7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January 20, 2017 and January 20, 2021 determined to be inconsistent with certain public health and environmental goals. This includes a review of both the Solicitor’s Opinion and the U.S. Fish and Wildlife Services’ (FWS) January 7, 2021 final rule codifying the Solicitor’s Opinion M-37050 defining the scope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prohibitions under the MBTA. In response to this directive, on February 9, 2021, the FWS delayed the effective date of the January 2021 final rule and requested public comment to inform its review and a potential extended delay.</w:t>
      </w:r>
    </w:p>
    <w:p>
      <w:pPr>
        <w:spacing w:after="0" w:line="2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May 2021, FWS published a draft rule to revoke the Trump Administration’s January 7, 2021 final rule in an effort to return to implementing the MBTA as prohibiting incidental take and applying enforcement discretion. Comments on the draft rule were due June 7, 2021. The proposed rule follows the Administration’s prior revocation of Solicitor’s Opinion M-37050 issued under the Trump Administration. A return to the position that incidental take is prohibited under the MBTA, or the development of legislation or regulations contrary to the FWS’s January 2021 rule, could increase potential liability and impose additional permitting requirements on certain of the Company's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5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Update</w:t>
      </w:r>
    </w:p>
    <w:p>
      <w:pPr>
        <w:spacing w:after="0" w:line="16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1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There is considerable uncertainty regarding the extent to which COVID-19, including variants such as the Delta variant,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June 30, 2021 are collectible. The Company will continue to assess collectability based on any future developments.</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and related variants, the consequences of governmental and other measures designed to prevent the spread of the virus, the development of</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8"/>
          <w:szCs w:val="18"/>
          <w:color w:val="auto"/>
        </w:rPr>
        <w:t xml:space="preserve">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Company's 2020 Form 10-K.</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4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5"/>
        </w:trPr>
        <w:tc>
          <w:tcPr>
            <w:tcW w:w="3120" w:type="dxa"/>
            <w:vAlign w:val="bottom"/>
          </w:tcPr>
          <w:p>
            <w:pPr>
              <w:ind w:left="420"/>
              <w:spacing w:after="0" w:line="205" w:lineRule="exact"/>
              <w:rPr>
                <w:sz w:val="20"/>
                <w:szCs w:val="20"/>
                <w:color w:val="auto"/>
              </w:rPr>
            </w:pPr>
            <w:r>
              <w:rPr>
                <w:rFonts w:ascii="Arial" w:cs="Arial" w:eastAsia="Arial" w:hAnsi="Arial"/>
                <w:sz w:val="18"/>
                <w:szCs w:val="18"/>
                <w:b w:val="1"/>
                <w:bCs w:val="1"/>
                <w:color w:val="auto"/>
              </w:rPr>
              <w:t>Operating Revenues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Energy and capacity 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333333"/>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420</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33333"/>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520" w:type="dxa"/>
            <w:vAlign w:val="bottom"/>
            <w:gridSpan w:val="2"/>
          </w:tcPr>
          <w:p>
            <w:pPr>
              <w:ind w:left="5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33333"/>
              </w:rPr>
              <w:t>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Contract amortization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2"/>
        </w:trPr>
        <w:tc>
          <w:tcPr>
            <w:tcW w:w="352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Mark-to-market economic hedging</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333333"/>
              </w:rPr>
              <w:t>(31)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activities</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4"/>
        </w:trPr>
        <w:tc>
          <w:tcPr>
            <w:tcW w:w="3120" w:type="dxa"/>
            <w:vAlign w:val="bottom"/>
          </w:tcPr>
          <w:p>
            <w:pPr>
              <w:ind w:left="420"/>
              <w:spacing w:after="0" w:line="204" w:lineRule="exact"/>
              <w:rPr>
                <w:sz w:val="20"/>
                <w:szCs w:val="20"/>
                <w:color w:val="auto"/>
              </w:rPr>
            </w:pPr>
            <w:r>
              <w:rPr>
                <w:rFonts w:ascii="Arial" w:cs="Arial" w:eastAsia="Arial" w:hAnsi="Arial"/>
                <w:sz w:val="18"/>
                <w:szCs w:val="18"/>
                <w:b w:val="1"/>
                <w:bCs w:val="1"/>
                <w:color w:val="auto"/>
              </w:rPr>
              <w:t>Operating Costs and Expenses</w:t>
            </w: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Cost of fuels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520" w:type="dxa"/>
            <w:vAlign w:val="bottom"/>
            <w:gridSpan w:val="2"/>
          </w:tcPr>
          <w:p>
            <w:pPr>
              <w:ind w:left="540"/>
              <w:spacing w:after="0"/>
              <w:rPr>
                <w:sz w:val="20"/>
                <w:szCs w:val="20"/>
                <w:color w:val="auto"/>
              </w:rPr>
            </w:pPr>
            <w:r>
              <w:rPr>
                <w:rFonts w:ascii="Arial" w:cs="Arial" w:eastAsia="Arial" w:hAnsi="Arial"/>
                <w:sz w:val="18"/>
                <w:szCs w:val="18"/>
                <w:color w:val="auto"/>
              </w:rPr>
              <w:t>Operations and maintenance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33333"/>
              </w:rPr>
              <w:t>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costs of operations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2"/>
        </w:trPr>
        <w:tc>
          <w:tcPr>
            <w:tcW w:w="352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Depreciation, amortization and</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333333"/>
              </w:rPr>
              <w:t>128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333333"/>
              </w:rPr>
              <w:t>256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520" w:type="dxa"/>
            <w:vAlign w:val="bottom"/>
            <w:gridSpan w:val="2"/>
          </w:tcPr>
          <w:p>
            <w:pPr>
              <w:ind w:left="140"/>
              <w:spacing w:after="0"/>
              <w:rPr>
                <w:sz w:val="20"/>
                <w:szCs w:val="20"/>
                <w:color w:val="auto"/>
              </w:rPr>
            </w:pPr>
            <w:r>
              <w:rPr>
                <w:rFonts w:ascii="Arial" w:cs="Arial" w:eastAsia="Arial" w:hAnsi="Arial"/>
                <w:sz w:val="18"/>
                <w:szCs w:val="18"/>
                <w:color w:val="auto"/>
              </w:rPr>
              <w:t>accretion</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20" w:type="dxa"/>
            <w:vAlign w:val="bottom"/>
            <w:gridSpan w:val="2"/>
          </w:tcPr>
          <w:p>
            <w:pPr>
              <w:ind w:left="54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33333"/>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Development costs</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20" w:type="dxa"/>
            <w:vAlign w:val="bottom"/>
            <w:gridSpan w:val="2"/>
          </w:tcPr>
          <w:p>
            <w:pPr>
              <w:ind w:left="62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33333"/>
              </w:rPr>
              <w:t>247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498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7"/>
        </w:trPr>
        <w:tc>
          <w:tcPr>
            <w:tcW w:w="31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133</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4"/>
        </w:trPr>
        <w:tc>
          <w:tcPr>
            <w:tcW w:w="3120" w:type="dxa"/>
            <w:vAlign w:val="bottom"/>
          </w:tcPr>
          <w:p>
            <w:pPr>
              <w:ind w:left="4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gridSpan w:val="2"/>
            <w:shd w:val="clear" w:color="auto" w:fill="CCEEFF"/>
          </w:tcPr>
          <w:p>
            <w:pPr>
              <w:ind w:left="540"/>
              <w:spacing w:after="0" w:line="172" w:lineRule="exact"/>
              <w:rPr>
                <w:sz w:val="20"/>
                <w:szCs w:val="20"/>
                <w:color w:val="auto"/>
              </w:rPr>
            </w:pPr>
            <w:r>
              <w:rPr>
                <w:rFonts w:ascii="Arial" w:cs="Arial" w:eastAsia="Arial" w:hAnsi="Arial"/>
                <w:sz w:val="18"/>
                <w:szCs w:val="18"/>
                <w:color w:val="auto"/>
              </w:rPr>
              <w:t>Equity in earnings of</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unconsolidated affiliates</w:t>
            </w: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520" w:type="dxa"/>
            <w:vAlign w:val="bottom"/>
            <w:gridSpan w:val="2"/>
          </w:tcPr>
          <w:p>
            <w:pPr>
              <w:ind w:left="540"/>
              <w:spacing w:after="0" w:line="172" w:lineRule="exact"/>
              <w:rPr>
                <w:sz w:val="20"/>
                <w:szCs w:val="20"/>
                <w:color w:val="auto"/>
              </w:rPr>
            </w:pPr>
            <w:r>
              <w:rPr>
                <w:rFonts w:ascii="Arial" w:cs="Arial" w:eastAsia="Arial" w:hAnsi="Arial"/>
                <w:sz w:val="18"/>
                <w:szCs w:val="18"/>
                <w:color w:val="auto"/>
              </w:rPr>
              <w:t>Gain on sale of unconsolidated</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333333"/>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vMerge w:val="restart"/>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520" w:type="dxa"/>
            <w:vAlign w:val="bottom"/>
            <w:gridSpan w:val="2"/>
          </w:tcPr>
          <w:p>
            <w:pPr>
              <w:ind w:left="14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gridSpan w:val="2"/>
          </w:tcPr>
          <w:p>
            <w:pPr>
              <w:ind w:left="54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33333"/>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33333"/>
              </w:rPr>
              <w:t>(42)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2"/>
        </w:trPr>
        <w:tc>
          <w:tcPr>
            <w:tcW w:w="3520" w:type="dxa"/>
            <w:vAlign w:val="bottom"/>
            <w:gridSpan w:val="2"/>
            <w:shd w:val="clear" w:color="auto" w:fill="CCEEFF"/>
          </w:tcPr>
          <w:p>
            <w:pPr>
              <w:ind w:left="540"/>
              <w:spacing w:after="0" w:line="172" w:lineRule="exact"/>
              <w:rPr>
                <w:sz w:val="20"/>
                <w:szCs w:val="20"/>
                <w:color w:val="auto"/>
              </w:rPr>
            </w:pPr>
            <w:r>
              <w:rPr>
                <w:rFonts w:ascii="Arial" w:cs="Arial" w:eastAsia="Arial" w:hAnsi="Arial"/>
                <w:sz w:val="18"/>
                <w:szCs w:val="18"/>
                <w:color w:val="auto"/>
              </w:rPr>
              <w:t>Derivative (expense) interest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(11)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interest expense</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(92)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(184)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3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Total other expense,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(94)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3120" w:type="dxa"/>
            <w:vAlign w:val="bottom"/>
          </w:tcPr>
          <w:p>
            <w:pPr>
              <w:ind w:left="440"/>
              <w:spacing w:after="0"/>
              <w:rPr>
                <w:sz w:val="20"/>
                <w:szCs w:val="20"/>
                <w:color w:val="auto"/>
              </w:rPr>
            </w:pPr>
            <w:r>
              <w:rPr>
                <w:rFonts w:ascii="Arial" w:cs="Arial" w:eastAsia="Arial" w:hAnsi="Arial"/>
                <w:sz w:val="18"/>
                <w:szCs w:val="18"/>
                <w:b w:val="1"/>
                <w:bCs w:val="1"/>
                <w:color w:val="auto"/>
                <w:w w:val="86"/>
              </w:rPr>
              <w:t>Income (Loss) Before Income Taxes</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39</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102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(57)</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(27)</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3120" w:type="dxa"/>
            <w:vAlign w:val="bottom"/>
          </w:tcPr>
          <w:p>
            <w:pPr>
              <w:ind w:left="44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32</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(44)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2"/>
        </w:trPr>
        <w:tc>
          <w:tcPr>
            <w:tcW w:w="3520" w:type="dxa"/>
            <w:vAlign w:val="bottom"/>
            <w:gridSpan w:val="2"/>
            <w:shd w:val="clear" w:color="auto" w:fill="CCEEFF"/>
          </w:tcPr>
          <w:p>
            <w:pPr>
              <w:ind w:left="520"/>
              <w:spacing w:after="0" w:line="172" w:lineRule="exact"/>
              <w:rPr>
                <w:sz w:val="20"/>
                <w:szCs w:val="20"/>
                <w:color w:val="auto"/>
              </w:rPr>
            </w:pPr>
            <w:r>
              <w:rPr>
                <w:rFonts w:ascii="Arial" w:cs="Arial" w:eastAsia="Arial" w:hAnsi="Arial"/>
                <w:sz w:val="18"/>
                <w:szCs w:val="18"/>
                <w:color w:val="auto"/>
              </w:rPr>
              <w:t>Less: (Loss) income attributable to</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8"/>
                <w:szCs w:val="18"/>
                <w:color w:val="auto"/>
              </w:rPr>
              <w:t>noncontrolling interests and redeemable</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333333"/>
              </w:rPr>
              <w:t>(82)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3120" w:type="dxa"/>
            <w:vAlign w:val="bottom"/>
          </w:tcPr>
          <w:p>
            <w:pPr>
              <w:ind w:left="20"/>
              <w:spacing w:after="0" w:line="152" w:lineRule="exact"/>
              <w:rPr>
                <w:sz w:val="20"/>
                <w:szCs w:val="20"/>
                <w:color w:val="auto"/>
              </w:rPr>
            </w:pPr>
            <w:r>
              <w:rPr>
                <w:rFonts w:ascii="Arial" w:cs="Arial" w:eastAsia="Arial" w:hAnsi="Arial"/>
                <w:sz w:val="16"/>
                <w:szCs w:val="16"/>
                <w:b w:val="1"/>
                <w:bCs w:val="1"/>
                <w:color w:val="auto"/>
              </w:rPr>
              <w:t>Net Income Attributable to Clearway</w:t>
            </w:r>
          </w:p>
        </w:tc>
        <w:tc>
          <w:tcPr>
            <w:tcW w:w="4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vMerge w:val="restart"/>
          </w:tcPr>
          <w:p>
            <w:pPr>
              <w:spacing w:after="0"/>
              <w:rPr>
                <w:sz w:val="13"/>
                <w:szCs w:val="13"/>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7"/>
        </w:trPr>
        <w:tc>
          <w:tcPr>
            <w:tcW w:w="3120" w:type="dxa"/>
            <w:vAlign w:val="bottom"/>
          </w:tcPr>
          <w:p>
            <w:pPr>
              <w:ind w:left="180"/>
              <w:spacing w:after="0" w:line="197" w:lineRule="exact"/>
              <w:rPr>
                <w:sz w:val="20"/>
                <w:szCs w:val="20"/>
                <w:color w:val="auto"/>
              </w:rPr>
            </w:pPr>
            <w:r>
              <w:rPr>
                <w:rFonts w:ascii="Arial" w:cs="Arial" w:eastAsia="Arial" w:hAnsi="Arial"/>
                <w:sz w:val="18"/>
                <w:szCs w:val="18"/>
                <w:b w:val="1"/>
                <w:bCs w:val="1"/>
                <w:color w:val="auto"/>
              </w:rPr>
              <w:t>Energy, Inc.</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9"/>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040" w:type="dxa"/>
            <w:vAlign w:val="bottom"/>
            <w:gridSpan w:val="7"/>
          </w:tcPr>
          <w:p>
            <w:pPr>
              <w:jc w:val="right"/>
              <w:ind w:right="273"/>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Business metrics:</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7"/>
        </w:trPr>
        <w:tc>
          <w:tcPr>
            <w:tcW w:w="3720" w:type="dxa"/>
            <w:vAlign w:val="bottom"/>
            <w:gridSpan w:val="3"/>
            <w:shd w:val="clear" w:color="auto" w:fill="CCEEFF"/>
          </w:tcPr>
          <w:p>
            <w:pPr>
              <w:ind w:left="20"/>
              <w:spacing w:after="0" w:line="218" w:lineRule="exact"/>
              <w:rPr>
                <w:sz w:val="20"/>
                <w:szCs w:val="20"/>
                <w:color w:val="auto"/>
              </w:rPr>
            </w:pPr>
            <w:r>
              <w:rPr>
                <w:rFonts w:ascii="Arial" w:cs="Arial" w:eastAsia="Arial" w:hAnsi="Arial"/>
                <w:sz w:val="18"/>
                <w:szCs w:val="18"/>
                <w:color w:val="auto"/>
                <w:w w:val="89"/>
              </w:rPr>
              <w:t xml:space="preserve">Renewables MWh generated/sold (in thousands) </w:t>
            </w:r>
            <w:r>
              <w:rPr>
                <w:rFonts w:ascii="Arial" w:cs="Arial" w:eastAsia="Arial" w:hAnsi="Arial"/>
                <w:sz w:val="22"/>
                <w:szCs w:val="22"/>
                <w:color w:val="auto"/>
                <w:w w:val="89"/>
                <w:vertAlign w:val="superscript"/>
              </w:rPr>
              <w:t>(a)</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Thermal MWt sold (in thousands)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4"/>
        </w:trPr>
        <w:tc>
          <w:tcPr>
            <w:tcW w:w="3520" w:type="dxa"/>
            <w:vAlign w:val="bottom"/>
            <w:gridSpan w:val="2"/>
          </w:tcPr>
          <w:p>
            <w:pPr>
              <w:ind w:left="20"/>
              <w:spacing w:after="0" w:line="224" w:lineRule="exact"/>
              <w:rPr>
                <w:sz w:val="20"/>
                <w:szCs w:val="20"/>
                <w:color w:val="auto"/>
              </w:rPr>
            </w:pPr>
            <w:r>
              <w:rPr>
                <w:rFonts w:ascii="Arial" w:cs="Arial" w:eastAsia="Arial" w:hAnsi="Arial"/>
                <w:sz w:val="18"/>
                <w:szCs w:val="18"/>
                <w:color w:val="auto"/>
                <w:w w:val="86"/>
              </w:rPr>
              <w:t xml:space="preserve">Conventional MWh generated (in thousands) </w:t>
            </w:r>
            <w:r>
              <w:rPr>
                <w:rFonts w:ascii="Arial" w:cs="Arial" w:eastAsia="Arial" w:hAnsi="Arial"/>
                <w:sz w:val="22"/>
                <w:szCs w:val="22"/>
                <w:color w:val="auto"/>
                <w:w w:val="86"/>
                <w:vertAlign w:val="superscript"/>
              </w:rPr>
              <w:t>(a) (b)</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21894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89480" cy="8255"/>
                    </a:xfrm>
                    <a:prstGeom prst="rect">
                      <a:avLst/>
                    </a:prstGeom>
                    <a:noFill/>
                  </pic:spPr>
                </pic:pic>
              </a:graphicData>
            </a:graphic>
          </wp:anchor>
        </w:drawing>
      </w:r>
    </w:p>
    <w:p>
      <w:pPr>
        <w:spacing w:after="0" w:line="211" w:lineRule="exact"/>
        <w:rPr>
          <w:sz w:val="20"/>
          <w:szCs w:val="20"/>
          <w:color w:val="auto"/>
        </w:rPr>
      </w:pPr>
    </w:p>
    <w:p>
      <w:pPr>
        <w:ind w:left="140" w:hanging="135"/>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Volumes do not include the MWh generated/sold by the Company's equity method investments.</w:t>
      </w:r>
    </w:p>
    <w:p>
      <w:pPr>
        <w:ind w:left="160" w:hanging="155"/>
        <w:spacing w:after="0" w:line="183" w:lineRule="auto"/>
        <w:tabs>
          <w:tab w:leader="none" w:pos="160" w:val="left"/>
        </w:tabs>
        <w:numPr>
          <w:ilvl w:val="0"/>
          <w:numId w:val="27"/>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7" w:name="page48"/>
    <w:bookmarkEnd w:id="47"/>
    <w:p>
      <w:pPr>
        <w:ind w:right="3200"/>
        <w:spacing w:after="0" w:line="423"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2021 and 2020 </w:t>
      </w:r>
      <w:r>
        <w:rPr>
          <w:rFonts w:ascii="Arial" w:cs="Arial" w:eastAsia="Arial" w:hAnsi="Arial"/>
          <w:sz w:val="18"/>
          <w:szCs w:val="18"/>
          <w:b w:val="1"/>
          <w:bCs w:val="1"/>
          <w:i w:val="1"/>
          <w:iCs w:val="1"/>
          <w:color w:val="auto"/>
        </w:rPr>
        <w:t>Adjusted Gross Margin</w:t>
      </w:r>
    </w:p>
    <w:p>
      <w:pPr>
        <w:ind w:right="60" w:firstLine="632"/>
        <w:spacing w:after="0" w:line="282" w:lineRule="auto"/>
        <w:rPr>
          <w:sz w:val="20"/>
          <w:szCs w:val="20"/>
          <w:color w:val="auto"/>
        </w:rPr>
      </w:pPr>
      <w:r>
        <w:rPr>
          <w:rFonts w:ascii="Arial" w:cs="Arial" w:eastAsia="Arial" w:hAnsi="Arial"/>
          <w:sz w:val="16"/>
          <w:szCs w:val="16"/>
          <w:color w:val="auto"/>
        </w:rPr>
        <w:t>In addition to total operating revenues, the Company evaluates its operating performance using the measure of Adjusted Gross Margin, which is not a GAAP measure and may not be comparable to other companies’ presentations or deemed more useful than the GAAP information provided elsewhere in this report. Adjusted Gross Margin is defined as total operating revenues, excluding contract amortization and mark-to-market for economic hedges, less cost of fuels. Adjusted Gross Margin should be viewed as a supplement to and not a substitute for the Company's presentation of total operating revenues, which is the most directly comparable GAAP measure. The Company believes that Adjusted Gross Margin is useful to investors as it is a key operational measure reviewed by the Company's chief operating decision maker. Cost of fuels is typically recovered through customer revenue contracts and therefore, Adjusted Gross Margin excludes any revenue effect of fluctuations in these expenses.</w:t>
      </w:r>
    </w:p>
    <w:p>
      <w:pPr>
        <w:spacing w:after="0" w:line="118" w:lineRule="exact"/>
        <w:rPr>
          <w:sz w:val="20"/>
          <w:szCs w:val="20"/>
          <w:color w:val="auto"/>
        </w:rPr>
      </w:pPr>
    </w:p>
    <w:p>
      <w:pPr>
        <w:ind w:right="360" w:firstLine="632"/>
        <w:spacing w:after="0" w:line="261" w:lineRule="auto"/>
        <w:rPr>
          <w:sz w:val="20"/>
          <w:szCs w:val="20"/>
          <w:color w:val="auto"/>
        </w:rPr>
      </w:pPr>
      <w:r>
        <w:rPr>
          <w:rFonts w:ascii="Arial" w:cs="Arial" w:eastAsia="Arial" w:hAnsi="Arial"/>
          <w:sz w:val="18"/>
          <w:szCs w:val="18"/>
          <w:color w:val="auto"/>
        </w:rPr>
        <w:t>The below tables present the composition of total operating revenues, as well as the reconciliation to Adjusted Gross Margin, for the three months ended June 30, 2021 and 2020:</w:t>
      </w: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Conventional</w:t>
            </w:r>
          </w:p>
        </w:tc>
        <w:tc>
          <w:tcPr>
            <w:tcW w:w="7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Renewables</w:t>
            </w:r>
          </w:p>
        </w:tc>
        <w:tc>
          <w:tcPr>
            <w:tcW w:w="82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Thermal</w:t>
            </w:r>
          </w:p>
        </w:tc>
        <w:tc>
          <w:tcPr>
            <w:tcW w:w="900" w:type="dxa"/>
            <w:vAlign w:val="bottom"/>
          </w:tcPr>
          <w:p>
            <w:pPr>
              <w:spacing w:after="0"/>
              <w:rPr>
                <w:sz w:val="14"/>
                <w:szCs w:val="14"/>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660" w:type="dxa"/>
            <w:vAlign w:val="bottom"/>
          </w:tcPr>
          <w:p>
            <w:pPr>
              <w:ind w:left="68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gridSpan w:val="3"/>
          </w:tcPr>
          <w:p>
            <w:pPr>
              <w:ind w:left="540"/>
              <w:spacing w:after="0"/>
              <w:rPr>
                <w:sz w:val="20"/>
                <w:szCs w:val="20"/>
                <w:color w:val="auto"/>
              </w:rPr>
            </w:pPr>
            <w:r>
              <w:rPr>
                <w:rFonts w:ascii="Arial" w:cs="Arial" w:eastAsia="Arial" w:hAnsi="Arial"/>
                <w:sz w:val="16"/>
                <w:szCs w:val="16"/>
                <w:b w:val="1"/>
                <w:bCs w:val="1"/>
                <w:color w:val="auto"/>
              </w:rPr>
              <w:t>Generation</w:t>
            </w:r>
          </w:p>
        </w:tc>
        <w:tc>
          <w:tcPr>
            <w:tcW w:w="7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660"/>
              <w:spacing w:after="0"/>
              <w:rPr>
                <w:sz w:val="20"/>
                <w:szCs w:val="20"/>
                <w:color w:val="auto"/>
              </w:rPr>
            </w:pPr>
            <w:r>
              <w:rPr>
                <w:rFonts w:ascii="Arial" w:cs="Arial" w:eastAsia="Arial" w:hAnsi="Arial"/>
                <w:sz w:val="18"/>
                <w:szCs w:val="18"/>
                <w:b w:val="1"/>
                <w:bCs w:val="1"/>
                <w:color w:val="auto"/>
                <w:w w:val="99"/>
              </w:rPr>
              <w:t>Three months ended June 30, 2021</w:t>
            </w:r>
          </w:p>
        </w:tc>
        <w:tc>
          <w:tcPr>
            <w:tcW w:w="7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3"/>
        </w:trPr>
        <w:tc>
          <w:tcPr>
            <w:tcW w:w="3660" w:type="dxa"/>
            <w:vAlign w:val="bottom"/>
          </w:tcPr>
          <w:p>
            <w:pPr>
              <w:ind w:left="660"/>
              <w:spacing w:after="0" w:line="203" w:lineRule="exact"/>
              <w:rPr>
                <w:sz w:val="20"/>
                <w:szCs w:val="20"/>
                <w:color w:val="auto"/>
              </w:rPr>
            </w:pPr>
            <w:r>
              <w:rPr>
                <w:rFonts w:ascii="Arial" w:cs="Arial" w:eastAsia="Arial" w:hAnsi="Arial"/>
                <w:sz w:val="18"/>
                <w:szCs w:val="18"/>
                <w:color w:val="auto"/>
              </w:rPr>
              <w:t>Less:</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Cost of fuels</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60" w:type="dxa"/>
            <w:vAlign w:val="bottom"/>
          </w:tcPr>
          <w:p>
            <w:pPr>
              <w:ind w:left="780"/>
              <w:spacing w:after="0"/>
              <w:rPr>
                <w:sz w:val="20"/>
                <w:szCs w:val="20"/>
                <w:color w:val="auto"/>
              </w:rPr>
            </w:pPr>
            <w:r>
              <w:rPr>
                <w:rFonts w:ascii="Arial" w:cs="Arial" w:eastAsia="Arial" w:hAnsi="Arial"/>
                <w:sz w:val="18"/>
                <w:szCs w:val="18"/>
                <w:color w:val="auto"/>
              </w:rPr>
              <w:t>Contract amortization</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rPr>
              <w:t>Mark-to-market economic hedging</w:t>
            </w:r>
          </w:p>
        </w:tc>
        <w:tc>
          <w:tcPr>
            <w:tcW w:w="7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7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660"/>
              <w:spacing w:after="0"/>
              <w:rPr>
                <w:sz w:val="20"/>
                <w:szCs w:val="20"/>
                <w:color w:val="auto"/>
              </w:rPr>
            </w:pPr>
            <w:r>
              <w:rPr>
                <w:rFonts w:ascii="Arial" w:cs="Arial" w:eastAsia="Arial" w:hAnsi="Arial"/>
                <w:sz w:val="18"/>
                <w:szCs w:val="18"/>
                <w:b w:val="1"/>
                <w:bCs w:val="1"/>
                <w:color w:val="auto"/>
              </w:rPr>
              <w:t>Adjusted Gross Margin</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99"/>
              </w:rPr>
              <w:t>Three months ended June 30, 2020</w:t>
            </w: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6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3660" w:type="dxa"/>
            <w:vAlign w:val="bottom"/>
          </w:tcPr>
          <w:p>
            <w:pPr>
              <w:ind w:left="660"/>
              <w:spacing w:after="0" w:line="203" w:lineRule="exact"/>
              <w:rPr>
                <w:sz w:val="20"/>
                <w:szCs w:val="20"/>
                <w:color w:val="auto"/>
              </w:rPr>
            </w:pPr>
            <w:r>
              <w:rPr>
                <w:rFonts w:ascii="Arial" w:cs="Arial" w:eastAsia="Arial" w:hAnsi="Arial"/>
                <w:sz w:val="18"/>
                <w:szCs w:val="18"/>
                <w:color w:val="auto"/>
              </w:rPr>
              <w:t>Less:</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Cost of fuels</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60" w:type="dxa"/>
            <w:vAlign w:val="bottom"/>
          </w:tcPr>
          <w:p>
            <w:pPr>
              <w:ind w:left="780"/>
              <w:spacing w:after="0"/>
              <w:rPr>
                <w:sz w:val="20"/>
                <w:szCs w:val="20"/>
                <w:color w:val="auto"/>
              </w:rPr>
            </w:pPr>
            <w:r>
              <w:rPr>
                <w:rFonts w:ascii="Arial" w:cs="Arial" w:eastAsia="Arial" w:hAnsi="Arial"/>
                <w:sz w:val="18"/>
                <w:szCs w:val="18"/>
                <w:color w:val="auto"/>
              </w:rPr>
              <w:t>Contract amortization</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5"/>
              </w:rPr>
              <w:t>Mark-to-market for economic hedging</w:t>
            </w:r>
          </w:p>
        </w:tc>
        <w:tc>
          <w:tcPr>
            <w:tcW w:w="7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7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660"/>
              <w:spacing w:after="0"/>
              <w:rPr>
                <w:sz w:val="20"/>
                <w:szCs w:val="20"/>
                <w:color w:val="auto"/>
              </w:rPr>
            </w:pPr>
            <w:r>
              <w:rPr>
                <w:rFonts w:ascii="Arial" w:cs="Arial" w:eastAsia="Arial" w:hAnsi="Arial"/>
                <w:sz w:val="18"/>
                <w:szCs w:val="18"/>
                <w:b w:val="1"/>
                <w:bCs w:val="1"/>
                <w:color w:val="auto"/>
              </w:rPr>
              <w:t>Adjusted Gross Margin</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Operating revenues increased by $51 million during the three months ended June 30, 2021, compared to the same period in 2020, due to a combination of the drivers summarized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Segment</w:t>
            </w:r>
          </w:p>
        </w:tc>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Renewables</w:t>
            </w:r>
          </w:p>
        </w:tc>
        <w:tc>
          <w:tcPr>
            <w:tcW w:w="846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w w:val="89"/>
              </w:rPr>
              <w:t>Increase due to higher wind production at Alta as well as the acquisitions of Agua Caliente, Mesquite Star, Rattlesnake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1"/>
        </w:trPr>
        <w:tc>
          <w:tcPr>
            <w:tcW w:w="1420" w:type="dxa"/>
            <w:vAlign w:val="bottom"/>
            <w:shd w:val="clear" w:color="auto" w:fill="CCEEFF"/>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Flat and Rosamond Central and consolidation of the DGPV investments</w:t>
            </w: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Thermal</w:t>
            </w:r>
          </w:p>
        </w:tc>
        <w:tc>
          <w:tcPr>
            <w:tcW w:w="8460" w:type="dxa"/>
            <w:vAlign w:val="bottom"/>
          </w:tcPr>
          <w:p>
            <w:pPr>
              <w:ind w:left="20"/>
              <w:spacing w:after="0"/>
              <w:rPr>
                <w:sz w:val="20"/>
                <w:szCs w:val="20"/>
                <w:color w:val="auto"/>
              </w:rPr>
            </w:pPr>
            <w:r>
              <w:rPr>
                <w:rFonts w:ascii="Arial" w:cs="Arial" w:eastAsia="Arial" w:hAnsi="Arial"/>
                <w:sz w:val="18"/>
                <w:szCs w:val="18"/>
                <w:color w:val="auto"/>
              </w:rPr>
              <w:t>Increase primarily driven by higher volumes and higher gas prices passed through to customers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2"/>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8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Increase primarily due to an increase in start revenue at Marsh Landing and improved availability at the California</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420" w:type="dxa"/>
            <w:vAlign w:val="bottom"/>
            <w:vMerge w:val="continue"/>
            <w:shd w:val="clear" w:color="auto" w:fill="CCEEFF"/>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Operations and maintenance expense increased by $15 million during the three months ended June 30, 2021, compared to the same period in 2020, primarily due to the acquisition of solar and wind projects during the second half of 2020 and first half of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6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Depreciation, amortization and accretion expense increased by $29 million during the three months ended June 30, 2021, compared to the same period in 2020, primarily due to a $30 million increase in the Renewables segment. The increase in the Renewables segment related to a $7 million increase related to the consolidation of the DGPV investments and a $14 million increase related to the acquisition of Aqua Caliente and Rattlesnake in the first quarter of 2021 and wind facilities acquired in the second half of 2020. In addition, approximately $9 million of accelerated depreciation was recorded in the second quarter of 2021 related to the repowering of the Pinnacle wind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Equity in earnings of unconsolidated affiliates decreased by $8 million during the three months ended June 30, 2021, compared to the same period in 2020, primarily due to the consolidation of the DGPV investments on November 2, 2020, the acquisition of the additional interest and consolidation of Agua Caliente in February 2021 and the sale of the interests in RPV Holdco 1 LLC in May 2020, which had earnings in the second quarter of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 Note 3, </w:t>
      </w:r>
      <w:r>
        <w:rPr>
          <w:rFonts w:ascii="Arial" w:cs="Arial" w:eastAsia="Arial" w:hAnsi="Arial"/>
          <w:sz w:val="18"/>
          <w:szCs w:val="18"/>
          <w:i w:val="1"/>
          <w:iCs w:val="1"/>
          <w:color w:val="auto"/>
        </w:rPr>
        <w:t>Acquisitions and Dispositions.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increased by $10 million during the three months ended June 30, 2021, compared to the same period in 2020, due to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52"/>
        </w:trPr>
        <w:tc>
          <w:tcPr>
            <w:tcW w:w="9620" w:type="dxa"/>
            <w:vAlign w:val="bottom"/>
          </w:tcPr>
          <w:p>
            <w:pPr>
              <w:ind w:left="20"/>
              <w:spacing w:after="0" w:line="152" w:lineRule="exact"/>
              <w:rPr>
                <w:sz w:val="20"/>
                <w:szCs w:val="20"/>
                <w:color w:val="auto"/>
              </w:rPr>
            </w:pPr>
            <w:r>
              <w:rPr>
                <w:rFonts w:ascii="Arial" w:cs="Arial" w:eastAsia="Arial" w:hAnsi="Arial"/>
                <w:sz w:val="16"/>
                <w:szCs w:val="16"/>
                <w:color w:val="auto"/>
              </w:rPr>
              <w:t>Increase in interest expense due to increased principal balances of project level debt primarily due to acquisitions in the Renewables</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620" w:type="dxa"/>
            <w:vAlign w:val="bottom"/>
          </w:tcPr>
          <w:p>
            <w:pPr>
              <w:ind w:left="20"/>
              <w:spacing w:after="0"/>
              <w:rPr>
                <w:sz w:val="20"/>
                <w:szCs w:val="20"/>
                <w:color w:val="auto"/>
              </w:rPr>
            </w:pPr>
            <w:r>
              <w:rPr>
                <w:rFonts w:ascii="Arial" w:cs="Arial" w:eastAsia="Arial" w:hAnsi="Arial"/>
                <w:sz w:val="18"/>
                <w:szCs w:val="18"/>
                <w:color w:val="auto"/>
                <w:w w:val="91"/>
              </w:rPr>
              <w:t>segment, partially offset by lower interest expense in the Conventional segment due to lower principal balances of debt outstanding</w:t>
            </w:r>
          </w:p>
        </w:tc>
        <w:tc>
          <w:tcPr>
            <w:tcW w:w="2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96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Increase in Corporate interest expense due to additional issuance of the 2028 Senior Notes in May 2020, partially offset by lower</w:t>
            </w:r>
          </w:p>
        </w:tc>
        <w:tc>
          <w:tcPr>
            <w:tcW w:w="2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revolver borrowings</w:t>
            </w:r>
          </w:p>
        </w:tc>
        <w:tc>
          <w:tcPr>
            <w:tcW w:w="2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9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three months ended June 30, 2021, the Company recorded an income tax expense of $7 million on pretax income of $39 million. For the same period in 2020, the Company recorded an income tax expense of $26 million on pretax income of $102 million.</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three months ended June 30, 2021 and 2020, the overall effective tax rate was different than the statutory rate of 21% primarily due to taxable earnings and losses allocated to partners' interests in Clearway Energy LLC, which includes the effects of applying the HLBV method of accounting for book purposes for certain partnerships.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(Loss) Income Attributable to Noncontrolling Interests and Redeemable Interests</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For the three months ended June 30, 2021, the Company had a loss of $3 million attributable to noncontrolling interests and redeemable interests comprised of the following:</w:t>
      </w:r>
    </w:p>
    <w:p>
      <w:pPr>
        <w:sectPr>
          <w:pgSz w:w="11900" w:h="16838" w:orient="portrait"/>
          <w:cols w:equalWidth="0" w:num="1">
            <w:col w:w="11240"/>
          </w:cols>
          <w:pgMar w:left="320" w:top="877" w:right="339" w:bottom="1440" w:gutter="0" w:footer="0" w:header="0"/>
        </w:sectPr>
      </w:pPr>
    </w:p>
    <w:p>
      <w:pPr>
        <w:spacing w:after="0" w:line="366" w:lineRule="exact"/>
        <w:rPr>
          <w:sz w:val="20"/>
          <w:szCs w:val="20"/>
          <w:color w:val="auto"/>
        </w:rPr>
      </w:pPr>
    </w:p>
    <w:p>
      <w:pPr>
        <w:ind w:left="20" w:right="1480"/>
        <w:spacing w:after="0" w:line="259" w:lineRule="auto"/>
        <w:rPr>
          <w:sz w:val="20"/>
          <w:szCs w:val="20"/>
          <w:color w:val="auto"/>
        </w:rPr>
      </w:pPr>
      <w:r>
        <w:rPr>
          <w:rFonts w:ascii="Arial" w:cs="Arial" w:eastAsia="Arial" w:hAnsi="Arial"/>
          <w:sz w:val="18"/>
          <w:szCs w:val="18"/>
          <w:color w:val="auto"/>
        </w:rPr>
        <w:t>Losses attributable to tax equity financing arrangements and the application of the HLBV method 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135495" cy="150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35495" cy="2508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ind w:left="20"/>
        <w:spacing w:after="0" w:line="228" w:lineRule="auto"/>
        <w:rPr>
          <w:sz w:val="20"/>
          <w:szCs w:val="20"/>
          <w:color w:val="auto"/>
        </w:rPr>
      </w:pPr>
      <w:r>
        <w:rPr>
          <w:rFonts w:ascii="Arial" w:cs="Arial" w:eastAsia="Arial" w:hAnsi="Arial"/>
          <w:sz w:val="18"/>
          <w:szCs w:val="18"/>
          <w:color w:val="auto"/>
        </w:rPr>
        <w:t>Net income attributable to third party investors in Lighthouse Renewable Holdco LLC, Agua Caliente, Rosie TargetCo LLC and Kawailoa Renewables, LLC partnerships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(In millions)</w:t>
            </w:r>
          </w:p>
        </w:tc>
      </w:tr>
      <w:tr>
        <w:trPr>
          <w:trHeight w:val="222"/>
        </w:trPr>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5"/>
        </w:trPr>
        <w:tc>
          <w:tcPr>
            <w:tcW w:w="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440"/>
            <w:col w:w="2440"/>
          </w:cols>
          <w:pgMar w:left="320" w:top="877" w:right="339" w:bottom="1440" w:gutter="0" w:footer="0" w:header="0"/>
          <w:type w:val="continuous"/>
        </w:sectPr>
      </w:pPr>
    </w:p>
    <w:p>
      <w:pPr>
        <w:spacing w:after="0" w:line="3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For the three months ended June 30, 2020, the Company had income of $29 million attributable to noncontrolling interests and redeemable interests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(In millions)</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Income attributable to CEG's interest in the Kawailoa, Oahu and Repowering partnerships</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 party investor in Kawailoa Renewables, LLC</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2"/>
        </w:trPr>
        <w:tc>
          <w:tcPr>
            <w:tcW w:w="8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0" w:name="page51"/>
    <w:bookmarkEnd w:id="50"/>
    <w:p>
      <w:pPr>
        <w:ind w:right="3420"/>
        <w:spacing w:after="0" w:line="423" w:lineRule="auto"/>
        <w:rPr>
          <w:sz w:val="20"/>
          <w:szCs w:val="20"/>
          <w:color w:val="auto"/>
        </w:rPr>
      </w:pPr>
      <w:r>
        <w:rPr>
          <w:rFonts w:ascii="Arial" w:cs="Arial" w:eastAsia="Arial" w:hAnsi="Arial"/>
          <w:sz w:val="18"/>
          <w:szCs w:val="18"/>
          <w:b w:val="1"/>
          <w:bCs w:val="1"/>
          <w:color w:val="auto"/>
        </w:rPr>
        <w:t xml:space="preserve">Management’s Discussion of the Results of Operations for the Six Months Ended June 30, 2021 and 2020 </w:t>
      </w:r>
      <w:r>
        <w:rPr>
          <w:rFonts w:ascii="Arial" w:cs="Arial" w:eastAsia="Arial" w:hAnsi="Arial"/>
          <w:sz w:val="18"/>
          <w:szCs w:val="18"/>
          <w:b w:val="1"/>
          <w:bCs w:val="1"/>
          <w:i w:val="1"/>
          <w:iCs w:val="1"/>
          <w:color w:val="auto"/>
        </w:rPr>
        <w:t>Adjusted Gross Margin</w:t>
      </w:r>
    </w:p>
    <w:p>
      <w:pPr>
        <w:ind w:right="60" w:firstLine="632"/>
        <w:spacing w:after="0" w:line="282" w:lineRule="auto"/>
        <w:rPr>
          <w:sz w:val="20"/>
          <w:szCs w:val="20"/>
          <w:color w:val="auto"/>
        </w:rPr>
      </w:pPr>
      <w:r>
        <w:rPr>
          <w:rFonts w:ascii="Arial" w:cs="Arial" w:eastAsia="Arial" w:hAnsi="Arial"/>
          <w:sz w:val="16"/>
          <w:szCs w:val="16"/>
          <w:color w:val="auto"/>
        </w:rPr>
        <w:t>In addition to total operating revenues, the Company evaluates its operating performance using the measure of Adjusted Gross Margin, which is not a GAAP measure and may not be comparable to other companies’ presentations or deemed more useful than the GAAP information provided elsewhere in this report. Adjusted Gross Margin is defined as total operating revenues, excluding contract amortization and mark-to-market for economic hedges, less cost of fuels. Adjusted Gross Margin should be viewed as a supplement to and not a substitute for the Company's presentation of total operating revenues, which is the most directly comparable GAAP measure. The Company believes that Adjusted Gross Margin is useful to investors as it is a key operational measure reviewed by the Company's chief operating decision maker. Cost of fuels is typically recovered through customer revenue contracts and therefore, Adjusted Gross Margin excludes any revenue effect of fluctuations in these expenses.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tables present the composition of total operating revenues, as well as the reconciliation to Adjusted Gross Margin,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Conventional</w:t>
            </w:r>
          </w:p>
        </w:tc>
        <w:tc>
          <w:tcPr>
            <w:tcW w:w="5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6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68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Generation</w:t>
            </w:r>
          </w:p>
        </w:tc>
        <w:tc>
          <w:tcPr>
            <w:tcW w:w="5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Six months ended June 30, 2021</w:t>
            </w:r>
          </w:p>
        </w:tc>
        <w:tc>
          <w:tcPr>
            <w:tcW w:w="5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revenues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440"/>
              <w:spacing w:after="0" w:line="203" w:lineRule="exact"/>
              <w:rPr>
                <w:sz w:val="20"/>
                <w:szCs w:val="20"/>
                <w:color w:val="auto"/>
              </w:rPr>
            </w:pPr>
            <w:r>
              <w:rPr>
                <w:rFonts w:ascii="Arial" w:cs="Arial" w:eastAsia="Arial" w:hAnsi="Arial"/>
                <w:sz w:val="18"/>
                <w:szCs w:val="18"/>
                <w:color w:val="auto"/>
              </w:rPr>
              <w:t>Less:</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 of fuels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540"/>
              <w:spacing w:after="0"/>
              <w:rPr>
                <w:sz w:val="20"/>
                <w:szCs w:val="20"/>
                <w:color w:val="auto"/>
              </w:rPr>
            </w:pPr>
            <w:r>
              <w:rPr>
                <w:rFonts w:ascii="Arial" w:cs="Arial" w:eastAsia="Arial" w:hAnsi="Arial"/>
                <w:sz w:val="18"/>
                <w:szCs w:val="18"/>
                <w:color w:val="auto"/>
              </w:rPr>
              <w:t>Contract amortization</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Mark-to-market for economic hedges</w:t>
            </w: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Adjusted Gross Margin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Six months ended June 30, 2020</w:t>
            </w: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revenues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440"/>
              <w:spacing w:after="0" w:line="203" w:lineRule="exact"/>
              <w:rPr>
                <w:sz w:val="20"/>
                <w:szCs w:val="20"/>
                <w:color w:val="auto"/>
              </w:rPr>
            </w:pPr>
            <w:r>
              <w:rPr>
                <w:rFonts w:ascii="Arial" w:cs="Arial" w:eastAsia="Arial" w:hAnsi="Arial"/>
                <w:sz w:val="18"/>
                <w:szCs w:val="18"/>
                <w:color w:val="auto"/>
              </w:rPr>
              <w:t>Less:</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 of fuels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540"/>
              <w:spacing w:after="0"/>
              <w:rPr>
                <w:sz w:val="20"/>
                <w:szCs w:val="20"/>
                <w:color w:val="auto"/>
              </w:rPr>
            </w:pPr>
            <w:r>
              <w:rPr>
                <w:rFonts w:ascii="Arial" w:cs="Arial" w:eastAsia="Arial" w:hAnsi="Arial"/>
                <w:sz w:val="18"/>
                <w:szCs w:val="18"/>
                <w:color w:val="auto"/>
              </w:rPr>
              <w:t>Contract amortization</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Mark-to-market for economic hedging activities</w:t>
            </w: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Adjusted Gross Margin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4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231F20"/>
              </w:rPr>
              <w:t>51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Operating revenues increased by $30 million during the six months ended June 30, 2021, compared to the same period in 2020, due to a combination of the drivers summarized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Segment</w:t>
            </w:r>
          </w:p>
        </w:tc>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Renewables</w:t>
            </w:r>
          </w:p>
        </w:tc>
        <w:tc>
          <w:tcPr>
            <w:tcW w:w="846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w w:val="89"/>
              </w:rPr>
              <w:t>Increase due to higher wind production at Alta as well as the acquisitions of Agua Caliente, Mesquite Star, Rattlesnake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spacing w:after="0"/>
              <w:rPr>
                <w:sz w:val="13"/>
                <w:szCs w:val="13"/>
                <w:color w:val="auto"/>
              </w:rPr>
            </w:pPr>
          </w:p>
        </w:tc>
        <w:tc>
          <w:tcPr>
            <w:tcW w:w="84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w w:val="95"/>
              </w:rPr>
              <w:t>Flat and Rosamond Central, and the consolidation of the DGPV investments, offset in part by $50 million of net</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420" w:type="dxa"/>
            <w:vAlign w:val="bottom"/>
            <w:shd w:val="clear" w:color="auto" w:fill="CCEEFF"/>
          </w:tcPr>
          <w:p>
            <w:pPr>
              <w:spacing w:after="0"/>
              <w:rPr>
                <w:sz w:val="14"/>
                <w:szCs w:val="14"/>
                <w:color w:val="auto"/>
              </w:rPr>
            </w:pPr>
          </w:p>
        </w:tc>
        <w:tc>
          <w:tcPr>
            <w:tcW w:w="846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1"/>
              </w:rPr>
              <w:t>settlements of obligations for wind facilities that were unable to produce the required output during extreme weather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1420" w:type="dxa"/>
            <w:vAlign w:val="bottom"/>
            <w:shd w:val="clear" w:color="auto" w:fill="CCEEFF"/>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conditions in Texas in February 2021</w:t>
            </w: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Thermal</w:t>
            </w:r>
          </w:p>
        </w:tc>
        <w:tc>
          <w:tcPr>
            <w:tcW w:w="8460" w:type="dxa"/>
            <w:vAlign w:val="bottom"/>
          </w:tcPr>
          <w:p>
            <w:pPr>
              <w:ind w:left="20"/>
              <w:spacing w:after="0"/>
              <w:rPr>
                <w:sz w:val="20"/>
                <w:szCs w:val="20"/>
                <w:color w:val="auto"/>
              </w:rPr>
            </w:pPr>
            <w:r>
              <w:rPr>
                <w:rFonts w:ascii="Arial" w:cs="Arial" w:eastAsia="Arial" w:hAnsi="Arial"/>
                <w:sz w:val="18"/>
                <w:szCs w:val="18"/>
                <w:color w:val="auto"/>
              </w:rPr>
              <w:t>Increase primarily driven by higher volumes and higher gas prices passed through to customers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2"/>
        </w:trPr>
        <w:tc>
          <w:tcPr>
            <w:tcW w:w="14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Conventional</w:t>
            </w:r>
          </w:p>
        </w:tc>
        <w:tc>
          <w:tcPr>
            <w:tcW w:w="84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3"/>
              </w:rPr>
              <w:t>Increase primarily due to an increase in start revenue at Marsh Landing and improved availability at the California</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420" w:type="dxa"/>
            <w:vAlign w:val="bottom"/>
            <w:shd w:val="clear" w:color="auto" w:fill="CCEEFF"/>
          </w:tcPr>
          <w:p>
            <w:pPr>
              <w:spacing w:after="0"/>
              <w:rPr>
                <w:sz w:val="19"/>
                <w:szCs w:val="19"/>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Operations and maintenance expense increased by $27 million during the six months ended June 30, 2021, compared to the same period in 2020, primarily due to the acquisition of solar and wind projects during the second half of 2020 and first half of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6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Depreciation, amortization and accretion expense increased by $55 million during the six months ended June 30, 2021, compared to the same period in 2020, primarily due to a $54 million increase in the Renewables segment. The increase in the Renewables segment related to a $15 million increase due to the consolidation of the DGPV investments in 2020 and a $26 million increase related to the acquisition of Aqua Caliente and Rattlesnake in the first quarter of 2021 and wind facilities acquired in the second half of 2020. In addition, approximately $18 million of accelerated depreciation was recorded in 2021 related to the repowering of the Pinnacle wind facility partially offset by accelerated depreciation of $5 million recorded in the first half of 2020 for the repowering of the Wildorado wind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Equity in earnings of unconsolidated affiliates increased by $9 million during the six months ended June 30, 2021, compared to the same period in 2020, primarily driven by increased earnings from Desert Sunlight in 2021 and consolidation of the DGPV investments on November 2, 2020, which had losses in 2020 partially offset by acquisition of additional interest and consolidation of Agua Caliente in February 2021 and sale of the interests in RPV Holdco 1 LLC in May 2020, which had earnings in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6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Loss on debt extinguishment increased by $39 million during the six months ended June 30, 2021, compared to the same period in 2020, primarily driven by the write-off of previously deferred finance costs and payment of premiums related to the redemption of the 2025 Senior Notes in 2021.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Interest expense decreased by $112 million during the six months ended June 30, 2021, compared to the same period in 2020, primarily due to the following:</w:t>
      </w:r>
    </w:p>
    <w:p>
      <w:pPr>
        <w:sectPr>
          <w:pgSz w:w="11900" w:h="16838" w:orient="portrait"/>
          <w:cols w:equalWidth="0" w:num="1">
            <w:col w:w="11240"/>
          </w:cols>
          <w:pgMar w:left="320" w:top="877" w:right="339" w:bottom="1440" w:gutter="0" w:footer="0" w:header="0"/>
        </w:sectPr>
      </w:pPr>
    </w:p>
    <w:p>
      <w:pPr>
        <w:spacing w:after="0" w:line="195" w:lineRule="exact"/>
        <w:rPr>
          <w:sz w:val="20"/>
          <w:szCs w:val="20"/>
          <w:color w:val="auto"/>
        </w:rPr>
      </w:pPr>
    </w:p>
    <w:p>
      <w:pPr>
        <w:ind w:left="20"/>
        <w:spacing w:after="0" w:line="228" w:lineRule="auto"/>
        <w:rPr>
          <w:sz w:val="20"/>
          <w:szCs w:val="20"/>
          <w:color w:val="auto"/>
        </w:rPr>
      </w:pPr>
      <w:r>
        <w:rPr>
          <w:rFonts w:ascii="Arial" w:cs="Arial" w:eastAsia="Arial" w:hAnsi="Arial"/>
          <w:sz w:val="18"/>
          <w:szCs w:val="18"/>
          <w:color w:val="auto"/>
        </w:rPr>
        <w:t>Change in fair value of interest rate swaps due to an increase in forward rates in 2021 as compared to a decrease in rates during March 2020 at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5495" cy="250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ind w:left="20" w:right="140"/>
        <w:spacing w:after="0" w:line="274" w:lineRule="auto"/>
        <w:rPr>
          <w:sz w:val="20"/>
          <w:szCs w:val="20"/>
          <w:color w:val="auto"/>
        </w:rPr>
      </w:pPr>
      <w:r>
        <w:rPr>
          <w:rFonts w:ascii="Arial" w:cs="Arial" w:eastAsia="Arial" w:hAnsi="Arial"/>
          <w:sz w:val="15"/>
          <w:szCs w:val="15"/>
          <w:color w:val="auto"/>
        </w:rPr>
        <w:t>Increase in interest expense due to increased principal balances of project level debt primarily due to acquisitions in the Renewables segment, partially offset by lower interest expense in the Conventional segment due to lower principal balances of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5495" cy="2508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ind w:left="20" w:right="360"/>
        <w:spacing w:after="0" w:line="228" w:lineRule="auto"/>
        <w:rPr>
          <w:sz w:val="20"/>
          <w:szCs w:val="20"/>
          <w:color w:val="auto"/>
        </w:rPr>
      </w:pPr>
      <w:r>
        <w:rPr>
          <w:rFonts w:ascii="Arial" w:cs="Arial" w:eastAsia="Arial" w:hAnsi="Arial"/>
          <w:sz w:val="18"/>
          <w:szCs w:val="18"/>
          <w:color w:val="auto"/>
        </w:rPr>
        <w:t>Increase in Corporate interest expense due to additional issuance of the 2028 Senior Notes in May 2020, partially offset by lower interest expense related to revolver borrowings</w:t>
      </w:r>
    </w:p>
    <w:p>
      <w:pPr>
        <w:spacing w:after="0" w:line="20" w:lineRule="exact"/>
        <w:rPr>
          <w:sz w:val="20"/>
          <w:szCs w:val="20"/>
          <w:color w:val="auto"/>
        </w:rPr>
      </w:pPr>
      <w:r>
        <w:rPr>
          <w:sz w:val="20"/>
          <w:szCs w:val="20"/>
          <w:color w:val="auto"/>
        </w:rPr>
        <w:br w:type="column"/>
      </w:r>
    </w:p>
    <w:p>
      <w:pPr>
        <w:ind w:left="431"/>
        <w:spacing w:after="0"/>
        <w:rPr>
          <w:sz w:val="20"/>
          <w:szCs w:val="20"/>
          <w:color w:val="auto"/>
        </w:rPr>
      </w:pPr>
      <w:r>
        <w:rPr>
          <w:rFonts w:ascii="Arial" w:cs="Arial" w:eastAsia="Arial" w:hAnsi="Arial"/>
          <w:sz w:val="14"/>
          <w:szCs w:val="14"/>
          <w:b w:val="1"/>
          <w:bCs w:val="1"/>
          <w:color w:val="auto"/>
        </w:rPr>
        <w:t>(In millions)</w:t>
      </w:r>
    </w:p>
    <w:p>
      <w:pPr>
        <w:spacing w:after="0" w:line="204" w:lineRule="exact"/>
        <w:rPr>
          <w:sz w:val="20"/>
          <w:szCs w:val="20"/>
          <w:color w:val="auto"/>
        </w:rPr>
      </w:pPr>
    </w:p>
    <w:p>
      <w:pPr>
        <w:ind w:left="1211" w:hanging="1211"/>
        <w:spacing w:after="0"/>
        <w:tabs>
          <w:tab w:leader="none" w:pos="12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(128)</w:t>
      </w:r>
    </w:p>
    <w:p>
      <w:pPr>
        <w:spacing w:after="0" w:line="210" w:lineRule="exact"/>
        <w:rPr>
          <w:rFonts w:ascii="Arial" w:cs="Arial" w:eastAsia="Arial" w:hAnsi="Arial"/>
          <w:sz w:val="16"/>
          <w:szCs w:val="16"/>
          <w:color w:val="auto"/>
        </w:rPr>
      </w:pPr>
    </w:p>
    <w:p>
      <w:pPr>
        <w:ind w:left="1371"/>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188" w:lineRule="exact"/>
        <w:rPr>
          <w:sz w:val="20"/>
          <w:szCs w:val="20"/>
          <w:color w:val="auto"/>
        </w:rPr>
      </w:pPr>
    </w:p>
    <w:p>
      <w:pPr>
        <w:ind w:left="14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1036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10" w:lineRule="exact"/>
        <w:rPr>
          <w:sz w:val="20"/>
          <w:szCs w:val="20"/>
          <w:color w:val="auto"/>
        </w:rPr>
      </w:pPr>
    </w:p>
    <w:p>
      <w:pPr>
        <w:ind w:left="1211" w:hanging="1211"/>
        <w:spacing w:after="0"/>
        <w:tabs>
          <w:tab w:leader="none" w:pos="12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36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363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036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189"/>
            <w:col w:w="1611"/>
          </w:cols>
          <w:pgMar w:left="320" w:top="877"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six months ended June 30, 2021, the Company recorded an income tax benefit of $13 million on a pretax loss of $57 million. For the same period in 2020, the Company recorded an income tax expense of $4 million on a pretax loss of $27 million.</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six months ended June 30, 2021 and June 30, 2020, the overall effective tax rate was different than the statutory rate of 21% primarily due to the taxable earnings and losses allocated to the partners' interest in Clearway Energy LLC, which includes the effects of applying HLBV method of accounting for book purposes for certain partnerships.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six months ended June 30, 2021, the Company had a loss of $82 million attributable to noncontrolling interests and redeemable interests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(In millions)</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Losses attributable to third party investor in Lighthouse Renewable Holdco LLC</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Income attributable to third party investor in Agua Caliente</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 party investor in Rosie TargetCo LLC</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third party investor in Kawailoa Renewables, LLC</w:t>
            </w: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2"/>
        </w:trPr>
        <w:tc>
          <w:tcPr>
            <w:tcW w:w="8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six months ended June 30, 2020, the Company had a loss of $49 million attributable to noncontrolling interests and redeemable interests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CEG's interest in the Kawailoa, Oahu and Repowering partnerships</w:t>
            </w:r>
          </w:p>
        </w:tc>
        <w:tc>
          <w:tcPr>
            <w:tcW w:w="4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800" w:type="dxa"/>
            <w:vAlign w:val="bottom"/>
            <w:vMerge w:val="restart"/>
          </w:tcPr>
          <w:p>
            <w:pPr>
              <w:jc w:val="right"/>
              <w:ind w:right="2992"/>
              <w:spacing w:after="0"/>
              <w:rPr>
                <w:sz w:val="20"/>
                <w:szCs w:val="20"/>
                <w:color w:val="auto"/>
              </w:rPr>
            </w:pPr>
            <w:r>
              <w:rPr>
                <w:rFonts w:ascii="Arial" w:cs="Arial" w:eastAsia="Arial" w:hAnsi="Arial"/>
                <w:sz w:val="18"/>
                <w:szCs w:val="18"/>
                <w:color w:val="231F20"/>
              </w:rPr>
              <w:t>53</w:t>
            </w: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6"/>
        </w:trPr>
        <w:tc>
          <w:tcPr>
            <w:tcW w:w="88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$810 million and $894 million, respectively, comprised of cash, restricted cash and availability under the Company's revolving credit facility.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6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December 31, 2020</w:t>
            </w:r>
          </w:p>
        </w:tc>
      </w:tr>
      <w:tr>
        <w:trPr>
          <w:trHeight w:val="20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4"/>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4"/>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7"/>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2"/>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231F20"/>
        </w:rPr>
        <w:t xml:space="preserve">The Company's liquidity includes $332 million and $197 million of restricted cash balances as of June 30, 2021 and December 31, 2020,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2021, these restricted funds were comprised of $131 million designated to fund operating expenses, approximately</w:t>
      </w:r>
      <w:r>
        <w:rPr>
          <w:rFonts w:ascii="Arial" w:cs="Arial" w:eastAsia="Arial" w:hAnsi="Arial"/>
          <w:sz w:val="16"/>
          <w:szCs w:val="16"/>
          <w:color w:val="231F20"/>
        </w:rPr>
        <w:t xml:space="preserve"> </w:t>
      </w:r>
      <w:r>
        <w:rPr>
          <w:rFonts w:ascii="Arial" w:cs="Arial" w:eastAsia="Arial" w:hAnsi="Arial"/>
          <w:sz w:val="16"/>
          <w:szCs w:val="16"/>
          <w:color w:val="000000"/>
        </w:rPr>
        <w:t>$38 million designated for current debt service payments, and $130 million restricted for reserves including debt service, performance obligations and other reserves, as well as capital expenditures. The remaining $33 million is held in distribution reserve accounts.</w:t>
      </w:r>
    </w:p>
    <w:p>
      <w:pPr>
        <w:spacing w:after="0" w:line="11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As of June 30, 2021, the Company had $67 million of borrowings under the revolving credit facility and $88 million in letters of credit outstanding. During the six months ended June 30, 2021, the Company borrowed $300 million under the revolving credit facility, and subsequently repaid $233 million utilizing cash on hand and the proceeds from the issuance of the 2031 Senior Notes. During July 2021, the company repaid the outstanding $67 million balance under the revolving credit facility and as of July 31, 2021, the Company had no loans outstanding under the revolving credit facility and a total of $75 million in letters of credit outstanding.</w:t>
      </w:r>
    </w:p>
    <w:p>
      <w:pPr>
        <w:spacing w:after="0" w:line="14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54" w:name="page55"/>
    <w:bookmarkEnd w:id="54"/>
    <w:p>
      <w:pPr>
        <w:ind w:left="40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4140" w:type="dxa"/>
            <w:vAlign w:val="bottom"/>
          </w:tcPr>
          <w:p>
            <w:pPr>
              <w:ind w:left="3240"/>
              <w:spacing w:after="0"/>
              <w:rPr>
                <w:sz w:val="20"/>
                <w:szCs w:val="20"/>
                <w:color w:val="auto"/>
              </w:rPr>
            </w:pPr>
            <w:r>
              <w:rPr>
                <w:rFonts w:ascii="Arial" w:cs="Arial" w:eastAsia="Arial" w:hAnsi="Arial"/>
                <w:sz w:val="14"/>
                <w:szCs w:val="14"/>
                <w:b w:val="1"/>
                <w:bCs w:val="1"/>
                <w:color w:val="auto"/>
              </w:rPr>
              <w:t>S&amp;P</w:t>
            </w:r>
          </w:p>
        </w:tc>
        <w:tc>
          <w:tcPr>
            <w:tcW w:w="1600" w:type="dxa"/>
            <w:vAlign w:val="bottom"/>
          </w:tcPr>
          <w:p>
            <w:pPr>
              <w:jc w:val="center"/>
              <w:ind w:left="16"/>
              <w:spacing w:after="0"/>
              <w:rPr>
                <w:sz w:val="20"/>
                <w:szCs w:val="20"/>
                <w:color w:val="auto"/>
              </w:rPr>
            </w:pPr>
            <w:r>
              <w:rPr>
                <w:rFonts w:ascii="Arial" w:cs="Arial" w:eastAsia="Arial" w:hAnsi="Arial"/>
                <w:sz w:val="14"/>
                <w:szCs w:val="14"/>
                <w:b w:val="1"/>
                <w:bCs w:val="1"/>
                <w:color w:val="auto"/>
                <w:w w:val="88"/>
              </w:rPr>
              <w:t>Moody's</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41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BB</w:t>
            </w:r>
          </w:p>
        </w:tc>
        <w:tc>
          <w:tcPr>
            <w:tcW w:w="16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7"/>
              </w:rPr>
              <w:t>Ba2</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5.000% Senior Notes, due 2026</w:t>
            </w:r>
          </w:p>
        </w:tc>
        <w:tc>
          <w:tcPr>
            <w:tcW w:w="4140" w:type="dxa"/>
            <w:vAlign w:val="bottom"/>
          </w:tcPr>
          <w:p>
            <w:pPr>
              <w:ind w:left="3280"/>
              <w:spacing w:after="0"/>
              <w:rPr>
                <w:sz w:val="20"/>
                <w:szCs w:val="20"/>
                <w:color w:val="auto"/>
              </w:rPr>
            </w:pPr>
            <w:r>
              <w:rPr>
                <w:rFonts w:ascii="Arial" w:cs="Arial" w:eastAsia="Arial" w:hAnsi="Arial"/>
                <w:sz w:val="18"/>
                <w:szCs w:val="18"/>
                <w:color w:val="auto"/>
              </w:rPr>
              <w:t>BB</w:t>
            </w:r>
          </w:p>
        </w:tc>
        <w:tc>
          <w:tcPr>
            <w:tcW w:w="1600" w:type="dxa"/>
            <w:vAlign w:val="bottom"/>
          </w:tcPr>
          <w:p>
            <w:pPr>
              <w:jc w:val="center"/>
              <w:ind w:left="36"/>
              <w:spacing w:after="0"/>
              <w:rPr>
                <w:sz w:val="20"/>
                <w:szCs w:val="20"/>
                <w:color w:val="auto"/>
              </w:rPr>
            </w:pPr>
            <w:r>
              <w:rPr>
                <w:rFonts w:ascii="Arial" w:cs="Arial" w:eastAsia="Arial" w:hAnsi="Arial"/>
                <w:sz w:val="18"/>
                <w:szCs w:val="18"/>
                <w:color w:val="auto"/>
                <w:w w:val="87"/>
              </w:rPr>
              <w:t>Ba2</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2028</w:t>
            </w:r>
          </w:p>
        </w:tc>
        <w:tc>
          <w:tcPr>
            <w:tcW w:w="41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BB</w:t>
            </w:r>
          </w:p>
        </w:tc>
        <w:tc>
          <w:tcPr>
            <w:tcW w:w="16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7"/>
              </w:rPr>
              <w:t>Ba2</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3.750% Senior Notes, due 2031</w:t>
            </w:r>
          </w:p>
        </w:tc>
        <w:tc>
          <w:tcPr>
            <w:tcW w:w="4140" w:type="dxa"/>
            <w:vAlign w:val="bottom"/>
          </w:tcPr>
          <w:p>
            <w:pPr>
              <w:ind w:left="3280"/>
              <w:spacing w:after="0"/>
              <w:rPr>
                <w:sz w:val="20"/>
                <w:szCs w:val="20"/>
                <w:color w:val="auto"/>
              </w:rPr>
            </w:pPr>
            <w:r>
              <w:rPr>
                <w:rFonts w:ascii="Arial" w:cs="Arial" w:eastAsia="Arial" w:hAnsi="Arial"/>
                <w:sz w:val="18"/>
                <w:szCs w:val="18"/>
                <w:color w:val="auto"/>
              </w:rPr>
              <w:t>BB</w:t>
            </w:r>
          </w:p>
        </w:tc>
        <w:tc>
          <w:tcPr>
            <w:tcW w:w="1600" w:type="dxa"/>
            <w:vAlign w:val="bottom"/>
          </w:tcPr>
          <w:p>
            <w:pPr>
              <w:jc w:val="center"/>
              <w:ind w:left="36"/>
              <w:spacing w:after="0"/>
              <w:rPr>
                <w:sz w:val="20"/>
                <w:szCs w:val="20"/>
                <w:color w:val="auto"/>
              </w:rPr>
            </w:pPr>
            <w:r>
              <w:rPr>
                <w:rFonts w:ascii="Arial" w:cs="Arial" w:eastAsia="Arial" w:hAnsi="Arial"/>
                <w:sz w:val="18"/>
                <w:szCs w:val="18"/>
                <w:color w:val="auto"/>
                <w:w w:val="87"/>
              </w:rPr>
              <w:t>Ba2</w:t>
            </w: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included in the Company's 2020 Form 10-K, the Company's financing arrangements consist of corporate level debt, which includes Senior Notes and the revolving credit facility; the ATM Programs; and project-level financings for its various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Revolving Credit Facility</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231F20"/>
        </w:rPr>
        <w:t>The Company has a total of $340 million available under the revolving credit facility as of June 30, 2021. The facility will continue to be used for general corporate purposes including financing of future acquisitions and posting letters of credit.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2031 Senior Notes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equipment purchases and pay vendor invoices and fees.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will be held in a restricted account and utilized to offset future invoiced amounts under the projects' PPAs.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cash dividends to investors.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Expenditures</w:t>
      </w:r>
    </w:p>
    <w:p>
      <w:pPr>
        <w:spacing w:after="0" w:line="16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95"/>
        <w:spacing w:after="0" w:line="247" w:lineRule="auto"/>
        <w:rPr>
          <w:sz w:val="20"/>
          <w:szCs w:val="20"/>
          <w:color w:val="auto"/>
        </w:rPr>
      </w:pPr>
      <w:r>
        <w:rPr>
          <w:rFonts w:ascii="Arial" w:cs="Arial" w:eastAsia="Arial" w:hAnsi="Arial"/>
          <w:sz w:val="18"/>
          <w:szCs w:val="18"/>
          <w:color w:val="231F20"/>
        </w:rPr>
        <w:t xml:space="preserve">For the six months ended </w:t>
      </w:r>
      <w:r>
        <w:rPr>
          <w:rFonts w:ascii="Arial" w:cs="Arial" w:eastAsia="Arial" w:hAnsi="Arial"/>
          <w:sz w:val="18"/>
          <w:szCs w:val="18"/>
          <w:color w:val="000000"/>
        </w:rPr>
        <w:t>June 30, 2021</w:t>
      </w:r>
      <w:r>
        <w:rPr>
          <w:rFonts w:ascii="Arial" w:cs="Arial" w:eastAsia="Arial" w:hAnsi="Arial"/>
          <w:sz w:val="18"/>
          <w:szCs w:val="18"/>
          <w:color w:val="231F20"/>
        </w:rPr>
        <w:t xml:space="preserve">, the Company used approximately $93 million to fund capital expenditures, including growth </w:t>
      </w:r>
      <w:r>
        <w:rPr>
          <w:rFonts w:ascii="Arial" w:cs="Arial" w:eastAsia="Arial" w:hAnsi="Arial"/>
          <w:sz w:val="18"/>
          <w:szCs w:val="18"/>
          <w:color w:val="000000"/>
        </w:rPr>
        <w:t>expenditures of $58</w:t>
      </w:r>
      <w:r>
        <w:rPr>
          <w:rFonts w:ascii="Arial" w:cs="Arial" w:eastAsia="Arial" w:hAnsi="Arial"/>
          <w:sz w:val="18"/>
          <w:szCs w:val="18"/>
          <w:color w:val="231F20"/>
        </w:rPr>
        <w:t xml:space="preserve"> </w:t>
      </w:r>
      <w:r>
        <w:rPr>
          <w:rFonts w:ascii="Arial" w:cs="Arial" w:eastAsia="Arial" w:hAnsi="Arial"/>
          <w:sz w:val="18"/>
          <w:szCs w:val="18"/>
          <w:color w:val="000000"/>
        </w:rPr>
        <w:t>million in the Renewables segment, $18 million of which were incurred in connection with the Rosamond Central solar project, $17 million incurred in connection with the Rattlesnake wind project, $13 million incurred in connection with the repowering of the Pinnacle wind project and $10 million related to the Mesquite Star wind project. The Company also incurred $23 million of growth capital expenditures in the Thermal and Conventional segments in connection with various development projects. In addition, the Company incurred $12 million in maintenance capital expenditures. The Company estimates $28 million of maintenance expenditures for 2021. These estimates are subject to continuing review and adjustment. Actual capital expenditures may vary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632"/>
        <w:spacing w:after="0" w:line="250"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CWSP Rattlesnake Holding LLC, which indirectly owns the Rattlesnake wind project, a 160 MW wind facility located in Adams County, Washington for $132 million in cash consideration. The Company's net capital commitment was $119 million after proceeds from a state sales and use tax refund, which were received in May 2021.</w:t>
      </w:r>
    </w:p>
    <w:p>
      <w:pPr>
        <w:spacing w:after="0" w:line="138"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for $202 million. Agua Caliente is a 290 MW solar project located in Dateland, Arizona in which the Company previously owned a 16% equity interest.</w:t>
      </w:r>
    </w:p>
    <w:p>
      <w:pPr>
        <w:spacing w:after="0" w:line="138"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i w:val="1"/>
          <w:iCs w:val="1"/>
          <w:color w:val="auto"/>
        </w:rPr>
        <w:t xml:space="preserve">Pinnacle Wind Repowering </w:t>
      </w:r>
      <w:r>
        <w:rPr>
          <w:rFonts w:ascii="Arial" w:cs="Arial" w:eastAsia="Arial" w:hAnsi="Arial"/>
          <w:sz w:val="16"/>
          <w:szCs w:val="16"/>
          <w:color w:val="auto"/>
        </w:rPr>
        <w:t>— On February 26, 2021, the Company, through an indirect subsidiary, entered into an amended partnership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second half of 2021. Additionally, on March 10, 2021, the Pinnacle wind project acquired equipment from CEG for $21 million in cash consideration.</w:t>
      </w:r>
    </w:p>
    <w:p>
      <w:pPr>
        <w:spacing w:after="0" w:line="111"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i w:val="1"/>
          <w:iCs w:val="1"/>
          <w:color w:val="auto"/>
        </w:rPr>
        <w:t xml:space="preserve">Mt. Storm Acquisition </w:t>
      </w:r>
      <w:r>
        <w:rPr>
          <w:rFonts w:ascii="Arial" w:cs="Arial" w:eastAsia="Arial" w:hAnsi="Arial"/>
          <w:sz w:val="16"/>
          <w:szCs w:val="16"/>
          <w:color w:val="auto"/>
        </w:rPr>
        <w:t>— On April 23, 2021, the Company acquired 100% of the equity interests in NedPower Mount Storm LLC, or Mt. Storm, from</w:t>
      </w:r>
      <w:r>
        <w:rPr>
          <w:rFonts w:ascii="Arial" w:cs="Arial" w:eastAsia="Arial" w:hAnsi="Arial"/>
          <w:sz w:val="16"/>
          <w:szCs w:val="16"/>
          <w:i w:val="1"/>
          <w:iCs w:val="1"/>
          <w:color w:val="auto"/>
        </w:rPr>
        <w:t xml:space="preserve"> </w:t>
      </w:r>
      <w:r>
        <w:rPr>
          <w:rFonts w:ascii="Arial" w:cs="Arial" w:eastAsia="Arial" w:hAnsi="Arial"/>
          <w:sz w:val="16"/>
          <w:szCs w:val="16"/>
          <w:color w:val="auto"/>
        </w:rPr>
        <w:t>Castleton Commodities International for approximately $96 million before working capital and purchase price adjustments in the net amount of $4 million, representing a total cash outflow of $100 million. Mt. Storm is a 264 MW wind project located in Grant County, West Virginia.</w:t>
      </w:r>
    </w:p>
    <w:p>
      <w:pPr>
        <w:spacing w:after="0" w:line="102"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i w:val="1"/>
          <w:iCs w:val="1"/>
          <w:color w:val="auto"/>
        </w:rPr>
        <w:t xml:space="preserve">Lighthouse Partnership Agreements </w:t>
      </w:r>
      <w:r>
        <w:rPr>
          <w:rFonts w:ascii="Arial" w:cs="Arial" w:eastAsia="Arial" w:hAnsi="Arial"/>
          <w:sz w:val="18"/>
          <w:szCs w:val="18"/>
          <w:color w:val="auto"/>
        </w:rPr>
        <w:t>— On December 21, 2020, subsidiaries of the Company entered into the Lighthouse Partnership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for the Company's co-investment in a portfolio of renewable energy projects developed by CEG. The Company expects to invest approximately $142 million in 2021 for 50% cash equity interests in the Mesquite Sky and Black Rock wind projects, subject to closing adjustments and the projects achieving certain milestones.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i w:val="1"/>
          <w:iCs w:val="1"/>
          <w:color w:val="auto"/>
        </w:rPr>
        <w:t xml:space="preserve">2025 Senior Notes Tender Offer and Redemption — </w:t>
      </w:r>
      <w:r>
        <w:rPr>
          <w:rFonts w:ascii="Arial" w:cs="Arial" w:eastAsia="Arial" w:hAnsi="Arial"/>
          <w:sz w:val="16"/>
          <w:szCs w:val="16"/>
          <w:color w:val="auto"/>
        </w:rPr>
        <w:t>On March 9, 2021, the Company completed the repurchase of an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Dividends to Investors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6"/>
          <w:szCs w:val="16"/>
          <w:color w:val="000000"/>
        </w:rPr>
        <w:t>he Class A common stock and Class C common stock are subject to available</w:t>
      </w:r>
      <w:r>
        <w:rPr>
          <w:rFonts w:ascii="Arial" w:cs="Arial" w:eastAsia="Arial" w:hAnsi="Arial"/>
          <w:sz w:val="16"/>
          <w:szCs w:val="16"/>
          <w:color w:val="231F20"/>
        </w:rPr>
        <w:t xml:space="preserve"> </w:t>
      </w:r>
      <w:r>
        <w:rPr>
          <w:rFonts w:ascii="Arial" w:cs="Arial" w:eastAsia="Arial" w:hAnsi="Arial"/>
          <w:sz w:val="16"/>
          <w:szCs w:val="16"/>
          <w:color w:val="000000"/>
        </w:rPr>
        <w:t>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lists the dividends paid on the Company's Class A common stock and Class C common stock during the six months ended June 30, 2021:</w:t>
      </w:r>
    </w:p>
    <w:tbl>
      <w:tblPr>
        <w:tblLayout w:type="fixed"/>
        <w:tblInd w:w="0" w:type="dxa"/>
        <w:tblCellMar>
          <w:top w:w="0" w:type="dxa"/>
          <w:left w:w="0" w:type="dxa"/>
          <w:bottom w:w="0" w:type="dxa"/>
          <w:right w:w="0" w:type="dxa"/>
        </w:tblCellMar>
      </w:tblPr>
      <w:tr>
        <w:trPr>
          <w:trHeight w:val="141"/>
        </w:trPr>
        <w:tc>
          <w:tcPr>
            <w:tcW w:w="8720" w:type="dxa"/>
            <w:vAlign w:val="bottom"/>
          </w:tcPr>
          <w:p>
            <w:pPr>
              <w:spacing w:after="0"/>
              <w:rPr>
                <w:sz w:val="12"/>
                <w:szCs w:val="12"/>
                <w:color w:val="auto"/>
              </w:rPr>
            </w:pPr>
          </w:p>
        </w:tc>
        <w:tc>
          <w:tcPr>
            <w:tcW w:w="1240" w:type="dxa"/>
            <w:vAlign w:val="bottom"/>
            <w:gridSpan w:val="3"/>
          </w:tcPr>
          <w:p>
            <w:pPr>
              <w:ind w:left="100"/>
              <w:spacing w:after="0" w:line="141" w:lineRule="exact"/>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2"/>
                <w:szCs w:val="12"/>
                <w:color w:val="auto"/>
              </w:rPr>
            </w:pPr>
          </w:p>
        </w:tc>
        <w:tc>
          <w:tcPr>
            <w:tcW w:w="1000" w:type="dxa"/>
            <w:vAlign w:val="bottom"/>
          </w:tcPr>
          <w:p>
            <w:pPr>
              <w:jc w:val="right"/>
              <w:ind w:right="81"/>
              <w:spacing w:after="0" w:line="141" w:lineRule="exact"/>
              <w:rPr>
                <w:sz w:val="20"/>
                <w:szCs w:val="20"/>
                <w:color w:val="auto"/>
              </w:rPr>
            </w:pPr>
            <w:r>
              <w:rPr>
                <w:rFonts w:ascii="Arial" w:cs="Arial" w:eastAsia="Arial" w:hAnsi="Arial"/>
                <w:sz w:val="14"/>
                <w:szCs w:val="14"/>
                <w:b w:val="1"/>
                <w:bCs w:val="1"/>
                <w:color w:val="auto"/>
                <w:w w:val="96"/>
              </w:rPr>
              <w:t>First Quarter</w:t>
            </w:r>
          </w:p>
        </w:tc>
      </w:tr>
      <w:tr>
        <w:trPr>
          <w:trHeight w:val="184"/>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0.324</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280" w:type="dxa"/>
            <w:vAlign w:val="bottom"/>
          </w:tcPr>
          <w:p>
            <w:pPr>
              <w:jc w:val="right"/>
              <w:ind w:right="78"/>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0.324</w:t>
            </w:r>
          </w:p>
        </w:tc>
      </w:tr>
    </w:tbl>
    <w:p>
      <w:pPr>
        <w:spacing w:after="0" w:line="22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July 23, 2021, the Company declared quarterly dividends on its Class A common stock and Class C common stock of $0.3345 per share payable on September 15, 2021, to stockholders of record as of September 1,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Cash Flow Discussion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changes in cash flows for the six months ended June 30, 2021, compared to the six months ended June 30, 2020: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2"/>
        </w:trPr>
        <w:tc>
          <w:tcPr>
            <w:tcW w:w="7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77"/>
        </w:trPr>
        <w:tc>
          <w:tcPr>
            <w:tcW w:w="7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241</w:t>
            </w:r>
          </w:p>
        </w:tc>
        <w:tc>
          <w:tcPr>
            <w:tcW w:w="98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(420)</w:t>
            </w:r>
          </w:p>
        </w:tc>
        <w:tc>
          <w:tcPr>
            <w:tcW w:w="9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r>
      <w:tr>
        <w:trPr>
          <w:trHeight w:val="22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184</w:t>
            </w:r>
          </w:p>
        </w:tc>
        <w:tc>
          <w:tcPr>
            <w:tcW w:w="98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19"/>
                <w:szCs w:val="19"/>
                <w:color w:val="auto"/>
              </w:rPr>
            </w:pPr>
          </w:p>
        </w:tc>
      </w:tr>
      <w:tr>
        <w:trPr>
          <w:trHeight w:val="460"/>
        </w:trPr>
        <w:tc>
          <w:tcPr>
            <w:tcW w:w="716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7160" w:type="dxa"/>
            <w:vAlign w:val="bottom"/>
          </w:tcPr>
          <w:p>
            <w:pPr>
              <w:ind w:left="4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(In millions)</w:t>
            </w:r>
          </w:p>
        </w:tc>
      </w:tr>
      <w:tr>
        <w:trPr>
          <w:trHeight w:val="224"/>
        </w:trPr>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operating income adjusted for non-cash items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23"/>
        </w:trPr>
        <w:tc>
          <w:tcPr>
            <w:tcW w:w="7160" w:type="dxa"/>
            <w:vAlign w:val="bottom"/>
          </w:tcPr>
          <w:p>
            <w:pPr>
              <w:ind w:left="520"/>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24"/>
        </w:trPr>
        <w:tc>
          <w:tcPr>
            <w:tcW w:w="95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88"/>
              </w:rPr>
              <w:t>Decrease in working capital primarily driven by the timing of accounts receivable collections and payments of accounts payable</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17"/>
        </w:trPr>
        <w:tc>
          <w:tcPr>
            <w:tcW w:w="7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ectPr>
          <w:pgSz w:w="11900" w:h="16838" w:orient="portrait"/>
          <w:cols w:equalWidth="0" w:num="1">
            <w:col w:w="11240"/>
          </w:cols>
          <w:pgMar w:left="320" w:top="87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Cash paid for the Rattlesnake Drop Down acquisition in 2021</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paid for the Agua Caliente and Mt. Storm acquisitions, net of cash acquired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color w:val="auto"/>
        </w:rPr>
        <w:t>Proceeds received from the sale of RPV Holdco, Energy Center Dover LLC and Energy Center Smyrna LLC in 2020</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paid to CEG in 2021 for equipment for the Pinnacle wind project repowering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Changes in capital expenditures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67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provided by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2508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0730" cy="250825"/>
                    </a:xfrm>
                    <a:prstGeom prst="rect">
                      <a:avLst/>
                    </a:prstGeom>
                    <a:noFill/>
                  </pic:spPr>
                </pic:pic>
              </a:graphicData>
            </a:graphic>
          </wp:anchor>
        </w:drawing>
      </w:r>
    </w:p>
    <w:p>
      <w:pPr>
        <w:ind w:left="120" w:firstLine="395"/>
        <w:spacing w:after="0" w:line="228" w:lineRule="auto"/>
        <w:rPr>
          <w:sz w:val="20"/>
          <w:szCs w:val="20"/>
          <w:color w:val="auto"/>
        </w:rPr>
      </w:pPr>
      <w:r>
        <w:rPr>
          <w:rFonts w:ascii="Arial" w:cs="Arial" w:eastAsia="Arial" w:hAnsi="Arial"/>
          <w:sz w:val="18"/>
          <w:szCs w:val="18"/>
          <w:color w:val="auto"/>
        </w:rPr>
        <w:t>Increase in proceeds from issuance of long-term debt net of payments primarily due to issuance of the 2031 Senior Notes and the Pinnacle financing agreement in 2021</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Increase in net contributions from noncontrolling interest members in 2021 compared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Buyout of Repowering Partnership II LLC noncontrolling interest in 2020</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Increase in dividends paid to common stockholders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Net proceeds from equity issuance in 2020</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Increase in net proceeds under the revolving line of credit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49"/>
        <w:spacing w:after="0"/>
        <w:rPr>
          <w:sz w:val="20"/>
          <w:szCs w:val="20"/>
          <w:color w:val="auto"/>
        </w:rPr>
      </w:pPr>
      <w:r>
        <w:rPr>
          <w:rFonts w:ascii="Arial" w:cs="Arial" w:eastAsia="Arial" w:hAnsi="Arial"/>
          <w:sz w:val="14"/>
          <w:szCs w:val="14"/>
          <w:b w:val="1"/>
          <w:bCs w:val="1"/>
          <w:color w:val="auto"/>
        </w:rPr>
        <w:t>(In millions)</w:t>
      </w:r>
    </w:p>
    <w:p>
      <w:pPr>
        <w:spacing w:after="0" w:line="33" w:lineRule="exact"/>
        <w:rPr>
          <w:sz w:val="20"/>
          <w:szCs w:val="20"/>
          <w:color w:val="auto"/>
        </w:rPr>
      </w:pPr>
    </w:p>
    <w:p>
      <w:pPr>
        <w:ind w:left="829" w:hanging="829"/>
        <w:spacing w:after="0"/>
        <w:tabs>
          <w:tab w:leader="none" w:pos="8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(132)</w:t>
      </w:r>
    </w:p>
    <w:p>
      <w:pPr>
        <w:spacing w:after="0" w:line="39" w:lineRule="exact"/>
        <w:rPr>
          <w:rFonts w:ascii="Arial" w:cs="Arial" w:eastAsia="Arial" w:hAnsi="Arial"/>
          <w:sz w:val="16"/>
          <w:szCs w:val="16"/>
          <w:color w:val="auto"/>
        </w:rPr>
      </w:pPr>
    </w:p>
    <w:p>
      <w:pPr>
        <w:ind w:left="829"/>
        <w:spacing w:after="0"/>
        <w:rPr>
          <w:rFonts w:ascii="Arial" w:cs="Arial" w:eastAsia="Arial" w:hAnsi="Arial"/>
          <w:sz w:val="16"/>
          <w:szCs w:val="16"/>
          <w:color w:val="auto"/>
        </w:rPr>
      </w:pPr>
      <w:r>
        <w:rPr>
          <w:rFonts w:ascii="Arial" w:cs="Arial" w:eastAsia="Arial" w:hAnsi="Arial"/>
          <w:sz w:val="16"/>
          <w:szCs w:val="16"/>
          <w:color w:val="auto"/>
        </w:rPr>
        <w:t>(211)</w:t>
      </w:r>
    </w:p>
    <w:p>
      <w:pPr>
        <w:spacing w:after="0" w:line="39"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(90)</w:t>
      </w:r>
    </w:p>
    <w:p>
      <w:pPr>
        <w:spacing w:after="0" w:line="39"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39"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(10)</w:t>
      </w:r>
    </w:p>
    <w:p>
      <w:pPr>
        <w:spacing w:after="0" w:line="39" w:lineRule="exact"/>
        <w:rPr>
          <w:rFonts w:ascii="Arial" w:cs="Arial" w:eastAsia="Arial" w:hAnsi="Arial"/>
          <w:sz w:val="16"/>
          <w:szCs w:val="16"/>
          <w:color w:val="auto"/>
        </w:rPr>
      </w:pPr>
    </w:p>
    <w:p>
      <w:pPr>
        <w:ind w:left="1069"/>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30" w:lineRule="exact"/>
        <w:rPr>
          <w:sz w:val="20"/>
          <w:szCs w:val="20"/>
          <w:color w:val="auto"/>
        </w:rPr>
      </w:pPr>
    </w:p>
    <w:p>
      <w:pPr>
        <w:ind w:left="829" w:hanging="829"/>
        <w:spacing w:after="0"/>
        <w:tabs>
          <w:tab w:leader="none" w:pos="8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49530</wp:posOffset>
            </wp:positionV>
            <wp:extent cx="1044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49"/>
        <w:spacing w:after="0"/>
        <w:rPr>
          <w:sz w:val="20"/>
          <w:szCs w:val="20"/>
          <w:color w:val="auto"/>
        </w:rPr>
      </w:pPr>
      <w:r>
        <w:rPr>
          <w:rFonts w:ascii="Arial" w:cs="Arial" w:eastAsia="Arial" w:hAnsi="Arial"/>
          <w:sz w:val="14"/>
          <w:szCs w:val="14"/>
          <w:b w:val="1"/>
          <w:bCs w:val="1"/>
          <w:color w:val="auto"/>
        </w:rPr>
        <w:t>(In millions)</w:t>
      </w:r>
    </w:p>
    <w:p>
      <w:pPr>
        <w:spacing w:after="0" w:line="204" w:lineRule="exact"/>
        <w:rPr>
          <w:sz w:val="20"/>
          <w:szCs w:val="20"/>
          <w:color w:val="auto"/>
        </w:rPr>
      </w:pPr>
    </w:p>
    <w:p>
      <w:pPr>
        <w:ind w:left="909" w:hanging="909"/>
        <w:spacing w:after="0"/>
        <w:tabs>
          <w:tab w:leader="none" w:pos="9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249</w:t>
      </w:r>
    </w:p>
    <w:p>
      <w:pPr>
        <w:spacing w:after="0" w:line="39"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111</w:t>
      </w:r>
    </w:p>
    <w:p>
      <w:pPr>
        <w:spacing w:after="0" w:line="39" w:lineRule="exact"/>
        <w:rPr>
          <w:rFonts w:ascii="Arial" w:cs="Arial" w:eastAsia="Arial" w:hAnsi="Arial"/>
          <w:sz w:val="16"/>
          <w:szCs w:val="16"/>
          <w:color w:val="auto"/>
        </w:rPr>
      </w:pPr>
    </w:p>
    <w:p>
      <w:pPr>
        <w:ind w:left="989"/>
        <w:spacing w:after="0"/>
        <w:rPr>
          <w:rFonts w:ascii="Arial" w:cs="Arial" w:eastAsia="Arial" w:hAnsi="Arial"/>
          <w:sz w:val="16"/>
          <w:szCs w:val="16"/>
          <w:color w:val="auto"/>
        </w:rPr>
      </w:pPr>
      <w:r>
        <w:rPr>
          <w:rFonts w:ascii="Arial" w:cs="Arial" w:eastAsia="Arial" w:hAnsi="Arial"/>
          <w:sz w:val="18"/>
          <w:szCs w:val="18"/>
          <w:color w:val="auto"/>
        </w:rPr>
        <w:t>70</w:t>
      </w:r>
    </w:p>
    <w:p>
      <w:pPr>
        <w:spacing w:after="0" w:line="16"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(48)</w:t>
      </w:r>
    </w:p>
    <w:p>
      <w:pPr>
        <w:spacing w:after="0" w:line="39" w:lineRule="exact"/>
        <w:rPr>
          <w:rFonts w:ascii="Arial" w:cs="Arial" w:eastAsia="Arial" w:hAnsi="Arial"/>
          <w:sz w:val="16"/>
          <w:szCs w:val="16"/>
          <w:color w:val="auto"/>
        </w:rPr>
      </w:pPr>
    </w:p>
    <w:p>
      <w:pPr>
        <w:ind w:left="909"/>
        <w:spacing w:after="0"/>
        <w:rPr>
          <w:rFonts w:ascii="Arial" w:cs="Arial" w:eastAsia="Arial" w:hAnsi="Arial"/>
          <w:sz w:val="16"/>
          <w:szCs w:val="16"/>
          <w:color w:val="auto"/>
        </w:rPr>
      </w:pPr>
      <w:r>
        <w:rPr>
          <w:rFonts w:ascii="Arial" w:cs="Arial" w:eastAsia="Arial" w:hAnsi="Arial"/>
          <w:sz w:val="16"/>
          <w:szCs w:val="16"/>
          <w:color w:val="auto"/>
        </w:rPr>
        <w:t>(38)</w:t>
      </w:r>
    </w:p>
    <w:p>
      <w:pPr>
        <w:spacing w:after="0" w:line="39" w:lineRule="exact"/>
        <w:rPr>
          <w:rFonts w:ascii="Arial" w:cs="Arial" w:eastAsia="Arial" w:hAnsi="Arial"/>
          <w:sz w:val="16"/>
          <w:szCs w:val="16"/>
          <w:color w:val="auto"/>
        </w:rPr>
      </w:pPr>
    </w:p>
    <w:p>
      <w:pPr>
        <w:ind w:left="989"/>
        <w:spacing w:after="0"/>
        <w:rPr>
          <w:rFonts w:ascii="Arial" w:cs="Arial" w:eastAsia="Arial" w:hAnsi="Arial"/>
          <w:sz w:val="16"/>
          <w:szCs w:val="16"/>
          <w:color w:val="auto"/>
        </w:rPr>
      </w:pPr>
      <w:r>
        <w:rPr>
          <w:rFonts w:ascii="Arial" w:cs="Arial" w:eastAsia="Arial" w:hAnsi="Arial"/>
          <w:sz w:val="18"/>
          <w:szCs w:val="18"/>
          <w:color w:val="auto"/>
        </w:rPr>
        <w:t>67</w:t>
      </w:r>
    </w:p>
    <w:p>
      <w:pPr>
        <w:spacing w:after="0" w:line="16"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24765</wp:posOffset>
            </wp:positionV>
            <wp:extent cx="1044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33" w:lineRule="exact"/>
        <w:rPr>
          <w:sz w:val="20"/>
          <w:szCs w:val="20"/>
          <w:color w:val="auto"/>
        </w:rPr>
      </w:pPr>
    </w:p>
    <w:p>
      <w:pPr>
        <w:ind w:left="909" w:hanging="909"/>
        <w:spacing w:after="0"/>
        <w:tabs>
          <w:tab w:leader="none" w:pos="9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24765</wp:posOffset>
            </wp:positionV>
            <wp:extent cx="10445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44575"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49530</wp:posOffset>
            </wp:positionV>
            <wp:extent cx="1044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651"/>
            <w:col w:w="1269"/>
          </w:cols>
          <w:pgMar w:left="320" w:top="8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58" w:name="page59"/>
    <w:bookmarkEnd w:id="58"/>
    <w:p>
      <w:pPr>
        <w:ind w:left="440"/>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67"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As of December 31, 2020, the Company has a cumulative federal NOL carry forward balance of $1.2 billion for federal income tax purposes, of which $0.9 billion will begin expiring between 2033 to 2037 if unutilized. The Company does not anticipate any federal income tax payments for 2021. Additionally, as of December 31, 2020, the Company has a cumulative state NOL carryforward balance of $726 million for state and local income tax purposes, which will expire between 2023 to 2040 if unutilized. The Company does not anticipate significant income tax payments for state and local jurisdictions in 2021. Based on the Company's current and expected NOL balances generated primarily by accelerated tax depreciation of its property, plant and equipment, the Company does not expect to pay significant federal income tax for a period of approximately ten years inclusive of any NOL carryovers subject to an 80% limitation against future taxable years beginning after 2020 pursuant to the Tax Act as modified by the CARES Act (defined below).</w:t>
      </w:r>
    </w:p>
    <w:p>
      <w:pPr>
        <w:spacing w:after="0" w:line="11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As of December 31, 2020, the Company has an interest disallowance carry forward of $46 million as a result of the proposed and final regulations under §163(j), which was enacted as part of the Tax Act. The disallowed interest deduction has an indefinite carry forward period and any limitations on the utilization of this carry forward have been factored into our valuation allowance analysis.</w:t>
      </w:r>
    </w:p>
    <w:p>
      <w:pPr>
        <w:spacing w:after="0" w:line="138"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On March 27, 2020 the Coronavirus Aid, Relief, and Economic Security (CARES) Act, or CARES Act, was signed into law, which includes modifications to the business interest expense disallowance and net operating loss provisions. The Company utilized previously disallowed interest expense during 2020 as a result of the modifications and will continue to assess the effects of the CARES Act and ongoing government guidance related to COVID-19 that may be issued.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subject to examination by taxing authorities for income tax returns filed in the U.S. federal jurisdiction and various state jurisdictions.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not subject to U.S. federal or state income tax examinations for years prior to 2013. The Company has no uncertain tax benefits.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The Company may enter into guarantee arrangements in the normal course of business to facilitate commercial transactions with third parties.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June 30, 2021, the Company has several investments with an ownership interest percentage of 50% or less</w:t>
      </w:r>
      <w:r>
        <w:rPr>
          <w:rFonts w:ascii="Arial" w:cs="Arial" w:eastAsia="Arial" w:hAnsi="Arial"/>
          <w:sz w:val="16"/>
          <w:szCs w:val="16"/>
          <w:i w:val="1"/>
          <w:iCs w:val="1"/>
          <w:color w:val="auto"/>
        </w:rPr>
        <w:t xml:space="preserve"> </w:t>
      </w:r>
      <w:r>
        <w:rPr>
          <w:rFonts w:ascii="Arial" w:cs="Arial" w:eastAsia="Arial" w:hAnsi="Arial"/>
          <w:sz w:val="16"/>
          <w:szCs w:val="16"/>
          <w:color w:val="auto"/>
        </w:rPr>
        <w:t>in energy and an energy-related entity that is accounted for under the equity method. GenConn is a variable interest entity for which the Company is not the primary beneficiary. The Company's pro-rata share of non-recourse debt held by unconsolidated affiliates was approximately $358 million as of June 30, 2021. This indebtedness may restrict the ability of these subsidiaries to issue dividends or distributions to the Company.</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6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6"/>
          <w:szCs w:val="16"/>
          <w:color w:val="000000"/>
        </w:rPr>
        <w:t>June 30, 2021</w:t>
      </w:r>
      <w:r>
        <w:rPr>
          <w:rFonts w:ascii="Arial" w:cs="Arial" w:eastAsia="Arial" w:hAnsi="Arial"/>
          <w:sz w:val="16"/>
          <w:szCs w:val="16"/>
          <w:color w:val="231F20"/>
        </w:rPr>
        <w:t xml:space="preserve">, based on their level within the fair value hierarchy defined in ASC 820; and indicate the maturities of contracts at </w:t>
      </w:r>
      <w:r>
        <w:rPr>
          <w:rFonts w:ascii="Arial" w:cs="Arial" w:eastAsia="Arial" w:hAnsi="Arial"/>
          <w:sz w:val="16"/>
          <w:szCs w:val="16"/>
          <w:color w:val="000000"/>
        </w:rPr>
        <w:t>June 30, 2021</w:t>
      </w:r>
      <w:r>
        <w:rPr>
          <w:rFonts w:ascii="Arial" w:cs="Arial" w:eastAsia="Arial" w:hAnsi="Arial"/>
          <w:sz w:val="16"/>
          <w:szCs w:val="16"/>
          <w:color w:val="231F20"/>
        </w:rPr>
        <w:t xml:space="preserve">. For a full discussion of the Company's valuation methodology of its contracts, see </w:t>
      </w:r>
      <w:r>
        <w:rPr>
          <w:rFonts w:ascii="Arial" w:cs="Arial" w:eastAsia="Arial" w:hAnsi="Arial"/>
          <w:sz w:val="16"/>
          <w:szCs w:val="16"/>
          <w:i w:val="1"/>
          <w:iCs w:val="1"/>
          <w:color w:val="231F20"/>
        </w:rPr>
        <w:t>Derivative Fair Value Measurements</w:t>
      </w:r>
      <w:r>
        <w:rPr>
          <w:rFonts w:ascii="Arial" w:cs="Arial" w:eastAsia="Arial" w:hAnsi="Arial"/>
          <w:sz w:val="16"/>
          <w:szCs w:val="16"/>
          <w:color w:val="231F20"/>
        </w:rPr>
        <w:t xml:space="preserve"> in Item 1 — </w:t>
      </w:r>
      <w:r>
        <w:rPr>
          <w:rFonts w:ascii="Arial" w:cs="Arial" w:eastAsia="Arial" w:hAnsi="Arial"/>
          <w:sz w:val="16"/>
          <w:szCs w:val="16"/>
          <w:color w:val="000000"/>
        </w:rPr>
        <w:t>Note 5</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w:t>
      </w:r>
    </w:p>
    <w:p>
      <w:pPr>
        <w:sectPr>
          <w:pgSz w:w="11900" w:h="16838" w:orient="portrait"/>
          <w:cols w:equalWidth="0" w:num="1">
            <w:col w:w="11240"/>
          </w:cols>
          <w:pgMar w:left="320" w:top="1029"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Derivative Activity (Losses) Gains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December 31, 2020</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Contracts realized or otherwise settled during the period</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Contracts acquired during the period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June 30, 2021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Fair Value Hierarchy (Losses) Gains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2</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3</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89"/>
              </w:rPr>
              <w:t>Fair value of contracts as of June 30, 2021</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Greater Than</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Greater Than</w:t>
            </w:r>
          </w:p>
        </w:tc>
        <w:tc>
          <w:tcPr>
            <w:tcW w:w="18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1 Year to 3 Years</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3 Years to 5 Years</w:t>
            </w:r>
          </w:p>
        </w:tc>
        <w:tc>
          <w:tcPr>
            <w:tcW w:w="18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1"/>
        </w:trPr>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-1938020</wp:posOffset>
            </wp:positionV>
            <wp:extent cx="7135495"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-1645285</wp:posOffset>
            </wp:positionV>
            <wp:extent cx="7135495" cy="142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-1361440</wp:posOffset>
            </wp:positionV>
            <wp:extent cx="6417310" cy="167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7310" cy="16700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-325120</wp:posOffset>
            </wp:positionV>
            <wp:extent cx="7118985" cy="142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8985" cy="142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620"/>
            <w:col w:w="6460"/>
          </w:cols>
          <w:pgMar w:left="320" w:top="1029" w:right="339" w:bottom="1440" w:gutter="0" w:footer="0" w:header="0"/>
          <w:type w:val="continuous"/>
        </w:sectPr>
      </w:pPr>
    </w:p>
    <w:p>
      <w:pPr>
        <w:spacing w:after="0" w:line="18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1"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60" w:name="page61"/>
    <w:bookmarkEnd w:id="60"/>
    <w:p>
      <w:pPr>
        <w:jc w:val="both"/>
        <w:ind w:firstLine="395"/>
        <w:spacing w:after="0" w:line="250"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2020 Form 10-K.</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6"/>
          <w:szCs w:val="16"/>
          <w:color w:val="000000"/>
        </w:rPr>
        <w:t>— Note 6</w:t>
      </w:r>
      <w:r>
        <w:rPr>
          <w:rFonts w:ascii="Arial" w:cs="Arial" w:eastAsia="Arial" w:hAnsi="Arial"/>
          <w:sz w:val="16"/>
          <w:szCs w:val="16"/>
          <w:color w:val="231F20"/>
        </w:rPr>
        <w:t xml:space="preserve">, </w:t>
      </w:r>
      <w:r>
        <w:rPr>
          <w:rFonts w:ascii="Arial" w:cs="Arial" w:eastAsia="Arial" w:hAnsi="Arial"/>
          <w:sz w:val="16"/>
          <w:szCs w:val="16"/>
          <w:i w:val="1"/>
          <w:iCs w:val="1"/>
          <w:color w:val="000000"/>
        </w:rPr>
        <w:t>Derivative Instruments and Hedging Activities</w:t>
      </w:r>
      <w:r>
        <w:rPr>
          <w:rFonts w:ascii="Arial" w:cs="Arial" w:eastAsia="Arial" w:hAnsi="Arial"/>
          <w:sz w:val="16"/>
          <w:szCs w:val="16"/>
          <w:color w:val="231F20"/>
        </w:rPr>
        <w:t>, for more information.</w:t>
      </w:r>
    </w:p>
    <w:p>
      <w:pPr>
        <w:spacing w:after="0" w:line="10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6"/>
          <w:szCs w:val="16"/>
          <w:color w:val="000000"/>
        </w:rPr>
        <w:t>Note 10</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i w:val="1"/>
          <w:iCs w:val="1"/>
          <w:color w:val="231F20"/>
        </w:rPr>
        <w:t>,</w:t>
      </w:r>
      <w:r>
        <w:rPr>
          <w:rFonts w:ascii="Arial" w:cs="Arial" w:eastAsia="Arial" w:hAnsi="Arial"/>
          <w:sz w:val="16"/>
          <w:szCs w:val="16"/>
          <w:color w:val="231F20"/>
        </w:rPr>
        <w:t xml:space="preserve"> to the Company's </w:t>
      </w:r>
      <w:r>
        <w:rPr>
          <w:rFonts w:ascii="Arial" w:cs="Arial" w:eastAsia="Arial" w:hAnsi="Arial"/>
          <w:sz w:val="16"/>
          <w:szCs w:val="16"/>
          <w:color w:val="000000"/>
        </w:rPr>
        <w:t>audited consolidated financial statements for the year ended December 31, 2020</w:t>
      </w:r>
      <w:r>
        <w:rPr>
          <w:rFonts w:ascii="Arial" w:cs="Arial" w:eastAsia="Arial" w:hAnsi="Arial"/>
          <w:sz w:val="16"/>
          <w:szCs w:val="16"/>
          <w:color w:val="231F20"/>
        </w:rPr>
        <w:t xml:space="preserve"> </w:t>
      </w:r>
      <w:r>
        <w:rPr>
          <w:rFonts w:ascii="Arial" w:cs="Arial" w:eastAsia="Arial" w:hAnsi="Arial"/>
          <w:sz w:val="16"/>
          <w:szCs w:val="16"/>
          <w:color w:val="000000"/>
        </w:rPr>
        <w:t xml:space="preserve">included in the 2020 Form 10-K </w:t>
      </w:r>
      <w:r>
        <w:rPr>
          <w:rFonts w:ascii="Arial" w:cs="Arial" w:eastAsia="Arial" w:hAnsi="Arial"/>
          <w:sz w:val="16"/>
          <w:szCs w:val="16"/>
          <w:color w:val="231F20"/>
        </w:rPr>
        <w:t>for more information about interest rate swaps of the Company's project subsidiaries.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$88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June 30, 2021</w:t>
      </w:r>
      <w:r>
        <w:rPr>
          <w:rFonts w:ascii="Arial" w:cs="Arial" w:eastAsia="Arial" w:hAnsi="Arial"/>
          <w:sz w:val="16"/>
          <w:szCs w:val="16"/>
          <w:color w:val="231F20"/>
        </w:rPr>
        <w:t>, a 1% change in interest rates would result in an approximately $2 million change in market interest expense on a rolling twelve-month basis.</w:t>
      </w:r>
    </w:p>
    <w:p>
      <w:pPr>
        <w:spacing w:after="0" w:line="8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2021</w:t>
      </w:r>
      <w:r>
        <w:rPr>
          <w:rFonts w:ascii="Arial" w:cs="Arial" w:eastAsia="Arial" w:hAnsi="Arial"/>
          <w:sz w:val="18"/>
          <w:szCs w:val="18"/>
          <w:color w:val="231F20"/>
        </w:rPr>
        <w:t xml:space="preserve">, the fair value of the Company's debt was $8,006 million and the carrying value was $8,030 million. The Company estimates that a 1% decrease in market interest rates would have increased the fair value of its long-term debt by approximately </w:t>
      </w:r>
      <w:r>
        <w:rPr>
          <w:rFonts w:ascii="Arial" w:cs="Arial" w:eastAsia="Arial" w:hAnsi="Arial"/>
          <w:sz w:val="18"/>
          <w:szCs w:val="18"/>
          <w:color w:val="000000"/>
        </w:rPr>
        <w:t>$497 million</w:t>
      </w:r>
      <w:r>
        <w:rPr>
          <w:rFonts w:ascii="Arial" w:cs="Arial" w:eastAsia="Arial" w:hAnsi="Arial"/>
          <w:sz w:val="18"/>
          <w:szCs w:val="18"/>
          <w:color w:val="231F20"/>
        </w:rPr>
        <w: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Liquidity risk arises from the general funding needs of the Company's activities and in the management of the Company's assets and liabilities.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6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$.50 per MMBtu in natural gas prices across the term of the derivative contracts would cause an increase of approximately $1 million to the net value of natural gas derivatives as of </w:t>
      </w:r>
      <w:r>
        <w:rPr>
          <w:rFonts w:ascii="Arial" w:cs="Arial" w:eastAsia="Arial" w:hAnsi="Arial"/>
          <w:sz w:val="18"/>
          <w:szCs w:val="18"/>
          <w:color w:val="000000"/>
        </w:rPr>
        <w:t>June 30, 2021</w:t>
      </w:r>
      <w:r>
        <w:rPr>
          <w:rFonts w:ascii="Arial" w:cs="Arial" w:eastAsia="Arial" w:hAnsi="Arial"/>
          <w:sz w:val="18"/>
          <w:szCs w:val="18"/>
          <w:color w:val="231F20"/>
        </w:rPr>
        <w:t>. The impact of a $0.50 per MWh increase or decrease in power prices across the term of the derivatives contracts would cause a change of approximately $5 million to the net value of power derivatives as of June 30, 2021.</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6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6"/>
          <w:szCs w:val="16"/>
          <w:color w:val="000000"/>
        </w:rPr>
        <w:t>Note 5</w:t>
      </w:r>
      <w:r>
        <w:rPr>
          <w:rFonts w:ascii="Arial" w:cs="Arial" w:eastAsia="Arial" w:hAnsi="Arial"/>
          <w:sz w:val="16"/>
          <w:szCs w:val="16"/>
          <w:color w:val="231F20"/>
        </w:rPr>
        <w:t xml:space="preserve">, </w:t>
      </w:r>
      <w:r>
        <w:rPr>
          <w:rFonts w:ascii="Arial" w:cs="Arial" w:eastAsia="Arial" w:hAnsi="Arial"/>
          <w:sz w:val="16"/>
          <w:szCs w:val="16"/>
          <w:i w:val="1"/>
          <w:iCs w:val="1"/>
          <w:color w:val="000000"/>
        </w:rPr>
        <w:t>Fair Value of Financial Instruments</w:t>
      </w:r>
      <w:r>
        <w:rPr>
          <w:rFonts w:ascii="Arial" w:cs="Arial" w:eastAsia="Arial" w:hAnsi="Arial"/>
          <w:sz w:val="16"/>
          <w:szCs w:val="16"/>
          <w:color w:val="231F20"/>
        </w:rPr>
        <w:t>, to the consolidated financial statements for more information about concentration of credit risk.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6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June 30, 2021, see Item 1 —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 EXHIBITS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r>
      <w:tr>
        <w:trPr>
          <w:trHeight w:val="178"/>
        </w:trPr>
        <w:tc>
          <w:tcPr>
            <w:tcW w:w="1020" w:type="dxa"/>
            <w:vAlign w:val="bottom"/>
          </w:tcPr>
          <w:p>
            <w:pPr>
              <w:spacing w:after="0" w:line="178" w:lineRule="exact"/>
              <w:rPr>
                <w:sz w:val="20"/>
                <w:szCs w:val="20"/>
                <w:color w:val="auto"/>
              </w:rPr>
            </w:pPr>
            <w:r>
              <w:rPr>
                <w:rFonts w:ascii="Arial" w:cs="Arial" w:eastAsia="Arial" w:hAnsi="Arial"/>
                <w:sz w:val="16"/>
                <w:szCs w:val="16"/>
                <w:color w:val="auto"/>
              </w:rPr>
              <w:t>4.1</w:t>
            </w:r>
          </w:p>
        </w:tc>
        <w:tc>
          <w:tcPr>
            <w:tcW w:w="5700" w:type="dxa"/>
            <w:vAlign w:val="bottom"/>
            <w:gridSpan w:val="13"/>
          </w:tcPr>
          <w:p>
            <w:pPr>
              <w:spacing w:after="0" w:line="178" w:lineRule="exact"/>
              <w:rPr>
                <w:rFonts w:ascii="Arial" w:cs="Arial" w:eastAsia="Arial" w:hAnsi="Arial"/>
                <w:sz w:val="16"/>
                <w:szCs w:val="16"/>
                <w:color w:val="0000FF"/>
                <w:w w:val="89"/>
              </w:rPr>
            </w:pPr>
            <w:hyperlink r:id="rId113">
              <w:r>
                <w:rPr>
                  <w:rFonts w:ascii="Arial" w:cs="Arial" w:eastAsia="Arial" w:hAnsi="Arial"/>
                  <w:sz w:val="16"/>
                  <w:szCs w:val="16"/>
                  <w:color w:val="0000FF"/>
                  <w:w w:val="89"/>
                </w:rPr>
                <w:t>Seventeenth Supplemental Indenture, dated as of May 14, 2021, among Clearway Energy</w:t>
              </w:r>
            </w:hyperlink>
          </w:p>
        </w:tc>
      </w:tr>
      <w:tr>
        <w:trPr>
          <w:trHeight w:val="151"/>
        </w:trPr>
        <w:tc>
          <w:tcPr>
            <w:tcW w:w="10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11"/>
          </w:tcPr>
          <w:p>
            <w:pPr>
              <w:spacing w:after="0" w:line="152" w:lineRule="exact"/>
              <w:rPr>
                <w:rFonts w:ascii="Arial" w:cs="Arial" w:eastAsia="Arial" w:hAnsi="Arial"/>
                <w:sz w:val="16"/>
                <w:szCs w:val="16"/>
                <w:color w:val="0000FF"/>
                <w:w w:val="87"/>
              </w:rPr>
            </w:pPr>
            <w:hyperlink r:id="rId113">
              <w:r>
                <w:rPr>
                  <w:rFonts w:ascii="Arial" w:cs="Arial" w:eastAsia="Arial" w:hAnsi="Arial"/>
                  <w:sz w:val="16"/>
                  <w:szCs w:val="16"/>
                  <w:color w:val="0000FF"/>
                  <w:w w:val="87"/>
                </w:rPr>
                <w:t>Operating LLC, the guarantors named therein and Delaware Trust Company (as successor</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3780" w:type="dxa"/>
            <w:vAlign w:val="bottom"/>
            <w:tcBorders>
              <w:bottom w:val="single" w:sz="8" w:color="0000FF"/>
            </w:tcBorders>
            <w:gridSpan w:val="3"/>
          </w:tcPr>
          <w:p>
            <w:pPr>
              <w:spacing w:after="0" w:line="152" w:lineRule="exact"/>
              <w:rPr>
                <w:rFonts w:ascii="Arial" w:cs="Arial" w:eastAsia="Arial" w:hAnsi="Arial"/>
                <w:sz w:val="16"/>
                <w:szCs w:val="16"/>
                <w:color w:val="0000FF"/>
                <w:w w:val="90"/>
              </w:rPr>
            </w:pPr>
            <w:hyperlink r:id="rId113">
              <w:r>
                <w:rPr>
                  <w:rFonts w:ascii="Arial" w:cs="Arial" w:eastAsia="Arial" w:hAnsi="Arial"/>
                  <w:sz w:val="16"/>
                  <w:szCs w:val="16"/>
                  <w:color w:val="0000FF"/>
                  <w:w w:val="90"/>
                </w:rPr>
                <w:t>in interest to Law Debenture Trust Company of New York).</w:t>
              </w:r>
            </w:hyperlink>
          </w:p>
        </w:tc>
        <w:tc>
          <w:tcPr>
            <w:tcW w:w="19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5700" w:type="dxa"/>
            <w:vAlign w:val="bottom"/>
            <w:gridSpan w:val="13"/>
          </w:tcPr>
          <w:p>
            <w:pPr>
              <w:spacing w:after="0"/>
              <w:rPr>
                <w:rFonts w:ascii="Arial" w:cs="Arial" w:eastAsia="Arial" w:hAnsi="Arial"/>
                <w:sz w:val="16"/>
                <w:szCs w:val="16"/>
                <w:color w:val="0000FF"/>
                <w:w w:val="97"/>
              </w:rPr>
            </w:pPr>
            <w:hyperlink r:id="rId114">
              <w:r>
                <w:rPr>
                  <w:rFonts w:ascii="Arial" w:cs="Arial" w:eastAsia="Arial" w:hAnsi="Arial"/>
                  <w:sz w:val="16"/>
                  <w:szCs w:val="16"/>
                  <w:color w:val="0000FF"/>
                  <w:w w:val="97"/>
                </w:rPr>
                <w:t>Ninth Supplemental Indenture, dated as of May 14, 2021, among Clearway Energy</w:t>
              </w:r>
            </w:hyperlink>
          </w:p>
        </w:tc>
      </w:tr>
      <w:tr>
        <w:trPr>
          <w:trHeight w:val="151"/>
        </w:trPr>
        <w:tc>
          <w:tcPr>
            <w:tcW w:w="1020" w:type="dxa"/>
            <w:vAlign w:val="bottom"/>
          </w:tcPr>
          <w:p>
            <w:pPr>
              <w:spacing w:after="0"/>
              <w:rPr>
                <w:sz w:val="13"/>
                <w:szCs w:val="13"/>
                <w:color w:val="auto"/>
              </w:rPr>
            </w:pPr>
          </w:p>
        </w:tc>
        <w:tc>
          <w:tcPr>
            <w:tcW w:w="5240" w:type="dxa"/>
            <w:vAlign w:val="bottom"/>
            <w:tcBorders>
              <w:top w:val="single" w:sz="8" w:color="0000FF"/>
            </w:tcBorders>
            <w:gridSpan w:val="8"/>
          </w:tcPr>
          <w:p>
            <w:pPr>
              <w:spacing w:after="0" w:line="152" w:lineRule="exact"/>
              <w:rPr>
                <w:rFonts w:ascii="Arial" w:cs="Arial" w:eastAsia="Arial" w:hAnsi="Arial"/>
                <w:sz w:val="16"/>
                <w:szCs w:val="16"/>
                <w:color w:val="0000FF"/>
                <w:w w:val="95"/>
              </w:rPr>
            </w:pPr>
            <w:hyperlink r:id="rId114">
              <w:r>
                <w:rPr>
                  <w:rFonts w:ascii="Arial" w:cs="Arial" w:eastAsia="Arial" w:hAnsi="Arial"/>
                  <w:sz w:val="16"/>
                  <w:szCs w:val="16"/>
                  <w:color w:val="0000FF"/>
                  <w:w w:val="95"/>
                </w:rPr>
                <w:t>Operating LLC, the guarantors named therein and Delaware Trust Company.</w:t>
              </w:r>
            </w:hyperlink>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00" w:type="dxa"/>
            <w:vAlign w:val="bottom"/>
            <w:gridSpan w:val="13"/>
          </w:tcPr>
          <w:p>
            <w:pPr>
              <w:spacing w:after="0"/>
              <w:rPr>
                <w:rFonts w:ascii="Arial" w:cs="Arial" w:eastAsia="Arial" w:hAnsi="Arial"/>
                <w:sz w:val="16"/>
                <w:szCs w:val="16"/>
                <w:color w:val="0000FF"/>
                <w:w w:val="98"/>
              </w:rPr>
            </w:pPr>
            <w:hyperlink r:id="rId115">
              <w:r>
                <w:rPr>
                  <w:rFonts w:ascii="Arial" w:cs="Arial" w:eastAsia="Arial" w:hAnsi="Arial"/>
                  <w:sz w:val="16"/>
                  <w:szCs w:val="16"/>
                  <w:color w:val="0000FF"/>
                  <w:w w:val="98"/>
                </w:rPr>
                <w:t>First Supplemental Indenture, dated as of May 14, 2021, among Clearway Energy</w:t>
              </w:r>
            </w:hyperlink>
          </w:p>
        </w:tc>
      </w:tr>
      <w:tr>
        <w:trPr>
          <w:trHeight w:val="151"/>
        </w:trPr>
        <w:tc>
          <w:tcPr>
            <w:tcW w:w="1020" w:type="dxa"/>
            <w:vAlign w:val="bottom"/>
          </w:tcPr>
          <w:p>
            <w:pPr>
              <w:spacing w:after="0"/>
              <w:rPr>
                <w:sz w:val="13"/>
                <w:szCs w:val="13"/>
                <w:color w:val="auto"/>
              </w:rPr>
            </w:pPr>
          </w:p>
        </w:tc>
        <w:tc>
          <w:tcPr>
            <w:tcW w:w="5160" w:type="dxa"/>
            <w:vAlign w:val="bottom"/>
            <w:tcBorders>
              <w:top w:val="single" w:sz="8" w:color="0000FF"/>
            </w:tcBorders>
            <w:gridSpan w:val="7"/>
          </w:tcPr>
          <w:p>
            <w:pPr>
              <w:spacing w:after="0" w:line="152" w:lineRule="exact"/>
              <w:rPr>
                <w:rFonts w:ascii="Arial" w:cs="Arial" w:eastAsia="Arial" w:hAnsi="Arial"/>
                <w:sz w:val="16"/>
                <w:szCs w:val="16"/>
                <w:color w:val="0000FF"/>
                <w:w w:val="94"/>
              </w:rPr>
            </w:pPr>
            <w:hyperlink r:id="rId115">
              <w:r>
                <w:rPr>
                  <w:rFonts w:ascii="Arial" w:cs="Arial" w:eastAsia="Arial" w:hAnsi="Arial"/>
                  <w:sz w:val="16"/>
                  <w:szCs w:val="16"/>
                  <w:color w:val="0000FF"/>
                  <w:w w:val="94"/>
                </w:rPr>
                <w:t>Operating LLC, the guarantors named therein and Delaware Trust Company.</w:t>
              </w:r>
            </w:hyperlink>
          </w:p>
        </w:tc>
        <w:tc>
          <w:tcPr>
            <w:tcW w:w="3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00" w:type="dxa"/>
            <w:vAlign w:val="bottom"/>
            <w:gridSpan w:val="13"/>
          </w:tcPr>
          <w:p>
            <w:pPr>
              <w:spacing w:after="0"/>
              <w:rPr>
                <w:rFonts w:ascii="Arial" w:cs="Arial" w:eastAsia="Arial" w:hAnsi="Arial"/>
                <w:sz w:val="16"/>
                <w:szCs w:val="16"/>
                <w:color w:val="0000FF"/>
                <w:w w:val="91"/>
              </w:rPr>
            </w:pPr>
            <w:hyperlink r:id="rId116">
              <w:r>
                <w:rPr>
                  <w:rFonts w:ascii="Arial" w:cs="Arial" w:eastAsia="Arial" w:hAnsi="Arial"/>
                  <w:sz w:val="16"/>
                  <w:szCs w:val="16"/>
                  <w:color w:val="0000FF"/>
                  <w:w w:val="91"/>
                </w:rPr>
                <w:t>Clearway Energy, Inc. Amended and Restated 2013 Equity Incentive Plan, as amended</w:t>
              </w:r>
            </w:hyperlink>
          </w:p>
        </w:tc>
      </w:tr>
      <w:tr>
        <w:trPr>
          <w:trHeight w:val="151"/>
        </w:trPr>
        <w:tc>
          <w:tcPr>
            <w:tcW w:w="1020" w:type="dxa"/>
            <w:vAlign w:val="bottom"/>
          </w:tcPr>
          <w:p>
            <w:pPr>
              <w:spacing w:after="0"/>
              <w:rPr>
                <w:sz w:val="13"/>
                <w:szCs w:val="13"/>
                <w:color w:val="auto"/>
              </w:rPr>
            </w:pPr>
          </w:p>
        </w:tc>
        <w:tc>
          <w:tcPr>
            <w:tcW w:w="5500" w:type="dxa"/>
            <w:vAlign w:val="bottom"/>
            <w:tcBorders>
              <w:top w:val="single" w:sz="8" w:color="0000FF"/>
            </w:tcBorders>
            <w:gridSpan w:val="9"/>
          </w:tcPr>
          <w:p>
            <w:pPr>
              <w:spacing w:after="0" w:line="152" w:lineRule="exact"/>
              <w:rPr>
                <w:rFonts w:ascii="Arial" w:cs="Arial" w:eastAsia="Arial" w:hAnsi="Arial"/>
                <w:sz w:val="16"/>
                <w:szCs w:val="16"/>
                <w:color w:val="0000FF"/>
              </w:rPr>
            </w:pPr>
            <w:hyperlink r:id="rId116">
              <w:r>
                <w:rPr>
                  <w:rFonts w:ascii="Arial" w:cs="Arial" w:eastAsia="Arial" w:hAnsi="Arial"/>
                  <w:sz w:val="16"/>
                  <w:szCs w:val="16"/>
                  <w:color w:val="0000FF"/>
                </w:rPr>
                <w:t>and restated effective February 19, 2021.</w:t>
              </w:r>
            </w:hyperlink>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10.2</w:t>
            </w:r>
          </w:p>
        </w:tc>
        <w:tc>
          <w:tcPr>
            <w:tcW w:w="5700" w:type="dxa"/>
            <w:vAlign w:val="bottom"/>
            <w:gridSpan w:val="13"/>
          </w:tcPr>
          <w:p>
            <w:pPr>
              <w:spacing w:after="0"/>
              <w:rPr>
                <w:rFonts w:ascii="Arial" w:cs="Arial" w:eastAsia="Arial" w:hAnsi="Arial"/>
                <w:sz w:val="16"/>
                <w:szCs w:val="16"/>
                <w:color w:val="0000FF"/>
                <w:w w:val="92"/>
              </w:rPr>
            </w:pPr>
            <w:hyperlink w:anchor="page67">
              <w:r>
                <w:rPr>
                  <w:rFonts w:ascii="Arial" w:cs="Arial" w:eastAsia="Arial" w:hAnsi="Arial"/>
                  <w:sz w:val="16"/>
                  <w:szCs w:val="16"/>
                  <w:color w:val="0000FF"/>
                  <w:w w:val="92"/>
                </w:rPr>
                <w:t>Fifth Amendment to Right of First Offer Agreement, dated as of August 2, 2021, by and</w:t>
              </w:r>
            </w:hyperlink>
          </w:p>
        </w:tc>
      </w:tr>
      <w:tr>
        <w:trPr>
          <w:trHeight w:val="151"/>
        </w:trPr>
        <w:tc>
          <w:tcPr>
            <w:tcW w:w="10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w w:val="89"/>
              </w:rPr>
            </w:pPr>
            <w:hyperlink w:anchor="page67">
              <w:r>
                <w:rPr>
                  <w:rFonts w:ascii="Arial" w:cs="Arial" w:eastAsia="Arial" w:hAnsi="Arial"/>
                  <w:sz w:val="16"/>
                  <w:szCs w:val="16"/>
                  <w:color w:val="0000FF"/>
                  <w:w w:val="89"/>
                </w:rPr>
                <w:t>between Clearway Energy Group LLC and Clearway Energy, Inc.</w:t>
              </w:r>
            </w:hyperlink>
          </w:p>
        </w:tc>
        <w:tc>
          <w:tcPr>
            <w:tcW w:w="142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5700" w:type="dxa"/>
            <w:vAlign w:val="bottom"/>
            <w:gridSpan w:val="1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Rule 13a-14(a)/15d-14(a) certification of Christopher S. Sotos.</w:t>
              </w:r>
            </w:hyperlink>
          </w:p>
        </w:tc>
      </w:tr>
      <w:tr>
        <w:trPr>
          <w:trHeight w:val="191"/>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350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0"/>
              </w:rPr>
            </w:pPr>
            <w:hyperlink w:anchor="page71">
              <w:r>
                <w:rPr>
                  <w:rFonts w:ascii="Arial" w:cs="Arial" w:eastAsia="Arial" w:hAnsi="Arial"/>
                  <w:sz w:val="16"/>
                  <w:szCs w:val="16"/>
                  <w:color w:val="0000FF"/>
                  <w:w w:val="90"/>
                </w:rPr>
                <w:t>Rule 13a-14(a)/15d-14(a) certification of Chad Plotkin.</w:t>
              </w:r>
            </w:hyperlink>
          </w:p>
        </w:tc>
        <w:tc>
          <w:tcPr>
            <w:tcW w:w="460" w:type="dxa"/>
            <w:vAlign w:val="bottom"/>
            <w:tcBorders>
              <w:top w:val="single" w:sz="8" w:color="0000FF"/>
            </w:tcBorders>
            <w:gridSpan w:val="2"/>
          </w:tcPr>
          <w:p>
            <w:pPr>
              <w:spacing w:after="0"/>
              <w:rPr>
                <w:sz w:val="16"/>
                <w:szCs w:val="16"/>
                <w:color w:val="auto"/>
              </w:rPr>
            </w:pPr>
          </w:p>
        </w:tc>
        <w:tc>
          <w:tcPr>
            <w:tcW w:w="1740" w:type="dxa"/>
            <w:vAlign w:val="bottom"/>
            <w:gridSpan w:val="9"/>
          </w:tcPr>
          <w:p>
            <w:pPr>
              <w:spacing w:after="0"/>
              <w:rPr>
                <w:sz w:val="16"/>
                <w:szCs w:val="16"/>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6"/>
                <w:szCs w:val="16"/>
                <w:color w:val="auto"/>
              </w:rPr>
              <w:t>31.3</w:t>
            </w:r>
          </w:p>
        </w:tc>
        <w:tc>
          <w:tcPr>
            <w:tcW w:w="378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Rule 13a-14(a)/15d-14(a) certification of Sarah Rubenstein.</w:t>
              </w:r>
            </w:hyperlink>
          </w:p>
        </w:tc>
        <w:tc>
          <w:tcPr>
            <w:tcW w:w="1920" w:type="dxa"/>
            <w:vAlign w:val="bottom"/>
            <w:gridSpan w:val="10"/>
          </w:tcPr>
          <w:p>
            <w:pPr>
              <w:spacing w:after="0"/>
              <w:rPr>
                <w:sz w:val="16"/>
                <w:szCs w:val="16"/>
                <w:color w:val="auto"/>
              </w:rPr>
            </w:pPr>
          </w:p>
        </w:tc>
      </w:tr>
    </w:tbl>
    <w:p>
      <w:pPr>
        <w:spacing w:after="0" w:line="30" w:lineRule="exact"/>
        <w:rPr>
          <w:sz w:val="20"/>
          <w:szCs w:val="20"/>
          <w:color w:val="auto"/>
        </w:rPr>
      </w:pPr>
    </w:p>
    <w:p>
      <w:pPr>
        <w:ind w:left="1040" w:hanging="1017"/>
        <w:spacing w:after="0"/>
        <w:tabs>
          <w:tab w:leader="none" w:pos="1040" w:val="left"/>
        </w:tabs>
        <w:numPr>
          <w:ilvl w:val="0"/>
          <w:numId w:val="34"/>
        </w:numPr>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Section 1350 Certification.</w:t>
        </w:r>
      </w:hyperlink>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INS</w:t>
            </w:r>
          </w:p>
        </w:tc>
        <w:tc>
          <w:tcPr>
            <w:tcW w:w="3900" w:type="dxa"/>
            <w:vAlign w:val="bottom"/>
          </w:tcPr>
          <w:p>
            <w:pPr>
              <w:ind w:left="220"/>
              <w:spacing w:after="0"/>
              <w:rPr>
                <w:sz w:val="20"/>
                <w:szCs w:val="20"/>
                <w:color w:val="auto"/>
              </w:rPr>
            </w:pPr>
            <w:r>
              <w:rPr>
                <w:rFonts w:ascii="Arial" w:cs="Arial" w:eastAsia="Arial" w:hAnsi="Arial"/>
                <w:sz w:val="16"/>
                <w:szCs w:val="16"/>
                <w:color w:val="auto"/>
              </w:rPr>
              <w:t>Inline XBRL Instance Document.</w:t>
            </w:r>
          </w:p>
        </w:tc>
      </w:tr>
      <w:tr>
        <w:trPr>
          <w:trHeight w:val="211"/>
        </w:trPr>
        <w:tc>
          <w:tcPr>
            <w:tcW w:w="80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00" w:type="dxa"/>
            <w:vAlign w:val="bottom"/>
          </w:tcPr>
          <w:p>
            <w:pPr>
              <w:ind w:left="220"/>
              <w:spacing w:after="0"/>
              <w:rPr>
                <w:sz w:val="20"/>
                <w:szCs w:val="20"/>
                <w:color w:val="auto"/>
              </w:rPr>
            </w:pPr>
            <w:r>
              <w:rPr>
                <w:rFonts w:ascii="Arial" w:cs="Arial" w:eastAsia="Arial" w:hAnsi="Arial"/>
                <w:sz w:val="16"/>
                <w:szCs w:val="16"/>
                <w:color w:val="auto"/>
              </w:rPr>
              <w:t>Inline XBRL Taxonomy Extension Schema.</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CAL</w:t>
            </w:r>
          </w:p>
        </w:tc>
        <w:tc>
          <w:tcPr>
            <w:tcW w:w="3900" w:type="dxa"/>
            <w:vAlign w:val="bottom"/>
          </w:tcPr>
          <w:p>
            <w:pPr>
              <w:ind w:left="220"/>
              <w:spacing w:after="0"/>
              <w:rPr>
                <w:sz w:val="20"/>
                <w:szCs w:val="20"/>
                <w:color w:val="auto"/>
              </w:rPr>
            </w:pPr>
            <w:r>
              <w:rPr>
                <w:rFonts w:ascii="Arial" w:cs="Arial" w:eastAsia="Arial" w:hAnsi="Arial"/>
                <w:sz w:val="16"/>
                <w:szCs w:val="16"/>
                <w:color w:val="auto"/>
                <w:w w:val="92"/>
              </w:rPr>
              <w:t>Inline XBRL Taxonomy Extension Calculation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DEF</w:t>
            </w:r>
          </w:p>
        </w:tc>
        <w:tc>
          <w:tcPr>
            <w:tcW w:w="3900" w:type="dxa"/>
            <w:vAlign w:val="bottom"/>
          </w:tcPr>
          <w:p>
            <w:pPr>
              <w:ind w:left="220"/>
              <w:spacing w:after="0"/>
              <w:rPr>
                <w:sz w:val="20"/>
                <w:szCs w:val="20"/>
                <w:color w:val="auto"/>
              </w:rPr>
            </w:pPr>
            <w:r>
              <w:rPr>
                <w:rFonts w:ascii="Arial" w:cs="Arial" w:eastAsia="Arial" w:hAnsi="Arial"/>
                <w:sz w:val="16"/>
                <w:szCs w:val="16"/>
                <w:color w:val="auto"/>
                <w:w w:val="95"/>
              </w:rPr>
              <w:t>Inline XBRL Taxonomy Extension Definition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LAB</w:t>
            </w:r>
          </w:p>
        </w:tc>
        <w:tc>
          <w:tcPr>
            <w:tcW w:w="3900" w:type="dxa"/>
            <w:vAlign w:val="bottom"/>
          </w:tcPr>
          <w:p>
            <w:pPr>
              <w:ind w:left="220"/>
              <w:spacing w:after="0"/>
              <w:rPr>
                <w:sz w:val="20"/>
                <w:szCs w:val="20"/>
                <w:color w:val="auto"/>
              </w:rPr>
            </w:pPr>
            <w:r>
              <w:rPr>
                <w:rFonts w:ascii="Arial" w:cs="Arial" w:eastAsia="Arial" w:hAnsi="Arial"/>
                <w:sz w:val="16"/>
                <w:szCs w:val="16"/>
                <w:color w:val="auto"/>
              </w:rPr>
              <w:t>Inline XBRL Taxonomy Extension Label Linkbase.</w:t>
            </w:r>
          </w:p>
        </w:tc>
      </w:tr>
      <w:tr>
        <w:trPr>
          <w:trHeight w:val="21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PRE</w:t>
            </w:r>
          </w:p>
        </w:tc>
        <w:tc>
          <w:tcPr>
            <w:tcW w:w="3900" w:type="dxa"/>
            <w:vAlign w:val="bottom"/>
          </w:tcPr>
          <w:p>
            <w:pPr>
              <w:ind w:left="220"/>
              <w:spacing w:after="0"/>
              <w:rPr>
                <w:sz w:val="20"/>
                <w:szCs w:val="20"/>
                <w:color w:val="auto"/>
              </w:rPr>
            </w:pPr>
            <w:r>
              <w:rPr>
                <w:rFonts w:ascii="Arial" w:cs="Arial" w:eastAsia="Arial" w:hAnsi="Arial"/>
                <w:sz w:val="16"/>
                <w:szCs w:val="16"/>
                <w:color w:val="auto"/>
                <w:w w:val="90"/>
              </w:rPr>
              <w:t>Inline XBRL Taxonomy Extension Presentation Linkbase.</w:t>
            </w:r>
          </w:p>
        </w:tc>
      </w:tr>
    </w:tbl>
    <w:p>
      <w:pPr>
        <w:spacing w:after="0" w:line="10" w:lineRule="exact"/>
        <w:rPr>
          <w:sz w:val="20"/>
          <w:szCs w:val="20"/>
          <w:color w:val="auto"/>
        </w:rPr>
      </w:pPr>
    </w:p>
    <w:p>
      <w:pPr>
        <w:ind w:left="1040" w:right="160" w:hanging="1017"/>
        <w:spacing w:after="0" w:line="224"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1"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May 19, 2021.</w:t>
      </w:r>
    </w:p>
    <w:p>
      <w:pPr>
        <w:spacing w:after="0" w:line="145"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May 19, 2021.</w:t>
      </w:r>
    </w:p>
    <w:p>
      <w:pPr>
        <w:spacing w:after="0" w:line="294" w:lineRule="auto"/>
        <w:rPr>
          <w:sz w:val="20"/>
          <w:szCs w:val="20"/>
          <w:color w:val="auto"/>
        </w:rPr>
      </w:pPr>
      <w:r>
        <w:rPr>
          <w:rFonts w:ascii="Arial" w:cs="Arial" w:eastAsia="Arial" w:hAnsi="Arial"/>
          <w:sz w:val="14"/>
          <w:szCs w:val="14"/>
          <w:color w:val="auto"/>
        </w:rPr>
        <w:t>Incorporated herein by reference to Exhibit 4.3 to the Company's Current Report on Form 8-K filed on May 19, 2021.</w:t>
      </w:r>
    </w:p>
    <w:p>
      <w:pPr>
        <w:spacing w:after="0" w:line="274" w:lineRule="auto"/>
        <w:rPr>
          <w:sz w:val="20"/>
          <w:szCs w:val="20"/>
          <w:color w:val="auto"/>
        </w:rPr>
      </w:pPr>
      <w:r>
        <w:rPr>
          <w:rFonts w:ascii="Arial" w:cs="Arial" w:eastAsia="Arial" w:hAnsi="Arial"/>
          <w:sz w:val="15"/>
          <w:szCs w:val="15"/>
          <w:color w:val="auto"/>
        </w:rPr>
        <w:t>Incorporated herein by reference to Exhibit 4.2 to the Company's Current Report on Form 8-K filed on May 3, 2021.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31" w:lineRule="exact"/>
        <w:rPr>
          <w:sz w:val="20"/>
          <w:szCs w:val="20"/>
          <w:color w:val="auto"/>
        </w:rPr>
      </w:pPr>
    </w:p>
    <w:p>
      <w:pPr>
        <w:sectPr>
          <w:pgSz w:w="11900" w:h="16838" w:orient="portrait"/>
          <w:cols w:equalWidth="0" w:num="2">
            <w:col w:w="6720" w:space="200"/>
            <w:col w:w="4100"/>
          </w:cols>
          <w:pgMar w:left="320" w:top="1108" w:right="5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231F2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1108" w:right="5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CLEARWAY ENERGY, INC.</w:t>
            </w: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74"/>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454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71"/>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454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71"/>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2"/>
        </w:trPr>
        <w:tc>
          <w:tcPr>
            <w:tcW w:w="6620" w:type="dxa"/>
            <w:vAlign w:val="bottom"/>
            <w:vMerge w:val="restart"/>
          </w:tcPr>
          <w:p>
            <w:pPr>
              <w:spacing w:after="0"/>
              <w:rPr>
                <w:sz w:val="20"/>
                <w:szCs w:val="20"/>
                <w:color w:val="auto"/>
              </w:rPr>
            </w:pPr>
            <w:r>
              <w:rPr>
                <w:rFonts w:ascii="Arial" w:cs="Arial" w:eastAsia="Arial" w:hAnsi="Arial"/>
                <w:sz w:val="18"/>
                <w:szCs w:val="18"/>
                <w:color w:val="auto"/>
              </w:rPr>
              <w:t>Date: August 3, 2021</w:t>
            </w:r>
          </w:p>
        </w:tc>
        <w:tc>
          <w:tcPr>
            <w:tcW w:w="454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66</w:t>
      </w:r>
    </w:p>
    <w:p>
      <w:pPr>
        <w:sectPr>
          <w:pgSz w:w="11900" w:h="16838" w:orient="portrait"/>
          <w:cols w:equalWidth="0" w:num="1">
            <w:col w:w="11240"/>
          </w:cols>
          <w:pgMar w:left="320" w:top="87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FIFTH AMENDMENT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RIGHT OF FIRST OFFER AGREEMENT</w:t>
      </w:r>
    </w:p>
    <w:p>
      <w:pPr>
        <w:spacing w:after="0" w:line="222" w:lineRule="exact"/>
        <w:rPr>
          <w:sz w:val="20"/>
          <w:szCs w:val="20"/>
          <w:color w:val="auto"/>
        </w:rPr>
      </w:pPr>
    </w:p>
    <w:p>
      <w:pPr>
        <w:jc w:val="both"/>
        <w:ind w:firstLine="632"/>
        <w:spacing w:after="0" w:line="259"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FIFTH AMENDMENT TO RIGHT OF FIRST OFFER AGREEMENT</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August 2, 2021 (the “</w:t>
      </w:r>
      <w:r>
        <w:rPr>
          <w:rFonts w:ascii="Arial" w:cs="Arial" w:eastAsia="Arial" w:hAnsi="Arial"/>
          <w:sz w:val="21"/>
          <w:szCs w:val="21"/>
          <w:u w:val="single" w:color="auto"/>
          <w:color w:val="auto"/>
        </w:rPr>
        <w:t>Amendment Date</w:t>
      </w:r>
      <w:r>
        <w:rPr>
          <w:rFonts w:ascii="Arial" w:cs="Arial" w:eastAsia="Arial" w:hAnsi="Arial"/>
          <w:sz w:val="21"/>
          <w:szCs w:val="21"/>
          <w:color w:val="auto"/>
        </w:rPr>
        <w:t>”), is entered into by and between CLEARWAY ENERGY GROUP LLC, a Delaware limited liability company (f/k/a Zephyr Renewables LLC) (“</w:t>
      </w:r>
      <w:r>
        <w:rPr>
          <w:rFonts w:ascii="Arial" w:cs="Arial" w:eastAsia="Arial" w:hAnsi="Arial"/>
          <w:sz w:val="21"/>
          <w:szCs w:val="21"/>
          <w:u w:val="single" w:color="auto"/>
          <w:color w:val="auto"/>
        </w:rPr>
        <w:t>CEG</w:t>
      </w:r>
      <w:r>
        <w:rPr>
          <w:rFonts w:ascii="Arial" w:cs="Arial" w:eastAsia="Arial" w:hAnsi="Arial"/>
          <w:sz w:val="21"/>
          <w:szCs w:val="21"/>
          <w:color w:val="auto"/>
        </w:rPr>
        <w:t>”), and CLEARWAY ENERGY, INC., a Delaware corporation (f/k/a NRG Yield, Inc.) (“</w:t>
      </w:r>
      <w:r>
        <w:rPr>
          <w:rFonts w:ascii="Arial" w:cs="Arial" w:eastAsia="Arial" w:hAnsi="Arial"/>
          <w:sz w:val="21"/>
          <w:szCs w:val="21"/>
          <w:u w:val="single" w:color="auto"/>
          <w:color w:val="auto"/>
        </w:rPr>
        <w:t>CWEN</w:t>
      </w:r>
      <w:r>
        <w:rPr>
          <w:rFonts w:ascii="Arial" w:cs="Arial" w:eastAsia="Arial" w:hAnsi="Arial"/>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9" w:lineRule="exact"/>
        <w:rPr>
          <w:sz w:val="20"/>
          <w:szCs w:val="20"/>
          <w:color w:val="auto"/>
        </w:rPr>
      </w:pPr>
    </w:p>
    <w:p>
      <w:pPr>
        <w:jc w:val="both"/>
        <w:ind w:firstLine="632"/>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CEG and CWEN are parties to that certain Right of First Offer Agreement dated as of August 31, 2018, as</w:t>
      </w:r>
      <w:r>
        <w:rPr>
          <w:rFonts w:ascii="Arial" w:cs="Arial" w:eastAsia="Arial" w:hAnsi="Arial"/>
          <w:sz w:val="21"/>
          <w:szCs w:val="21"/>
          <w:b w:val="1"/>
          <w:bCs w:val="1"/>
          <w:color w:val="auto"/>
        </w:rPr>
        <w:t xml:space="preserve"> </w:t>
      </w:r>
      <w:r>
        <w:rPr>
          <w:rFonts w:ascii="Arial" w:cs="Arial" w:eastAsia="Arial" w:hAnsi="Arial"/>
          <w:sz w:val="21"/>
          <w:szCs w:val="21"/>
          <w:color w:val="auto"/>
        </w:rPr>
        <w:t>subsequently amended on February 14, 2019, August 1, 2019, December 6, 2019, and November 2, 2020 (as amended, the “</w:t>
      </w:r>
      <w:r>
        <w:rPr>
          <w:rFonts w:ascii="Arial" w:cs="Arial" w:eastAsia="Arial" w:hAnsi="Arial"/>
          <w:sz w:val="21"/>
          <w:szCs w:val="21"/>
          <w:u w:val="single" w:color="auto"/>
          <w:color w:val="auto"/>
        </w:rPr>
        <w:t>ROFO</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but not otherwise defined in this Amendment shall have the respective meanings specified in the ROFO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amend the ROFO Agreement as set forth herein.</w:t>
      </w:r>
    </w:p>
    <w:p>
      <w:pPr>
        <w:spacing w:after="0" w:line="219" w:lineRule="exact"/>
        <w:rPr>
          <w:sz w:val="20"/>
          <w:szCs w:val="20"/>
          <w:color w:val="auto"/>
        </w:rPr>
      </w:pPr>
    </w:p>
    <w:p>
      <w:pPr>
        <w:jc w:val="both"/>
        <w:ind w:firstLine="632"/>
        <w:spacing w:after="0" w:line="33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set forth in this Amendment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CEG and CWEN hereby agree as follows.</w:t>
      </w:r>
    </w:p>
    <w:p>
      <w:pPr>
        <w:spacing w:after="0" w:line="107"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Amendments to Section 1.1 (Definitions)</w:t>
      </w:r>
      <w:r>
        <w:rPr>
          <w:rFonts w:ascii="Arial" w:cs="Arial" w:eastAsia="Arial" w:hAnsi="Arial"/>
          <w:sz w:val="21"/>
          <w:szCs w:val="21"/>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Section 1.1 of the ROFO Agreement is hereby amended by deleting therefrom the definition of “Wildflower”.</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Amendments to Article II</w:t>
      </w:r>
      <w:r>
        <w:rPr>
          <w:rFonts w:ascii="Arial" w:cs="Arial" w:eastAsia="Arial" w:hAnsi="Arial"/>
          <w:sz w:val="21"/>
          <w:szCs w:val="21"/>
          <w:color w:val="auto"/>
        </w:rPr>
        <w:t>.</w:t>
      </w:r>
    </w:p>
    <w:p>
      <w:pPr>
        <w:spacing w:after="0" w:line="219" w:lineRule="exact"/>
        <w:rPr>
          <w:sz w:val="20"/>
          <w:szCs w:val="20"/>
          <w:color w:val="auto"/>
        </w:rPr>
      </w:pPr>
    </w:p>
    <w:p>
      <w:pPr>
        <w:ind w:left="1580" w:right="60" w:firstLine="636"/>
        <w:spacing w:after="0" w:line="505" w:lineRule="auto"/>
        <w:tabs>
          <w:tab w:leader="none" w:pos="252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Section 2.1 of the ROFO Agreement is hereby amended by deleting the word “Wildflower” therefrom. Section 3. </w:t>
      </w:r>
      <w:r>
        <w:rPr>
          <w:rFonts w:ascii="Arial" w:cs="Arial" w:eastAsia="Arial" w:hAnsi="Arial"/>
          <w:sz w:val="19"/>
          <w:szCs w:val="19"/>
          <w:u w:val="single" w:color="auto"/>
          <w:color w:val="auto"/>
        </w:rPr>
        <w:t>Effectiveness of this Amendment</w:t>
      </w:r>
      <w:r>
        <w:rPr>
          <w:rFonts w:ascii="Arial" w:cs="Arial" w:eastAsia="Arial" w:hAnsi="Arial"/>
          <w:sz w:val="19"/>
          <w:szCs w:val="19"/>
          <w:color w:val="auto"/>
        </w:rPr>
        <w:t>. This Amendment is effective as of the Amendment Date.</w:t>
      </w:r>
    </w:p>
    <w:p>
      <w:pPr>
        <w:spacing w:after="0" w:line="2" w:lineRule="exact"/>
        <w:rPr>
          <w:sz w:val="20"/>
          <w:szCs w:val="20"/>
          <w:color w:val="auto"/>
        </w:rPr>
      </w:pPr>
    </w:p>
    <w:p>
      <w:pPr>
        <w:jc w:val="both"/>
        <w:ind w:left="960" w:firstLine="632"/>
        <w:spacing w:after="0" w:line="261"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No Other Changes</w:t>
      </w:r>
      <w:r>
        <w:rPr>
          <w:rFonts w:ascii="Arial" w:cs="Arial" w:eastAsia="Arial" w:hAnsi="Arial"/>
          <w:sz w:val="21"/>
          <w:szCs w:val="21"/>
          <w:color w:val="auto"/>
        </w:rPr>
        <w:t>. Except as expressly provided or contemplated by this Amendment, all the terms, conditions and provisions of the ROFO Agreement remain unaltered and in full force and effect. The ROFO Agreement and this Amendment shall be read and construed as one agreement.</w:t>
      </w:r>
    </w:p>
    <w:p>
      <w:pPr>
        <w:spacing w:after="0" w:line="173" w:lineRule="exact"/>
        <w:rPr>
          <w:sz w:val="20"/>
          <w:szCs w:val="20"/>
          <w:color w:val="auto"/>
        </w:rPr>
      </w:pPr>
    </w:p>
    <w:p>
      <w:pPr>
        <w:jc w:val="both"/>
        <w:ind w:left="960" w:firstLine="632"/>
        <w:spacing w:after="0" w:line="25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Facsimile; Counterparts</w:t>
      </w:r>
      <w:r>
        <w:rPr>
          <w:rFonts w:ascii="Arial" w:cs="Arial" w:eastAsia="Arial" w:hAnsi="Arial"/>
          <w:sz w:val="21"/>
          <w:szCs w:val="21"/>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w:t>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together shall constitute one agreement with the same effect as if the Parties had signed the same signature page.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Section 5.7 of the Agreement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to this Amendment.</w:t>
      </w:r>
    </w:p>
    <w:p>
      <w:pPr>
        <w:spacing w:after="0" w:line="231" w:lineRule="exact"/>
        <w:rPr>
          <w:sz w:val="20"/>
          <w:szCs w:val="20"/>
          <w:color w:val="auto"/>
        </w:rPr>
      </w:pPr>
    </w:p>
    <w:p>
      <w:pPr>
        <w:jc w:val="both"/>
        <w:ind w:firstLine="632"/>
        <w:spacing w:after="0" w:line="257"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176"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280"/>
          </w:cols>
          <w:pgMar w:left="1280" w:top="1394" w:right="339" w:bottom="1440" w:gutter="0" w:footer="0" w:header="0"/>
        </w:sectPr>
      </w:pPr>
    </w:p>
    <w:bookmarkStart w:id="68" w:name="page69"/>
    <w:bookmarkEnd w:id="68"/>
    <w:p>
      <w:pPr>
        <w:ind w:firstLine="632"/>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CEG and CWEN have each caused this Amendment to be executed and delivered in their</w:t>
      </w:r>
      <w:r>
        <w:rPr>
          <w:rFonts w:ascii="Arial" w:cs="Arial" w:eastAsia="Arial" w:hAnsi="Arial"/>
          <w:sz w:val="21"/>
          <w:szCs w:val="21"/>
          <w:b w:val="1"/>
          <w:bCs w:val="1"/>
          <w:color w:val="auto"/>
        </w:rPr>
        <w:t xml:space="preserve"> </w:t>
      </w:r>
      <w:r>
        <w:rPr>
          <w:rFonts w:ascii="Arial" w:cs="Arial" w:eastAsia="Arial" w:hAnsi="Arial"/>
          <w:sz w:val="21"/>
          <w:szCs w:val="21"/>
          <w:color w:val="auto"/>
        </w:rPr>
        <w:t>names by their respective 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CLEARWAY ENERGY GROUP LLC</w:t>
      </w:r>
    </w:p>
    <w:p>
      <w:pPr>
        <w:spacing w:after="0" w:line="67"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27305</wp:posOffset>
            </wp:positionV>
            <wp:extent cx="2089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Craig Cornelius</w:t>
      </w:r>
    </w:p>
    <w:p>
      <w:pPr>
        <w:spacing w:after="0" w:line="6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Chief Executive Officer</w:t>
      </w:r>
    </w:p>
    <w:p>
      <w:pPr>
        <w:spacing w:after="0" w:line="55"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CLEARWAY ENERGY, INC.</w:t>
      </w:r>
    </w:p>
    <w:p>
      <w:pPr>
        <w:spacing w:after="0" w:line="67"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27305</wp:posOffset>
            </wp:positionV>
            <wp:extent cx="2089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Christopher S. Sotos</w:t>
      </w:r>
    </w:p>
    <w:p>
      <w:pPr>
        <w:spacing w:after="0" w:line="6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President  &amp;  Chief  Executive</w:t>
      </w:r>
    </w:p>
    <w:p>
      <w:pPr>
        <w:spacing w:after="0" w:line="2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Fifth Amendment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Right of First Offer Agreement</w:t>
      </w:r>
    </w:p>
    <w:p>
      <w:pPr>
        <w:spacing w:after="0"/>
        <w:rPr>
          <w:sz w:val="20"/>
          <w:szCs w:val="20"/>
          <w:color w:val="auto"/>
        </w:rPr>
      </w:pPr>
      <w:r>
        <w:rPr>
          <w:rFonts w:ascii="Arial" w:cs="Arial" w:eastAsia="Arial" w:hAnsi="Arial"/>
          <w:sz w:val="14"/>
          <w:szCs w:val="14"/>
          <w:color w:val="auto"/>
        </w:rPr>
        <w:t>DCACTIVE-50622050.5</w:t>
      </w:r>
    </w:p>
    <w:p>
      <w:pPr>
        <w:sectPr>
          <w:pgSz w:w="11900" w:h="16838" w:orient="portrait"/>
          <w:cols w:equalWidth="0" w:num="1">
            <w:col w:w="11240"/>
          </w:cols>
          <w:pgMar w:left="320" w:top="138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33" w:lineRule="exact"/>
        <w:rPr>
          <w:sz w:val="20"/>
          <w:szCs w:val="20"/>
          <w:color w:val="auto"/>
        </w:rPr>
      </w:pPr>
    </w:p>
    <w:p>
      <w:pPr>
        <w:ind w:left="640" w:hanging="635"/>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14"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1260" w:hanging="623"/>
        <w:spacing w:after="0" w:line="324" w:lineRule="auto"/>
        <w:tabs>
          <w:tab w:leader="none" w:pos="125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60" w:hanging="623"/>
        <w:spacing w:after="0" w:line="252" w:lineRule="auto"/>
        <w:tabs>
          <w:tab w:leader="none" w:pos="1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60" w:hanging="623"/>
        <w:spacing w:after="0" w:line="324" w:lineRule="auto"/>
        <w:tabs>
          <w:tab w:leader="none" w:pos="125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60" w:hanging="623"/>
        <w:spacing w:after="0" w:line="261" w:lineRule="auto"/>
        <w:tabs>
          <w:tab w:leader="none" w:pos="1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10160</wp:posOffset>
            </wp:positionV>
            <wp:extent cx="1796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Christopher S. Sotos</w:t>
      </w:r>
    </w:p>
    <w:p>
      <w:pPr>
        <w:ind w:left="6880"/>
        <w:spacing w:after="0" w:line="198" w:lineRule="auto"/>
        <w:rPr>
          <w:sz w:val="20"/>
          <w:szCs w:val="20"/>
          <w:color w:val="auto"/>
        </w:rPr>
      </w:pPr>
      <w:r>
        <w:rPr>
          <w:rFonts w:ascii="Arial" w:cs="Arial" w:eastAsia="Arial" w:hAnsi="Arial"/>
          <w:sz w:val="18"/>
          <w:szCs w:val="18"/>
          <w:i w:val="1"/>
          <w:iCs w:val="1"/>
          <w:color w:val="auto"/>
        </w:rPr>
        <w:t>Chief Executive Officer</w:t>
      </w:r>
    </w:p>
    <w:p>
      <w:pPr>
        <w:ind w:left="688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96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33" w:lineRule="exact"/>
        <w:rPr>
          <w:sz w:val="20"/>
          <w:szCs w:val="20"/>
          <w:color w:val="auto"/>
        </w:rPr>
      </w:pPr>
    </w:p>
    <w:p>
      <w:pPr>
        <w:ind w:left="640" w:hanging="63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14"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1260" w:hanging="623"/>
        <w:spacing w:after="0" w:line="324" w:lineRule="auto"/>
        <w:tabs>
          <w:tab w:leader="none" w:pos="125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60" w:hanging="623"/>
        <w:spacing w:after="0" w:line="252" w:lineRule="auto"/>
        <w:tabs>
          <w:tab w:leader="none" w:pos="12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60" w:hanging="623"/>
        <w:spacing w:after="0" w:line="324" w:lineRule="auto"/>
        <w:tabs>
          <w:tab w:leader="none" w:pos="125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60" w:hanging="623"/>
        <w:spacing w:after="0" w:line="261" w:lineRule="auto"/>
        <w:tabs>
          <w:tab w:leader="none" w:pos="12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10160</wp:posOffset>
            </wp:positionV>
            <wp:extent cx="1846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Chad Plotkin</w:t>
      </w:r>
    </w:p>
    <w:p>
      <w:pPr>
        <w:ind w:left="6800"/>
        <w:spacing w:after="0" w:line="198" w:lineRule="auto"/>
        <w:rPr>
          <w:sz w:val="20"/>
          <w:szCs w:val="20"/>
          <w:color w:val="auto"/>
        </w:rPr>
      </w:pPr>
      <w:r>
        <w:rPr>
          <w:rFonts w:ascii="Arial" w:cs="Arial" w:eastAsia="Arial" w:hAnsi="Arial"/>
          <w:sz w:val="18"/>
          <w:szCs w:val="18"/>
          <w:i w:val="1"/>
          <w:iCs w:val="1"/>
          <w:color w:val="auto"/>
        </w:rPr>
        <w:t>Chief Financial Officer</w:t>
      </w:r>
    </w:p>
    <w:p>
      <w:pPr>
        <w:ind w:left="6800"/>
        <w:spacing w:after="0" w:line="184" w:lineRule="auto"/>
        <w:rPr>
          <w:sz w:val="20"/>
          <w:szCs w:val="20"/>
          <w:color w:val="auto"/>
        </w:rPr>
      </w:pPr>
      <w:r>
        <w:rPr>
          <w:rFonts w:ascii="Arial" w:cs="Arial" w:eastAsia="Arial" w:hAnsi="Arial"/>
          <w:sz w:val="17"/>
          <w:szCs w:val="17"/>
          <w:i w:val="1"/>
          <w:iCs w:val="1"/>
          <w:color w:val="auto"/>
        </w:rPr>
        <w:t>(Principal</w:t>
      </w:r>
      <w:r>
        <w:rPr>
          <w:rFonts w:ascii="Arial" w:cs="Arial" w:eastAsia="Arial" w:hAnsi="Arial"/>
          <w:sz w:val="34"/>
          <w:szCs w:val="34"/>
          <w:color w:val="auto"/>
          <w:vertAlign w:val="subscript"/>
        </w:rPr>
        <w:t>.</w:t>
      </w:r>
      <w:r>
        <w:rPr>
          <w:rFonts w:ascii="Arial" w:cs="Arial" w:eastAsia="Arial" w:hAnsi="Arial"/>
          <w:sz w:val="17"/>
          <w:szCs w:val="17"/>
          <w:i w:val="1"/>
          <w:iCs w:val="1"/>
          <w:color w:val="auto"/>
        </w:rPr>
        <w:t xml:space="preserve">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96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33" w:lineRule="exact"/>
        <w:rPr>
          <w:sz w:val="20"/>
          <w:szCs w:val="20"/>
          <w:color w:val="auto"/>
        </w:rPr>
      </w:pPr>
    </w:p>
    <w:p>
      <w:pPr>
        <w:ind w:left="640" w:hanging="63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14"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1260" w:hanging="623"/>
        <w:spacing w:after="0" w:line="252" w:lineRule="auto"/>
        <w:tabs>
          <w:tab w:leader="none" w:pos="12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1260" w:hanging="623"/>
        <w:spacing w:after="0" w:line="324" w:lineRule="auto"/>
        <w:tabs>
          <w:tab w:leader="none" w:pos="125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jc w:val="both"/>
        <w:ind w:left="1260" w:hanging="623"/>
        <w:spacing w:after="0" w:line="252" w:lineRule="auto"/>
        <w:tabs>
          <w:tab w:leader="none" w:pos="12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260" w:hanging="623"/>
        <w:spacing w:after="0" w:line="324" w:lineRule="auto"/>
        <w:tabs>
          <w:tab w:leader="none" w:pos="125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6"/>
          <w:szCs w:val="16"/>
          <w:color w:val="auto"/>
        </w:rPr>
      </w:pPr>
    </w:p>
    <w:p>
      <w:pPr>
        <w:ind w:left="1260" w:hanging="623"/>
        <w:spacing w:after="0" w:line="261" w:lineRule="auto"/>
        <w:tabs>
          <w:tab w:leader="none" w:pos="12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10160</wp:posOffset>
            </wp:positionV>
            <wp:extent cx="16960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8"/>
          <w:szCs w:val="18"/>
          <w:color w:val="auto"/>
        </w:rPr>
        <w:t>Sarah Rubenstein</w:t>
      </w:r>
    </w:p>
    <w:p>
      <w:pPr>
        <w:ind w:left="7220"/>
        <w:spacing w:after="0" w:line="198" w:lineRule="auto"/>
        <w:rPr>
          <w:sz w:val="20"/>
          <w:szCs w:val="20"/>
          <w:color w:val="auto"/>
        </w:rPr>
      </w:pPr>
      <w:r>
        <w:rPr>
          <w:rFonts w:ascii="Arial" w:cs="Arial" w:eastAsia="Arial" w:hAnsi="Arial"/>
          <w:sz w:val="18"/>
          <w:szCs w:val="18"/>
          <w:i w:val="1"/>
          <w:iCs w:val="1"/>
          <w:color w:val="auto"/>
        </w:rPr>
        <w:t>Vice President, Accounting &amp; Controller</w:t>
      </w:r>
    </w:p>
    <w:p>
      <w:pPr>
        <w:ind w:left="7220"/>
        <w:spacing w:after="0"/>
        <w:rPr>
          <w:sz w:val="20"/>
          <w:szCs w:val="20"/>
          <w:color w:val="auto"/>
        </w:rPr>
      </w:pPr>
      <w:r>
        <w:rPr>
          <w:rFonts w:ascii="Arial" w:cs="Arial" w:eastAsia="Arial" w:hAnsi="Arial"/>
          <w:sz w:val="18"/>
          <w:szCs w:val="18"/>
          <w:i w:val="1"/>
          <w:iCs w:val="1"/>
          <w:color w:val="auto"/>
        </w:rPr>
        <w:t>(Principal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87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316"/>
        <w:spacing w:after="0" w:line="297" w:lineRule="auto"/>
        <w:rPr>
          <w:sz w:val="20"/>
          <w:szCs w:val="20"/>
          <w:color w:val="auto"/>
        </w:rPr>
      </w:pPr>
      <w:r>
        <w:rPr>
          <w:rFonts w:ascii="Arial" w:cs="Arial" w:eastAsia="Arial" w:hAnsi="Arial"/>
          <w:sz w:val="16"/>
          <w:szCs w:val="16"/>
          <w:color w:val="auto"/>
        </w:rPr>
        <w:t>In connection with the Quarterly Report of Clearway Energy, Inc. on Form 10-Q for the quarter ended June 30,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 w:lineRule="exact"/>
        <w:rPr>
          <w:sz w:val="20"/>
          <w:szCs w:val="20"/>
          <w:color w:val="auto"/>
        </w:rPr>
      </w:pPr>
    </w:p>
    <w:p>
      <w:pPr>
        <w:ind w:left="640" w:hanging="31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56" w:lineRule="exact"/>
        <w:rPr>
          <w:rFonts w:ascii="Arial" w:cs="Arial" w:eastAsia="Arial" w:hAnsi="Arial"/>
          <w:sz w:val="18"/>
          <w:szCs w:val="18"/>
          <w:color w:val="auto"/>
        </w:rPr>
      </w:pPr>
    </w:p>
    <w:p>
      <w:pPr>
        <w:ind w:left="640" w:hanging="319"/>
        <w:spacing w:after="0" w:line="261"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9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10160</wp:posOffset>
            </wp:positionV>
            <wp:extent cx="2439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S. Sotos</w:t>
      </w:r>
    </w:p>
    <w:p>
      <w:pPr>
        <w:ind w:left="5860"/>
        <w:spacing w:after="0" w:line="233"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10160</wp:posOffset>
            </wp:positionV>
            <wp:extent cx="2439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Chad Plotkin</w:t>
      </w:r>
    </w:p>
    <w:p>
      <w:pPr>
        <w:ind w:left="5860"/>
        <w:spacing w:after="0" w:line="233"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10160</wp:posOffset>
            </wp:positionV>
            <wp:extent cx="2439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Sarah Rubenstein</w:t>
      </w:r>
    </w:p>
    <w:p>
      <w:pPr>
        <w:ind w:left="5860"/>
        <w:spacing w:after="0" w:line="233" w:lineRule="auto"/>
        <w:rPr>
          <w:sz w:val="20"/>
          <w:szCs w:val="20"/>
          <w:color w:val="auto"/>
        </w:rPr>
      </w:pPr>
      <w:r>
        <w:rPr>
          <w:rFonts w:ascii="Arial" w:cs="Arial" w:eastAsia="Arial" w:hAnsi="Arial"/>
          <w:sz w:val="18"/>
          <w:szCs w:val="18"/>
          <w:i w:val="1"/>
          <w:iCs w:val="1"/>
          <w:color w:val="auto"/>
        </w:rPr>
        <w:t>Vice President, Accounting &amp; Controller</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1"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24" w:lineRule="exact"/>
        <w:rPr>
          <w:sz w:val="20"/>
          <w:szCs w:val="20"/>
          <w:color w:val="auto"/>
        </w:rPr>
      </w:pPr>
    </w:p>
    <w:p>
      <w:pPr>
        <w:jc w:val="both"/>
        <w:ind w:firstLine="316"/>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2"/>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4"/>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32"/>
    </w:lvl>
  </w:abstractNum>
  <w:abstractNum w:abstractNumId="34">
    <w:nsid w:val="7724C67E"/>
    <w:multiLevelType w:val="hybridMultilevel"/>
    <w:lvl w:ilvl="0">
      <w:lvlJc w:val="left"/>
      <w:lvlText w:val="%1"/>
      <w:numFmt w:val="decimal"/>
      <w:start w:val="104"/>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13" Type="http://schemas.openxmlformats.org/officeDocument/2006/relationships/hyperlink" Target="https://www.sec.gov/Archives/edgar/data/1567683/000110465921069314/tm2116590d1_ex4-1.htm" TargetMode="External"/><Relationship Id="rId114" Type="http://schemas.openxmlformats.org/officeDocument/2006/relationships/hyperlink" Target="https://www.sec.gov/Archives/edgar/data/1567683/000110465921069314/tm2116590d1_ex4-2.htm" TargetMode="External"/><Relationship Id="rId115" Type="http://schemas.openxmlformats.org/officeDocument/2006/relationships/hyperlink" Target="https://www.sec.gov/Archives/edgar/data/1567683/000110465921069314/tm2116590d1_ex4-3.htm" TargetMode="External"/><Relationship Id="rId116" Type="http://schemas.openxmlformats.org/officeDocument/2006/relationships/hyperlink" Target="http://www.sec.gov/Archives/edgar/data/1567683/000110465921060252/tm21144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2021-08-03T10:52:12Z</dcterms:created>
  <dcterms:modified xsi:type="dcterms:W3CDTF">2021-08-03T10:52:12Z</dcterms:modified>
</cp:coreProperties>
</file>