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580" w:hanging="3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36" w:lineRule="exact"/>
        <w:rPr>
          <w:sz w:val="24"/>
          <w:szCs w:val="24"/>
          <w:color w:val="auto"/>
        </w:rPr>
      </w:pPr>
    </w:p>
    <w:p>
      <w:pPr>
        <w:ind w:left="540" w:hanging="350"/>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001-36002</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Clearway Energy,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07" w:right="339" w:bottom="1440" w:gutter="0" w:footer="0" w:header="0"/>
        </w:sectPr>
      </w:pPr>
    </w:p>
    <w:p>
      <w:pPr>
        <w:spacing w:after="0" w:line="26"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jc w:val="center"/>
        <w:ind w:right="40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2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4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64" w:lineRule="exact"/>
        <w:rPr>
          <w:sz w:val="24"/>
          <w:szCs w:val="24"/>
          <w:color w:val="auto"/>
        </w:rPr>
      </w:pPr>
    </w:p>
    <w:p>
      <w:pPr>
        <w:sectPr>
          <w:pgSz w:w="11900" w:h="16838" w:orient="portrait"/>
          <w:cols w:equalWidth="0" w:num="2">
            <w:col w:w="7760" w:space="720"/>
            <w:col w:w="2760"/>
          </w:cols>
          <w:pgMar w:left="320" w:top="1407" w:right="339" w:bottom="1440" w:gutter="0" w:footer="0" w:header="0"/>
          <w:type w:val="continuous"/>
        </w:sectPr>
      </w:pPr>
    </w:p>
    <w:p>
      <w:pPr>
        <w:ind w:left="2160" w:right="100" w:hanging="1477"/>
        <w:spacing w:after="0" w:line="302" w:lineRule="auto"/>
        <w:rPr>
          <w:sz w:val="20"/>
          <w:szCs w:val="20"/>
          <w:color w:val="auto"/>
        </w:rPr>
      </w:pPr>
      <w:r>
        <w:rPr>
          <w:rFonts w:ascii="Times New Roman" w:cs="Times New Roman" w:eastAsia="Times New Roman" w:hAnsi="Times New Roman"/>
          <w:sz w:val="18"/>
          <w:szCs w:val="18"/>
          <w:b w:val="1"/>
          <w:bCs w:val="1"/>
          <w:color w:val="auto"/>
        </w:rPr>
        <w:t>300 Carnegie Center, Suite 300</w:t>
      </w:r>
      <w:r>
        <w:rPr>
          <w:sz w:val="20"/>
          <w:szCs w:val="20"/>
          <w:color w:val="auto"/>
        </w:rPr>
        <w:t xml:space="preserve"> </w:t>
      </w:r>
      <w:r>
        <w:rPr>
          <w:rFonts w:ascii="Times New Roman" w:cs="Times New Roman" w:eastAsia="Times New Roman" w:hAnsi="Times New Roman"/>
          <w:sz w:val="18"/>
          <w:szCs w:val="18"/>
          <w:b w:val="1"/>
          <w:bCs w:val="1"/>
          <w:color w:val="auto"/>
        </w:rPr>
        <w:t xml:space="preserve">Princeton </w:t>
      </w: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Jersey</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08540</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(Zip Code)</w:t>
      </w:r>
    </w:p>
    <w:p>
      <w:pPr>
        <w:spacing w:after="0" w:line="275" w:lineRule="exact"/>
        <w:rPr>
          <w:sz w:val="24"/>
          <w:szCs w:val="24"/>
          <w:color w:val="auto"/>
        </w:rPr>
      </w:pPr>
    </w:p>
    <w:p>
      <w:pPr>
        <w:sectPr>
          <w:pgSz w:w="11900" w:h="16838" w:orient="portrait"/>
          <w:cols w:equalWidth="0" w:num="3">
            <w:col w:w="5120" w:space="720"/>
            <w:col w:w="2180" w:space="720"/>
            <w:col w:w="2500"/>
          </w:cols>
          <w:pgMar w:left="320" w:top="1407" w:right="339" w:bottom="1440" w:gutter="0" w:footer="0" w:header="0"/>
          <w:type w:val="continuous"/>
        </w:sectPr>
      </w:pP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6"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0"/>
        </w:trPr>
        <w:tc>
          <w:tcPr>
            <w:tcW w:w="35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CWEN.A</w:t>
            </w:r>
          </w:p>
        </w:tc>
        <w:tc>
          <w:tcPr>
            <w:tcW w:w="39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CWEN</w:t>
            </w:r>
          </w:p>
        </w:tc>
        <w:tc>
          <w:tcPr>
            <w:tcW w:w="39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5"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0" w:lineRule="exact"/>
        <w:rPr>
          <w:sz w:val="24"/>
          <w:szCs w:val="24"/>
          <w:color w:val="auto"/>
        </w:rPr>
      </w:pPr>
    </w:p>
    <w:p>
      <w:pPr>
        <w:jc w:val="center"/>
        <w:spacing w:after="0" w:line="184" w:lineRule="exact"/>
        <w:tabs>
          <w:tab w:leader="none" w:pos="2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12" w:lineRule="exact"/>
        <w:rPr>
          <w:sz w:val="24"/>
          <w:szCs w:val="24"/>
          <w:color w:val="auto"/>
        </w:rPr>
      </w:pPr>
    </w:p>
    <w:p>
      <w:pPr>
        <w:jc w:val="both"/>
        <w:ind w:firstLine="283"/>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0" w:lineRule="exact"/>
        <w:rPr>
          <w:sz w:val="24"/>
          <w:szCs w:val="24"/>
          <w:color w:val="auto"/>
        </w:rPr>
      </w:pPr>
    </w:p>
    <w:p>
      <w:pPr>
        <w:jc w:val="center"/>
        <w:spacing w:after="0" w:line="184" w:lineRule="exact"/>
        <w:tabs>
          <w:tab w:leader="none" w:pos="2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12" w:lineRule="exact"/>
        <w:rPr>
          <w:sz w:val="24"/>
          <w:szCs w:val="24"/>
          <w:color w:val="auto"/>
        </w:rPr>
      </w:pPr>
    </w:p>
    <w:p>
      <w:pPr>
        <w:jc w:val="both"/>
        <w:ind w:firstLine="283"/>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200" w:type="dxa"/>
        <w:tblCellMar>
          <w:top w:w="0" w:type="dxa"/>
          <w:left w:w="0" w:type="dxa"/>
          <w:bottom w:w="0" w:type="dxa"/>
          <w:right w:w="0" w:type="dxa"/>
        </w:tblCellMar>
      </w:tblPr>
      <w:tr>
        <w:trPr>
          <w:trHeight w:val="256"/>
        </w:trPr>
        <w:tc>
          <w:tcPr>
            <w:tcW w:w="22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jc w:val="both"/>
        <w:ind w:firstLine="324"/>
        <w:spacing w:after="0" w:line="19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87" w:lineRule="exact"/>
        <w:rPr>
          <w:sz w:val="24"/>
          <w:szCs w:val="24"/>
          <w:color w:val="auto"/>
        </w:rPr>
      </w:pPr>
    </w:p>
    <w:p>
      <w:pPr>
        <w:ind w:left="5080"/>
        <w:spacing w:after="0" w:line="184" w:lineRule="exact"/>
        <w:tabs>
          <w:tab w:leader="none" w:pos="57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12" w:lineRule="exact"/>
        <w:rPr>
          <w:sz w:val="24"/>
          <w:szCs w:val="24"/>
          <w:color w:val="auto"/>
        </w:rPr>
      </w:pPr>
    </w:p>
    <w:p>
      <w:pPr>
        <w:jc w:val="both"/>
        <w:ind w:firstLine="283"/>
        <w:spacing w:after="0" w:line="232" w:lineRule="auto"/>
        <w:rPr>
          <w:sz w:val="20"/>
          <w:szCs w:val="20"/>
          <w:color w:val="auto"/>
        </w:rPr>
      </w:pPr>
      <w:r>
        <w:rPr>
          <w:rFonts w:ascii="Times New Roman" w:cs="Times New Roman" w:eastAsia="Times New Roman" w:hAnsi="Times New Roman"/>
          <w:sz w:val="16"/>
          <w:szCs w:val="16"/>
          <w:color w:val="auto"/>
        </w:rPr>
        <w:t>As of April 28, 2023, there were 34,613,853 shares of Class A common stock outstanding, par value $0.01 per share, 42,738,750 shares of Class B common stock outstanding, par value $0.01 per share, 82,385,884 shares of Class C common stock outstanding, par value $0.01 per share, and 42,336,750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797560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CAUTIONARY STATEMENT REGARDING FORWARD LOOKING INFORMATION</w:t>
            </w:r>
          </w:p>
        </w:tc>
        <w:tc>
          <w:tcPr>
            <w:tcW w:w="3660" w:type="dxa"/>
            <w:vAlign w:val="bottom"/>
            <w:gridSpan w:val="4"/>
          </w:tcPr>
          <w:p>
            <w:pPr>
              <w:spacing w:after="0"/>
              <w:rPr>
                <w:sz w:val="17"/>
                <w:szCs w:val="17"/>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8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GLOSSARY OF TERMS</w:t>
            </w:r>
          </w:p>
        </w:tc>
        <w:tc>
          <w:tcPr>
            <w:tcW w:w="3660" w:type="dxa"/>
            <w:vAlign w:val="bottom"/>
            <w:gridSpan w:val="4"/>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220" w:type="dxa"/>
            <w:vAlign w:val="bottom"/>
            <w:gridSpan w:val="8"/>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 FINANCIAL STATEMENTS AND NOTES</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 OPERATIONS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ITEM 3 — QUANTITATIVE AND QUALITATIVE DISCLOSURES ABOUT MARKET RISK</w:t>
            </w:r>
          </w:p>
        </w:tc>
        <w:tc>
          <w:tcPr>
            <w:tcW w:w="276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6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520" w:type="dxa"/>
            <w:vAlign w:val="bottom"/>
            <w:gridSpan w:val="9"/>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 RISK FACTORS</w:t>
            </w:r>
          </w:p>
        </w:tc>
        <w:tc>
          <w:tcPr>
            <w:tcW w:w="480" w:type="dxa"/>
            <w:vAlign w:val="bottom"/>
            <w:tcBorders>
              <w:top w:val="single" w:sz="8" w:color="0000FF"/>
            </w:tcBorders>
          </w:tcPr>
          <w:p>
            <w:pPr>
              <w:spacing w:after="0"/>
              <w:rPr>
                <w:sz w:val="18"/>
                <w:szCs w:val="18"/>
                <w:color w:val="auto"/>
              </w:rPr>
            </w:pPr>
          </w:p>
        </w:tc>
        <w:tc>
          <w:tcPr>
            <w:tcW w:w="756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 UNREGISTERED SALES OF EQUITY SECURITIES AND USE OF PROCEEDS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3</w:t>
            </w:r>
          </w:p>
        </w:tc>
        <w:tc>
          <w:tcPr>
            <w:tcW w:w="3460" w:type="dxa"/>
            <w:vAlign w:val="bottom"/>
            <w:tcBorders>
              <w:top w:val="single" w:sz="8" w:color="0000FF"/>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336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4</w:t>
            </w:r>
          </w:p>
        </w:tc>
        <w:tc>
          <w:tcPr>
            <w:tcW w:w="270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 MINE SAFETY DISCLOSURES</w:t>
            </w:r>
          </w:p>
        </w:tc>
        <w:tc>
          <w:tcPr>
            <w:tcW w:w="698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5</w:t>
            </w:r>
          </w:p>
        </w:tc>
        <w:tc>
          <w:tcPr>
            <w:tcW w:w="21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 OTHER INFORMATION</w:t>
            </w:r>
          </w:p>
        </w:tc>
        <w:tc>
          <w:tcPr>
            <w:tcW w:w="754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4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6</w:t>
            </w:r>
          </w:p>
        </w:tc>
        <w:tc>
          <w:tcPr>
            <w:tcW w:w="108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 EXHIBITS</w:t>
            </w:r>
          </w:p>
        </w:tc>
        <w:tc>
          <w:tcPr>
            <w:tcW w:w="86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4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40" w:type="dxa"/>
            <w:vAlign w:val="bottom"/>
          </w:tcPr>
          <w:p>
            <w:pPr>
              <w:spacing w:after="0"/>
              <w:rPr>
                <w:sz w:val="18"/>
                <w:szCs w:val="18"/>
                <w:color w:val="auto"/>
              </w:rPr>
            </w:pPr>
          </w:p>
        </w:tc>
      </w:tr>
      <w:tr>
        <w:trPr>
          <w:trHeight w:val="979"/>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460" w:type="dxa"/>
            <w:vAlign w:val="bottom"/>
            <w:gridSpan w:val="11"/>
          </w:tcPr>
          <w:p>
            <w:pPr>
              <w:jc w:val="right"/>
              <w:ind w:right="1200"/>
              <w:spacing w:after="0"/>
              <w:rPr>
                <w:sz w:val="20"/>
                <w:szCs w:val="20"/>
                <w:color w:val="auto"/>
              </w:rPr>
            </w:pPr>
            <w:r>
              <w:rPr>
                <w:rFonts w:ascii="Times New Roman" w:cs="Times New Roman" w:eastAsia="Times New Roman" w:hAnsi="Times New Roman"/>
                <w:sz w:val="18"/>
                <w:szCs w:val="18"/>
                <w:color w:val="231F20"/>
              </w:rPr>
              <w:t>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2022, as well as the following:</w:t>
      </w:r>
    </w:p>
    <w:p>
      <w:pPr>
        <w:spacing w:after="0" w:line="3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dividend;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GIP, TotalEnergies and CEG;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and dispositions to,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CEG;</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 and</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858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02"/>
        </w:trPr>
        <w:tc>
          <w:tcPr>
            <w:tcW w:w="2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2028 Senior Notes</w:t>
            </w:r>
          </w:p>
        </w:tc>
        <w:tc>
          <w:tcPr>
            <w:tcW w:w="85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$850 million aggregate principal amount of 4.75% unsecured senior notes due 2028, issued by Clearway Energy</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2031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$925 million aggregate principal amount of 3.75% unsecured senior notes due 2031, issued by Clearway Energy</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2032 Senior Notes</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$350 million aggregate principal amount of 3.75% unsecured senior notes due 2032, issued by Clearway Energy</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22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non-GAAP measure, represents earnings before interest (including loss on debt extinguishment), tax,</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adjusted for mark-to-market gains or losses, asset write offs and impairments; and</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factors which the Company does not consider indicative of future operating performance</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ASC</w:t>
            </w:r>
          </w:p>
        </w:tc>
        <w:tc>
          <w:tcPr>
            <w:tcW w:w="85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authoritative GAAP</w:t>
            </w: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At-The-Market Equity Offering Program</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Bridge Loan Agreement</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Senior secured bridge credit agreement entered into by Clearway Energy Operating LLC that provided a term loan</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facility in an aggregate principal amount of $335 million that was repaid on May 3, 2022</w:t>
            </w:r>
          </w:p>
        </w:tc>
        <w:tc>
          <w:tcPr>
            <w:tcW w:w="0" w:type="dxa"/>
            <w:vAlign w:val="bottom"/>
          </w:tcPr>
          <w:p>
            <w:pPr>
              <w:spacing w:after="0"/>
              <w:rPr>
                <w:sz w:val="1"/>
                <w:szCs w:val="1"/>
                <w:color w:val="auto"/>
              </w:rPr>
            </w:pP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CAFD</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 non-GAAP measure, Cash Available for Distribution is defined as of March 31, 2023 as Adjusted EBITDA plus</w:t>
            </w: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cash distributions/return of investment from unconsolidated affiliates, cash receipts from notes receivable, cash</w:t>
            </w: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distributions from noncontrolling interests, adjustments to reflect sales-type lease cash payments and payments for</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85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lease expenses, less cash distributions to noncontrolling interests, maintenance capital expenditures, pro-rata</w:t>
            </w: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Adjusted EBITDA from unconsolidated affiliates, cash interest paid, income taxes paid, principal amortization of</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indebtedness, changes in prepaid and accrued capacity payments and adjusted for development expenses</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Capistrano Wind Portfolio</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Five wind projects representing 413 MW of capacity, which includes Broken Bow and Crofton Bluffs located in</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Nebraska, Cedro Hill located in Texas and Mountain Wind Power I and II located in Wyoming</w:t>
            </w: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CEG Master Services Agreement</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Master Services Agreements entered into as of August 31, 2018 and amended on February 2, 2023 between the</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Clearway Energy LLC and Clearway Energy Operating LLC, and CEG</w:t>
            </w:r>
          </w:p>
        </w:tc>
        <w:tc>
          <w:tcPr>
            <w:tcW w:w="0" w:type="dxa"/>
            <w:vAlign w:val="bottom"/>
          </w:tcPr>
          <w:p>
            <w:pPr>
              <w:spacing w:after="0"/>
              <w:rPr>
                <w:sz w:val="1"/>
                <w:szCs w:val="1"/>
                <w:color w:val="auto"/>
              </w:rPr>
            </w:pP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Clearway Energy LLC</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The holding company through which the projects are owned by Clearway Energy Group LLC, the holder of Class</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 and Class D units, and Clearway Energy, Inc., the holder of the Class A and Class C units</w:t>
            </w:r>
          </w:p>
        </w:tc>
        <w:tc>
          <w:tcPr>
            <w:tcW w:w="0" w:type="dxa"/>
            <w:vAlign w:val="bottom"/>
          </w:tcPr>
          <w:p>
            <w:pPr>
              <w:spacing w:after="0"/>
              <w:rPr>
                <w:sz w:val="1"/>
                <w:szCs w:val="1"/>
                <w:color w:val="auto"/>
              </w:rPr>
            </w:pPr>
          </w:p>
        </w:tc>
      </w:tr>
      <w:tr>
        <w:trPr>
          <w:trHeight w:val="184"/>
        </w:trPr>
        <w:tc>
          <w:tcPr>
            <w:tcW w:w="2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Clearway Energy Group LLC</w:t>
            </w:r>
          </w:p>
        </w:tc>
        <w:tc>
          <w:tcPr>
            <w:tcW w:w="85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The holder of all the Company’s Class B and Class D common stock and Clearway Energy LLC’s Class B and</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D units and, from time to time, possibly shares of the Company’s Class A and/or Class C common stock</w:t>
            </w: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Clearway Energy, Inc., together with its consolidated subsidiaries</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California Valley Solar Ranch</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 Holdco</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c>
          <w:tcPr>
            <w:tcW w:w="0" w:type="dxa"/>
            <w:vAlign w:val="bottom"/>
          </w:tcPr>
          <w:p>
            <w:pPr>
              <w:spacing w:after="0"/>
              <w:rPr>
                <w:sz w:val="1"/>
                <w:szCs w:val="1"/>
                <w:color w:val="auto"/>
              </w:rPr>
            </w:pPr>
          </w:p>
        </w:tc>
      </w:tr>
      <w:tr>
        <w:trPr>
          <w:trHeight w:val="180"/>
        </w:trPr>
        <w:tc>
          <w:tcPr>
            <w:tcW w:w="2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Distributed Solar</w:t>
            </w:r>
          </w:p>
        </w:tc>
        <w:tc>
          <w:tcPr>
            <w:tcW w:w="85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Solar power projects, typically less than 20 MW in size (on an alternating current, or AC, basis), that primarily sell</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produced to customers for usage on site, or are interconnected to sell power into the local distribution grid</w:t>
            </w:r>
          </w:p>
        </w:tc>
        <w:tc>
          <w:tcPr>
            <w:tcW w:w="0" w:type="dxa"/>
            <w:vAlign w:val="bottom"/>
          </w:tcPr>
          <w:p>
            <w:pPr>
              <w:spacing w:after="0"/>
              <w:rPr>
                <w:sz w:val="1"/>
                <w:szCs w:val="1"/>
                <w:color w:val="auto"/>
              </w:rPr>
            </w:pP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Drop Down Assets</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under common control acquired by the Company from CEG</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GenConn</w:t>
            </w:r>
          </w:p>
        </w:tc>
        <w:tc>
          <w:tcPr>
            <w:tcW w:w="8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GenConn Energy LLC</w:t>
            </w: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GIP</w:t>
            </w:r>
          </w:p>
        </w:tc>
        <w:tc>
          <w:tcPr>
            <w:tcW w:w="85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Global Infrastructure Partners</w:t>
            </w:r>
          </w:p>
        </w:tc>
        <w:tc>
          <w:tcPr>
            <w:tcW w:w="0" w:type="dxa"/>
            <w:vAlign w:val="bottom"/>
          </w:tcPr>
          <w:p>
            <w:pPr>
              <w:spacing w:after="0"/>
              <w:rPr>
                <w:sz w:val="1"/>
                <w:szCs w:val="1"/>
                <w:color w:val="auto"/>
              </w:rPr>
            </w:pPr>
          </w:p>
        </w:tc>
      </w:tr>
      <w:tr>
        <w:trPr>
          <w:trHeight w:val="95"/>
        </w:trPr>
        <w:tc>
          <w:tcPr>
            <w:tcW w:w="2660" w:type="dxa"/>
            <w:vAlign w:val="bottom"/>
          </w:tcPr>
          <w:p>
            <w:pPr>
              <w:spacing w:after="0"/>
              <w:rPr>
                <w:sz w:val="8"/>
                <w:szCs w:val="8"/>
                <w:color w:val="auto"/>
              </w:rPr>
            </w:pPr>
          </w:p>
        </w:tc>
        <w:tc>
          <w:tcPr>
            <w:tcW w:w="8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5"/>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Times New Roman" w:cs="Times New Roman" w:eastAsia="Times New Roman" w:hAnsi="Times New Roman"/>
                <w:sz w:val="18"/>
                <w:szCs w:val="18"/>
                <w:color w:val="231F20"/>
              </w:rPr>
              <w:t>4</w:t>
            </w:r>
          </w:p>
        </w:tc>
        <w:tc>
          <w:tcPr>
            <w:tcW w:w="0" w:type="dxa"/>
            <w:vAlign w:val="bottom"/>
          </w:tcPr>
          <w:p>
            <w:pPr>
              <w:spacing w:after="0"/>
              <w:rPr>
                <w:sz w:val="1"/>
                <w:szCs w:val="1"/>
                <w:color w:val="auto"/>
              </w:rPr>
            </w:pPr>
          </w:p>
        </w:tc>
      </w:tr>
      <w:tr>
        <w:trPr>
          <w:trHeight w:val="358"/>
        </w:trPr>
        <w:tc>
          <w:tcPr>
            <w:tcW w:w="26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HLBV</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Hypothetical Liquidation at Book Value</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IRA</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Inflation Reduction Act of 2022</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ITC</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Investment Tax Credit</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KKR</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KKR Thor Bidco, LLC, an affiliate of Kohlberg Kravis Roberts &amp; Co. L.P.</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Mesquite Star</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Mesquite Star Special LLC</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Mt. Storm</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NedPower Mount Storm LLC</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Megawatt</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MWh</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MWt</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Megawatts Thermal Equivalent</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Exposure</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Counterparty credit exposure to Clearway Energy, Inc. net of collateral</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NOLs</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Operating Losses</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NPNS</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Normal Purchases and Normal Sales</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OCI/OCL</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comprehensive income/loss</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O&amp;M</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Operations and Maintenance</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PG&amp;E</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Pacific Gas and Electric Company</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PPA</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Power Purchase Agreement</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PTC</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Production Tax Credit</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RENOM</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Clearway Renewable Operation &amp; Maintenance LLC</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SCE</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Southern California Edison</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Collectively, the 2028 Senior Notes, the 2031 Senior Notes and the 2032 Senior Notes</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SPP</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Solar Power Partners</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SREC</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Solar Renewable Energy Credit</w:t>
            </w:r>
          </w:p>
        </w:tc>
      </w:tr>
      <w:tr>
        <w:trPr>
          <w:trHeight w:val="180"/>
        </w:trPr>
        <w:tc>
          <w:tcPr>
            <w:tcW w:w="2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Thermal Business</w:t>
            </w:r>
          </w:p>
        </w:tc>
        <w:tc>
          <w:tcPr>
            <w:tcW w:w="9040" w:type="dxa"/>
            <w:vAlign w:val="bottom"/>
          </w:tcPr>
          <w:p>
            <w:pPr>
              <w:ind w:left="700"/>
              <w:spacing w:after="0" w:line="181" w:lineRule="exact"/>
              <w:rPr>
                <w:sz w:val="20"/>
                <w:szCs w:val="20"/>
                <w:color w:val="auto"/>
              </w:rPr>
            </w:pPr>
            <w:r>
              <w:rPr>
                <w:rFonts w:ascii="Times New Roman" w:cs="Times New Roman" w:eastAsia="Times New Roman" w:hAnsi="Times New Roman"/>
                <w:sz w:val="18"/>
                <w:szCs w:val="18"/>
                <w:color w:val="auto"/>
              </w:rPr>
              <w:t>The Company’s thermal business, which consists of thermal infrastructure assets that provide steam, hot water</w:t>
            </w:r>
          </w:p>
        </w:tc>
      </w:tr>
      <w:tr>
        <w:trPr>
          <w:trHeight w:val="184"/>
        </w:trPr>
        <w:tc>
          <w:tcPr>
            <w:tcW w:w="2200" w:type="dxa"/>
            <w:vAlign w:val="bottom"/>
          </w:tcPr>
          <w:p>
            <w:pPr>
              <w:spacing w:after="0"/>
              <w:rPr>
                <w:sz w:val="16"/>
                <w:szCs w:val="16"/>
                <w:color w:val="auto"/>
              </w:rPr>
            </w:pPr>
          </w:p>
        </w:tc>
        <w:tc>
          <w:tcPr>
            <w:tcW w:w="9040" w:type="dxa"/>
            <w:vAlign w:val="bottom"/>
          </w:tcPr>
          <w:p>
            <w:pPr>
              <w:ind w:left="700"/>
              <w:spacing w:after="0" w:line="184" w:lineRule="exact"/>
              <w:rPr>
                <w:sz w:val="20"/>
                <w:szCs w:val="20"/>
                <w:color w:val="auto"/>
              </w:rPr>
            </w:pPr>
            <w:r>
              <w:rPr>
                <w:rFonts w:ascii="Times New Roman" w:cs="Times New Roman" w:eastAsia="Times New Roman" w:hAnsi="Times New Roman"/>
                <w:sz w:val="18"/>
                <w:szCs w:val="18"/>
                <w:color w:val="auto"/>
              </w:rPr>
              <w:t>and/or chilled water, and in some instances electricity, to commercial businesses, universities, hospitals and</w:t>
            </w:r>
          </w:p>
        </w:tc>
      </w:tr>
      <w:tr>
        <w:trPr>
          <w:trHeight w:val="230"/>
        </w:trPr>
        <w:tc>
          <w:tcPr>
            <w:tcW w:w="2200" w:type="dxa"/>
            <w:vAlign w:val="bottom"/>
          </w:tcPr>
          <w:p>
            <w:pPr>
              <w:spacing w:after="0"/>
              <w:rPr>
                <w:sz w:val="19"/>
                <w:szCs w:val="19"/>
                <w:color w:val="auto"/>
              </w:rPr>
            </w:pP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governmental units</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TotalEnergies</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TotalEnergies SE</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Solar Portfolio</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Seven utility-scale solar farms located in Utah, representing 530 MW of capacity</w:t>
            </w:r>
          </w:p>
        </w:tc>
      </w:tr>
      <w:tr>
        <w:trPr>
          <w:trHeight w:val="180"/>
        </w:trPr>
        <w:tc>
          <w:tcPr>
            <w:tcW w:w="2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Utility Scale Solar</w:t>
            </w:r>
          </w:p>
        </w:tc>
        <w:tc>
          <w:tcPr>
            <w:tcW w:w="9040" w:type="dxa"/>
            <w:vAlign w:val="bottom"/>
          </w:tcPr>
          <w:p>
            <w:pPr>
              <w:ind w:left="700"/>
              <w:spacing w:after="0" w:line="181" w:lineRule="exact"/>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w:t>
            </w:r>
          </w:p>
        </w:tc>
      </w:tr>
      <w:tr>
        <w:trPr>
          <w:trHeight w:val="234"/>
        </w:trPr>
        <w:tc>
          <w:tcPr>
            <w:tcW w:w="2200" w:type="dxa"/>
            <w:vAlign w:val="bottom"/>
          </w:tcPr>
          <w:p>
            <w:pPr>
              <w:spacing w:after="0"/>
              <w:rPr>
                <w:sz w:val="20"/>
                <w:szCs w:val="20"/>
                <w:color w:val="auto"/>
              </w:rPr>
            </w:pP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interconnected into the transmission or distribution grid to sell power at a wholesale level</w:t>
            </w:r>
          </w:p>
        </w:tc>
      </w:tr>
      <w:tr>
        <w:trPr>
          <w:trHeight w:val="23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864"/>
        </w:trPr>
        <w:tc>
          <w:tcPr>
            <w:tcW w:w="2200" w:type="dxa"/>
            <w:vAlign w:val="bottom"/>
          </w:tcPr>
          <w:p>
            <w:pPr>
              <w:spacing w:after="0"/>
              <w:rPr>
                <w:sz w:val="24"/>
                <w:szCs w:val="24"/>
                <w:color w:val="auto"/>
              </w:rPr>
            </w:pPr>
          </w:p>
        </w:tc>
        <w:tc>
          <w:tcPr>
            <w:tcW w:w="9040" w:type="dxa"/>
            <w:vAlign w:val="bottom"/>
          </w:tcPr>
          <w:p>
            <w:pPr>
              <w:ind w:left="3380"/>
              <w:spacing w:after="0"/>
              <w:rPr>
                <w:sz w:val="20"/>
                <w:szCs w:val="20"/>
                <w:color w:val="auto"/>
              </w:rPr>
            </w:pPr>
            <w:r>
              <w:rPr>
                <w:rFonts w:ascii="Times New Roman" w:cs="Times New Roman" w:eastAsia="Times New Roman" w:hAnsi="Times New Roman"/>
                <w:sz w:val="18"/>
                <w:szCs w:val="18"/>
                <w:color w:val="231F20"/>
              </w:rPr>
              <w:t>5</w:t>
            </w:r>
          </w:p>
        </w:tc>
      </w:tr>
      <w:tr>
        <w:trPr>
          <w:trHeight w:val="358"/>
        </w:trPr>
        <w:tc>
          <w:tcPr>
            <w:tcW w:w="220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operations, exclusive of depreciation, amortization and accretion shown separately below</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costs</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6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(losses) earnings of unconsolidated affiliates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and redeemable noncontrolling interests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Clearway Energy,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Loss Per Share Attributable to Clearway Energy, Inc. Class A and Class C Common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Loss per Weighted Average Class A and Class C Common Share - Basic and Diluted</w:t>
            </w:r>
          </w:p>
        </w:tc>
        <w:tc>
          <w:tcPr>
            <w:tcW w:w="26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0.3745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0.3468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76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260" w:type="dxa"/>
            <w:vAlign w:val="bottom"/>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0.3745</w:t>
            </w:r>
          </w:p>
        </w:tc>
        <w:tc>
          <w:tcPr>
            <w:tcW w:w="120" w:type="dxa"/>
            <w:vAlign w:val="bottom"/>
          </w:tcPr>
          <w:p>
            <w:pPr>
              <w:spacing w:after="0"/>
              <w:rPr>
                <w:sz w:val="14"/>
                <w:szCs w:val="14"/>
                <w:color w:val="auto"/>
              </w:rPr>
            </w:pPr>
          </w:p>
        </w:tc>
        <w:tc>
          <w:tcPr>
            <w:tcW w:w="320" w:type="dxa"/>
            <w:vAlign w:val="bottom"/>
          </w:tcPr>
          <w:p>
            <w:pPr>
              <w:jc w:val="right"/>
              <w:ind w:right="1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0.3468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664337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43370" cy="17970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-71755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600" w:top="887" w:right="7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BFE4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BFE4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shd w:val="clear" w:color="auto" w:fill="BFE4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FE4FF"/>
          </w:tcPr>
          <w:p>
            <w:pPr>
              <w:jc w:val="center"/>
              <w:ind w:left="573"/>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60" w:type="dxa"/>
            <w:vAlign w:val="bottom"/>
            <w:shd w:val="clear" w:color="auto" w:fill="BFE4FF"/>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(loss) gain on derivatives and changes in accumulated OCI/OCL, net of income tax</w:t>
            </w:r>
          </w:p>
        </w:tc>
        <w:tc>
          <w:tcPr>
            <w:tcW w:w="26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300" w:type="dxa"/>
            <w:vAlign w:val="bottom"/>
            <w:shd w:val="clear" w:color="auto" w:fill="BFE4FF"/>
          </w:tcPr>
          <w:p>
            <w:pPr>
              <w:spacing w:after="0"/>
              <w:rPr>
                <w:sz w:val="15"/>
                <w:szCs w:val="15"/>
                <w:color w:val="auto"/>
              </w:rPr>
            </w:pPr>
          </w:p>
        </w:tc>
        <w:tc>
          <w:tcPr>
            <w:tcW w:w="104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(benefit) expense, of $(1) and $2</w:t>
            </w:r>
          </w:p>
        </w:tc>
        <w:tc>
          <w:tcPr>
            <w:tcW w:w="260" w:type="dxa"/>
            <w:vAlign w:val="bottom"/>
            <w:tcBorders>
              <w:bottom w:val="single" w:sz="8" w:color="auto"/>
            </w:tcBorders>
            <w:shd w:val="clear" w:color="auto" w:fill="BFE4FF"/>
          </w:tcPr>
          <w:p>
            <w:pPr>
              <w:spacing w:after="0"/>
              <w:rPr>
                <w:sz w:val="21"/>
                <w:szCs w:val="21"/>
                <w:color w:val="auto"/>
              </w:rPr>
            </w:pP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BFE4FF"/>
          </w:tcPr>
          <w:p>
            <w:pPr>
              <w:spacing w:after="0"/>
              <w:rPr>
                <w:sz w:val="21"/>
                <w:szCs w:val="21"/>
                <w:color w:val="auto"/>
              </w:rPr>
            </w:pPr>
          </w:p>
        </w:tc>
        <w:tc>
          <w:tcPr>
            <w:tcW w:w="300" w:type="dxa"/>
            <w:vAlign w:val="bottom"/>
            <w:tcBorders>
              <w:bottom w:val="single" w:sz="8" w:color="auto"/>
            </w:tcBorders>
            <w:shd w:val="clear" w:color="auto" w:fill="BFE4FF"/>
          </w:tcPr>
          <w:p>
            <w:pPr>
              <w:spacing w:after="0"/>
              <w:rPr>
                <w:sz w:val="21"/>
                <w:szCs w:val="21"/>
                <w:color w:val="auto"/>
              </w:rPr>
            </w:pPr>
          </w:p>
        </w:tc>
        <w:tc>
          <w:tcPr>
            <w:tcW w:w="1040" w:type="dxa"/>
            <w:vAlign w:val="bottom"/>
            <w:tcBorders>
              <w:bottom w:val="single" w:sz="8" w:color="auto"/>
            </w:tcBorders>
            <w:shd w:val="clear" w:color="auto" w:fill="BFE4FF"/>
          </w:tcPr>
          <w:p>
            <w:pPr>
              <w:jc w:val="center"/>
              <w:ind w:left="613"/>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BFE4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BFE4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613"/>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23"/>
        </w:trPr>
        <w:tc>
          <w:tcPr>
            <w:tcW w:w="76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BFE4FF"/>
          </w:tcPr>
          <w:p>
            <w:pPr>
              <w:spacing w:after="0"/>
              <w:rPr>
                <w:sz w:val="19"/>
                <w:szCs w:val="19"/>
                <w:color w:val="auto"/>
              </w:rPr>
            </w:pPr>
          </w:p>
        </w:tc>
        <w:tc>
          <w:tcPr>
            <w:tcW w:w="300" w:type="dxa"/>
            <w:vAlign w:val="bottom"/>
            <w:shd w:val="clear" w:color="auto" w:fill="BFE4FF"/>
          </w:tcPr>
          <w:p>
            <w:pPr>
              <w:spacing w:after="0"/>
              <w:rPr>
                <w:sz w:val="19"/>
                <w:szCs w:val="19"/>
                <w:color w:val="auto"/>
              </w:rPr>
            </w:pPr>
          </w:p>
        </w:tc>
        <w:tc>
          <w:tcPr>
            <w:tcW w:w="1040" w:type="dxa"/>
            <w:vAlign w:val="bottom"/>
            <w:shd w:val="clear" w:color="auto" w:fill="BFE4FF"/>
          </w:tcPr>
          <w:p>
            <w:pPr>
              <w:jc w:val="center"/>
              <w:ind w:left="573"/>
              <w:spacing w:after="0"/>
              <w:rPr>
                <w:sz w:val="20"/>
                <w:szCs w:val="20"/>
                <w:color w:val="auto"/>
              </w:rPr>
            </w:pPr>
            <w:r>
              <w:rPr>
                <w:rFonts w:ascii="Times New Roman" w:cs="Times New Roman" w:eastAsia="Times New Roman" w:hAnsi="Times New Roman"/>
                <w:sz w:val="18"/>
                <w:szCs w:val="18"/>
                <w:color w:val="auto"/>
                <w:w w:val="99"/>
              </w:rPr>
              <w:t>(83)</w:t>
            </w:r>
          </w:p>
        </w:tc>
        <w:tc>
          <w:tcPr>
            <w:tcW w:w="0" w:type="dxa"/>
            <w:vAlign w:val="bottom"/>
          </w:tcPr>
          <w:p>
            <w:pPr>
              <w:spacing w:after="0"/>
              <w:rPr>
                <w:sz w:val="1"/>
                <w:szCs w:val="1"/>
                <w:color w:val="auto"/>
              </w:rPr>
            </w:pPr>
          </w:p>
        </w:tc>
      </w:tr>
      <w:tr>
        <w:trPr>
          <w:trHeight w:val="176"/>
        </w:trPr>
        <w:tc>
          <w:tcPr>
            <w:tcW w:w="76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Less: Comprehensive loss attributable to noncontrolling interests and redeemable noncontrolling</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BFE4FF"/>
            </w:tcBorders>
          </w:tcPr>
          <w:p>
            <w:pPr>
              <w:ind w:left="2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BFE4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Clearway Energy, Inc.</w:t>
            </w:r>
          </w:p>
        </w:tc>
        <w:tc>
          <w:tcPr>
            <w:tcW w:w="260" w:type="dxa"/>
            <w:vAlign w:val="bottom"/>
            <w:tcBorders>
              <w:bottom w:val="single" w:sz="8" w:color="auto"/>
            </w:tcBorders>
            <w:shd w:val="clear" w:color="auto" w:fill="BFE4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auto"/>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BFE4FF"/>
          </w:tcPr>
          <w:p>
            <w:pPr>
              <w:jc w:val="center"/>
              <w:ind w:left="573"/>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766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720" w:top="887" w:right="7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7680" w:type="dxa"/>
            <w:vAlign w:val="bottom"/>
            <w:vMerge w:val="restart"/>
          </w:tcPr>
          <w:p>
            <w:pPr>
              <w:ind w:left="3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68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13"/>
        </w:trPr>
        <w:tc>
          <w:tcPr>
            <w:tcW w:w="7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7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7"/>
        </w:trPr>
        <w:tc>
          <w:tcPr>
            <w:tcW w:w="7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0" w:type="dxa"/>
            <w:vAlign w:val="bottom"/>
          </w:tcPr>
          <w:p>
            <w:pPr>
              <w:spacing w:after="0"/>
              <w:rPr>
                <w:sz w:val="1"/>
                <w:szCs w:val="1"/>
                <w:color w:val="auto"/>
              </w:rPr>
            </w:pPr>
          </w:p>
        </w:tc>
      </w:tr>
      <w:tr>
        <w:trPr>
          <w:trHeight w:val="19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3"/>
        </w:trPr>
        <w:tc>
          <w:tcPr>
            <w:tcW w:w="7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3"/>
        </w:trPr>
        <w:tc>
          <w:tcPr>
            <w:tcW w:w="7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0" w:type="dxa"/>
            <w:vAlign w:val="bottom"/>
          </w:tcPr>
          <w:p>
            <w:pPr>
              <w:spacing w:after="0"/>
              <w:rPr>
                <w:sz w:val="1"/>
                <w:szCs w:val="1"/>
                <w:color w:val="auto"/>
              </w:rPr>
            </w:pPr>
          </w:p>
        </w:tc>
      </w:tr>
      <w:tr>
        <w:trPr>
          <w:trHeight w:val="21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trade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 expense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19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w:t>
            </w:r>
          </w:p>
        </w:tc>
        <w:tc>
          <w:tcPr>
            <w:tcW w:w="0" w:type="dxa"/>
            <w:vAlign w:val="bottom"/>
          </w:tcPr>
          <w:p>
            <w:pPr>
              <w:spacing w:after="0"/>
              <w:rPr>
                <w:sz w:val="1"/>
                <w:szCs w:val="1"/>
                <w:color w:val="auto"/>
              </w:rPr>
            </w:pPr>
          </w:p>
        </w:tc>
      </w:tr>
      <w:tr>
        <w:trPr>
          <w:trHeight w:val="21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7"/>
        </w:trPr>
        <w:tc>
          <w:tcPr>
            <w:tcW w:w="7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liabilities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7,662</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w:t>
            </w:r>
          </w:p>
        </w:tc>
        <w:tc>
          <w:tcPr>
            <w:tcW w:w="0" w:type="dxa"/>
            <w:vAlign w:val="bottom"/>
          </w:tcPr>
          <w:p>
            <w:pPr>
              <w:spacing w:after="0"/>
              <w:rPr>
                <w:sz w:val="1"/>
                <w:szCs w:val="1"/>
                <w:color w:val="auto"/>
              </w:rPr>
            </w:pPr>
          </w:p>
        </w:tc>
      </w:tr>
      <w:tr>
        <w:trPr>
          <w:trHeight w:val="207"/>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6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201,972,813 shares issued and</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outstanding (Class A 34,613,853, Class B 42,738,750, Class C 82,283,460, Class D 42,336,750) at March 31, 2023</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201,972,813 shares issued and outstanding (Class A 34,613,853, Class B 42,738,750, Class C 82,283,460,</w:t>
            </w: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D 42,336,750) at December 31, 2022</w:t>
            </w:r>
          </w:p>
        </w:tc>
        <w:tc>
          <w:tcPr>
            <w:tcW w:w="2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0" w:type="dxa"/>
            <w:vAlign w:val="bottom"/>
          </w:tcPr>
          <w:p>
            <w:pPr>
              <w:spacing w:after="0"/>
              <w:rPr>
                <w:sz w:val="1"/>
                <w:szCs w:val="1"/>
                <w:color w:val="auto"/>
              </w:rPr>
            </w:pPr>
          </w:p>
        </w:tc>
      </w:tr>
      <w:tr>
        <w:trPr>
          <w:trHeight w:val="21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0" w:type="dxa"/>
            <w:vAlign w:val="bottom"/>
          </w:tcPr>
          <w:p>
            <w:pPr>
              <w:spacing w:after="0"/>
              <w:rPr>
                <w:sz w:val="1"/>
                <w:szCs w:val="1"/>
                <w:color w:val="auto"/>
              </w:rPr>
            </w:pPr>
          </w:p>
        </w:tc>
      </w:tr>
      <w:tr>
        <w:trPr>
          <w:trHeight w:val="21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5"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Reduction in carrying amount of right-of-use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derivative instruments and amortization of accumulated OCI/OCL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in changes in other working capital: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Drop Down Assets, net of cash acquired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Contributions from noncontrolling interests, net of distributions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of dividends and distributions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to CEG of escrowed amounts</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8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 of Cash to Assets Held-for-Sale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1"/>
                <w:szCs w:val="11"/>
                <w:color w:val="auto"/>
              </w:rPr>
            </w:pPr>
          </w:p>
        </w:tc>
        <w:tc>
          <w:tcPr>
            <w:tcW w:w="760" w:type="dxa"/>
            <w:vAlign w:val="bottom"/>
            <w:gridSpan w:val="4"/>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60" w:type="dxa"/>
            <w:vAlign w:val="bottom"/>
          </w:tcPr>
          <w:p>
            <w:pPr>
              <w:spacing w:after="0"/>
              <w:rPr>
                <w:sz w:val="11"/>
                <w:szCs w:val="11"/>
                <w:color w:val="auto"/>
              </w:rPr>
            </w:pPr>
          </w:p>
        </w:tc>
        <w:tc>
          <w:tcPr>
            <w:tcW w:w="760" w:type="dxa"/>
            <w:vAlign w:val="bottom"/>
            <w:gridSpan w:val="4"/>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80" w:type="dxa"/>
            <w:vAlign w:val="bottom"/>
          </w:tcPr>
          <w:p>
            <w:pPr>
              <w:jc w:val="center"/>
              <w:ind w:right="23"/>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4"/>
                <w:szCs w:val="14"/>
                <w:color w:val="auto"/>
              </w:rPr>
            </w:pPr>
          </w:p>
        </w:tc>
        <w:tc>
          <w:tcPr>
            <w:tcW w:w="8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4"/>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4,026</w:t>
            </w:r>
          </w:p>
        </w:tc>
        <w:tc>
          <w:tcPr>
            <w:tcW w:w="0" w:type="dxa"/>
            <w:vAlign w:val="bottom"/>
          </w:tcPr>
          <w:p>
            <w:pPr>
              <w:spacing w:after="0"/>
              <w:rPr>
                <w:sz w:val="1"/>
                <w:szCs w:val="1"/>
                <w:color w:val="auto"/>
              </w:rPr>
            </w:pPr>
          </w:p>
        </w:tc>
      </w:tr>
      <w:tr>
        <w:trPr>
          <w:trHeight w:val="213"/>
        </w:trPr>
        <w:tc>
          <w:tcPr>
            <w:tcW w:w="4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Unrealized loss on derivatives and changes in accumulated</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OCI, net of tax</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CEG, net of distributions, cash</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cash</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Common stock dividends and distributions to CEG unit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holders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2,006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4,153</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vMerge w:val="restart"/>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23"/>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83"/>
        </w:trPr>
        <w:tc>
          <w:tcPr>
            <w:tcW w:w="4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5"/>
                <w:szCs w:val="15"/>
                <w:color w:val="auto"/>
              </w:rPr>
            </w:pPr>
          </w:p>
        </w:tc>
        <w:tc>
          <w:tcPr>
            <w:tcW w:w="8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13"/>
        </w:trPr>
        <w:tc>
          <w:tcPr>
            <w:tcW w:w="4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Unrealized gain on derivatives and changes in accumulated</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OCL, net of tax</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5"/>
        </w:trPr>
        <w:tc>
          <w:tcPr>
            <w:tcW w:w="434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cash</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Common stock dividends and distributions to CEG unit holders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1,377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3,139</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time to time, CEG may also hold shares of the Company’s Class A and/or Class C common stock.</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2023, the Company owned 57.88% of the economic interests of Clearway Energy LLC, with CEG owning 42.12% of the economic interests of Clearway Energy LLC.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ind w:left="420"/>
        <w:spacing w:after="0"/>
        <w:rPr>
          <w:sz w:val="20"/>
          <w:szCs w:val="20"/>
          <w:color w:val="auto"/>
        </w:rPr>
      </w:pPr>
      <w:r>
        <w:rPr>
          <w:rFonts w:ascii="Times New Roman" w:cs="Times New Roman" w:eastAsia="Times New Roman" w:hAnsi="Times New Roman"/>
          <w:sz w:val="18"/>
          <w:szCs w:val="18"/>
          <w:color w:val="auto"/>
        </w:rPr>
        <w:t>The following table represents a summarized structure of the Company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606415" cy="414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414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2022 Form 10-K. Interim results are not necessarily indicative of results for a full year.</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2023, and results of operations, comprehensive loss and cash flows for the three months ended March 31, 2023 and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project subsidiaries was $125 million and $121 million as of March 31, 2023 and December 31, 2022, respectively.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1"/>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4"/>
          </w:tcPr>
          <w:p>
            <w:pPr>
              <w:jc w:val="right"/>
              <w:ind w:right="14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consolidated statements of cash flows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projects that are restricted in their use. As of March 31, 2023, these restricted funds were comprised of $143 million designated to fund operating expenses, $168 million designated for current debt service payments and $97 million restricted for reserves including debt service, performance obligations and other reserves as well as capital expenditures. The remaining $29 million is held in distributions reserve accounts.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and Accumulated Amortization</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intangible assets, net as of March 31, 2023 and December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1"/>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3"/>
          </w:tcPr>
          <w:p>
            <w:pPr>
              <w:jc w:val="right"/>
              <w:ind w:right="141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260" w:type="dxa"/>
            <w:vAlign w:val="bottom"/>
          </w:tcPr>
          <w:p>
            <w:pPr>
              <w:spacing w:after="0"/>
              <w:rPr>
                <w:sz w:val="20"/>
                <w:szCs w:val="20"/>
                <w:color w:val="auto"/>
              </w:rPr>
            </w:pPr>
          </w:p>
        </w:tc>
        <w:tc>
          <w:tcPr>
            <w:tcW w:w="1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to Class A and Class C Common Stockholders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and Class C common stock during the three months ended March 31,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 2023</w:t>
            </w:r>
          </w:p>
        </w:tc>
      </w:tr>
      <w:tr>
        <w:trPr>
          <w:trHeight w:val="23"/>
        </w:trPr>
        <w:tc>
          <w:tcPr>
            <w:tcW w:w="9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0.3745</w:t>
            </w:r>
          </w:p>
        </w:tc>
      </w:tr>
      <w:tr>
        <w:trPr>
          <w:trHeight w:val="23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0.3745</w:t>
            </w:r>
          </w:p>
        </w:tc>
      </w:tr>
    </w:tbl>
    <w:p>
      <w:pPr>
        <w:spacing w:after="0" w:line="23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May 3, 2023, the Company declared quarterly dividends on its Class A and Class C common stock of $0.3818 per share payable on June 15, 2023 to stockholders of record as of June 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Distributions to CEG</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distributions paid to CEG during the three months ended March 31, 2023 on Clearway Energy LLC’s Class B and D units: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First Quarter 2023</w:t>
            </w:r>
          </w:p>
        </w:tc>
      </w:tr>
      <w:tr>
        <w:trPr>
          <w:trHeight w:val="23"/>
        </w:trPr>
        <w:tc>
          <w:tcPr>
            <w:tcW w:w="388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B Unit</w:t>
            </w:r>
          </w:p>
        </w:tc>
        <w:tc>
          <w:tcPr>
            <w:tcW w:w="59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0.3745</w:t>
            </w:r>
          </w:p>
        </w:tc>
        <w:tc>
          <w:tcPr>
            <w:tcW w:w="20" w:type="dxa"/>
            <w:vAlign w:val="bottom"/>
          </w:tcPr>
          <w:p>
            <w:pPr>
              <w:spacing w:after="0"/>
              <w:rPr>
                <w:sz w:val="19"/>
                <w:szCs w:val="19"/>
                <w:color w:val="auto"/>
              </w:rPr>
            </w:pP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per Class D Unit</w:t>
            </w:r>
          </w:p>
        </w:tc>
        <w:tc>
          <w:tcPr>
            <w:tcW w:w="5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0.3745</w:t>
            </w:r>
          </w:p>
        </w:tc>
        <w:tc>
          <w:tcPr>
            <w:tcW w:w="20" w:type="dxa"/>
            <w:vAlign w:val="bottom"/>
          </w:tcPr>
          <w:p>
            <w:pPr>
              <w:spacing w:after="0"/>
              <w:rPr>
                <w:sz w:val="20"/>
                <w:szCs w:val="20"/>
                <w:color w:val="auto"/>
              </w:rPr>
            </w:pPr>
          </w:p>
        </w:tc>
      </w:tr>
      <w:tr>
        <w:trPr>
          <w:trHeight w:val="778"/>
        </w:trPr>
        <w:tc>
          <w:tcPr>
            <w:tcW w:w="3880" w:type="dxa"/>
            <w:vAlign w:val="bottom"/>
          </w:tcPr>
          <w:p>
            <w:pPr>
              <w:spacing w:after="0"/>
              <w:rPr>
                <w:sz w:val="24"/>
                <w:szCs w:val="24"/>
                <w:color w:val="auto"/>
              </w:rPr>
            </w:pPr>
          </w:p>
        </w:tc>
        <w:tc>
          <w:tcPr>
            <w:tcW w:w="5960" w:type="dxa"/>
            <w:vAlign w:val="bottom"/>
          </w:tcPr>
          <w:p>
            <w:pPr>
              <w:jc w:val="right"/>
              <w:ind w:right="4030"/>
              <w:spacing w:after="0"/>
              <w:rPr>
                <w:sz w:val="20"/>
                <w:szCs w:val="20"/>
                <w:color w:val="auto"/>
              </w:rPr>
            </w:pPr>
            <w:r>
              <w:rPr>
                <w:rFonts w:ascii="Times New Roman" w:cs="Times New Roman" w:eastAsia="Times New Roman" w:hAnsi="Times New Roman"/>
                <w:sz w:val="18"/>
                <w:szCs w:val="18"/>
                <w:color w:val="231F20"/>
              </w:rPr>
              <w:t>13</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388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May 3, 2023, Clearway Energy LLC declared a distribution on its Class B and Class D units of $0.3818 per unit payable on June 15, 2023 to unit holders of record as of June 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 for the three months ended March 31,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center"/>
              <w:ind w:left="1672"/>
              <w:spacing w:after="0"/>
              <w:rPr>
                <w:sz w:val="20"/>
                <w:szCs w:val="20"/>
                <w:color w:val="auto"/>
              </w:rPr>
            </w:pPr>
            <w:r>
              <w:rPr>
                <w:rFonts w:ascii="Times New Roman" w:cs="Times New Roman" w:eastAsia="Times New Roman" w:hAnsi="Times New Roman"/>
                <w:sz w:val="18"/>
                <w:szCs w:val="18"/>
                <w:color w:val="auto"/>
                <w:w w:val="88"/>
              </w:rPr>
              <w:t>7</w:t>
            </w:r>
          </w:p>
        </w:tc>
      </w:tr>
      <w:tr>
        <w:trPr>
          <w:trHeight w:val="229"/>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distributions to redeemable noncontrolling interests</w:t>
            </w:r>
          </w:p>
        </w:tc>
        <w:tc>
          <w:tcPr>
            <w:tcW w:w="460" w:type="dxa"/>
            <w:vAlign w:val="bottom"/>
          </w:tcPr>
          <w:p>
            <w:pPr>
              <w:spacing w:after="0"/>
              <w:rPr>
                <w:sz w:val="19"/>
                <w:szCs w:val="19"/>
                <w:color w:val="auto"/>
              </w:rPr>
            </w:pPr>
          </w:p>
        </w:tc>
        <w:tc>
          <w:tcPr>
            <w:tcW w:w="2000" w:type="dxa"/>
            <w:vAlign w:val="bottom"/>
          </w:tcPr>
          <w:p>
            <w:pPr>
              <w:jc w:val="center"/>
              <w:ind w:left="1652"/>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redeemable 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center"/>
              <w:ind w:left="1672"/>
              <w:spacing w:after="0"/>
              <w:rPr>
                <w:sz w:val="20"/>
                <w:szCs w:val="20"/>
                <w:color w:val="auto"/>
              </w:rPr>
            </w:pPr>
            <w:r>
              <w:rPr>
                <w:rFonts w:ascii="Times New Roman" w:cs="Times New Roman" w:eastAsia="Times New Roman" w:hAnsi="Times New Roman"/>
                <w:sz w:val="18"/>
                <w:szCs w:val="18"/>
                <w:color w:val="auto"/>
                <w:w w:val="88"/>
              </w:rPr>
              <w:t>3</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center"/>
              <w:ind w:left="1672"/>
              <w:spacing w:after="0"/>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6"/>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260" w:type="dxa"/>
            <w:vAlign w:val="bottom"/>
          </w:tcPr>
          <w:p>
            <w:pPr>
              <w:spacing w:after="0"/>
              <w:rPr>
                <w:sz w:val="11"/>
                <w:szCs w:val="11"/>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440" w:type="dxa"/>
            <w:vAlign w:val="bottom"/>
          </w:tcPr>
          <w:p>
            <w:pPr>
              <w:spacing w:after="0"/>
              <w:rPr>
                <w:sz w:val="11"/>
                <w:szCs w:val="11"/>
                <w:color w:val="auto"/>
              </w:rPr>
            </w:pPr>
          </w:p>
        </w:tc>
        <w:tc>
          <w:tcPr>
            <w:tcW w:w="11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33333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198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333333"/>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199</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95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193</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288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 w:hanging="151"/>
        <w:spacing w:after="0"/>
        <w:tabs>
          <w:tab w:leader="none" w:pos="24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following amounts of energy and capacity revenue relate to leases and are accounted for under ASC 842: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26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360" w:type="dxa"/>
            <w:vAlign w:val="bottom"/>
          </w:tcPr>
          <w:p>
            <w:pPr>
              <w:spacing w:after="0"/>
              <w:rPr>
                <w:sz w:val="13"/>
                <w:szCs w:val="13"/>
                <w:color w:val="auto"/>
              </w:rPr>
            </w:pPr>
          </w:p>
        </w:tc>
        <w:tc>
          <w:tcPr>
            <w:tcW w:w="118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gridSpan w:val="2"/>
            <w:vMerge w:val="continue"/>
          </w:tcPr>
          <w:p>
            <w:pPr>
              <w:spacing w:after="0"/>
              <w:rPr>
                <w:sz w:val="12"/>
                <w:szCs w:val="12"/>
                <w:color w:val="auto"/>
              </w:rPr>
            </w:pPr>
          </w:p>
        </w:tc>
        <w:tc>
          <w:tcPr>
            <w:tcW w:w="3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3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3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Times New Roman" w:cs="Times New Roman" w:eastAsia="Times New Roman" w:hAnsi="Times New Roman"/>
                <w:sz w:val="18"/>
                <w:szCs w:val="18"/>
                <w:color w:val="231F20"/>
              </w:rPr>
              <w:t>14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240" w:type="dxa"/>
            <w:vAlign w:val="bottom"/>
          </w:tcPr>
          <w:p>
            <w:pPr>
              <w:spacing w:after="0"/>
              <w:rPr>
                <w:sz w:val="11"/>
                <w:szCs w:val="11"/>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333333"/>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195</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333333"/>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33333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232</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47</w:t>
            </w: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59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214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333333"/>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47</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333333"/>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58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33333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60" w:hanging="171"/>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following amounts of energy and capacity revenue relate to leases and are accounted for under ASC 842: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24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on the Company’s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1"/>
        </w:trPr>
        <w:tc>
          <w:tcPr>
            <w:tcW w:w="7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920" w:type="dxa"/>
            <w:vAlign w:val="bottom"/>
          </w:tcPr>
          <w:p>
            <w:pPr>
              <w:spacing w:after="0"/>
              <w:rPr>
                <w:sz w:val="18"/>
                <w:szCs w:val="18"/>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48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8"/>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8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No. 2020-4,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xml:space="preserve">.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20, 2020 through December 31, 2022. In December 2022, the FASB issued ASU No. 2022-6, </w:t>
      </w:r>
      <w:r>
        <w:rPr>
          <w:rFonts w:ascii="Times New Roman" w:cs="Times New Roman" w:eastAsia="Times New Roman" w:hAnsi="Times New Roman"/>
          <w:sz w:val="18"/>
          <w:szCs w:val="18"/>
          <w:i w:val="1"/>
          <w:iCs w:val="1"/>
          <w:color w:val="auto"/>
        </w:rPr>
        <w:t>Deferral of the Sunset Date of 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w:t>
      </w:r>
      <w:r>
        <w:rPr>
          <w:rFonts w:ascii="Times New Roman" w:cs="Times New Roman" w:eastAsia="Times New Roman" w:hAnsi="Times New Roman"/>
          <w:sz w:val="18"/>
          <w:szCs w:val="18"/>
          <w:color w:val="auto"/>
        </w:rPr>
        <w:t>, to extend the end of the transition period to December 31, 2024. As of March 31, 2023, the Company has amended the majority of the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previously used LIBOR as a reference rate and elected to apply relief to certain modified cash flow interest rate swap and debt agreements. The adoption did not have a material impact on the Company’s financial statements. The Company intends to amend the remaining contracts that use LIBOR as a reference rate no later than June 30, 2023, the LIBOR cessation date.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Acquisitions and Dispositions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Daggett 3 Drop Down </w:t>
      </w:r>
      <w:r>
        <w:rPr>
          <w:rFonts w:ascii="Times New Roman" w:cs="Times New Roman" w:eastAsia="Times New Roman" w:hAnsi="Times New Roman"/>
          <w:sz w:val="18"/>
          <w:szCs w:val="18"/>
          <w:color w:val="auto"/>
        </w:rPr>
        <w:t>— On February 17, 2023, the Company, through its indirect subsidiary, Daggett Solar Investment LLC, acquired the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membership interests in Daggett TargetCo LLC, the indirect owner of the Daggett 3 solar project, a 300 MW solar project with matching storage capacity that is currently under construction, located in San Bernardino, California, from Clearway Renew LLC, a subsidiary of CEG, for cash consideration of $21 million. Simultaneously, a cash equity investor acquired the Class B membership interests in Daggett TargetCo LLC from Clearway Renew LLC for cash consideration of $129 million. The Company and the cash equity investor then contributed their Class A and B membership interests, respectively, into Daggett Renewable Holdco LLC, a partnership between the Company and the cash equity investor, which consolidates Daggett TargetCo LLC. Daggett TargetCo LLC consolidates, as the indirect owner of the primary beneficiary, a tax equity fund, Daggett TE Holdco LLC, which owns the Daggett 3 solar project, as further described in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Daggett 3 has PPAs with investment-grade counterparties that have a 15-year weighted average contract duration that commence when the underlying operating assets reach commercial operations, which is expected to occur for the majority of the operating assets in the second quarter of 2023. The Daggett 3 operations are reflected in the Company’s Renewables segment and the acquisition was funded with existing sources of liquidity. The acquisition was determined to be an asset acquisition and the Company consolidates Daggett 3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of $21 million and the historical cost of the Company’s net assets acquired of $15 million was recorded as an adjustment to CEG’s noncontrolling interest balance. In addition, the Company reflected $21 million of the Company’s purchase price, which was contributed back to the Company by CEG to pay down the acquired long-term debt, in the line item contributions from CEG, net of distributions in the consolidated statement of stockholders’ equity.</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February 17,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Daggett 3</w:t>
            </w:r>
          </w:p>
        </w:tc>
      </w:tr>
      <w:tr>
        <w:trPr>
          <w:trHeight w:val="226"/>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9"/>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Right-of-use-assets, net</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9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9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70"/>
        </w:trPr>
        <w:tc>
          <w:tcPr>
            <w:tcW w:w="9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0"/>
        </w:trPr>
        <w:tc>
          <w:tcPr>
            <w:tcW w:w="92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2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current and non-current liabilities </w:t>
            </w:r>
            <w:r>
              <w:rPr>
                <w:rFonts w:ascii="Times New Roman" w:cs="Times New Roman" w:eastAsia="Times New Roman" w:hAnsi="Times New Roman"/>
                <w:sz w:val="23"/>
                <w:szCs w:val="23"/>
                <w:color w:val="auto"/>
                <w:vertAlign w:val="superscript"/>
              </w:rPr>
              <w:t>(b)</w:t>
            </w:r>
          </w:p>
        </w:tc>
        <w:tc>
          <w:tcPr>
            <w:tcW w:w="4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92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48"/>
        </w:trPr>
        <w:tc>
          <w:tcPr>
            <w:tcW w:w="9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7" w:lineRule="exact"/>
        <w:rPr>
          <w:sz w:val="20"/>
          <w:szCs w:val="20"/>
          <w:color w:val="auto"/>
        </w:rPr>
      </w:pPr>
    </w:p>
    <w:p>
      <w:pPr>
        <w:ind w:left="80" w:firstLine="9"/>
        <w:spacing w:after="0" w:line="230" w:lineRule="auto"/>
        <w:tabs>
          <w:tab w:leader="none" w:pos="239"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 xml:space="preserve">Includes a $181 million construction loan, $75 million sponsor equity bridge loan and $229 million tax equity bridge loan, offset by $5 million in unamortized debt issuance costs. See Note 7, </w:t>
      </w:r>
      <w:r>
        <w:rPr>
          <w:rFonts w:ascii="Times New Roman" w:cs="Times New Roman" w:eastAsia="Times New Roman" w:hAnsi="Times New Roman"/>
          <w:sz w:val="13"/>
          <w:szCs w:val="13"/>
          <w:i w:val="1"/>
          <w:iCs w:val="1"/>
          <w:color w:val="auto"/>
        </w:rPr>
        <w:t>Long-term Debt</w:t>
      </w:r>
      <w:r>
        <w:rPr>
          <w:rFonts w:ascii="Times New Roman" w:cs="Times New Roman" w:eastAsia="Times New Roman" w:hAnsi="Times New Roman"/>
          <w:sz w:val="13"/>
          <w:szCs w:val="13"/>
          <w:color w:val="auto"/>
        </w:rPr>
        <w:t>, for further discussion of the long-term debt assumed in the acquisition.</w:t>
      </w:r>
    </w:p>
    <w:p>
      <w:pPr>
        <w:ind w:left="260" w:hanging="171"/>
        <w:spacing w:after="0" w:line="228" w:lineRule="auto"/>
        <w:tabs>
          <w:tab w:leader="none" w:pos="26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Includes $32 million of project costs that were subsequently funded by CEG and will be repaid with the proceeds expected to be received when the project reaches substantial completion.</w:t>
      </w:r>
    </w:p>
    <w:p>
      <w:pPr>
        <w:spacing w:after="0" w:line="150" w:lineRule="exact"/>
        <w:rPr>
          <w:sz w:val="20"/>
          <w:szCs w:val="20"/>
          <w:color w:val="auto"/>
        </w:rPr>
      </w:pPr>
    </w:p>
    <w:p>
      <w:pPr>
        <w:ind w:right="46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Entities that are not Consolidated</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an interest in an entity that is considered a VIE under ASC 810, but for which it is not considered the primary beneficiary. The Company accounts for its interest in this entity and entities in which it has a significant investment under the equity method of accounting,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included in the Company’s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 as of March 31, 2023 is limited to its equity investment in the unconsolidated entities, as further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7040" w:type="dxa"/>
            <w:vAlign w:val="bottom"/>
            <w:tcBorders>
              <w:bottom w:val="single" w:sz="8" w:color="auto"/>
            </w:tcBorders>
          </w:tcPr>
          <w:p>
            <w:pPr>
              <w:jc w:val="center"/>
              <w:ind w:left="5492"/>
              <w:spacing w:after="0"/>
              <w:rPr>
                <w:sz w:val="20"/>
                <w:szCs w:val="20"/>
                <w:color w:val="auto"/>
              </w:rPr>
            </w:pPr>
            <w:r>
              <w:rPr>
                <w:rFonts w:ascii="Times New Roman" w:cs="Times New Roman" w:eastAsia="Times New Roman" w:hAnsi="Times New Roman"/>
                <w:sz w:val="16"/>
                <w:szCs w:val="16"/>
                <w:b w:val="1"/>
                <w:bCs w:val="1"/>
                <w:color w:val="auto"/>
              </w:rPr>
              <w:t>Economic Interest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Investment Balance</w:t>
            </w:r>
          </w:p>
        </w:tc>
      </w:tr>
      <w:tr>
        <w:trPr>
          <w:trHeight w:val="211"/>
        </w:trPr>
        <w:tc>
          <w:tcPr>
            <w:tcW w:w="21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Avenal</w:t>
            </w:r>
          </w:p>
        </w:tc>
        <w:tc>
          <w:tcPr>
            <w:tcW w:w="7040" w:type="dxa"/>
            <w:vAlign w:val="bottom"/>
            <w:shd w:val="clear" w:color="auto" w:fill="CCEEFF"/>
          </w:tcPr>
          <w:p>
            <w:pPr>
              <w:jc w:val="center"/>
              <w:ind w:left="5492"/>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Desert Sunlight</w:t>
            </w:r>
          </w:p>
        </w:tc>
        <w:tc>
          <w:tcPr>
            <w:tcW w:w="7040" w:type="dxa"/>
            <w:vAlign w:val="bottom"/>
          </w:tcPr>
          <w:p>
            <w:pPr>
              <w:jc w:val="center"/>
              <w:ind w:left="5492"/>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Elkhorn Ridge</w:t>
            </w:r>
          </w:p>
        </w:tc>
        <w:tc>
          <w:tcPr>
            <w:tcW w:w="7040" w:type="dxa"/>
            <w:vAlign w:val="bottom"/>
            <w:shd w:val="clear" w:color="auto" w:fill="CCEEFF"/>
          </w:tcPr>
          <w:p>
            <w:pPr>
              <w:jc w:val="center"/>
              <w:ind w:left="5492"/>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GenConn </w:t>
            </w:r>
            <w:r>
              <w:rPr>
                <w:rFonts w:ascii="Times New Roman" w:cs="Times New Roman" w:eastAsia="Times New Roman" w:hAnsi="Times New Roman"/>
                <w:sz w:val="23"/>
                <w:szCs w:val="23"/>
                <w:color w:val="auto"/>
                <w:vertAlign w:val="superscript"/>
              </w:rPr>
              <w:t>(a)</w:t>
            </w:r>
          </w:p>
        </w:tc>
        <w:tc>
          <w:tcPr>
            <w:tcW w:w="7040" w:type="dxa"/>
            <w:vAlign w:val="bottom"/>
          </w:tcPr>
          <w:p>
            <w:pPr>
              <w:jc w:val="center"/>
              <w:ind w:left="5492"/>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Juan Mesa</w:t>
            </w:r>
          </w:p>
        </w:tc>
        <w:tc>
          <w:tcPr>
            <w:tcW w:w="7040" w:type="dxa"/>
            <w:vAlign w:val="bottom"/>
            <w:shd w:val="clear" w:color="auto" w:fill="CCEEFF"/>
          </w:tcPr>
          <w:p>
            <w:pPr>
              <w:jc w:val="center"/>
              <w:ind w:left="5492"/>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218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1"/>
        </w:trPr>
        <w:tc>
          <w:tcPr>
            <w:tcW w:w="21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7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r>
    </w:tbl>
    <w:p>
      <w:pPr>
        <w:spacing w:after="0" w:line="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GenConn is a variable interest entity.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Consolidated</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2022 Form 10-K, 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or ASC 810. These arrangements are primarily related to tax equity arrangements entered into with third parties in order to monetize certain tax credits associated with wind and solar facilities. The Company also has a controlling financial interest in certain partnership arrangements with third-party investors, which have also been identified as VIEs. Under the Company’s arrangements that have been identified as VIEs, the third-party investors are allocated earnings, tax attributes and distributable cash in accordance with the respective limited liability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discussion below describes material changes to VIEs during the three months ended March 31, 2023.</w:t>
      </w:r>
    </w:p>
    <w:p>
      <w:pPr>
        <w:spacing w:after="0" w:line="1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Daggett Renewable Holdco LLC —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on February 17, 2023, Daggett Solar Investment LLC,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 subsidiary of the Company, acquired the Class A membership interests in Daggett TargetCo LLC while a cash equity investor acquired the Class B membership interests. The Company and the cash equity investor then contributed their Class A and B membership interests, respectively, into Daggett Renewable Holdco LLC, a partnership between the Company and the cash equity investor, and concurrently, Daggett TargetCo LLC became a wholly-owned subsidiary of Daggett Renewable Holdco LLC. The Company consolidates Daggett Renewable Holdco LLC as a VIE as the Company is the primary beneficiary, through its role as managing member. The Company recorded the noncontrolling interest of the cash equity investor in Daggett Renewable Holdco LLC at historical carrying amount, with the offset to additional paid-in capital. Daggett TargetCo LLC consolidates, as the indirect owner of the primary beneficiary, a tax equity fund, Daggett TE Holdco LLC, which owns the Daggett 3 solar project. The tax equity investor’s interest is shown as noncontrolling interest and the HLBV method is utilized to allocate the income or losses of Daggett TE Holdco LLC.</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March 31, 2023:</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Buckthorn</w:t>
            </w:r>
          </w:p>
        </w:tc>
        <w:tc>
          <w:tcPr>
            <w:tcW w:w="16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 xml:space="preserve">DGPV Funds </w:t>
            </w:r>
            <w:r>
              <w:rPr>
                <w:rFonts w:ascii="Times New Roman" w:cs="Times New Roman" w:eastAsia="Times New Roman" w:hAnsi="Times New Roman"/>
                <w:sz w:val="21"/>
                <w:szCs w:val="21"/>
                <w:b w:val="1"/>
                <w:bCs w:val="1"/>
                <w:color w:val="auto"/>
                <w:vertAlign w:val="superscript"/>
              </w:rPr>
              <w:t>(a)</w:t>
            </w:r>
          </w:p>
        </w:tc>
        <w:tc>
          <w:tcPr>
            <w:tcW w:w="12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Daggett Renewable</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Langford TE</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Lighthouse Renewable</w:t>
            </w:r>
          </w:p>
        </w:tc>
        <w:tc>
          <w:tcPr>
            <w:tcW w:w="0" w:type="dxa"/>
            <w:vAlign w:val="bottom"/>
          </w:tcPr>
          <w:p>
            <w:pPr>
              <w:spacing w:after="0"/>
              <w:rPr>
                <w:sz w:val="1"/>
                <w:szCs w:val="1"/>
                <w:color w:val="auto"/>
              </w:rPr>
            </w:pPr>
          </w:p>
        </w:tc>
      </w:tr>
      <w:tr>
        <w:trPr>
          <w:trHeight w:val="189"/>
        </w:trPr>
        <w:tc>
          <w:tcPr>
            <w:tcW w:w="3160" w:type="dxa"/>
            <w:vAlign w:val="bottom"/>
            <w:gridSpan w:val="2"/>
            <w:vMerge w:val="continue"/>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Alta TE Holdco LLC</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Renewables, LLC</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3"/>
                <w:szCs w:val="13"/>
                <w:b w:val="1"/>
                <w:bCs w:val="1"/>
                <w:color w:val="auto"/>
                <w:w w:val="93"/>
              </w:rPr>
              <w:t xml:space="preserve">Holdco LLC </w:t>
            </w:r>
            <w:r>
              <w:rPr>
                <w:rFonts w:ascii="Times New Roman" w:cs="Times New Roman" w:eastAsia="Times New Roman" w:hAnsi="Times New Roman"/>
                <w:sz w:val="21"/>
                <w:szCs w:val="21"/>
                <w:b w:val="1"/>
                <w:bCs w:val="1"/>
                <w:color w:val="auto"/>
                <w:w w:val="93"/>
                <w:vertAlign w:val="superscript"/>
              </w:rPr>
              <w:t>(b)</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Partnership LLC</w:t>
            </w:r>
          </w:p>
        </w:tc>
        <w:tc>
          <w:tcPr>
            <w:tcW w:w="160" w:type="dxa"/>
            <w:vAlign w:val="bottom"/>
          </w:tcPr>
          <w:p>
            <w:pPr>
              <w:spacing w:after="0"/>
              <w:rPr>
                <w:sz w:val="16"/>
                <w:szCs w:val="16"/>
                <w:color w:val="auto"/>
              </w:rPr>
            </w:pPr>
          </w:p>
        </w:tc>
        <w:tc>
          <w:tcPr>
            <w:tcW w:w="1100" w:type="dxa"/>
            <w:vAlign w:val="bottom"/>
          </w:tcPr>
          <w:p>
            <w:pPr>
              <w:jc w:val="right"/>
              <w:ind w:right="133"/>
              <w:spacing w:after="0" w:line="189" w:lineRule="exact"/>
              <w:rPr>
                <w:sz w:val="20"/>
                <w:szCs w:val="20"/>
                <w:color w:val="auto"/>
              </w:rPr>
            </w:pPr>
            <w:r>
              <w:rPr>
                <w:rFonts w:ascii="Times New Roman" w:cs="Times New Roman" w:eastAsia="Times New Roman" w:hAnsi="Times New Roman"/>
                <w:sz w:val="13"/>
                <w:szCs w:val="13"/>
                <w:b w:val="1"/>
                <w:bCs w:val="1"/>
                <w:color w:val="auto"/>
                <w:w w:val="97"/>
              </w:rPr>
              <w:t xml:space="preserve">Holdco LLC </w:t>
            </w:r>
            <w:r>
              <w:rPr>
                <w:rFonts w:ascii="Times New Roman" w:cs="Times New Roman" w:eastAsia="Times New Roman" w:hAnsi="Times New Roman"/>
                <w:sz w:val="21"/>
                <w:szCs w:val="21"/>
                <w:b w:val="1"/>
                <w:bCs w:val="1"/>
                <w:color w:val="auto"/>
                <w:w w:val="97"/>
                <w:vertAlign w:val="superscript"/>
              </w:rPr>
              <w:t>(c)</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3"/>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assets less noncontrolling interest</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80" w:right="20" w:firstLine="9"/>
        <w:spacing w:after="0" w:line="210" w:lineRule="auto"/>
        <w:tabs>
          <w:tab w:leader="none" w:pos="254"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DGPV Funds is comprised of Clearway &amp; EFS Distributed Solar LLC, DGPV Fund 4 LLC, Golden Puma Fund LLC, Renew Solar CS4 Fund LLC and Chestnut Fund LLC, which are all tax equity funds.</w:t>
      </w:r>
    </w:p>
    <w:p>
      <w:pPr>
        <w:spacing w:after="0" w:line="7" w:lineRule="exact"/>
        <w:rPr>
          <w:rFonts w:ascii="Times New Roman" w:cs="Times New Roman" w:eastAsia="Times New Roman" w:hAnsi="Times New Roman"/>
          <w:sz w:val="22"/>
          <w:szCs w:val="22"/>
          <w:color w:val="auto"/>
          <w:vertAlign w:val="superscript"/>
        </w:rPr>
      </w:pPr>
    </w:p>
    <w:p>
      <w:pPr>
        <w:ind w:left="280" w:hanging="191"/>
        <w:spacing w:after="0"/>
        <w:tabs>
          <w:tab w:leader="none" w:pos="28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Daggett Renewable Holdco LLC consolidates Daggett TE Holdco LLC, which is a consolidated VIE.</w:t>
      </w:r>
    </w:p>
    <w:p>
      <w:pPr>
        <w:spacing w:after="0" w:line="57" w:lineRule="exact"/>
        <w:rPr>
          <w:rFonts w:ascii="Times New Roman" w:cs="Times New Roman" w:eastAsia="Times New Roman" w:hAnsi="Times New Roman"/>
          <w:sz w:val="23"/>
          <w:szCs w:val="23"/>
          <w:color w:val="auto"/>
          <w:vertAlign w:val="superscript"/>
        </w:rPr>
      </w:pPr>
    </w:p>
    <w:p>
      <w:pPr>
        <w:ind w:left="80" w:right="20" w:firstLine="9"/>
        <w:spacing w:after="0"/>
        <w:tabs>
          <w:tab w:leader="none" w:pos="245"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Lighthouse Renewable Holdco LLC consolidates Mesquite Star Tax Equity Holdco LLC, Black Rock TE Holdco LLC, Mililani TE Holdco LLC and Waiawa TE Holdco LLC, which are consolidated VIEs.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Lighthouse</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Pinnacle Repowering</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Rattlesnake TE</w:t>
            </w:r>
          </w:p>
        </w:tc>
        <w:tc>
          <w:tcPr>
            <w:tcW w:w="10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Rosie TargetCo</w:t>
            </w:r>
          </w:p>
        </w:tc>
        <w:tc>
          <w:tcPr>
            <w:tcW w:w="14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Wildorado TE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Renewable Holdco 2</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w w:val="96"/>
              </w:rPr>
              <w:t xml:space="preserve">Other </w:t>
            </w:r>
            <w:r>
              <w:rPr>
                <w:rFonts w:ascii="Times New Roman" w:cs="Times New Roman" w:eastAsia="Times New Roman" w:hAnsi="Times New Roman"/>
                <w:sz w:val="21"/>
                <w:szCs w:val="21"/>
                <w:b w:val="1"/>
                <w:bCs w:val="1"/>
                <w:color w:val="auto"/>
                <w:w w:val="96"/>
                <w:vertAlign w:val="superscript"/>
              </w:rPr>
              <w:t>(b)</w:t>
            </w:r>
          </w:p>
        </w:tc>
        <w:tc>
          <w:tcPr>
            <w:tcW w:w="0" w:type="dxa"/>
            <w:vAlign w:val="bottom"/>
          </w:tcPr>
          <w:p>
            <w:pPr>
              <w:spacing w:after="0"/>
              <w:rPr>
                <w:sz w:val="1"/>
                <w:szCs w:val="1"/>
                <w:color w:val="auto"/>
              </w:rPr>
            </w:pPr>
          </w:p>
        </w:tc>
      </w:tr>
      <w:tr>
        <w:trPr>
          <w:trHeight w:val="189"/>
        </w:trPr>
        <w:tc>
          <w:tcPr>
            <w:tcW w:w="3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3"/>
                <w:szCs w:val="13"/>
                <w:b w:val="1"/>
                <w:bCs w:val="1"/>
                <w:color w:val="auto"/>
                <w:w w:val="88"/>
              </w:rPr>
              <w:t>LLC</w:t>
            </w:r>
            <w:r>
              <w:rPr>
                <w:rFonts w:ascii="Times New Roman" w:cs="Times New Roman" w:eastAsia="Times New Roman" w:hAnsi="Times New Roman"/>
                <w:sz w:val="21"/>
                <w:szCs w:val="21"/>
                <w:b w:val="1"/>
                <w:bCs w:val="1"/>
                <w:color w:val="auto"/>
                <w:w w:val="88"/>
                <w:vertAlign w:val="superscript"/>
              </w:rPr>
              <w:t>(a)</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Oahu Solar LLC</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TE Holdco LLC</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Holdco LLC</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9"/>
              </w:rPr>
              <w:t>LLC</w:t>
            </w: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Holdco LLC</w:t>
            </w: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3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assets less noncontrolling interest</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60" w:hanging="171"/>
        <w:spacing w:after="0"/>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Lighthouse Renewable Holdco 2 LLC consolidates Mesquite Sky TE Holdco LLC, which is a consolidated VIE.</w:t>
      </w:r>
    </w:p>
    <w:p>
      <w:pPr>
        <w:spacing w:after="0" w:line="78" w:lineRule="exact"/>
        <w:rPr>
          <w:rFonts w:ascii="Times New Roman" w:cs="Times New Roman" w:eastAsia="Times New Roman" w:hAnsi="Times New Roman"/>
          <w:sz w:val="23"/>
          <w:szCs w:val="23"/>
          <w:color w:val="auto"/>
          <w:vertAlign w:val="superscript"/>
        </w:rPr>
      </w:pPr>
    </w:p>
    <w:p>
      <w:pPr>
        <w:ind w:left="280" w:hanging="191"/>
        <w:spacing w:after="0" w:line="181" w:lineRule="auto"/>
        <w:tabs>
          <w:tab w:leader="none" w:pos="2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Other is comprised of Elbow Creek TE Holdco LLC and Spring Canyon TE Holdco LLC.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63" w:lineRule="exact"/>
        <w:rPr>
          <w:sz w:val="20"/>
          <w:szCs w:val="20"/>
          <w:color w:val="auto"/>
        </w:rPr>
      </w:pPr>
    </w:p>
    <w:p>
      <w:pPr>
        <w:ind w:left="1220" w:hanging="240"/>
        <w:spacing w:after="0" w:line="281" w:lineRule="auto"/>
        <w:tabs>
          <w:tab w:leader="none" w:pos="1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 w:lineRule="exact"/>
        <w:rPr>
          <w:rFonts w:ascii="Times New Roman" w:cs="Times New Roman" w:eastAsia="Times New Roman" w:hAnsi="Times New Roman"/>
          <w:sz w:val="18"/>
          <w:szCs w:val="18"/>
          <w:color w:val="auto"/>
        </w:rPr>
      </w:pPr>
    </w:p>
    <w:p>
      <w:pPr>
        <w:ind w:left="1220" w:hanging="240"/>
        <w:spacing w:after="0" w:line="281" w:lineRule="auto"/>
        <w:tabs>
          <w:tab w:leader="none" w:pos="1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 w:lineRule="exact"/>
        <w:rPr>
          <w:rFonts w:ascii="Times New Roman" w:cs="Times New Roman" w:eastAsia="Times New Roman" w:hAnsi="Times New Roman"/>
          <w:sz w:val="18"/>
          <w:szCs w:val="18"/>
          <w:color w:val="auto"/>
        </w:rPr>
      </w:pPr>
    </w:p>
    <w:p>
      <w:pPr>
        <w:ind w:left="1220" w:right="20" w:hanging="240"/>
        <w:spacing w:after="0" w:line="282" w:lineRule="auto"/>
        <w:tabs>
          <w:tab w:leader="none" w:pos="1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 trade,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firstLine="405"/>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the Company’s recorded financial instruments not carried at fair market value or that do not approximate fair value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420" w:type="dxa"/>
            <w:vAlign w:val="bottom"/>
          </w:tcPr>
          <w:p>
            <w:pPr>
              <w:spacing w:after="0"/>
              <w:rPr>
                <w:sz w:val="16"/>
                <w:szCs w:val="16"/>
                <w:color w:val="auto"/>
              </w:rPr>
            </w:pPr>
          </w:p>
        </w:tc>
        <w:tc>
          <w:tcPr>
            <w:tcW w:w="210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608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08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6080" w:type="dxa"/>
            <w:vAlign w:val="bottom"/>
            <w:shd w:val="clear" w:color="auto" w:fill="CCEEFF"/>
          </w:tcPr>
          <w:p>
            <w:pPr>
              <w:ind w:left="140"/>
              <w:spacing w:after="0" w:line="235"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7,197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6,874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98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92" w:lineRule="exact"/>
        <w:rPr>
          <w:sz w:val="20"/>
          <w:szCs w:val="20"/>
          <w:color w:val="auto"/>
        </w:rPr>
      </w:pPr>
    </w:p>
    <w:p>
      <w:pPr>
        <w:ind w:left="260" w:hanging="171"/>
        <w:spacing w:after="0"/>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net debt issuance costs, which are recorded as a reduction to long-term debt on the Company’s consolidated balance sheets.</w:t>
      </w:r>
    </w:p>
    <w:p>
      <w:pPr>
        <w:spacing w:after="0" w:line="1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36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1,902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1,834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r>
      <w:tr>
        <w:trPr>
          <w:trHeight w:val="157"/>
        </w:trPr>
        <w:tc>
          <w:tcPr>
            <w:tcW w:w="6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260" w:type="dxa"/>
            <w:vAlign w:val="bottom"/>
          </w:tcPr>
          <w:p>
            <w:pPr>
              <w:spacing w:after="0"/>
              <w:rPr>
                <w:sz w:val="16"/>
                <w:szCs w:val="16"/>
                <w:color w:val="auto"/>
              </w:rPr>
            </w:pPr>
          </w:p>
        </w:tc>
        <w:tc>
          <w:tcPr>
            <w:tcW w:w="244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2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2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1"/>
                <w:szCs w:val="21"/>
                <w:b w:val="1"/>
                <w:bCs w:val="1"/>
                <w:color w:val="auto"/>
                <w:vertAlign w:val="superscript"/>
              </w:rPr>
              <w:t>(a)</w:t>
            </w:r>
          </w:p>
        </w:tc>
        <w:tc>
          <w:tcPr>
            <w:tcW w:w="900" w:type="dxa"/>
            <w:vAlign w:val="bottom"/>
            <w:tcBorders>
              <w:bottom w:val="single" w:sz="8" w:color="auto"/>
            </w:tcBorders>
          </w:tcPr>
          <w:p>
            <w:pPr>
              <w:spacing w:after="0"/>
              <w:rPr>
                <w:sz w:val="20"/>
                <w:szCs w:val="20"/>
                <w:color w:val="auto"/>
              </w:rPr>
            </w:pPr>
          </w:p>
        </w:tc>
      </w:tr>
      <w:tr>
        <w:trPr>
          <w:trHeight w:val="19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6"/>
                <w:szCs w:val="16"/>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contracts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financial instruments </w:t>
            </w:r>
            <w:r>
              <w:rPr>
                <w:rFonts w:ascii="Times New Roman" w:cs="Times New Roman" w:eastAsia="Times New Roman" w:hAnsi="Times New Roman"/>
                <w:sz w:val="23"/>
                <w:szCs w:val="23"/>
                <w:b w:val="1"/>
                <w:bCs w:val="1"/>
                <w:color w:val="auto"/>
                <w:vertAlign w:val="superscript"/>
              </w:rPr>
              <w:t>(b)</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57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Commodity contracts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5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21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9"/>
        </w:trPr>
        <w:tc>
          <w:tcPr>
            <w:tcW w:w="2180" w:type="dxa"/>
            <w:vAlign w:val="bottom"/>
            <w:tcBorders>
              <w:bottom w:val="single" w:sz="8" w:color="auto"/>
            </w:tcBorders>
          </w:tcPr>
          <w:p>
            <w:pPr>
              <w:spacing w:after="0"/>
              <w:rPr>
                <w:sz w:val="14"/>
                <w:szCs w:val="14"/>
                <w:color w:val="auto"/>
              </w:rPr>
            </w:pPr>
          </w:p>
        </w:tc>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27" w:lineRule="exact"/>
        <w:rPr>
          <w:sz w:val="20"/>
          <w:szCs w:val="20"/>
          <w:color w:val="auto"/>
        </w:rPr>
      </w:pPr>
    </w:p>
    <w:p>
      <w:pPr>
        <w:ind w:left="260" w:hanging="171"/>
        <w:spacing w:after="0"/>
        <w:tabs>
          <w:tab w:leader="none" w:pos="2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There were no derivative assets classified as Level 1 or Level 3 and no liabilities classified as Level 1 as of March 31, 2023 and December 31, 2022.</w:t>
      </w:r>
    </w:p>
    <w:p>
      <w:pPr>
        <w:spacing w:after="0" w:line="61" w:lineRule="exact"/>
        <w:rPr>
          <w:rFonts w:ascii="Times New Roman" w:cs="Times New Roman" w:eastAsia="Times New Roman" w:hAnsi="Times New Roman"/>
          <w:sz w:val="23"/>
          <w:szCs w:val="23"/>
          <w:color w:val="auto"/>
          <w:vertAlign w:val="superscript"/>
        </w:rPr>
      </w:pPr>
    </w:p>
    <w:p>
      <w:pPr>
        <w:ind w:left="280" w:hanging="191"/>
        <w:spacing w:after="0" w:line="194" w:lineRule="auto"/>
        <w:tabs>
          <w:tab w:leader="none" w:pos="28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w:t>
      </w:r>
      <w:r>
        <w:rPr>
          <w:rFonts w:ascii="Times New Roman" w:cs="Times New Roman" w:eastAsia="Times New Roman" w:hAnsi="Times New Roman"/>
          <w:sz w:val="16"/>
          <w:szCs w:val="16"/>
          <w:color w:val="auto"/>
        </w:rPr>
        <w:t>SREC contract.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37"/>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2780" w:type="dxa"/>
            <w:vAlign w:val="bottom"/>
            <w:gridSpan w:val="4"/>
          </w:tcPr>
          <w:p>
            <w:pPr>
              <w:jc w:val="center"/>
              <w:ind w:right="53"/>
              <w:spacing w:after="0" w:line="137" w:lineRule="exact"/>
              <w:rPr>
                <w:sz w:val="20"/>
                <w:szCs w:val="20"/>
                <w:color w:val="auto"/>
              </w:rPr>
            </w:pPr>
            <w:r>
              <w:rPr>
                <w:rFonts w:ascii="Times New Roman" w:cs="Times New Roman" w:eastAsia="Times New Roman" w:hAnsi="Times New Roman"/>
                <w:sz w:val="14"/>
                <w:szCs w:val="14"/>
                <w:b w:val="1"/>
                <w:bCs w:val="1"/>
                <w:color w:val="auto"/>
              </w:rPr>
              <w:t>Fair Value Measurement Using Significant</w:t>
            </w:r>
          </w:p>
        </w:tc>
        <w:tc>
          <w:tcPr>
            <w:tcW w:w="0" w:type="dxa"/>
            <w:vAlign w:val="bottom"/>
          </w:tcPr>
          <w:p>
            <w:pPr>
              <w:spacing w:after="0"/>
              <w:rPr>
                <w:sz w:val="1"/>
                <w:szCs w:val="1"/>
                <w:color w:val="auto"/>
              </w:rPr>
            </w:pPr>
          </w:p>
        </w:tc>
      </w:tr>
      <w:tr>
        <w:trPr>
          <w:trHeight w:val="195"/>
        </w:trPr>
        <w:tc>
          <w:tcPr>
            <w:tcW w:w="83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0" w:type="dxa"/>
            <w:vAlign w:val="bottom"/>
          </w:tcPr>
          <w:p>
            <w:pPr>
              <w:spacing w:after="0"/>
              <w:rPr>
                <w:sz w:val="1"/>
                <w:szCs w:val="1"/>
                <w:color w:val="auto"/>
              </w:rPr>
            </w:pPr>
          </w:p>
        </w:tc>
      </w:tr>
      <w:tr>
        <w:trPr>
          <w:trHeight w:val="22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due to loss of NPNS exception</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gains (losses) for the period included in earnings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180"/>
              <w:spacing w:after="0" w:line="163" w:lineRule="exact"/>
              <w:rPr>
                <w:sz w:val="20"/>
                <w:szCs w:val="20"/>
                <w:color w:val="auto"/>
              </w:rPr>
            </w:pPr>
            <w:r>
              <w:rPr>
                <w:rFonts w:ascii="Times New Roman" w:cs="Times New Roman" w:eastAsia="Times New Roman" w:hAnsi="Times New Roman"/>
                <w:sz w:val="18"/>
                <w:szCs w:val="18"/>
                <w:color w:val="auto"/>
              </w:rPr>
              <w:t>Change in unrealized gains included in earnings for derivatives and other financial instruments held as of</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Financial Instruments Fair Value Measurements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The Company uses quoted observable forward prices to value its commodity contracts. To the extent that observable forward prices are not available, the quoted prices reflect the average of the forward prices from the prior year, adjusted for inflation. As of March 31, 2023, contracts valued with prices provided by models and other valuation techniques make up 100% of derivative liabilities and other financial instruments.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quantifies the significant unobservable inputs used in developing the fair value of the Company’s Level 3 positions:</w:t>
      </w:r>
    </w:p>
    <w:p>
      <w:pPr>
        <w:spacing w:after="0" w:line="10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Input/Range</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5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620" w:type="dxa"/>
            <w:vAlign w:val="bottom"/>
          </w:tcPr>
          <w:p>
            <w:pPr>
              <w:spacing w:after="0"/>
              <w:rPr>
                <w:sz w:val="15"/>
                <w:szCs w:val="15"/>
                <w:color w:val="auto"/>
              </w:rPr>
            </w:pP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vMerge w:val="continue"/>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80" w:type="dxa"/>
            <w:vAlign w:val="bottom"/>
          </w:tcPr>
          <w:p>
            <w:pPr>
              <w:spacing w:after="0"/>
              <w:rPr>
                <w:sz w:val="15"/>
                <w:szCs w:val="15"/>
                <w:color w:val="auto"/>
              </w:rPr>
            </w:pPr>
          </w:p>
        </w:tc>
        <w:tc>
          <w:tcPr>
            <w:tcW w:w="1060" w:type="dxa"/>
            <w:vAlign w:val="bottom"/>
            <w:vMerge w:val="restart"/>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Low</w:t>
            </w:r>
          </w:p>
        </w:tc>
        <w:tc>
          <w:tcPr>
            <w:tcW w:w="140" w:type="dxa"/>
            <w:vAlign w:val="bottom"/>
          </w:tcPr>
          <w:p>
            <w:pPr>
              <w:spacing w:after="0"/>
              <w:rPr>
                <w:sz w:val="15"/>
                <w:szCs w:val="15"/>
                <w:color w:val="auto"/>
              </w:rPr>
            </w:pPr>
          </w:p>
        </w:tc>
        <w:tc>
          <w:tcPr>
            <w:tcW w:w="1200" w:type="dxa"/>
            <w:vAlign w:val="bottom"/>
            <w:vMerge w:val="restart"/>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Commodity Contracts   </w:t>
            </w: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6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Discounted Cash</w:t>
            </w:r>
          </w:p>
        </w:tc>
        <w:tc>
          <w:tcPr>
            <w:tcW w:w="15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6"/>
                <w:szCs w:val="16"/>
                <w:color w:val="auto"/>
              </w:rPr>
              <w:t>Forward Market Price</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80.18</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0" w:type="dxa"/>
            <w:vAlign w:val="bottom"/>
          </w:tcPr>
          <w:p>
            <w:pPr>
              <w:spacing w:after="0"/>
              <w:rPr>
                <w:sz w:val="1"/>
                <w:szCs w:val="1"/>
                <w:color w:val="auto"/>
              </w:rPr>
            </w:pPr>
          </w:p>
        </w:tc>
      </w:tr>
      <w:tr>
        <w:trPr>
          <w:trHeight w:val="216"/>
        </w:trPr>
        <w:tc>
          <w:tcPr>
            <w:tcW w:w="266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(per MWh)</w:t>
            </w:r>
          </w:p>
        </w:tc>
        <w:tc>
          <w:tcPr>
            <w:tcW w:w="2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Forecast annual</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w:t>
            </w: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Discounted Cash</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generation levels of</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vMerge w:val="continue"/>
          </w:tcPr>
          <w:p>
            <w:pPr>
              <w:spacing w:after="0"/>
              <w:rPr>
                <w:sz w:val="14"/>
                <w:szCs w:val="14"/>
                <w:color w:val="auto"/>
              </w:rPr>
            </w:pP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18</w:t>
            </w:r>
          </w:p>
        </w:tc>
        <w:tc>
          <w:tcPr>
            <w:tcW w:w="118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continue"/>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certain DG solar</w:t>
            </w:r>
          </w:p>
        </w:tc>
        <w:tc>
          <w:tcPr>
            <w:tcW w:w="2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58,539 MWh</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117,078 MWh</w:t>
            </w: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112,897 MWh</w:t>
            </w:r>
          </w:p>
        </w:tc>
        <w:tc>
          <w:tcPr>
            <w:tcW w:w="0" w:type="dxa"/>
            <w:vAlign w:val="bottom"/>
          </w:tcPr>
          <w:p>
            <w:pPr>
              <w:spacing w:after="0"/>
              <w:rPr>
                <w:sz w:val="1"/>
                <w:szCs w:val="1"/>
                <w:color w:val="auto"/>
              </w:rPr>
            </w:pPr>
          </w:p>
        </w:tc>
      </w:tr>
      <w:tr>
        <w:trPr>
          <w:trHeight w:val="212"/>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6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facilities</w:t>
            </w:r>
          </w:p>
        </w:tc>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impact on the fair value measurements to increases/(decreases) in significant unobservable inputs as of March 31,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 Unobservable Input</w:t>
            </w:r>
          </w:p>
        </w:tc>
        <w:tc>
          <w:tcPr>
            <w:tcW w:w="1440" w:type="dxa"/>
            <w:vAlign w:val="bottom"/>
            <w:vMerge w:val="restart"/>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304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Change In Input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Impact on Fair Value</w:t>
            </w:r>
          </w:p>
        </w:tc>
        <w:tc>
          <w:tcPr>
            <w:tcW w:w="0" w:type="dxa"/>
            <w:vAlign w:val="bottom"/>
          </w:tcPr>
          <w:p>
            <w:pPr>
              <w:spacing w:after="0"/>
              <w:rPr>
                <w:sz w:val="1"/>
                <w:szCs w:val="1"/>
                <w:color w:val="auto"/>
              </w:rPr>
            </w:pPr>
          </w:p>
        </w:tc>
      </w:tr>
      <w:tr>
        <w:trPr>
          <w:trHeight w:val="238"/>
        </w:trPr>
        <w:tc>
          <w:tcPr>
            <w:tcW w:w="410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3040" w:type="dxa"/>
            <w:vAlign w:val="bottom"/>
            <w:tcBorders>
              <w:bottom w:val="single" w:sz="8" w:color="auto"/>
            </w:tcBorders>
            <w:vMerge w:val="continue"/>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144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Sell</w:t>
            </w:r>
          </w:p>
        </w:tc>
        <w:tc>
          <w:tcPr>
            <w:tcW w:w="304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Lower/(Higher)</w:t>
            </w:r>
          </w:p>
        </w:tc>
        <w:tc>
          <w:tcPr>
            <w:tcW w:w="0" w:type="dxa"/>
            <w:vAlign w:val="bottom"/>
          </w:tcPr>
          <w:p>
            <w:pPr>
              <w:spacing w:after="0"/>
              <w:rPr>
                <w:sz w:val="1"/>
                <w:szCs w:val="1"/>
                <w:color w:val="auto"/>
              </w:rPr>
            </w:pPr>
          </w:p>
        </w:tc>
      </w:tr>
      <w:tr>
        <w:trPr>
          <w:trHeight w:val="234"/>
        </w:trPr>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Forecast Generation Levels</w:t>
            </w:r>
          </w:p>
        </w:tc>
        <w:tc>
          <w:tcPr>
            <w:tcW w:w="1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Sell</w:t>
            </w:r>
          </w:p>
        </w:tc>
        <w:tc>
          <w:tcPr>
            <w:tcW w:w="30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Higher/(Lower)</w:t>
            </w:r>
          </w:p>
        </w:tc>
        <w:tc>
          <w:tcPr>
            <w:tcW w:w="0" w:type="dxa"/>
            <w:vAlign w:val="bottom"/>
          </w:tcPr>
          <w:p>
            <w:pPr>
              <w:spacing w:after="0"/>
              <w:rPr>
                <w:sz w:val="1"/>
                <w:szCs w:val="1"/>
                <w:color w:val="auto"/>
              </w:rPr>
            </w:pPr>
          </w:p>
        </w:tc>
      </w:tr>
      <w:tr>
        <w:trPr>
          <w:trHeight w:val="778"/>
        </w:trPr>
        <w:tc>
          <w:tcPr>
            <w:tcW w:w="4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40" w:type="dxa"/>
            <w:vAlign w:val="bottom"/>
          </w:tcPr>
          <w:p>
            <w:pPr>
              <w:jc w:val="right"/>
              <w:ind w:right="2770"/>
              <w:spacing w:after="0"/>
              <w:rPr>
                <w:sz w:val="20"/>
                <w:szCs w:val="20"/>
                <w:color w:val="auto"/>
              </w:rPr>
            </w:pPr>
            <w:r>
              <w:rPr>
                <w:rFonts w:ascii="Times New Roman" w:cs="Times New Roman" w:eastAsia="Times New Roman" w:hAnsi="Times New Roman"/>
                <w:sz w:val="18"/>
                <w:szCs w:val="18"/>
                <w:color w:val="231F20"/>
                <w:w w:val="88"/>
              </w:rPr>
              <w:t>20</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2023, the non-performance reserve was a $35 million gain recorded primarily to total operating revenues in the consolidated statements of operations. It is possible that future market prices could vary from those used in recording assets and liabilities and such variations could be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under Item 15 —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color w:val="auto"/>
        </w:rPr>
        <w:t xml:space="preserve"> consolidated financial statements included in the </w:t>
      </w:r>
      <w:r>
        <w:rPr>
          <w:rFonts w:ascii="Times New Roman" w:cs="Times New Roman" w:eastAsia="Times New Roman" w:hAnsi="Times New Roman"/>
          <w:sz w:val="18"/>
          <w:szCs w:val="18"/>
          <w:color w:val="231F20"/>
        </w:rPr>
        <w:t>Company’s</w:t>
      </w:r>
      <w:r>
        <w:rPr>
          <w:rFonts w:ascii="Times New Roman" w:cs="Times New Roman" w:eastAsia="Times New Roman" w:hAnsi="Times New Roman"/>
          <w:sz w:val="18"/>
          <w:szCs w:val="18"/>
          <w:color w:val="auto"/>
        </w:rPr>
        <w:t xml:space="preserve"> 2022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173"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Item 15 — Note 7, </w:t>
      </w:r>
      <w:r>
        <w:rPr>
          <w:rFonts w:ascii="Times New Roman" w:cs="Times New Roman" w:eastAsia="Times New Roman" w:hAnsi="Times New Roman"/>
          <w:sz w:val="18"/>
          <w:szCs w:val="18"/>
          <w:i w:val="1"/>
          <w:iCs w:val="1"/>
          <w:color w:val="auto"/>
        </w:rPr>
        <w:t>Accounting for Derivative Instruments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the Company’s 2022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As of March 31, 2023,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2023, the Company had energy-related derivative instruments extending through 2033. At March 31, 2023, these contracts were not designated as cash flow or fair value hedges.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Total Volume</w:t>
            </w: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8"/>
        </w:trPr>
        <w:tc>
          <w:tcPr>
            <w:tcW w:w="20" w:type="dxa"/>
            <w:vAlign w:val="bottom"/>
          </w:tcPr>
          <w:p>
            <w:pPr>
              <w:spacing w:after="0"/>
              <w:rPr>
                <w:sz w:val="12"/>
                <w:szCs w:val="12"/>
                <w:color w:val="auto"/>
              </w:rPr>
            </w:pPr>
          </w:p>
        </w:tc>
        <w:tc>
          <w:tcPr>
            <w:tcW w:w="1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2660" w:type="dxa"/>
            <w:vAlign w:val="bottom"/>
            <w:gridSpan w:val="3"/>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ind w:left="124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5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w:t>
            </w:r>
          </w:p>
        </w:tc>
        <w:tc>
          <w:tcPr>
            <w:tcW w:w="266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MWh</w:t>
            </w:r>
          </w:p>
        </w:tc>
        <w:tc>
          <w:tcPr>
            <w:tcW w:w="3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26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Dollars</w:t>
            </w:r>
          </w:p>
        </w:tc>
        <w:tc>
          <w:tcPr>
            <w:tcW w:w="3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1,678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77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231F20"/>
              </w:rPr>
              <w:t>21</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3380" w:type="dxa"/>
            <w:vAlign w:val="bottom"/>
            <w:tcBorders>
              <w:bottom w:val="single" w:sz="8" w:color="auto"/>
            </w:tcBorders>
            <w:gridSpan w:val="6"/>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3380" w:type="dxa"/>
            <w:vAlign w:val="bottom"/>
            <w:gridSpan w:val="6"/>
          </w:tcPr>
          <w:p>
            <w:pPr>
              <w:ind w:left="11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40" w:type="dxa"/>
            <w:vAlign w:val="bottom"/>
          </w:tcPr>
          <w:p>
            <w:pPr>
              <w:spacing w:after="0"/>
              <w:rPr>
                <w:sz w:val="16"/>
                <w:szCs w:val="16"/>
                <w:color w:val="auto"/>
              </w:rPr>
            </w:pPr>
          </w:p>
        </w:tc>
        <w:tc>
          <w:tcPr>
            <w:tcW w:w="296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6"/>
        </w:trPr>
        <w:tc>
          <w:tcPr>
            <w:tcW w:w="456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4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320" w:type="dxa"/>
            <w:vAlign w:val="bottom"/>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1320" w:type="dxa"/>
            <w:vAlign w:val="bottom"/>
            <w:tcBorders>
              <w:top w:val="single" w:sz="8" w:color="auto"/>
              <w:bottom w:val="single" w:sz="8" w:color="auto"/>
            </w:tcBorders>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320" w:type="dxa"/>
            <w:vAlign w:val="bottom"/>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 current</w:t>
            </w:r>
          </w:p>
        </w:tc>
        <w:tc>
          <w:tcPr>
            <w:tcW w:w="13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 long-term</w:t>
            </w:r>
          </w:p>
        </w:tc>
        <w:tc>
          <w:tcPr>
            <w:tcW w:w="13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1320" w:type="dxa"/>
            <w:vAlign w:val="bottom"/>
            <w:tcBorders>
              <w:top w:val="single" w:sz="8" w:color="auto"/>
              <w:bottom w:val="single" w:sz="8" w:color="auto"/>
            </w:tcBorders>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320" w:type="dxa"/>
            <w:vAlign w:val="bottom"/>
            <w:tcBorders>
              <w:bottom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level. As of March 31, 2023 and December 31, 2022, the amount of outstanding collateral paid or received was immaterial. The following tables summarize the offsetting of derivatives by counterparty: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6"/>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00" w:type="dxa"/>
            <w:vAlign w:val="bottom"/>
          </w:tcPr>
          <w:p>
            <w:pPr>
              <w:spacing w:after="0"/>
              <w:rPr>
                <w:sz w:val="11"/>
                <w:szCs w:val="11"/>
                <w:color w:val="auto"/>
              </w:rPr>
            </w:pPr>
          </w:p>
        </w:tc>
        <w:tc>
          <w:tcPr>
            <w:tcW w:w="2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Amounts of Recognized</w:t>
            </w:r>
          </w:p>
        </w:tc>
        <w:tc>
          <w:tcPr>
            <w:tcW w:w="280" w:type="dxa"/>
            <w:vAlign w:val="bottom"/>
          </w:tcPr>
          <w:p>
            <w:pPr>
              <w:spacing w:after="0"/>
              <w:rPr>
                <w:sz w:val="11"/>
                <w:szCs w:val="11"/>
                <w:color w:val="auto"/>
              </w:rPr>
            </w:pPr>
          </w:p>
        </w:tc>
        <w:tc>
          <w:tcPr>
            <w:tcW w:w="2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44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231F20"/>
              </w:rPr>
              <w:t>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OCI (OCL) balance attributable to interest rate swaps designated as cash flow hedge derivatives, net of tax:</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r>
      <w:tr>
        <w:trPr>
          <w:trHeight w:val="23"/>
        </w:trPr>
        <w:tc>
          <w:tcPr>
            <w:tcW w:w="84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84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r>
      <w:tr>
        <w:trPr>
          <w:trHeight w:val="189"/>
        </w:trPr>
        <w:tc>
          <w:tcPr>
            <w:tcW w:w="8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(OCL) beginning balance</w:t>
            </w:r>
          </w:p>
        </w:tc>
        <w:tc>
          <w:tcPr>
            <w:tcW w:w="92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Reclassified from accumulated OCI (OCL) to income due to realization of previously deferred amounts</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OCI (OCL) ending balance, net of income tax expense of $2 and $2, respectively</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OCI attributable to noncontrolling interests</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OCI attributable to Clearway Energy, Inc.</w:t>
            </w:r>
          </w:p>
        </w:tc>
        <w:tc>
          <w:tcPr>
            <w:tcW w:w="9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2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expected to be realized from OCI during the next 12 months, net of income tax expense of $1</w:t>
            </w:r>
          </w:p>
        </w:tc>
        <w:tc>
          <w:tcPr>
            <w:tcW w:w="92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bl>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Amounts reclassified from accumulated OCI (OCL) into income are recorded to interest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Consolidated Statements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Mark-to-market gains/(losses) related to the Company’s derivatives are recorded in the consolidated statements of operations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3"/>
        </w:trPr>
        <w:tc>
          <w:tcPr>
            <w:tcW w:w="84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400" w:type="dxa"/>
            <w:vAlign w:val="bottom"/>
          </w:tcPr>
          <w:p>
            <w:pPr>
              <w:spacing w:after="0"/>
              <w:rPr>
                <w:sz w:val="16"/>
                <w:szCs w:val="16"/>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r>
      <w:tr>
        <w:trPr>
          <w:trHeight w:val="189"/>
        </w:trPr>
        <w:tc>
          <w:tcPr>
            <w:tcW w:w="8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9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24242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Commodity Contracts (Mark-to-market for economic hedging activities) </w:t>
            </w:r>
            <w:r>
              <w:rPr>
                <w:rFonts w:ascii="Times New Roman" w:cs="Times New Roman" w:eastAsia="Times New Roman" w:hAnsi="Times New Roman"/>
                <w:sz w:val="23"/>
                <w:szCs w:val="23"/>
                <w:color w:val="auto"/>
                <w:vertAlign w:val="superscript"/>
              </w:rPr>
              <w:t>(a)</w:t>
            </w:r>
          </w:p>
        </w:tc>
        <w:tc>
          <w:tcPr>
            <w:tcW w:w="9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3798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50" w:lineRule="exact"/>
        <w:rPr>
          <w:sz w:val="20"/>
          <w:szCs w:val="20"/>
          <w:color w:val="auto"/>
        </w:rPr>
      </w:pPr>
    </w:p>
    <w:p>
      <w:pPr>
        <w:jc w:val="both"/>
        <w:ind w:left="80" w:firstLine="9"/>
        <w:spacing w:after="0" w:line="428" w:lineRule="auto"/>
        <w:tabs>
          <w:tab w:leader="none" w:pos="239"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Relates to long-term commodity contracts at Elbow Creek, Mesquite Star, Mt. Storm, Langford and Mesquite Sky. During the three months ended March 31, 2022, the commodity contract for Langford, which previously met the NPNS exception, no longer qualified for NPNS treatment and, accordingly, is accounted for as a derivative and marked to fair value through operating revenues.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173"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consolidated financial statements included in the Company’s 2022 Form 10-K. The Company’s borrowings, including short-term and long-term portions, consisted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2023 interest</w:t>
            </w:r>
          </w:p>
        </w:tc>
        <w:tc>
          <w:tcPr>
            <w:tcW w:w="200" w:type="dxa"/>
            <w:vAlign w:val="bottom"/>
          </w:tcPr>
          <w:p>
            <w:pPr>
              <w:spacing w:after="0"/>
              <w:rPr>
                <w:sz w:val="13"/>
                <w:szCs w:val="13"/>
                <w:color w:val="auto"/>
              </w:rPr>
            </w:pPr>
          </w:p>
        </w:tc>
        <w:tc>
          <w:tcPr>
            <w:tcW w:w="14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Letters of Credit</w:t>
            </w:r>
          </w:p>
        </w:tc>
        <w:tc>
          <w:tcPr>
            <w:tcW w:w="0" w:type="dxa"/>
            <w:vAlign w:val="bottom"/>
          </w:tcPr>
          <w:p>
            <w:pPr>
              <w:spacing w:after="0"/>
              <w:rPr>
                <w:sz w:val="1"/>
                <w:szCs w:val="1"/>
                <w:color w:val="auto"/>
              </w:rPr>
            </w:pPr>
          </w:p>
        </w:tc>
      </w:tr>
      <w:tr>
        <w:trPr>
          <w:trHeight w:val="146"/>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1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23"/>
                <w:szCs w:val="23"/>
                <w:b w:val="1"/>
                <w:bCs w:val="1"/>
                <w:color w:val="auto"/>
                <w:w w:val="99"/>
                <w:vertAlign w:val="subscript"/>
              </w:rPr>
              <w:t>rate %</w:t>
            </w:r>
            <w:r>
              <w:rPr>
                <w:rFonts w:ascii="Times New Roman" w:cs="Times New Roman" w:eastAsia="Times New Roman" w:hAnsi="Times New Roman"/>
                <w:sz w:val="10"/>
                <w:szCs w:val="10"/>
                <w:b w:val="1"/>
                <w:bCs w:val="1"/>
                <w:color w:val="auto"/>
                <w:w w:val="99"/>
              </w:rPr>
              <w:t xml:space="preserve"> (a) (b)</w:t>
            </w:r>
          </w:p>
        </w:tc>
        <w:tc>
          <w:tcPr>
            <w:tcW w:w="200" w:type="dxa"/>
            <w:vAlign w:val="bottom"/>
          </w:tcPr>
          <w:p>
            <w:pPr>
              <w:spacing w:after="0"/>
              <w:rPr>
                <w:sz w:val="17"/>
                <w:szCs w:val="17"/>
                <w:color w:val="auto"/>
              </w:rPr>
            </w:pPr>
          </w:p>
        </w:tc>
        <w:tc>
          <w:tcPr>
            <w:tcW w:w="14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Senior Notes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ind w:left="1081"/>
              <w:spacing w:after="0"/>
              <w:rPr>
                <w:sz w:val="20"/>
                <w:szCs w:val="20"/>
                <w:color w:val="auto"/>
              </w:rPr>
            </w:pPr>
            <w:r>
              <w:rPr>
                <w:rFonts w:ascii="Times New Roman" w:cs="Times New Roman" w:eastAsia="Times New Roman" w:hAnsi="Times New Roman"/>
                <w:sz w:val="16"/>
                <w:szCs w:val="16"/>
                <w:color w:val="auto"/>
              </w:rPr>
              <w:t>4.750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2031 Senior Notes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760" w:type="dxa"/>
            <w:vAlign w:val="bottom"/>
            <w:gridSpan w:val="2"/>
          </w:tcPr>
          <w:p>
            <w:pPr>
              <w:jc w:val="center"/>
              <w:ind w:left="1179"/>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2032 Senior Notes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760" w:type="dxa"/>
            <w:vAlign w:val="bottom"/>
            <w:gridSpan w:val="2"/>
            <w:shd w:val="clear" w:color="auto" w:fill="CCEEFF"/>
          </w:tcPr>
          <w:p>
            <w:pPr>
              <w:jc w:val="center"/>
              <w:ind w:left="1179"/>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Clearway Energy LLC and Clearway Energy Operating LLC Revolving Credit</w:t>
            </w:r>
          </w:p>
        </w:tc>
        <w:tc>
          <w:tcPr>
            <w:tcW w:w="12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S+1.850</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242424"/>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42424"/>
              </w:rPr>
              <w:t>139</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Facility, due 2028 </w:t>
            </w:r>
            <w:r>
              <w:rPr>
                <w:rFonts w:ascii="Times New Roman" w:cs="Times New Roman" w:eastAsia="Times New Roman" w:hAnsi="Times New Roman"/>
                <w:sz w:val="21"/>
                <w:szCs w:val="21"/>
                <w:color w:val="auto"/>
                <w:vertAlign w:val="superscript"/>
              </w:rPr>
              <w:t>(c)</w:t>
            </w: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Non-recourse project-level debt: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Agua Caliente Solar LLC, due 2037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2.395-3.633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45</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Alta Wind Asset Management LLC, due 2031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L+2.625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 Wind I-V lease financing arrangements, due 2034 and 2035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5.696-7.015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23</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Alta Wind Realty Investments LLC, due 2031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760" w:type="dxa"/>
            <w:vAlign w:val="bottom"/>
            <w:gridSpan w:val="2"/>
            <w:shd w:val="clear" w:color="auto" w:fill="CCEEFF"/>
          </w:tcPr>
          <w:p>
            <w:pPr>
              <w:jc w:val="center"/>
              <w:ind w:left="1179"/>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Borrego, due 2024 and 2038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760" w:type="dxa"/>
            <w:vAlign w:val="bottom"/>
            <w:gridSpan w:val="2"/>
          </w:tcPr>
          <w:p>
            <w:pPr>
              <w:jc w:val="center"/>
              <w:ind w:left="941"/>
              <w:spacing w:after="0"/>
              <w:rPr>
                <w:sz w:val="20"/>
                <w:szCs w:val="20"/>
                <w:color w:val="auto"/>
              </w:rPr>
            </w:pPr>
            <w:r>
              <w:rPr>
                <w:rFonts w:ascii="Times New Roman" w:cs="Times New Roman" w:eastAsia="Times New Roman" w:hAnsi="Times New Roman"/>
                <w:sz w:val="16"/>
                <w:szCs w:val="16"/>
                <w:color w:val="auto"/>
                <w:w w:val="98"/>
              </w:rPr>
              <w:t>Various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Buckthorn Solar, due 2025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20</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Capistrano Wind Portfolio, due 2029 and 2031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S+2.100-S+2.150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33</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2027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77</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2038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760" w:type="dxa"/>
            <w:vAlign w:val="bottom"/>
            <w:gridSpan w:val="2"/>
          </w:tcPr>
          <w:p>
            <w:pPr>
              <w:jc w:val="center"/>
              <w:ind w:left="1179"/>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 Holdco, LLC, due 2038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760" w:type="dxa"/>
            <w:vAlign w:val="bottom"/>
            <w:gridSpan w:val="2"/>
            <w:shd w:val="clear" w:color="auto" w:fill="CCEEFF"/>
          </w:tcPr>
          <w:p>
            <w:pPr>
              <w:jc w:val="center"/>
              <w:ind w:left="1179"/>
              <w:spacing w:after="0"/>
              <w:rPr>
                <w:sz w:val="20"/>
                <w:szCs w:val="20"/>
                <w:color w:val="auto"/>
              </w:rPr>
            </w:pPr>
            <w:r>
              <w:rPr>
                <w:rFonts w:ascii="Times New Roman" w:cs="Times New Roman" w:eastAsia="Times New Roman" w:hAnsi="Times New Roman"/>
                <w:sz w:val="16"/>
                <w:szCs w:val="16"/>
                <w:color w:val="auto"/>
              </w:rPr>
              <w:t>4.210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5</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CVSR, due 2037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2.339-3.775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CVSR Holdco Notes, due 2037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760" w:type="dxa"/>
            <w:vAlign w:val="bottom"/>
            <w:gridSpan w:val="2"/>
            <w:shd w:val="clear" w:color="auto" w:fill="CCEEFF"/>
          </w:tcPr>
          <w:p>
            <w:pPr>
              <w:jc w:val="center"/>
              <w:ind w:left="1179"/>
              <w:spacing w:after="0"/>
              <w:rPr>
                <w:sz w:val="20"/>
                <w:szCs w:val="20"/>
                <w:color w:val="auto"/>
              </w:rPr>
            </w:pPr>
            <w:r>
              <w:rPr>
                <w:rFonts w:ascii="Times New Roman" w:cs="Times New Roman" w:eastAsia="Times New Roman" w:hAnsi="Times New Roman"/>
                <w:sz w:val="16"/>
                <w:szCs w:val="16"/>
                <w:color w:val="auto"/>
              </w:rPr>
              <w:t>4.680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13</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Daggett 3, due 2023 and 2028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S+1.262</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35</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DG-CS Master Borrower LLC, due 2040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760" w:type="dxa"/>
            <w:vAlign w:val="bottom"/>
            <w:gridSpan w:val="2"/>
            <w:shd w:val="clear" w:color="auto" w:fill="CCEEFF"/>
          </w:tcPr>
          <w:p>
            <w:pPr>
              <w:jc w:val="center"/>
              <w:ind w:left="1179"/>
              <w:spacing w:after="0"/>
              <w:rPr>
                <w:sz w:val="20"/>
                <w:szCs w:val="20"/>
                <w:color w:val="auto"/>
              </w:rPr>
            </w:pPr>
            <w:r>
              <w:rPr>
                <w:rFonts w:ascii="Times New Roman" w:cs="Times New Roman" w:eastAsia="Times New Roman" w:hAnsi="Times New Roman"/>
                <w:sz w:val="16"/>
                <w:szCs w:val="16"/>
                <w:color w:val="auto"/>
              </w:rPr>
              <w:t>3.510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30</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Marsh Landing, due 2023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L+2.375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31</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Mililani I, due 2027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L+1.500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6</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NIMH Solar, due 2024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S+2.150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12</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Oahu Solar Holdings LLC, due 2026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L+1.375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10</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Rosie Class B LLC, due 2027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L+1.750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17</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Utah Solar Holdings, due 2036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760" w:type="dxa"/>
            <w:vAlign w:val="bottom"/>
            <w:gridSpan w:val="2"/>
            <w:shd w:val="clear" w:color="auto" w:fill="CCEEFF"/>
          </w:tcPr>
          <w:p>
            <w:pPr>
              <w:jc w:val="center"/>
              <w:ind w:left="1179"/>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9</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Viento Funding II, LLC, due 2029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S+1.475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25</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Waiawa, due 2028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S+1.600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12</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Walnut Creek, due 2023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L+1.875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63</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WCEP Holdings, LLC, due 2023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L+3.000</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gridSpan w:val="2"/>
          </w:tcPr>
          <w:p>
            <w:pPr>
              <w:jc w:val="center"/>
              <w:ind w:left="941"/>
              <w:spacing w:after="0"/>
              <w:rPr>
                <w:sz w:val="20"/>
                <w:szCs w:val="20"/>
                <w:color w:val="auto"/>
              </w:rPr>
            </w:pPr>
            <w:r>
              <w:rPr>
                <w:rFonts w:ascii="Times New Roman" w:cs="Times New Roman" w:eastAsia="Times New Roman" w:hAnsi="Times New Roman"/>
                <w:sz w:val="16"/>
                <w:szCs w:val="16"/>
                <w:color w:val="auto"/>
                <w:w w:val="98"/>
              </w:rPr>
              <w:t>Various</w:t>
            </w:r>
          </w:p>
        </w:tc>
        <w:tc>
          <w:tcPr>
            <w:tcW w:w="2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242424"/>
              </w:rPr>
              <w:t>252</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Subtotal non-recourse project-level debt</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maturities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debt issuance costs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Add premiums </w:t>
            </w:r>
            <w:r>
              <w:rPr>
                <w:rFonts w:ascii="Times New Roman" w:cs="Times New Roman" w:eastAsia="Times New Roman" w:hAnsi="Times New Roman"/>
                <w:sz w:val="21"/>
                <w:szCs w:val="21"/>
                <w:color w:val="auto"/>
                <w:vertAlign w:val="superscript"/>
              </w:rPr>
              <w:t>(d)</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6,769</w:t>
            </w: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6,491</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20" w:lineRule="exact"/>
        <w:rPr>
          <w:sz w:val="20"/>
          <w:szCs w:val="20"/>
          <w:color w:val="auto"/>
        </w:rPr>
      </w:pPr>
    </w:p>
    <w:p>
      <w:pPr>
        <w:ind w:left="220" w:hanging="131"/>
        <w:spacing w:after="0"/>
        <w:tabs>
          <w:tab w:leader="none" w:pos="22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As of March 31, 2023, L+ equals 3 month LIBOR plus x%, except Marsh Landing, due 2023 and Walnut Creek, due 2023, where L+ equals 1 month LIBOR plus x%.</w:t>
      </w:r>
    </w:p>
    <w:p>
      <w:pPr>
        <w:spacing w:after="0" w:line="16" w:lineRule="exact"/>
        <w:rPr>
          <w:rFonts w:ascii="Times New Roman" w:cs="Times New Roman" w:eastAsia="Times New Roman" w:hAnsi="Times New Roman"/>
          <w:sz w:val="17"/>
          <w:szCs w:val="17"/>
          <w:color w:val="auto"/>
          <w:vertAlign w:val="superscript"/>
        </w:rPr>
      </w:pPr>
    </w:p>
    <w:p>
      <w:pPr>
        <w:ind w:left="240" w:hanging="151"/>
        <w:spacing w:after="0" w:line="189" w:lineRule="auto"/>
        <w:tabs>
          <w:tab w:leader="none" w:pos="2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S+ equals SOFR plus x%.</w:t>
      </w:r>
    </w:p>
    <w:p>
      <w:pPr>
        <w:spacing w:after="0" w:line="30"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Applicable rate is determined by the borrower leverage ratio, as defined in the credit agreement.</w:t>
      </w:r>
    </w:p>
    <w:p>
      <w:pPr>
        <w:spacing w:after="0" w:line="16" w:lineRule="exact"/>
        <w:rPr>
          <w:rFonts w:ascii="Times New Roman" w:cs="Times New Roman" w:eastAsia="Times New Roman" w:hAnsi="Times New Roman"/>
          <w:sz w:val="19"/>
          <w:szCs w:val="19"/>
          <w:color w:val="auto"/>
          <w:vertAlign w:val="superscript"/>
        </w:rPr>
      </w:pPr>
    </w:p>
    <w:p>
      <w:pPr>
        <w:ind w:left="240" w:hanging="151"/>
        <w:spacing w:after="0" w:line="189" w:lineRule="auto"/>
        <w:tabs>
          <w:tab w:leader="none" w:pos="2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Premiums relate to the 2028 Senior Notes.</w:t>
      </w:r>
    </w:p>
    <w:p>
      <w:pPr>
        <w:spacing w:after="0" w:line="14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March 31, 2023, the Company was in compliance with all of the required covenants.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ind w:right="1700" w:firstLine="405"/>
        <w:spacing w:after="0" w:line="438" w:lineRule="auto"/>
        <w:rPr>
          <w:sz w:val="20"/>
          <w:szCs w:val="20"/>
          <w:color w:val="auto"/>
        </w:rPr>
      </w:pPr>
      <w:r>
        <w:rPr>
          <w:rFonts w:ascii="Times New Roman" w:cs="Times New Roman" w:eastAsia="Times New Roman" w:hAnsi="Times New Roman"/>
          <w:sz w:val="18"/>
          <w:szCs w:val="18"/>
          <w:color w:val="auto"/>
        </w:rPr>
        <w:t xml:space="preserve">The discussion below describes material changes to or additions of long-term debt for the three months ended March 31, 2023. </w:t>
      </w:r>
      <w:r>
        <w:rPr>
          <w:rFonts w:ascii="Times New Roman" w:cs="Times New Roman" w:eastAsia="Times New Roman" w:hAnsi="Times New Roman"/>
          <w:sz w:val="18"/>
          <w:szCs w:val="18"/>
          <w:b w:val="1"/>
          <w:bCs w:val="1"/>
          <w:i w:val="1"/>
          <w:iCs w:val="1"/>
          <w:color w:val="auto"/>
        </w:rPr>
        <w:t>Clearway Energy LLC and Clearway Energy Operating LLC Revolving Credit Facility</w:t>
      </w:r>
    </w:p>
    <w:p>
      <w:pPr>
        <w:spacing w:after="0" w:line="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2023, the Company had no outstanding borrowings under the revolving credit facility and $139 million in letters of credit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Project-level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Waiawa</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March 30, 2023, when the Waiawa solar project reached substantial completion, the tax equity investor contributed an additional $41 million and CEG contributed an additional $8 million, which was utilized, along with the $17 million in escrow, to repay the $55 million tax equity bridge loan, to fund $10 million in construction completion reserves and to pay $1 million in associated fees. Subsequent to the Waiawa acquisition on October 3, 2022, the Company borrowed an additional $25 million in construction loans that was converted to a term loan in the amount of $47 million on March 30, 2023.</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Daggett 3</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On February 17, 2023, as part of the acquisition of Daggett 3,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Company assumed the project’s financing agreement, which included a $181 million construction loan that converts to a term loan upon the project reaching substantial completion, $229 million tax equity bridge loan and $75 million sponsor equity bridge loan. The sponsor equity bridge loan was repaid at acquisition date, along with $8 million in associated fees, utilizing all of the proceeds from the Company and cash equity investor, which were contributed back to the Company by CEG. The tax equity bridge loan will be repaid with the final proceeds received from the tax equity investor upon Daggett 3 reaching substantial completion, which is expected to occur in the second half of 2023, along with the $62 million that was contributed into escrow by the tax equity investor at acquisition date. Subsequent to the Daggett 3 acquisition, the Company borrowed an additional $36 million in construction loans.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Loss Per Share</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by the weighted average number of common shares outstanding. Shares issued during the year are weighted for the portion of the year that they were outstanding. Diluted loss per share is computed in a manner consistent with that of basic loss per share while giving effect to all potentially dilutive common shares that were outstanding during the period.</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reconciliation of the Company’s basic and diluted loss per share is shown in the following tables: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21"/>
                <w:szCs w:val="21"/>
                <w:b w:val="1"/>
                <w:bCs w:val="1"/>
                <w:color w:val="auto"/>
                <w:vertAlign w:val="superscript"/>
              </w:rPr>
              <w:t>(a)</w:t>
            </w:r>
          </w:p>
        </w:tc>
        <w:tc>
          <w:tcPr>
            <w:tcW w:w="10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1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0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0" w:type="dxa"/>
            <w:vAlign w:val="bottom"/>
          </w:tcPr>
          <w:p>
            <w:pPr>
              <w:spacing w:after="0"/>
              <w:rPr>
                <w:sz w:val="1"/>
                <w:szCs w:val="1"/>
                <w:color w:val="auto"/>
              </w:rPr>
            </w:pPr>
          </w:p>
        </w:tc>
      </w:tr>
      <w:tr>
        <w:trPr>
          <w:trHeight w:val="200"/>
        </w:trPr>
        <w:tc>
          <w:tcPr>
            <w:tcW w:w="67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280" w:type="dxa"/>
            <w:vAlign w:val="bottom"/>
          </w:tcPr>
          <w:p>
            <w:pPr>
              <w:spacing w:after="0"/>
              <w:rPr>
                <w:sz w:val="17"/>
                <w:szCs w:val="17"/>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280" w:type="dxa"/>
            <w:vAlign w:val="bottom"/>
          </w:tcPr>
          <w:p>
            <w:pPr>
              <w:spacing w:after="0"/>
              <w:rPr>
                <w:sz w:val="17"/>
                <w:szCs w:val="17"/>
                <w:color w:val="auto"/>
              </w:rPr>
            </w:pPr>
          </w:p>
        </w:tc>
        <w:tc>
          <w:tcPr>
            <w:tcW w:w="7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5"/>
        </w:trPr>
        <w:tc>
          <w:tcPr>
            <w:tcW w:w="676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Basic and diluted loss per share attributable to Clearway Energy, Inc. common</w:t>
            </w:r>
          </w:p>
        </w:tc>
        <w:tc>
          <w:tcPr>
            <w:tcW w:w="2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Clearway Energy, Inc.</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weighted average common share — basic and diluted</w:t>
            </w: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4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40" w:hanging="151"/>
        <w:spacing w:after="0"/>
        <w:tabs>
          <w:tab w:leader="none" w:pos="24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Net loss attributable to Clearway Energy, Inc. and basic and diluted loss per share might not recalculate due to presenting amounts in millions rather than whole dollars.</w:t>
      </w:r>
    </w:p>
    <w:p>
      <w:pPr>
        <w:spacing w:after="0" w:line="200" w:lineRule="exact"/>
        <w:rPr>
          <w:rFonts w:ascii="Times New Roman" w:cs="Times New Roman" w:eastAsia="Times New Roman" w:hAnsi="Times New Roman"/>
          <w:sz w:val="20"/>
          <w:szCs w:val="20"/>
          <w:color w:val="auto"/>
          <w:vertAlign w:val="superscript"/>
        </w:rPr>
      </w:pPr>
    </w:p>
    <w:p>
      <w:pPr>
        <w:spacing w:after="0" w:line="260"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conventional power generation, renewable businesses which consist of solar, wind and energy storage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1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4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4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60" w:type="dxa"/>
            <w:vAlign w:val="bottom"/>
          </w:tcPr>
          <w:p>
            <w:pPr>
              <w:spacing w:after="0"/>
              <w:rPr>
                <w:sz w:val="11"/>
                <w:szCs w:val="11"/>
                <w:color w:val="auto"/>
              </w:rPr>
            </w:pPr>
          </w:p>
        </w:tc>
        <w:tc>
          <w:tcPr>
            <w:tcW w:w="1200" w:type="dxa"/>
            <w:vAlign w:val="bottom"/>
            <w:gridSpan w:val="6"/>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 xml:space="preserve">Corporate </w:t>
            </w:r>
            <w:r>
              <w:rPr>
                <w:rFonts w:ascii="Times New Roman" w:cs="Times New Roman" w:eastAsia="Times New Roman" w:hAnsi="Times New Roman"/>
                <w:sz w:val="21"/>
                <w:szCs w:val="21"/>
                <w:b w:val="1"/>
                <w:bCs w:val="1"/>
                <w:color w:val="auto"/>
                <w:w w:val="95"/>
                <w:vertAlign w:val="superscript"/>
              </w:rPr>
              <w:t>(a)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42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ind w:right="4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175"/>
        </w:trPr>
        <w:tc>
          <w:tcPr>
            <w:tcW w:w="638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shown separately below</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in earnings (losses) of unconsolidated affiliates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center"/>
              <w:ind w:right="4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center"/>
              <w:ind w:right="4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Pr>
          <w:p>
            <w:pPr>
              <w:spacing w:after="0"/>
              <w:rPr>
                <w:sz w:val="18"/>
                <w:szCs w:val="18"/>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5140" w:type="dxa"/>
            <w:vAlign w:val="bottom"/>
            <w:gridSpan w:val="2"/>
          </w:tcPr>
          <w:p>
            <w:pPr>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1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2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60" w:type="dxa"/>
            <w:vAlign w:val="bottom"/>
          </w:tcPr>
          <w:p>
            <w:pPr>
              <w:spacing w:after="0"/>
              <w:rPr>
                <w:sz w:val="11"/>
                <w:szCs w:val="11"/>
                <w:color w:val="auto"/>
              </w:rPr>
            </w:pPr>
          </w:p>
        </w:tc>
        <w:tc>
          <w:tcPr>
            <w:tcW w:w="700" w:type="dxa"/>
            <w:vAlign w:val="bottom"/>
            <w:gridSpan w:val="2"/>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 xml:space="preserve">Corporate </w:t>
            </w:r>
            <w:r>
              <w:rPr>
                <w:rFonts w:ascii="Times New Roman" w:cs="Times New Roman" w:eastAsia="Times New Roman" w:hAnsi="Times New Roman"/>
                <w:sz w:val="21"/>
                <w:szCs w:val="21"/>
                <w:b w:val="1"/>
                <w:bCs w:val="1"/>
                <w:color w:val="auto"/>
                <w:w w:val="97"/>
                <w:vertAlign w:val="superscript"/>
              </w:rPr>
              <w:t>(a)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24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BFE4FF"/>
            </w:tcBorders>
            <w:shd w:val="clear" w:color="auto" w:fill="BFE4FF"/>
          </w:tcPr>
          <w:p>
            <w:pPr>
              <w:spacing w:after="0"/>
              <w:rPr>
                <w:sz w:val="19"/>
                <w:szCs w:val="19"/>
                <w:color w:val="auto"/>
              </w:rPr>
            </w:pPr>
          </w:p>
        </w:tc>
        <w:tc>
          <w:tcPr>
            <w:tcW w:w="560" w:type="dxa"/>
            <w:vAlign w:val="bottom"/>
            <w:tcBorders>
              <w:top w:val="single" w:sz="8" w:color="auto"/>
            </w:tcBorders>
            <w:shd w:val="clear" w:color="auto" w:fill="BFE4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BFE4FF"/>
          </w:tcPr>
          <w:p>
            <w:pPr>
              <w:spacing w:after="0"/>
              <w:rPr>
                <w:sz w:val="19"/>
                <w:szCs w:val="19"/>
                <w:color w:val="auto"/>
              </w:rPr>
            </w:pPr>
          </w:p>
        </w:tc>
        <w:tc>
          <w:tcPr>
            <w:tcW w:w="4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BFE4FF"/>
          </w:tcPr>
          <w:p>
            <w:pPr>
              <w:spacing w:after="0"/>
              <w:rPr>
                <w:sz w:val="19"/>
                <w:szCs w:val="19"/>
                <w:color w:val="auto"/>
              </w:rPr>
            </w:pPr>
          </w:p>
        </w:tc>
        <w:tc>
          <w:tcPr>
            <w:tcW w:w="100" w:type="dxa"/>
            <w:vAlign w:val="bottom"/>
            <w:tcBorders>
              <w:top w:val="single" w:sz="8" w:color="auto"/>
            </w:tcBorders>
            <w:shd w:val="clear" w:color="auto" w:fill="BFE4FF"/>
          </w:tcPr>
          <w:p>
            <w:pPr>
              <w:spacing w:after="0"/>
              <w:rPr>
                <w:sz w:val="19"/>
                <w:szCs w:val="19"/>
                <w:color w:val="auto"/>
              </w:rPr>
            </w:pPr>
          </w:p>
        </w:tc>
        <w:tc>
          <w:tcPr>
            <w:tcW w:w="26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top w:val="single" w:sz="8" w:color="auto"/>
            </w:tcBorders>
            <w:shd w:val="clear" w:color="auto" w:fill="BFE4FF"/>
          </w:tcPr>
          <w:p>
            <w:pPr>
              <w:spacing w:after="0"/>
              <w:rPr>
                <w:sz w:val="19"/>
                <w:szCs w:val="19"/>
                <w:color w:val="auto"/>
              </w:rPr>
            </w:pPr>
          </w:p>
        </w:tc>
        <w:tc>
          <w:tcPr>
            <w:tcW w:w="100" w:type="dxa"/>
            <w:vAlign w:val="bottom"/>
            <w:tcBorders>
              <w:top w:val="single" w:sz="8" w:color="BFE4FF"/>
            </w:tcBorders>
            <w:shd w:val="clear" w:color="auto" w:fill="BFE4FF"/>
          </w:tcPr>
          <w:p>
            <w:pPr>
              <w:spacing w:after="0"/>
              <w:rPr>
                <w:sz w:val="19"/>
                <w:szCs w:val="19"/>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3"/>
            <w:shd w:val="clear" w:color="auto" w:fill="BFE4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BFE4FF"/>
          </w:tcPr>
          <w:p>
            <w:pPr>
              <w:spacing w:after="0"/>
              <w:rPr>
                <w:sz w:val="19"/>
                <w:szCs w:val="19"/>
                <w:color w:val="auto"/>
              </w:rPr>
            </w:pPr>
          </w:p>
        </w:tc>
        <w:tc>
          <w:tcPr>
            <w:tcW w:w="100" w:type="dxa"/>
            <w:vAlign w:val="bottom"/>
            <w:tcBorders>
              <w:top w:val="single" w:sz="8" w:color="BFE4FF"/>
            </w:tcBorders>
            <w:shd w:val="clear" w:color="auto" w:fill="BFE4FF"/>
          </w:tcPr>
          <w:p>
            <w:pPr>
              <w:spacing w:after="0"/>
              <w:rPr>
                <w:sz w:val="19"/>
                <w:szCs w:val="19"/>
                <w:color w:val="auto"/>
              </w:rPr>
            </w:pPr>
          </w:p>
        </w:tc>
        <w:tc>
          <w:tcPr>
            <w:tcW w:w="220" w:type="dxa"/>
            <w:vAlign w:val="bottom"/>
            <w:tcBorders>
              <w:top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84"/>
        </w:trPr>
        <w:tc>
          <w:tcPr>
            <w:tcW w:w="514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BFE4FF"/>
          </w:tcPr>
          <w:p>
            <w:pPr>
              <w:spacing w:after="0"/>
              <w:rPr>
                <w:sz w:val="19"/>
                <w:szCs w:val="19"/>
                <w:color w:val="auto"/>
              </w:rPr>
            </w:pPr>
          </w:p>
        </w:tc>
        <w:tc>
          <w:tcPr>
            <w:tcW w:w="102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BFE4FF"/>
          </w:tcPr>
          <w:p>
            <w:pPr>
              <w:spacing w:after="0"/>
              <w:rPr>
                <w:sz w:val="19"/>
                <w:szCs w:val="19"/>
                <w:color w:val="auto"/>
              </w:rPr>
            </w:pPr>
          </w:p>
        </w:tc>
        <w:tc>
          <w:tcPr>
            <w:tcW w:w="5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6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40" w:type="dxa"/>
            <w:vAlign w:val="bottom"/>
            <w:gridSpan w:val="3"/>
            <w:shd w:val="clear" w:color="auto" w:fill="BFE4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7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5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6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40" w:type="dxa"/>
            <w:vAlign w:val="bottom"/>
            <w:gridSpan w:val="3"/>
            <w:shd w:val="clear" w:color="auto" w:fill="BFE4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140" w:type="dxa"/>
            <w:vAlign w:val="bottom"/>
            <w:tcBorders>
              <w:top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tcBorders>
            <w:shd w:val="clear" w:color="auto" w:fill="BFE4FF"/>
          </w:tcPr>
          <w:p>
            <w:pPr>
              <w:spacing w:after="0"/>
              <w:rPr>
                <w:sz w:val="19"/>
                <w:szCs w:val="19"/>
                <w:color w:val="auto"/>
              </w:rPr>
            </w:pPr>
          </w:p>
        </w:tc>
        <w:tc>
          <w:tcPr>
            <w:tcW w:w="1020" w:type="dxa"/>
            <w:vAlign w:val="bottom"/>
            <w:tcBorders>
              <w:top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BFE4FF"/>
            </w:tcBorders>
            <w:shd w:val="clear" w:color="auto" w:fill="BFE4FF"/>
          </w:tcPr>
          <w:p>
            <w:pPr>
              <w:spacing w:after="0"/>
              <w:rPr>
                <w:sz w:val="19"/>
                <w:szCs w:val="19"/>
                <w:color w:val="auto"/>
              </w:rPr>
            </w:pPr>
          </w:p>
        </w:tc>
        <w:tc>
          <w:tcPr>
            <w:tcW w:w="560" w:type="dxa"/>
            <w:vAlign w:val="bottom"/>
            <w:tcBorders>
              <w:top w:val="single" w:sz="8" w:color="auto"/>
            </w:tcBorders>
            <w:shd w:val="clear" w:color="auto" w:fill="BFE4FF"/>
          </w:tcPr>
          <w:p>
            <w:pPr>
              <w:spacing w:after="0"/>
              <w:rPr>
                <w:sz w:val="19"/>
                <w:szCs w:val="19"/>
                <w:color w:val="auto"/>
              </w:rPr>
            </w:pPr>
          </w:p>
        </w:tc>
        <w:tc>
          <w:tcPr>
            <w:tcW w:w="120" w:type="dxa"/>
            <w:vAlign w:val="bottom"/>
            <w:tcBorders>
              <w:top w:val="single" w:sz="8" w:color="auto"/>
            </w:tcBorders>
            <w:shd w:val="clear" w:color="auto" w:fill="BFE4FF"/>
          </w:tcPr>
          <w:p>
            <w:pPr>
              <w:spacing w:after="0"/>
              <w:rPr>
                <w:sz w:val="19"/>
                <w:szCs w:val="19"/>
                <w:color w:val="auto"/>
              </w:rPr>
            </w:pPr>
          </w:p>
        </w:tc>
        <w:tc>
          <w:tcPr>
            <w:tcW w:w="4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spacing w:after="0"/>
              <w:rPr>
                <w:sz w:val="19"/>
                <w:szCs w:val="19"/>
                <w:color w:val="auto"/>
              </w:rPr>
            </w:pPr>
          </w:p>
        </w:tc>
        <w:tc>
          <w:tcPr>
            <w:tcW w:w="600" w:type="dxa"/>
            <w:vAlign w:val="bottom"/>
            <w:tcBorders>
              <w:top w:val="single" w:sz="8" w:color="auto"/>
            </w:tcBorders>
            <w:shd w:val="clear" w:color="auto" w:fill="BFE4FF"/>
          </w:tcPr>
          <w:p>
            <w:pPr>
              <w:spacing w:after="0"/>
              <w:rPr>
                <w:sz w:val="19"/>
                <w:szCs w:val="19"/>
                <w:color w:val="auto"/>
              </w:rPr>
            </w:pPr>
          </w:p>
        </w:tc>
        <w:tc>
          <w:tcPr>
            <w:tcW w:w="100" w:type="dxa"/>
            <w:vAlign w:val="bottom"/>
            <w:tcBorders>
              <w:top w:val="single" w:sz="8" w:color="auto"/>
            </w:tcBorders>
            <w:shd w:val="clear" w:color="auto" w:fill="BFE4FF"/>
          </w:tcPr>
          <w:p>
            <w:pPr>
              <w:spacing w:after="0"/>
              <w:rPr>
                <w:sz w:val="19"/>
                <w:szCs w:val="19"/>
                <w:color w:val="auto"/>
              </w:rPr>
            </w:pPr>
          </w:p>
        </w:tc>
        <w:tc>
          <w:tcPr>
            <w:tcW w:w="26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auto"/>
            </w:tcBorders>
            <w:shd w:val="clear" w:color="auto" w:fill="BFE4FF"/>
          </w:tcPr>
          <w:p>
            <w:pPr>
              <w:spacing w:after="0"/>
              <w:rPr>
                <w:sz w:val="19"/>
                <w:szCs w:val="19"/>
                <w:color w:val="auto"/>
              </w:rPr>
            </w:pPr>
          </w:p>
        </w:tc>
        <w:tc>
          <w:tcPr>
            <w:tcW w:w="100" w:type="dxa"/>
            <w:vAlign w:val="bottom"/>
            <w:tcBorders>
              <w:top w:val="single" w:sz="8" w:color="BFE4FF"/>
            </w:tcBorders>
            <w:shd w:val="clear" w:color="auto" w:fill="BFE4FF"/>
          </w:tcPr>
          <w:p>
            <w:pPr>
              <w:spacing w:after="0"/>
              <w:rPr>
                <w:sz w:val="19"/>
                <w:szCs w:val="19"/>
                <w:color w:val="auto"/>
              </w:rPr>
            </w:pPr>
          </w:p>
        </w:tc>
        <w:tc>
          <w:tcPr>
            <w:tcW w:w="140" w:type="dxa"/>
            <w:vAlign w:val="bottom"/>
            <w:tcBorders>
              <w:top w:val="single" w:sz="8" w:color="auto"/>
            </w:tcBorders>
            <w:shd w:val="clear" w:color="auto" w:fill="BFE4FF"/>
          </w:tcPr>
          <w:p>
            <w:pPr>
              <w:spacing w:after="0"/>
              <w:rPr>
                <w:sz w:val="19"/>
                <w:szCs w:val="19"/>
                <w:color w:val="auto"/>
              </w:rPr>
            </w:pPr>
          </w:p>
        </w:tc>
        <w:tc>
          <w:tcPr>
            <w:tcW w:w="1000" w:type="dxa"/>
            <w:vAlign w:val="bottom"/>
            <w:tcBorders>
              <w:top w:val="single" w:sz="8" w:color="auto"/>
            </w:tcBorders>
            <w:gridSpan w:val="4"/>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BFE4FF"/>
            </w:tcBorders>
            <w:shd w:val="clear" w:color="auto" w:fill="BFE4FF"/>
          </w:tcPr>
          <w:p>
            <w:pPr>
              <w:spacing w:after="0"/>
              <w:rPr>
                <w:sz w:val="19"/>
                <w:szCs w:val="19"/>
                <w:color w:val="auto"/>
              </w:rPr>
            </w:pPr>
          </w:p>
        </w:tc>
        <w:tc>
          <w:tcPr>
            <w:tcW w:w="220" w:type="dxa"/>
            <w:vAlign w:val="bottom"/>
            <w:tcBorders>
              <w:top w:val="single" w:sz="8" w:color="auto"/>
            </w:tcBorders>
            <w:shd w:val="clear" w:color="auto" w:fill="BFE4FF"/>
          </w:tcPr>
          <w:p>
            <w:pPr>
              <w:spacing w:after="0"/>
              <w:rPr>
                <w:sz w:val="19"/>
                <w:szCs w:val="19"/>
                <w:color w:val="auto"/>
              </w:rPr>
            </w:pPr>
          </w:p>
        </w:tc>
        <w:tc>
          <w:tcPr>
            <w:tcW w:w="9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7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6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40" w:type="dxa"/>
            <w:vAlign w:val="bottom"/>
            <w:gridSpan w:val="3"/>
            <w:shd w:val="clear" w:color="auto" w:fill="BFE4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BFE4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BFE4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BFE4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BFE4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BFE4FF"/>
          </w:tcPr>
          <w:p>
            <w:pPr>
              <w:spacing w:after="0"/>
              <w:rPr>
                <w:sz w:val="19"/>
                <w:szCs w:val="19"/>
                <w:color w:val="auto"/>
              </w:rPr>
            </w:pPr>
          </w:p>
        </w:tc>
        <w:tc>
          <w:tcPr>
            <w:tcW w:w="102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BFE4FF"/>
          </w:tcPr>
          <w:p>
            <w:pPr>
              <w:spacing w:after="0"/>
              <w:rPr>
                <w:sz w:val="19"/>
                <w:szCs w:val="19"/>
                <w:color w:val="auto"/>
              </w:rPr>
            </w:pPr>
          </w:p>
        </w:tc>
        <w:tc>
          <w:tcPr>
            <w:tcW w:w="5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4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6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000" w:type="dxa"/>
            <w:vAlign w:val="bottom"/>
            <w:gridSpan w:val="4"/>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5140" w:type="dxa"/>
            <w:vAlign w:val="bottom"/>
            <w:tcBorders>
              <w:top w:val="single" w:sz="8" w:color="BFE4FF"/>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560" w:type="dxa"/>
            <w:vAlign w:val="bottom"/>
            <w:tcBorders>
              <w:top w:val="single" w:sz="8" w:color="auto"/>
              <w:bottom w:val="single" w:sz="8" w:color="auto"/>
            </w:tcBorders>
            <w:shd w:val="clear" w:color="auto" w:fill="BFE4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BFE4FF"/>
          </w:tcPr>
          <w:p>
            <w:pPr>
              <w:spacing w:after="0"/>
              <w:rPr>
                <w:sz w:val="21"/>
                <w:szCs w:val="21"/>
                <w:color w:val="auto"/>
              </w:rPr>
            </w:pPr>
          </w:p>
        </w:tc>
        <w:tc>
          <w:tcPr>
            <w:tcW w:w="4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BFE4FF"/>
          </w:tcPr>
          <w:p>
            <w:pPr>
              <w:spacing w:after="0"/>
              <w:rPr>
                <w:sz w:val="21"/>
                <w:szCs w:val="21"/>
                <w:color w:val="auto"/>
              </w:rPr>
            </w:pPr>
          </w:p>
        </w:tc>
        <w:tc>
          <w:tcPr>
            <w:tcW w:w="100" w:type="dxa"/>
            <w:vAlign w:val="bottom"/>
            <w:tcBorders>
              <w:top w:val="single" w:sz="8" w:color="auto"/>
              <w:bottom w:val="single" w:sz="8" w:color="auto"/>
            </w:tcBorders>
            <w:shd w:val="clear" w:color="auto" w:fill="BFE4FF"/>
          </w:tcPr>
          <w:p>
            <w:pPr>
              <w:spacing w:after="0"/>
              <w:rPr>
                <w:sz w:val="21"/>
                <w:szCs w:val="21"/>
                <w:color w:val="auto"/>
              </w:rPr>
            </w:pPr>
          </w:p>
        </w:tc>
        <w:tc>
          <w:tcPr>
            <w:tcW w:w="260" w:type="dxa"/>
            <w:vAlign w:val="bottom"/>
            <w:tcBorders>
              <w:top w:val="single" w:sz="8" w:color="auto"/>
              <w:bottom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auto"/>
              <w:bottom w:val="single" w:sz="8" w:color="auto"/>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4"/>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20" w:type="dxa"/>
            <w:vAlign w:val="bottom"/>
            <w:tcBorders>
              <w:top w:val="single" w:sz="8" w:color="auto"/>
              <w:bottom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180" w:type="dxa"/>
            <w:vAlign w:val="bottom"/>
            <w:tcBorders>
              <w:top w:val="single" w:sz="8" w:color="BFE4FF"/>
            </w:tcBorders>
          </w:tcPr>
          <w:p>
            <w:pPr>
              <w:spacing w:after="0" w:line="20" w:lineRule="exact"/>
              <w:rPr>
                <w:sz w:val="1"/>
                <w:szCs w:val="1"/>
                <w:color w:val="auto"/>
              </w:rPr>
            </w:pPr>
          </w:p>
        </w:tc>
        <w:tc>
          <w:tcPr>
            <w:tcW w:w="29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6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5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6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260" w:type="dxa"/>
            <w:vAlign w:val="bottom"/>
            <w:tcBorders>
              <w:top w:val="single" w:sz="8" w:color="BFE4FF"/>
              <w:bottom w:val="single" w:sz="8" w:color="auto"/>
            </w:tcBorders>
          </w:tcPr>
          <w:p>
            <w:pPr>
              <w:spacing w:after="0" w:line="20" w:lineRule="exact"/>
              <w:rPr>
                <w:sz w:val="1"/>
                <w:szCs w:val="1"/>
                <w:color w:val="auto"/>
              </w:rPr>
            </w:pPr>
          </w:p>
        </w:tc>
        <w:tc>
          <w:tcPr>
            <w:tcW w:w="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8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bottom w:val="single" w:sz="8" w:color="auto"/>
            </w:tcBorders>
          </w:tcPr>
          <w:p>
            <w:pPr>
              <w:spacing w:after="0" w:line="20" w:lineRule="exact"/>
              <w:rPr>
                <w:sz w:val="1"/>
                <w:szCs w:val="1"/>
                <w:color w:val="auto"/>
              </w:rPr>
            </w:pPr>
          </w:p>
        </w:tc>
        <w:tc>
          <w:tcPr>
            <w:tcW w:w="20" w:type="dxa"/>
            <w:vAlign w:val="bottom"/>
            <w:tcBorders>
              <w:top w:val="single" w:sz="8" w:color="BFE4FF"/>
              <w:bottom w:val="single" w:sz="8" w:color="auto"/>
            </w:tcBorders>
          </w:tcPr>
          <w:p>
            <w:pPr>
              <w:spacing w:after="0" w:line="20" w:lineRule="exact"/>
              <w:rPr>
                <w:sz w:val="1"/>
                <w:szCs w:val="1"/>
                <w:color w:val="auto"/>
              </w:rPr>
            </w:pPr>
          </w:p>
        </w:tc>
        <w:tc>
          <w:tcPr>
            <w:tcW w:w="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9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6"/>
          <w:szCs w:val="16"/>
          <w:color w:val="auto"/>
        </w:rPr>
        <w:t xml:space="preserve"> Includes eliminations.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income tax provision consisted of the following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r>
      <w:tr>
        <w:trPr>
          <w:trHeight w:val="196"/>
        </w:trPr>
        <w:tc>
          <w:tcPr>
            <w:tcW w:w="7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580" w:type="dxa"/>
            <w:vAlign w:val="bottom"/>
          </w:tcPr>
          <w:p>
            <w:pPr>
              <w:spacing w:after="0"/>
              <w:rPr>
                <w:sz w:val="17"/>
                <w:szCs w:val="17"/>
                <w:color w:val="auto"/>
              </w:rPr>
            </w:pPr>
          </w:p>
        </w:tc>
      </w:tr>
      <w:tr>
        <w:trPr>
          <w:trHeight w:val="236"/>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both the three months ended March 31, 2023 and 2022, respectively,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12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tax purposes, Clearway Energy LLC is treated as a partnership; therefore, the Company and CEG each record their respective share of taxable income or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Clearway Renewable Operation &amp; Maintenance LLC</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Various wholly-owned subsidiaries of the Company in the Renewables segment are party to services agreements with Clearway Renewable Operation</w:t>
      </w:r>
    </w:p>
    <w:p>
      <w:pPr>
        <w:spacing w:after="0" w:line="39" w:lineRule="exact"/>
        <w:rPr>
          <w:sz w:val="20"/>
          <w:szCs w:val="20"/>
          <w:color w:val="auto"/>
        </w:rPr>
      </w:pPr>
    </w:p>
    <w:p>
      <w:pPr>
        <w:jc w:val="both"/>
        <w:ind w:firstLine="8"/>
        <w:spacing w:after="0" w:line="255" w:lineRule="auto"/>
        <w:tabs>
          <w:tab w:leader="none" w:pos="1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LLC, or RENOM, a wholly-owned subsidiary of CEG, which provides operation and maintenance, or O&amp;M, services to these subsidiaries. The Company incurred total expenses for these services of $17 million and $15 million for the three months ended March 31, 2023 and 2022, respectively. There was a balance of $11 million and $14 million due to RENOM as of March 31, 2023 and December 31, 2022,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CEG</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$4 million and $3 million for the three months ended March 31, 2023 and 2022, respectively. There was a balance of $1 million and $3 million due to CEG as of March 31, 2023 and December 31, 2022,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175"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color w:val="auto"/>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$1 million under these agreements for each of the three months ended March 31, 2023 and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w:t>
      </w:r>
      <w:r>
        <w:rPr>
          <w:rFonts w:ascii="Times New Roman" w:cs="Times New Roman" w:eastAsia="Times New Roman" w:hAnsi="Times New Roman"/>
          <w:sz w:val="18"/>
          <w:szCs w:val="18"/>
          <w:b w:val="1"/>
          <w:bCs w:val="1"/>
          <w:i w:val="1"/>
          <w:iCs w:val="1"/>
          <w:color w:val="auto"/>
        </w:rPr>
        <w:t>Contingencies</w:t>
      </w:r>
    </w:p>
    <w:p>
      <w:pPr>
        <w:spacing w:after="0" w:line="17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included in the Company’s 2022 Form 10-K.</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material legal proceeding is described below. The Company believes that it has a valid defense to this legal proceeding and intends to defend it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 below or reasonably estimate the scope or amount of any associated costs and potential liabilities. As additional information becomes available, management adjusts its assessment and estimate of such contingency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3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legal proceeding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Buckthorn Solar Litigation</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In response to motions for partial summary judgment filed by each party, the court denied Georgetown’s motion in its entirety, granted Buckthorn Westex’s motion with respect to the fraud by nondisclosure claim and denied Buckthorn Westex’s motion with respect to the breach of contract claim. The case is expected to proceed to trial in October 2023. Buckthorn Westex believes the allegations of Georgetown are meritless, and Buckthorn Westex is vigorously defending its rights under the PPA.</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ind w:right="3160"/>
        <w:spacing w:after="0" w:line="466" w:lineRule="auto"/>
        <w:rPr>
          <w:sz w:val="20"/>
          <w:szCs w:val="20"/>
          <w:color w:val="auto"/>
        </w:rPr>
      </w:pPr>
      <w:r>
        <w:rPr>
          <w:rFonts w:ascii="Times New Roman" w:cs="Times New Roman" w:eastAsia="Times New Roman" w:hAnsi="Times New Roman"/>
          <w:sz w:val="17"/>
          <w:szCs w:val="17"/>
          <w:b w:val="1"/>
          <w:bCs w:val="1"/>
          <w:color w:val="auto"/>
        </w:rPr>
        <w:t xml:space="preserve">ITEM 2 — Management’s Discussion and Analysis of Financial Condition and the Results of Operations </w:t>
      </w:r>
      <w:r>
        <w:rPr>
          <w:rFonts w:ascii="Times New Roman" w:cs="Times New Roman" w:eastAsia="Times New Roman" w:hAnsi="Times New Roman"/>
          <w:sz w:val="17"/>
          <w:szCs w:val="17"/>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months ended March 31, 2023 and 2022. Also refer to the Company’s 2022 Form 10-K, which includes detailed discussions of various items impacting the Company’s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17" w:lineRule="exact"/>
        <w:rPr>
          <w:sz w:val="20"/>
          <w:szCs w:val="20"/>
          <w:color w:val="auto"/>
        </w:rPr>
      </w:pPr>
    </w:p>
    <w:p>
      <w:pPr>
        <w:ind w:left="980" w:right="80"/>
        <w:spacing w:after="0" w:line="281" w:lineRule="auto"/>
        <w:tabs>
          <w:tab w:leader="none" w:pos="1299"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 w:lineRule="exact"/>
        <w:rPr>
          <w:rFonts w:ascii="Times New Roman" w:cs="Times New Roman" w:eastAsia="Times New Roman" w:hAnsi="Times New Roman"/>
          <w:sz w:val="18"/>
          <w:szCs w:val="18"/>
          <w:color w:val="231F20"/>
        </w:rPr>
      </w:pPr>
    </w:p>
    <w:p>
      <w:pPr>
        <w:ind w:left="980" w:right="80"/>
        <w:spacing w:after="0" w:line="281" w:lineRule="auto"/>
        <w:tabs>
          <w:tab w:leader="none" w:pos="12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income;</w:t>
      </w:r>
    </w:p>
    <w:p>
      <w:pPr>
        <w:spacing w:after="0" w:line="1" w:lineRule="exact"/>
        <w:rPr>
          <w:rFonts w:ascii="Times New Roman" w:cs="Times New Roman" w:eastAsia="Times New Roman" w:hAnsi="Times New Roman"/>
          <w:sz w:val="18"/>
          <w:szCs w:val="18"/>
          <w:color w:val="auto"/>
        </w:rPr>
      </w:pPr>
    </w:p>
    <w:p>
      <w:pPr>
        <w:ind w:left="980" w:right="100"/>
        <w:spacing w:after="0" w:line="281" w:lineRule="auto"/>
        <w:tabs>
          <w:tab w:leader="none" w:pos="1299"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 w:lineRule="exact"/>
        <w:rPr>
          <w:rFonts w:ascii="Times New Roman" w:cs="Times New Roman" w:eastAsia="Times New Roman" w:hAnsi="Times New Roman"/>
          <w:sz w:val="18"/>
          <w:szCs w:val="18"/>
          <w:color w:val="231F20"/>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63" w:lineRule="exact"/>
        <w:rPr>
          <w:rFonts w:ascii="Times New Roman" w:cs="Times New Roman" w:eastAsia="Times New Roman" w:hAnsi="Times New Roman"/>
          <w:sz w:val="18"/>
          <w:szCs w:val="18"/>
          <w:color w:val="231F20"/>
        </w:rPr>
      </w:pPr>
    </w:p>
    <w:p>
      <w:pPr>
        <w:ind w:left="980" w:right="80"/>
        <w:spacing w:after="0" w:line="282" w:lineRule="auto"/>
        <w:tabs>
          <w:tab w:leader="none" w:pos="12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is equally owned by GIP and TotalEnergies. GIP is an independent infrastructure fund manager that makes equity and debt investments in infrastructure assets and businesses. TotalEnergies is a global multi-energy company.</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8"/>
          <w:szCs w:val="18"/>
          <w:color w:val="231F20"/>
        </w:rPr>
        <w:t>The majority</w:t>
      </w:r>
      <w:r>
        <w:rPr>
          <w:rFonts w:ascii="Times New Roman" w:cs="Times New Roman" w:eastAsia="Times New Roman" w:hAnsi="Times New Roman"/>
          <w:sz w:val="18"/>
          <w:szCs w:val="18"/>
          <w:color w:val="auto"/>
        </w:rPr>
        <w:t xml:space="preserve"> of the Company’s revenues are derived from long-term contractual arrangements for the output or capacity from these assets. The weighted average remaining contract duration of these offtake agreements was approximately 10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March 31, 2023 </w:t>
      </w:r>
      <w:r>
        <w:rPr>
          <w:rFonts w:ascii="Times New Roman" w:cs="Times New Roman" w:eastAsia="Times New Roman" w:hAnsi="Times New Roman"/>
          <w:sz w:val="18"/>
          <w:szCs w:val="18"/>
          <w:color w:val="231F20"/>
        </w:rPr>
        <w:t>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on CAFD.</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2023, the Company’s operating assets are comprised of the following projects:</w:t>
      </w:r>
    </w:p>
    <w:p>
      <w:pPr>
        <w:spacing w:after="0" w:line="82"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88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94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26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234"/>
        </w:trPr>
        <w:tc>
          <w:tcPr>
            <w:tcW w:w="1460" w:type="dxa"/>
            <w:vAlign w:val="bottom"/>
            <w:vMerge w:val="continue"/>
          </w:tcPr>
          <w:p>
            <w:pPr>
              <w:spacing w:after="0"/>
              <w:rPr>
                <w:sz w:val="20"/>
                <w:szCs w:val="20"/>
                <w:color w:val="auto"/>
              </w:rPr>
            </w:pPr>
          </w:p>
        </w:tc>
        <w:tc>
          <w:tcPr>
            <w:tcW w:w="188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40" w:type="dxa"/>
            <w:vAlign w:val="bottom"/>
          </w:tcPr>
          <w:p>
            <w:pPr>
              <w:jc w:val="center"/>
              <w:ind w:right="608"/>
              <w:spacing w:after="0" w:line="234" w:lineRule="exact"/>
              <w:rPr>
                <w:sz w:val="20"/>
                <w:szCs w:val="20"/>
                <w:color w:val="auto"/>
              </w:rPr>
            </w:pPr>
            <w:r>
              <w:rPr>
                <w:rFonts w:ascii="Times New Roman" w:cs="Times New Roman" w:eastAsia="Times New Roman" w:hAnsi="Times New Roman"/>
                <w:sz w:val="14"/>
                <w:szCs w:val="14"/>
                <w:b w:val="1"/>
                <w:bCs w:val="1"/>
                <w:color w:val="auto"/>
                <w:w w:val="95"/>
              </w:rPr>
              <w:t xml:space="preserve">(MW) </w:t>
            </w:r>
            <w:r>
              <w:rPr>
                <w:rFonts w:ascii="Times New Roman" w:cs="Times New Roman" w:eastAsia="Times New Roman" w:hAnsi="Times New Roman"/>
                <w:sz w:val="21"/>
                <w:szCs w:val="21"/>
                <w:b w:val="1"/>
                <w:bCs w:val="1"/>
                <w:color w:val="auto"/>
                <w:w w:val="95"/>
                <w:vertAlign w:val="superscript"/>
              </w:rPr>
              <w:t>(a)</w:t>
            </w:r>
          </w:p>
        </w:tc>
        <w:tc>
          <w:tcPr>
            <w:tcW w:w="26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Conventional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Carlsbad</w:t>
            </w:r>
          </w:p>
        </w:tc>
        <w:tc>
          <w:tcPr>
            <w:tcW w:w="23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527</w:t>
            </w:r>
          </w:p>
        </w:tc>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San Diego Gas &amp; Electric</w:t>
            </w:r>
          </w:p>
        </w:tc>
        <w:tc>
          <w:tcPr>
            <w:tcW w:w="218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2038</w:t>
            </w:r>
          </w:p>
        </w:tc>
      </w:tr>
      <w:tr>
        <w:trPr>
          <w:trHeight w:val="195"/>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 Segundo</w:t>
            </w:r>
          </w:p>
        </w:tc>
        <w:tc>
          <w:tcPr>
            <w:tcW w:w="2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550</w:t>
            </w:r>
          </w:p>
        </w:tc>
        <w:tc>
          <w:tcPr>
            <w:tcW w:w="2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rPr>
              <w:t>2023 - 2026</w:t>
            </w:r>
          </w:p>
        </w:tc>
      </w:tr>
      <w:tr>
        <w:trPr>
          <w:trHeight w:val="210"/>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GenConn Devon</w:t>
            </w:r>
          </w:p>
        </w:tc>
        <w:tc>
          <w:tcPr>
            <w:tcW w:w="23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50 %</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218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2040</w:t>
            </w:r>
          </w:p>
        </w:tc>
      </w:tr>
      <w:tr>
        <w:trPr>
          <w:trHeight w:val="195"/>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GenConn Middletown</w:t>
            </w:r>
          </w:p>
        </w:tc>
        <w:tc>
          <w:tcPr>
            <w:tcW w:w="2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50 %</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c>
          <w:tcPr>
            <w:tcW w:w="2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218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rPr>
              <w:t>2041</w:t>
            </w:r>
          </w:p>
        </w:tc>
      </w:tr>
      <w:tr>
        <w:trPr>
          <w:trHeight w:val="210"/>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Marsh Landing</w:t>
            </w:r>
          </w:p>
        </w:tc>
        <w:tc>
          <w:tcPr>
            <w:tcW w:w="23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720</w:t>
            </w:r>
          </w:p>
        </w:tc>
        <w:tc>
          <w:tcPr>
            <w:tcW w:w="2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Various</w:t>
            </w:r>
          </w:p>
        </w:tc>
        <w:tc>
          <w:tcPr>
            <w:tcW w:w="218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2023 - 2030</w:t>
            </w:r>
          </w:p>
        </w:tc>
      </w:tr>
      <w:tr>
        <w:trPr>
          <w:trHeight w:val="188"/>
        </w:trPr>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Walnut Creek</w:t>
            </w:r>
          </w:p>
        </w:tc>
        <w:tc>
          <w:tcPr>
            <w:tcW w:w="2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485</w:t>
            </w:r>
          </w:p>
        </w:tc>
        <w:tc>
          <w:tcPr>
            <w:tcW w:w="2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rPr>
              <w:t>2023 - 2026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Total Conventional</w:t>
            </w:r>
          </w:p>
        </w:tc>
        <w:tc>
          <w:tcPr>
            <w:tcW w:w="16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30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r>
      <w:tr>
        <w:trPr>
          <w:trHeight w:val="215"/>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03"/>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Agua Caliente</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2039</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Alpine</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2033</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2031</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Avra Valley</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Tucson Electric Power</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2032</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Blythe</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2029</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Borrego</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San Diego Gas and Electric</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2038</w:t>
            </w:r>
          </w:p>
        </w:tc>
      </w:tr>
      <w:tr>
        <w:trPr>
          <w:trHeight w:val="237"/>
        </w:trPr>
        <w:tc>
          <w:tcPr>
            <w:tcW w:w="3340" w:type="dxa"/>
            <w:vAlign w:val="bottom"/>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City of Georgetown, TX</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2043</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CVSR</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2038</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Desert Sunlight 250</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2034</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Desert Sunlight 300</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Kansas South</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2033</w:t>
            </w:r>
          </w:p>
        </w:tc>
      </w:tr>
      <w:tr>
        <w:trPr>
          <w:trHeight w:val="203"/>
        </w:trPr>
        <w:tc>
          <w:tcPr>
            <w:tcW w:w="3340" w:type="dxa"/>
            <w:vAlign w:val="bottom"/>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Mililani I </w:t>
            </w:r>
            <w:r>
              <w:rPr>
                <w:rFonts w:ascii="Times New Roman" w:cs="Times New Roman" w:eastAsia="Times New Roman" w:hAnsi="Times New Roman"/>
                <w:sz w:val="21"/>
                <w:szCs w:val="21"/>
                <w:color w:val="auto"/>
                <w:vertAlign w:val="superscript"/>
              </w:rPr>
              <w:t>(b) (c)</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2042</w:t>
            </w:r>
          </w:p>
        </w:tc>
      </w:tr>
      <w:tr>
        <w:trPr>
          <w:trHeight w:val="229"/>
        </w:trPr>
        <w:tc>
          <w:tcPr>
            <w:tcW w:w="33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Oahu Solar Projects </w:t>
            </w:r>
            <w:r>
              <w:rPr>
                <w:rFonts w:ascii="Times New Roman" w:cs="Times New Roman" w:eastAsia="Times New Roman" w:hAnsi="Times New Roman"/>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2041</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Roadrunner</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 Paso Electric</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2031</w:t>
            </w:r>
          </w:p>
        </w:tc>
      </w:tr>
      <w:tr>
        <w:trPr>
          <w:trHeight w:val="237"/>
        </w:trPr>
        <w:tc>
          <w:tcPr>
            <w:tcW w:w="3340" w:type="dxa"/>
            <w:vAlign w:val="bottom"/>
            <w:shd w:val="clear" w:color="auto" w:fill="CCEEFF"/>
          </w:tcPr>
          <w:p>
            <w:pPr>
              <w:ind w:left="120"/>
              <w:spacing w:after="0" w:line="237" w:lineRule="exact"/>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2035 - 2047</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 High Desert</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2033</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Utah Solar Portfolio</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PacifiCorp</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2036</w:t>
            </w:r>
          </w:p>
        </w:tc>
      </w:tr>
      <w:tr>
        <w:trPr>
          <w:trHeight w:val="203"/>
        </w:trPr>
        <w:tc>
          <w:tcPr>
            <w:tcW w:w="334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23"/>
                <w:szCs w:val="23"/>
                <w:color w:val="auto"/>
                <w:vertAlign w:val="subscript"/>
              </w:rPr>
              <w:t>Waiawa</w:t>
            </w:r>
            <w:r>
              <w:rPr>
                <w:rFonts w:ascii="Times New Roman" w:cs="Times New Roman" w:eastAsia="Times New Roman" w:hAnsi="Times New Roman"/>
                <w:sz w:val="10"/>
                <w:szCs w:val="10"/>
                <w:color w:val="auto"/>
              </w:rPr>
              <w:t xml:space="preserve"> (b) (c)</w:t>
            </w:r>
          </w:p>
        </w:tc>
        <w:tc>
          <w:tcPr>
            <w:tcW w:w="16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2160" w:type="dxa"/>
            <w:vAlign w:val="bottom"/>
            <w:tcBorders>
              <w:bottom w:val="single" w:sz="8" w:color="CCEEFF"/>
            </w:tcBorders>
          </w:tcPr>
          <w:p>
            <w:pPr>
              <w:jc w:val="center"/>
              <w:ind w:left="1028"/>
              <w:spacing w:after="0"/>
              <w:rPr>
                <w:sz w:val="20"/>
                <w:szCs w:val="20"/>
                <w:color w:val="auto"/>
              </w:rPr>
            </w:pPr>
            <w:r>
              <w:rPr>
                <w:rFonts w:ascii="Times New Roman" w:cs="Times New Roman" w:eastAsia="Times New Roman" w:hAnsi="Times New Roman"/>
                <w:sz w:val="14"/>
                <w:szCs w:val="14"/>
                <w:color w:val="auto"/>
              </w:rPr>
              <w:t>2043</w:t>
            </w:r>
          </w:p>
        </w:tc>
      </w:tr>
      <w:tr>
        <w:trPr>
          <w:trHeight w:val="196"/>
        </w:trPr>
        <w:tc>
          <w:tcPr>
            <w:tcW w:w="3340" w:type="dxa"/>
            <w:vAlign w:val="bottom"/>
            <w:shd w:val="clear" w:color="auto" w:fill="CCEEFF"/>
          </w:tcPr>
          <w:p>
            <w:pPr>
              <w:ind w:left="460"/>
              <w:spacing w:after="0" w:line="196" w:lineRule="exact"/>
              <w:rPr>
                <w:sz w:val="20"/>
                <w:szCs w:val="20"/>
                <w:color w:val="auto"/>
              </w:rPr>
            </w:pPr>
            <w:r>
              <w:rPr>
                <w:rFonts w:ascii="Times New Roman" w:cs="Times New Roman" w:eastAsia="Times New Roman" w:hAnsi="Times New Roman"/>
                <w:sz w:val="16"/>
                <w:szCs w:val="16"/>
                <w:b w:val="1"/>
                <w:bCs w:val="1"/>
                <w:i w:val="1"/>
                <w:iCs w:val="1"/>
                <w:color w:val="auto"/>
              </w:rPr>
              <w:t xml:space="preserve">Total Utility Scale Solar </w:t>
            </w:r>
            <w:r>
              <w:rPr>
                <w:rFonts w:ascii="Times New Roman" w:cs="Times New Roman" w:eastAsia="Times New Roman" w:hAnsi="Times New Roman"/>
                <w:sz w:val="21"/>
                <w:szCs w:val="21"/>
                <w:b w:val="1"/>
                <w:bCs w:val="1"/>
                <w:i w:val="1"/>
                <w:iCs w:val="1"/>
                <w:color w:val="auto"/>
                <w:vertAlign w:val="superscript"/>
              </w:rPr>
              <w:t>(d)</w:t>
            </w:r>
          </w:p>
        </w:tc>
        <w:tc>
          <w:tcPr>
            <w:tcW w:w="1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30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15"/>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03"/>
        </w:trPr>
        <w:tc>
          <w:tcPr>
            <w:tcW w:w="3340" w:type="dxa"/>
            <w:vAlign w:val="bottom"/>
            <w:shd w:val="clear" w:color="auto" w:fill="CCEEFF"/>
          </w:tcPr>
          <w:p>
            <w:pPr>
              <w:ind w:left="120"/>
              <w:spacing w:after="0" w:line="204" w:lineRule="exact"/>
              <w:rPr>
                <w:sz w:val="20"/>
                <w:szCs w:val="20"/>
                <w:color w:val="auto"/>
              </w:rPr>
            </w:pPr>
            <w:r>
              <w:rPr>
                <w:rFonts w:ascii="Times New Roman" w:cs="Times New Roman" w:eastAsia="Times New Roman" w:hAnsi="Times New Roman"/>
                <w:sz w:val="14"/>
                <w:szCs w:val="14"/>
                <w:color w:val="auto"/>
              </w:rPr>
              <w:t xml:space="preserve">DGPV Fund Projects </w:t>
            </w:r>
            <w:r>
              <w:rPr>
                <w:rFonts w:ascii="Times New Roman" w:cs="Times New Roman" w:eastAsia="Times New Roman" w:hAnsi="Times New Roman"/>
                <w:sz w:val="21"/>
                <w:szCs w:val="21"/>
                <w:color w:val="auto"/>
                <w:vertAlign w:val="superscript"/>
              </w:rPr>
              <w:t>(b)</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2030 - 2044</w:t>
            </w:r>
          </w:p>
        </w:tc>
      </w:tr>
      <w:tr>
        <w:trPr>
          <w:trHeight w:val="195"/>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Solar Power Partners (SPP) Projects</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2026 - 2037</w:t>
            </w:r>
          </w:p>
        </w:tc>
      </w:tr>
      <w:tr>
        <w:trPr>
          <w:trHeight w:val="21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DG Projects</w:t>
            </w: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60" w:type="dxa"/>
            <w:vAlign w:val="bottom"/>
            <w:shd w:val="clear" w:color="auto" w:fill="CCEEFF"/>
          </w:tcPr>
          <w:p>
            <w:pPr>
              <w:jc w:val="center"/>
              <w:ind w:left="1028"/>
              <w:spacing w:after="0"/>
              <w:rPr>
                <w:sz w:val="20"/>
                <w:szCs w:val="20"/>
                <w:color w:val="auto"/>
              </w:rPr>
            </w:pPr>
            <w:r>
              <w:rPr>
                <w:rFonts w:ascii="Times New Roman" w:cs="Times New Roman" w:eastAsia="Times New Roman" w:hAnsi="Times New Roman"/>
                <w:sz w:val="14"/>
                <w:szCs w:val="14"/>
                <w:color w:val="auto"/>
              </w:rPr>
              <w:t>2023 - 2039</w:t>
            </w:r>
          </w:p>
        </w:tc>
      </w:tr>
      <w:tr>
        <w:trPr>
          <w:trHeight w:val="261"/>
        </w:trPr>
        <w:tc>
          <w:tcPr>
            <w:tcW w:w="33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Total Distributed Solar </w:t>
            </w:r>
            <w:r>
              <w:rPr>
                <w:rFonts w:ascii="Times New Roman" w:cs="Times New Roman" w:eastAsia="Times New Roman" w:hAnsi="Times New Roman"/>
                <w:sz w:val="21"/>
                <w:szCs w:val="21"/>
                <w:b w:val="1"/>
                <w:bCs w:val="1"/>
                <w:i w:val="1"/>
                <w:iCs w:val="1"/>
                <w:color w:val="auto"/>
                <w:vertAlign w:val="superscript"/>
              </w:rPr>
              <w:t>(d)</w:t>
            </w:r>
          </w:p>
        </w:tc>
        <w:tc>
          <w:tcPr>
            <w:tcW w:w="16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3040" w:type="dxa"/>
            <w:vAlign w:val="bottom"/>
          </w:tcPr>
          <w:p>
            <w:pPr>
              <w:spacing w:after="0"/>
              <w:rPr>
                <w:sz w:val="22"/>
                <w:szCs w:val="22"/>
                <w:color w:val="auto"/>
              </w:rPr>
            </w:pPr>
          </w:p>
        </w:tc>
        <w:tc>
          <w:tcPr>
            <w:tcW w:w="2160" w:type="dxa"/>
            <w:vAlign w:val="bottom"/>
          </w:tcPr>
          <w:p>
            <w:pPr>
              <w:spacing w:after="0"/>
              <w:rPr>
                <w:sz w:val="22"/>
                <w:szCs w:val="22"/>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tbl>
      <w:tblPr>
        <w:tblLayout w:type="fixed"/>
        <w:tblInd w:w="1540" w:type="dxa"/>
        <w:tblCellMar>
          <w:top w:w="0" w:type="dxa"/>
          <w:left w:w="0" w:type="dxa"/>
          <w:bottom w:w="0" w:type="dxa"/>
          <w:right w:w="0" w:type="dxa"/>
        </w:tblCellMar>
      </w:tblPr>
      <w:tr>
        <w:trPr>
          <w:trHeight w:val="161"/>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8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94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Net Capacity</w:t>
            </w:r>
          </w:p>
        </w:tc>
        <w:tc>
          <w:tcPr>
            <w:tcW w:w="26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234"/>
        </w:trPr>
        <w:tc>
          <w:tcPr>
            <w:tcW w:w="1440" w:type="dxa"/>
            <w:vAlign w:val="bottom"/>
            <w:vMerge w:val="continue"/>
          </w:tcPr>
          <w:p>
            <w:pPr>
              <w:spacing w:after="0"/>
              <w:rPr>
                <w:sz w:val="20"/>
                <w:szCs w:val="20"/>
                <w:color w:val="auto"/>
              </w:rPr>
            </w:pPr>
          </w:p>
        </w:tc>
        <w:tc>
          <w:tcPr>
            <w:tcW w:w="18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40" w:type="dxa"/>
            <w:vAlign w:val="bottom"/>
          </w:tcPr>
          <w:p>
            <w:pPr>
              <w:jc w:val="center"/>
              <w:ind w:right="588"/>
              <w:spacing w:after="0" w:line="234" w:lineRule="exact"/>
              <w:rPr>
                <w:sz w:val="20"/>
                <w:szCs w:val="20"/>
                <w:color w:val="auto"/>
              </w:rPr>
            </w:pPr>
            <w:r>
              <w:rPr>
                <w:rFonts w:ascii="Times New Roman" w:cs="Times New Roman" w:eastAsia="Times New Roman" w:hAnsi="Times New Roman"/>
                <w:sz w:val="14"/>
                <w:szCs w:val="14"/>
                <w:b w:val="1"/>
                <w:bCs w:val="1"/>
                <w:color w:val="auto"/>
                <w:w w:val="92"/>
              </w:rPr>
              <w:t xml:space="preserve">(MW) </w:t>
            </w:r>
            <w:r>
              <w:rPr>
                <w:rFonts w:ascii="Times New Roman" w:cs="Times New Roman" w:eastAsia="Times New Roman" w:hAnsi="Times New Roman"/>
                <w:sz w:val="21"/>
                <w:szCs w:val="21"/>
                <w:b w:val="1"/>
                <w:bCs w:val="1"/>
                <w:color w:val="auto"/>
                <w:w w:val="92"/>
                <w:vertAlign w:val="superscript"/>
              </w:rPr>
              <w:t>(a)</w:t>
            </w:r>
          </w:p>
        </w:tc>
        <w:tc>
          <w:tcPr>
            <w:tcW w:w="266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Wind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I</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II</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III</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IV</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5"/>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V</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Alta X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Alta XI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SCE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Black Rock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Toyota and AEP</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5"/>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Buffalo Bear</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Capistrano Wind Portfolio</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Various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2030 - 2033</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Various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66.7 %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5"/>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Forward</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Goat Wind</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Dow Pipeline Company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Langford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Goldman Sachs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Laredo Ridge</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5"/>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Lookout</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Mesquite Sky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Various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2033 - 2036</w:t>
            </w: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Mesquite Star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Various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2032 - 2035</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Mt. Storm</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Citigroup</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5"/>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Ocotillo</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Odin</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99.9 %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Missouri River Energy Services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39"/>
        </w:trPr>
        <w:tc>
          <w:tcPr>
            <w:tcW w:w="3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 xml:space="preserve">Pinnacle </w:t>
            </w:r>
            <w:r>
              <w:rPr>
                <w:rFonts w:ascii="Times New Roman" w:cs="Times New Roman" w:eastAsia="Times New Roman" w:hAnsi="Times New Roman"/>
                <w:sz w:val="21"/>
                <w:szCs w:val="21"/>
                <w:color w:val="auto"/>
                <w:vertAlign w:val="superscript"/>
              </w:rPr>
              <w:t>(b)</w:t>
            </w:r>
          </w:p>
        </w:tc>
        <w:tc>
          <w:tcPr>
            <w:tcW w:w="1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1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Maryland Department of General Services and University System</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Maryland</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4"/>
                <w:szCs w:val="14"/>
                <w:color w:val="auto"/>
              </w:rPr>
              <w:t xml:space="preserve">Rattlesnake </w:t>
            </w:r>
            <w:r>
              <w:rPr>
                <w:rFonts w:ascii="Times New Roman" w:cs="Times New Roman" w:eastAsia="Times New Roman" w:hAnsi="Times New Roman"/>
                <w:sz w:val="21"/>
                <w:szCs w:val="21"/>
                <w:color w:val="auto"/>
                <w:vertAlign w:val="superscript"/>
              </w:rPr>
              <w:t>(b) (e)</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Avista Corporation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95"/>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Sleeping Bear</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95"/>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South Trent</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AEP Energy Partners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Spanish Fork</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PacifiCorp</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Spring Canyon II </w:t>
            </w:r>
            <w:r>
              <w:rPr>
                <w:rFonts w:ascii="Times New Roman" w:cs="Times New Roman" w:eastAsia="Times New Roman" w:hAnsi="Times New Roman"/>
                <w:sz w:val="21"/>
                <w:szCs w:val="21"/>
                <w:color w:val="auto"/>
                <w:vertAlign w:val="superscript"/>
              </w:rPr>
              <w:t>(b)</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90.1 %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4"/>
                <w:szCs w:val="14"/>
                <w:color w:val="auto"/>
              </w:rPr>
              <w:t xml:space="preserve">Spring Canyon III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90.1 %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95"/>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Taloga</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21"/>
                <w:szCs w:val="21"/>
                <w:color w:val="auto"/>
                <w:vertAlign w:val="superscript"/>
              </w:rPr>
              <w:t>(b)</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460"/>
              <w:spacing w:after="0" w:line="196" w:lineRule="exact"/>
              <w:rPr>
                <w:sz w:val="20"/>
                <w:szCs w:val="20"/>
                <w:color w:val="auto"/>
              </w:rPr>
            </w:pPr>
            <w:r>
              <w:rPr>
                <w:rFonts w:ascii="Times New Roman" w:cs="Times New Roman" w:eastAsia="Times New Roman" w:hAnsi="Times New Roman"/>
                <w:sz w:val="16"/>
                <w:szCs w:val="16"/>
                <w:b w:val="1"/>
                <w:bCs w:val="1"/>
                <w:i w:val="1"/>
                <w:iCs w:val="1"/>
                <w:color w:val="auto"/>
              </w:rPr>
              <w:t xml:space="preserve">Total Wind </w:t>
            </w:r>
            <w:r>
              <w:rPr>
                <w:rFonts w:ascii="Times New Roman" w:cs="Times New Roman" w:eastAsia="Times New Roman" w:hAnsi="Times New Roman"/>
                <w:sz w:val="21"/>
                <w:szCs w:val="21"/>
                <w:b w:val="1"/>
                <w:bCs w:val="1"/>
                <w:i w:val="1"/>
                <w:iCs w:val="1"/>
                <w:color w:val="auto"/>
                <w:vertAlign w:val="superscript"/>
              </w:rPr>
              <w:t>(d)</w:t>
            </w:r>
          </w:p>
        </w:tc>
        <w:tc>
          <w:tcPr>
            <w:tcW w:w="17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41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net generation capacity</w:t>
            </w:r>
          </w:p>
        </w:tc>
        <w:tc>
          <w:tcPr>
            <w:tcW w:w="17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8,114</w:t>
            </w:r>
          </w:p>
        </w:tc>
        <w:tc>
          <w:tcPr>
            <w:tcW w:w="4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86" w:lineRule="exact"/>
        <w:rPr>
          <w:sz w:val="20"/>
          <w:szCs w:val="20"/>
          <w:color w:val="auto"/>
        </w:rPr>
      </w:pPr>
    </w:p>
    <w:p>
      <w:pPr>
        <w:ind w:left="240" w:hanging="151"/>
        <w:spacing w:after="0"/>
        <w:tabs>
          <w:tab w:leader="none" w:pos="24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Net capacity represents the maximum, or rated, generating capacity of the facility multiplied by the Company’s percentage ownership in the facility as of March 31, 2023.</w:t>
      </w:r>
    </w:p>
    <w:p>
      <w:pPr>
        <w:spacing w:after="0" w:line="57" w:lineRule="exact"/>
        <w:rPr>
          <w:rFonts w:ascii="Times New Roman" w:cs="Times New Roman" w:eastAsia="Times New Roman" w:hAnsi="Times New Roman"/>
          <w:sz w:val="20"/>
          <w:szCs w:val="20"/>
          <w:color w:val="auto"/>
          <w:vertAlign w:val="superscript"/>
        </w:rPr>
      </w:pPr>
    </w:p>
    <w:p>
      <w:pPr>
        <w:ind w:left="80" w:firstLine="9"/>
        <w:spacing w:after="0" w:line="219" w:lineRule="auto"/>
        <w:tabs>
          <w:tab w:leader="none" w:pos="245"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 xml:space="preserve">Projects are part of tax equity arrangements and ownership percentage is based on cash to be distributed, as further described in Note 4, </w:t>
      </w:r>
      <w:r>
        <w:rPr>
          <w:rFonts w:ascii="Times New Roman" w:cs="Times New Roman" w:eastAsia="Times New Roman" w:hAnsi="Times New Roman"/>
          <w:sz w:val="13"/>
          <w:szCs w:val="13"/>
          <w:i w:val="1"/>
          <w:iCs w:val="1"/>
          <w:color w:val="auto"/>
        </w:rPr>
        <w:t>Investments Accounted for by the Equity Method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Variable Interest Entities.</w:t>
      </w:r>
    </w:p>
    <w:p>
      <w:pPr>
        <w:spacing w:after="0" w:line="6" w:lineRule="exact"/>
        <w:rPr>
          <w:rFonts w:ascii="Times New Roman" w:cs="Times New Roman" w:eastAsia="Times New Roman" w:hAnsi="Times New Roman"/>
          <w:sz w:val="20"/>
          <w:szCs w:val="20"/>
          <w:color w:val="auto"/>
          <w:vertAlign w:val="superscript"/>
        </w:rPr>
      </w:pPr>
    </w:p>
    <w:p>
      <w:pPr>
        <w:ind w:left="260" w:hanging="171"/>
        <w:spacing w:after="0"/>
        <w:tabs>
          <w:tab w:leader="none" w:pos="26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storage capacity that matches the facility’s rated generating capacity.</w:t>
      </w:r>
    </w:p>
    <w:p>
      <w:pPr>
        <w:spacing w:after="0" w:line="81" w:lineRule="exact"/>
        <w:rPr>
          <w:rFonts w:ascii="Times New Roman" w:cs="Times New Roman" w:eastAsia="Times New Roman" w:hAnsi="Times New Roman"/>
          <w:sz w:val="23"/>
          <w:szCs w:val="23"/>
          <w:color w:val="auto"/>
          <w:vertAlign w:val="superscript"/>
        </w:rPr>
      </w:pPr>
    </w:p>
    <w:p>
      <w:pPr>
        <w:jc w:val="both"/>
        <w:ind w:left="80" w:right="20" w:firstLine="9"/>
        <w:spacing w:after="0" w:line="220" w:lineRule="auto"/>
        <w:tabs>
          <w:tab w:leader="none" w:pos="274"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Typical average capacity factors are 25% for solar facilities and 25-45% for wind facilities. For the three months ended March 31, 2023, the Company's solar and wind facilities had weighted-average capacity factors of 20% and 34%, respectively. For the three months ended March 31, 2022, the Company’s solar and wind facilities had weighted-average capacity factors of 25% and 32%, respectively. The weight-average capacity factors can vary based on seasonality and weather conditions.</w:t>
      </w:r>
    </w:p>
    <w:p>
      <w:pPr>
        <w:spacing w:after="0" w:line="1" w:lineRule="exact"/>
        <w:rPr>
          <w:rFonts w:ascii="Times New Roman" w:cs="Times New Roman" w:eastAsia="Times New Roman" w:hAnsi="Times New Roman"/>
          <w:sz w:val="23"/>
          <w:szCs w:val="23"/>
          <w:color w:val="auto"/>
          <w:vertAlign w:val="superscript"/>
        </w:rPr>
      </w:pPr>
    </w:p>
    <w:p>
      <w:pPr>
        <w:ind w:left="260" w:hanging="171"/>
        <w:spacing w:after="0" w:line="232" w:lineRule="auto"/>
        <w:tabs>
          <w:tab w:leader="none" w:pos="26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Rattlesnake has a deliverable capacity of 144 MW.</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Transactions</w:t>
      </w:r>
    </w:p>
    <w:p>
      <w:pPr>
        <w:spacing w:after="0" w:line="173" w:lineRule="exact"/>
        <w:rPr>
          <w:sz w:val="20"/>
          <w:szCs w:val="20"/>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May 3, 2023, the Company entered into an agreement with CEG to repower the Cedro Hill wind project, which is included in the Capistrano Wind Portfolio and is located in Bruni, Texas. The Company expects to invest approximately $63 million in net corporate capital, subject to closing adjustments. Contingent upon achieving repowering commercial operations in the second half of 2024, the 160 MW project will sell power to its existing counterparty, an investment-grade utility, for an additional 15 years ending in 2045 under an amended PPA.</w:t>
      </w:r>
    </w:p>
    <w:p>
      <w:pPr>
        <w:spacing w:after="0" w:line="125" w:lineRule="exact"/>
        <w:rPr>
          <w:rFonts w:ascii="Times New Roman" w:cs="Times New Roman" w:eastAsia="Times New Roman" w:hAnsi="Times New Roman"/>
          <w:sz w:val="18"/>
          <w:szCs w:val="18"/>
          <w:i w:val="1"/>
          <w:iCs w:val="1"/>
          <w:color w:val="auto"/>
        </w:rPr>
      </w:pPr>
    </w:p>
    <w:p>
      <w:pPr>
        <w:jc w:val="both"/>
        <w:ind w:left="660" w:hanging="328"/>
        <w:spacing w:after="0" w:line="25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17, 2023, the Company, through its indirect subsidiary, Daggett Solar Investment LLC, acquired the Class A membership interests in Daggett TargetCo LLC, the indirect owner of the Daggett 3 solar project, a 300 MW solar project with matching storage capacity that is currently under construction, located in San Bernardino, California from Clearway Renew LLC, a subsidiary of CEG, for cash consideration of $21 million. Simultaneously, a cash equity investor acquired the Class B membership interests in Daggett TargetCo LLC from Clearway Renew LLC for cash consideration of $129 million. The Company and the third-party investor then contributed their Class A and B membership interests, respectively, into Daggett Renewable Holdco LLC, a partnership between the Company and the cash equity investor, which consolidates Daggett TargetCo LLC. Daggett TargetCo LLC consolidates, as the indirect owner of the primary beneficiary, a tax equity fund, Daggett TE Holdco LLC, which owns the Daggett 3 solar project. See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for further discussion of the transaction.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Financing Activities</w:t>
      </w:r>
    </w:p>
    <w:p>
      <w:pPr>
        <w:spacing w:after="0" w:line="171" w:lineRule="exact"/>
        <w:rPr>
          <w:sz w:val="20"/>
          <w:szCs w:val="20"/>
          <w:color w:val="auto"/>
        </w:rPr>
      </w:pPr>
    </w:p>
    <w:p>
      <w:pPr>
        <w:ind w:left="660" w:hanging="328"/>
        <w:spacing w:after="0" w:line="284" w:lineRule="auto"/>
        <w:tabs>
          <w:tab w:leader="none" w:pos="649" w:val="left"/>
        </w:tabs>
        <w:numPr>
          <w:ilvl w:val="0"/>
          <w:numId w:val="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 xml:space="preserve">On March 15, 2023, Clearway Energy Operating LLC refinanced the Amended and Restated Credit Agreement.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amendment.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Project-level Financing Activities</w:t>
      </w:r>
    </w:p>
    <w:p>
      <w:pPr>
        <w:spacing w:after="0" w:line="173" w:lineRule="exact"/>
        <w:rPr>
          <w:sz w:val="20"/>
          <w:szCs w:val="20"/>
          <w:color w:val="auto"/>
        </w:rPr>
      </w:pPr>
    </w:p>
    <w:p>
      <w:pPr>
        <w:ind w:left="660" w:hanging="328"/>
        <w:spacing w:after="0" w:line="282" w:lineRule="auto"/>
        <w:tabs>
          <w:tab w:leader="none" w:pos="649"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 xml:space="preserve">In connection with the 2022 Drop Down of Waiawa and the 2023 Drop Down of Daggett 3, the Company assumed non-recourse project-level debt.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further discussion of the non-recourse project-level debt associated with each project.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1"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environmental matters are further described in the Company’s 2022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3"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the Company’s 2022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9"/>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3"/>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304</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Contract amortization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288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fuels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Development costs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333333"/>
              </w:rPr>
              <w:t>(53)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 (losses) earnings of unconsolidated affiliates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interest (expense) income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33333"/>
              </w:rPr>
              <w:t>(98)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333333"/>
              </w:rPr>
              <w:t>(97)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and redeemable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Clearway Energy,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9"/>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18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Solar MWh generated/sold (in thousands)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Wind MWh generated/sold (in thousands) </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2,744</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Renewables MWh generated/sold (in thousands) </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3,610</w:t>
            </w: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bottom w:val="single" w:sz="8" w:color="CCEEFF"/>
            </w:tcBorders>
            <w:gridSpan w:val="2"/>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Thermal MWt sold (in thousands) </w:t>
            </w:r>
            <w:r>
              <w:rPr>
                <w:rFonts w:ascii="Times New Roman" w:cs="Times New Roman" w:eastAsia="Times New Roman" w:hAnsi="Times New Roman"/>
                <w:sz w:val="23"/>
                <w:szCs w:val="23"/>
                <w:color w:val="auto"/>
                <w:vertAlign w:val="superscript"/>
              </w:rPr>
              <w:t>(b)</w:t>
            </w: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3"/>
                <w:szCs w:val="23"/>
                <w:color w:val="auto"/>
                <w:vertAlign w:val="superscript"/>
              </w:rPr>
              <w:t>(a) (c)</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4"/>
          <w:szCs w:val="14"/>
          <w:color w:val="auto"/>
        </w:rPr>
        <w:t xml:space="preserve"> Volumes do not include the MWh generated/sold by the Company’s equity method investments.</w:t>
      </w:r>
    </w:p>
    <w:p>
      <w:pPr>
        <w:ind w:left="80"/>
        <w:spacing w:after="0" w:line="183" w:lineRule="auto"/>
        <w:rPr>
          <w:sz w:val="20"/>
          <w:szCs w:val="20"/>
          <w:color w:val="auto"/>
        </w:rPr>
      </w:pP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3"/>
          <w:szCs w:val="13"/>
          <w:color w:val="auto"/>
        </w:rPr>
        <w:t xml:space="preserve"> On May 1, 2022, the Company completed the sale of 100% of its interests in the Thermal Business to KKR.</w:t>
      </w:r>
    </w:p>
    <w:p>
      <w:pPr>
        <w:ind w:left="5540" w:right="5520" w:hanging="5444"/>
        <w:spacing w:after="0" w:line="582" w:lineRule="auto"/>
        <w:rPr>
          <w:sz w:val="20"/>
          <w:szCs w:val="20"/>
          <w:color w:val="auto"/>
        </w:rPr>
      </w:pPr>
      <w:r>
        <w:rPr>
          <w:rFonts w:ascii="Times New Roman" w:cs="Times New Roman" w:eastAsia="Times New Roman" w:hAnsi="Times New Roman"/>
          <w:sz w:val="23"/>
          <w:szCs w:val="23"/>
          <w:color w:val="auto"/>
          <w:vertAlign w:val="superscript"/>
        </w:rPr>
        <w:t>(c)</w:t>
      </w:r>
      <w:r>
        <w:rPr>
          <w:rFonts w:ascii="Times New Roman" w:cs="Times New Roman" w:eastAsia="Times New Roman" w:hAnsi="Times New Roman"/>
          <w:sz w:val="14"/>
          <w:szCs w:val="14"/>
          <w:color w:val="auto"/>
        </w:rPr>
        <w:t xml:space="preserve"> Volumes generated are not sold as the Conventional facilities sell capacity rather than energy. </w:t>
      </w:r>
      <w:r>
        <w:rPr>
          <w:rFonts w:ascii="Times New Roman" w:cs="Times New Roman" w:eastAsia="Times New Roman" w:hAnsi="Times New Roman"/>
          <w:sz w:val="17"/>
          <w:szCs w:val="17"/>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ind w:right="28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Three Months Ended March 31, 2023 and 2022 </w:t>
      </w:r>
      <w:r>
        <w:rPr>
          <w:rFonts w:ascii="Times New Roman" w:cs="Times New Roman" w:eastAsia="Times New Roman" w:hAnsi="Times New Roman"/>
          <w:sz w:val="18"/>
          <w:szCs w:val="18"/>
          <w:b w:val="1"/>
          <w:bCs w:val="1"/>
          <w:i w:val="1"/>
          <w:iCs w:val="1"/>
          <w:color w:val="auto"/>
        </w:rPr>
        <w:t>Operating Revenues</w:t>
      </w:r>
    </w:p>
    <w:p>
      <w:pPr>
        <w:spacing w:after="0" w:line="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Operating revenues increased by $74 million during the three months ended March 31, 2023, compared to the same period in 2022, due to a combination of the drivers summarized in the table below:</w:t>
      </w:r>
    </w:p>
    <w:p>
      <w:pPr>
        <w:sectPr>
          <w:pgSz w:w="11900" w:h="16838" w:orient="portrait"/>
          <w:cols w:equalWidth="0" w:num="1">
            <w:col w:w="11240"/>
          </w:cols>
          <w:pgMar w:left="320" w:top="887" w:right="339" w:bottom="1440" w:gutter="0" w:footer="0" w:header="0"/>
        </w:sect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Renewables Segment</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driven by the acquisition of the Capistrano Wind Portfolio in August 2022.</w:t>
            </w:r>
          </w:p>
        </w:tc>
        <w:tc>
          <w:tcPr>
            <w:tcW w:w="0" w:type="dxa"/>
            <w:vAlign w:val="bottom"/>
          </w:tcPr>
          <w:p>
            <w:pPr>
              <w:spacing w:after="0"/>
              <w:rPr>
                <w:sz w:val="1"/>
                <w:szCs w:val="1"/>
                <w:color w:val="auto"/>
              </w:rPr>
            </w:pPr>
          </w:p>
        </w:tc>
      </w:tr>
      <w:tr>
        <w:trPr>
          <w:trHeight w:val="238"/>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Conventional Segment</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driven primarily by lower solar generation.</w:t>
            </w:r>
          </w:p>
        </w:tc>
        <w:tc>
          <w:tcPr>
            <w:tcW w:w="0" w:type="dxa"/>
            <w:vAlign w:val="bottom"/>
          </w:tcPr>
          <w:p>
            <w:pPr>
              <w:spacing w:after="0"/>
              <w:rPr>
                <w:sz w:val="1"/>
                <w:szCs w:val="1"/>
                <w:color w:val="auto"/>
              </w:rPr>
            </w:pPr>
          </w:p>
        </w:tc>
      </w:tr>
      <w:tr>
        <w:trPr>
          <w:trHeight w:val="180"/>
        </w:trPr>
        <w:tc>
          <w:tcPr>
            <w:tcW w:w="2460" w:type="dxa"/>
            <w:vAlign w:val="bottom"/>
            <w:vMerge w:val="continue"/>
          </w:tcPr>
          <w:p>
            <w:pPr>
              <w:spacing w:after="0"/>
              <w:rPr>
                <w:sz w:val="15"/>
                <w:szCs w:val="15"/>
                <w:color w:val="auto"/>
              </w:rPr>
            </w:pPr>
          </w:p>
        </w:tc>
        <w:tc>
          <w:tcPr>
            <w:tcW w:w="73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Decrease driven by lower availability at El Segundo facility due to the timing of annual planned</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outages.</w:t>
            </w: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6"/>
                <w:szCs w:val="16"/>
                <w:color w:val="auto"/>
              </w:rPr>
            </w:pPr>
          </w:p>
        </w:tc>
        <w:tc>
          <w:tcPr>
            <w:tcW w:w="73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Decrease driven by outages at the Walnut Creek and Marsh Landing facilities during the first</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quarter of 2023, resulting in lower capacity revenue.</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driven by the sale of the Thermal Business on May 1, 2022.</w:t>
            </w:r>
          </w:p>
        </w:tc>
        <w:tc>
          <w:tcPr>
            <w:tcW w:w="0" w:type="dxa"/>
            <w:vAlign w:val="bottom"/>
          </w:tcPr>
          <w:p>
            <w:pPr>
              <w:spacing w:after="0"/>
              <w:rPr>
                <w:sz w:val="1"/>
                <w:szCs w:val="1"/>
                <w:color w:val="auto"/>
              </w:rPr>
            </w:pPr>
          </w:p>
        </w:tc>
      </w:tr>
      <w:tr>
        <w:trPr>
          <w:trHeight w:val="184"/>
        </w:trPr>
        <w:tc>
          <w:tcPr>
            <w:tcW w:w="24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Mark-to-market for economic</w:t>
            </w:r>
          </w:p>
        </w:tc>
        <w:tc>
          <w:tcPr>
            <w:tcW w:w="73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Increase primarily driven by decreases in forward power prices in the ERCOT and PJM markets.</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3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Increase primarily driven by amortization of the intangible assets of PPAs related to the acquisition</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the Capistrano Wind Portfolio in August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-1202690</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-671195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-1502410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1086" w:hanging="1086"/>
        <w:spacing w:after="0"/>
        <w:tabs>
          <w:tab w:leader="none" w:pos="10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7" w:lineRule="exact"/>
        <w:rPr>
          <w:rFonts w:ascii="Times New Roman" w:cs="Times New Roman" w:eastAsia="Times New Roman" w:hAnsi="Times New Roman"/>
          <w:sz w:val="18"/>
          <w:szCs w:val="18"/>
          <w:color w:val="auto"/>
        </w:rPr>
      </w:pPr>
    </w:p>
    <w:p>
      <w:pPr>
        <w:ind w:left="102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w:t>
      </w:r>
    </w:p>
    <w:p>
      <w:pPr>
        <w:spacing w:after="0" w:line="2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ind w:left="1026"/>
        <w:spacing w:after="0"/>
        <w:rPr>
          <w:sz w:val="20"/>
          <w:szCs w:val="20"/>
          <w:color w:val="auto"/>
        </w:rPr>
      </w:pPr>
      <w:r>
        <w:rPr>
          <w:rFonts w:ascii="Times New Roman" w:cs="Times New Roman" w:eastAsia="Times New Roman" w:hAnsi="Times New Roman"/>
          <w:sz w:val="18"/>
          <w:szCs w:val="18"/>
          <w:color w:val="auto"/>
        </w:rPr>
        <w:t>(59)</w:t>
      </w:r>
    </w:p>
    <w:p>
      <w:pPr>
        <w:spacing w:after="0" w:line="2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145</w:t>
      </w:r>
    </w:p>
    <w:p>
      <w:pPr>
        <w:spacing w:after="0" w:line="2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655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6" w:lineRule="exact"/>
        <w:rPr>
          <w:sz w:val="20"/>
          <w:szCs w:val="20"/>
          <w:color w:val="auto"/>
        </w:rPr>
      </w:pPr>
    </w:p>
    <w:p>
      <w:pPr>
        <w:ind w:left="1086" w:hanging="1086"/>
        <w:spacing w:after="0"/>
        <w:tabs>
          <w:tab w:leader="none" w:pos="10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655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655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87"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Cost of fuels decreased by $22 million during the three months ended March 31, 2023, compared to the same period in 2022, due to the sale of the Thermal Business on May 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Operations and maintenance expense increased by $7 million during the three months ended March 31, 2023, compared to the same period in 2022, due to a combination of the drivers summarized in the table below:</w:t>
      </w:r>
    </w:p>
    <w:p>
      <w:pPr>
        <w:sectPr>
          <w:pgSz w:w="11900" w:h="16838" w:orient="portrait"/>
          <w:cols w:equalWidth="0" w:num="1">
            <w:col w:w="11240"/>
          </w:cols>
          <w:pgMar w:left="320" w:top="887" w:right="339" w:bottom="1440" w:gutter="0" w:footer="0" w:header="0"/>
          <w:type w:val="continuous"/>
        </w:sect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Renewables Segment</w:t>
            </w:r>
          </w:p>
        </w:tc>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primarily driven by the acquisition of the Capistrano Wind Portfolio in August 2022.</w:t>
            </w:r>
          </w:p>
        </w:tc>
        <w:tc>
          <w:tcPr>
            <w:tcW w:w="0" w:type="dxa"/>
            <w:vAlign w:val="bottom"/>
          </w:tcPr>
          <w:p>
            <w:pPr>
              <w:spacing w:after="0"/>
              <w:rPr>
                <w:sz w:val="1"/>
                <w:szCs w:val="1"/>
                <w:color w:val="auto"/>
              </w:rPr>
            </w:pPr>
          </w:p>
        </w:tc>
      </w:tr>
      <w:tr>
        <w:trPr>
          <w:trHeight w:val="238"/>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Conventional Segment</w:t>
            </w:r>
          </w:p>
        </w:tc>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primarily driven by maintenance activities at the wind facilities.</w:t>
            </w:r>
          </w:p>
        </w:tc>
        <w:tc>
          <w:tcPr>
            <w:tcW w:w="0" w:type="dxa"/>
            <w:vAlign w:val="bottom"/>
          </w:tcPr>
          <w:p>
            <w:pPr>
              <w:spacing w:after="0"/>
              <w:rPr>
                <w:sz w:val="1"/>
                <w:szCs w:val="1"/>
                <w:color w:val="auto"/>
              </w:rPr>
            </w:pPr>
          </w:p>
        </w:tc>
      </w:tr>
      <w:tr>
        <w:trPr>
          <w:trHeight w:val="180"/>
        </w:trPr>
        <w:tc>
          <w:tcPr>
            <w:tcW w:w="2180" w:type="dxa"/>
            <w:vAlign w:val="bottom"/>
            <w:vMerge w:val="continue"/>
          </w:tcPr>
          <w:p>
            <w:pPr>
              <w:spacing w:after="0"/>
              <w:rPr>
                <w:sz w:val="15"/>
                <w:szCs w:val="15"/>
                <w:color w:val="auto"/>
              </w:rPr>
            </w:pPr>
          </w:p>
        </w:tc>
        <w:tc>
          <w:tcPr>
            <w:tcW w:w="766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Increase primarily driven by timing of annual planned maintenance outages at the El Segundo</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facility.</w:t>
            </w:r>
          </w:p>
        </w:tc>
        <w:tc>
          <w:tcPr>
            <w:tcW w:w="0" w:type="dxa"/>
            <w:vAlign w:val="bottom"/>
          </w:tcPr>
          <w:p>
            <w:pPr>
              <w:spacing w:after="0"/>
              <w:rPr>
                <w:sz w:val="1"/>
                <w:szCs w:val="1"/>
                <w:color w:val="auto"/>
              </w:rPr>
            </w:pPr>
          </w:p>
        </w:tc>
      </w:tr>
      <w:tr>
        <w:trPr>
          <w:trHeight w:val="233"/>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primarily driven by unplanned outages at the Walnut Creek and Marsh Landing facilities.</w:t>
            </w:r>
          </w:p>
        </w:tc>
        <w:tc>
          <w:tcPr>
            <w:tcW w:w="0" w:type="dxa"/>
            <w:vAlign w:val="bottom"/>
          </w:tcPr>
          <w:p>
            <w:pPr>
              <w:spacing w:after="0"/>
              <w:rPr>
                <w:sz w:val="1"/>
                <w:szCs w:val="1"/>
                <w:color w:val="auto"/>
              </w:rPr>
            </w:pPr>
          </w:p>
        </w:tc>
      </w:tr>
      <w:tr>
        <w:trPr>
          <w:trHeight w:val="234"/>
        </w:trPr>
        <w:tc>
          <w:tcPr>
            <w:tcW w:w="2180" w:type="dxa"/>
            <w:vAlign w:val="bottom"/>
            <w:vMerge w:val="continue"/>
          </w:tcPr>
          <w:p>
            <w:pPr>
              <w:spacing w:after="0"/>
              <w:rPr>
                <w:sz w:val="20"/>
                <w:szCs w:val="20"/>
                <w:color w:val="auto"/>
              </w:rPr>
            </w:pPr>
          </w:p>
        </w:tc>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1186" w:hanging="1186"/>
        <w:spacing w:after="0"/>
        <w:tabs>
          <w:tab w:leader="none" w:pos="11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7" w:lineRule="exact"/>
        <w:rPr>
          <w:rFonts w:ascii="Times New Roman" w:cs="Times New Roman" w:eastAsia="Times New Roman" w:hAnsi="Times New Roman"/>
          <w:sz w:val="18"/>
          <w:szCs w:val="18"/>
          <w:color w:val="auto"/>
        </w:rPr>
      </w:pPr>
    </w:p>
    <w:p>
      <w:pPr>
        <w:ind w:left="11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6" w:lineRule="exact"/>
        <w:rPr>
          <w:rFonts w:ascii="Times New Roman" w:cs="Times New Roman" w:eastAsia="Times New Roman" w:hAnsi="Times New Roman"/>
          <w:sz w:val="18"/>
          <w:szCs w:val="18"/>
          <w:color w:val="auto"/>
        </w:rPr>
      </w:pPr>
    </w:p>
    <w:p>
      <w:pPr>
        <w:ind w:left="11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7" w:lineRule="exact"/>
        <w:rPr>
          <w:rFonts w:ascii="Times New Roman" w:cs="Times New Roman" w:eastAsia="Times New Roman" w:hAnsi="Times New Roman"/>
          <w:sz w:val="18"/>
          <w:szCs w:val="18"/>
          <w:color w:val="auto"/>
        </w:rPr>
      </w:pPr>
    </w:p>
    <w:p>
      <w:pPr>
        <w:ind w:left="11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1" w:lineRule="exact"/>
        <w:rPr>
          <w:sz w:val="20"/>
          <w:szCs w:val="20"/>
          <w:color w:val="auto"/>
        </w:rPr>
      </w:pPr>
    </w:p>
    <w:p>
      <w:pPr>
        <w:ind w:left="1186" w:hanging="1186"/>
        <w:spacing w:after="0"/>
        <w:tabs>
          <w:tab w:leader="none" w:pos="11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655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655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4"/>
            <w:col w:w="1346"/>
          </w:cols>
          <w:pgMar w:left="320" w:top="887"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income, net increased $8 million during the three months ended March 31, 2023, compared to the same period in 2022, primarily due to higher interest income earned on larger cash balances with investments in money market and time deposit accounts. The larger cash balances at March 31, 2023, compared to March 31, 2022, were as a result of the proceeds received from the sale of the Thermal Business on May 1, 2022.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by $52 million during the three months ended March 31, 2023, compared to the same period in 2022, primarily due to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the sale of the Thermal Business on May 1, 2022</w:t>
            </w:r>
          </w:p>
        </w:tc>
        <w:tc>
          <w:tcPr>
            <w:tcW w:w="18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w:t>
            </w:r>
          </w:p>
        </w:tc>
      </w:tr>
      <w:tr>
        <w:trPr>
          <w:trHeight w:val="175"/>
        </w:trPr>
        <w:tc>
          <w:tcPr>
            <w:tcW w:w="9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Decrease in interest expense due to decreased principal balances of Corporate debt, which includes repayment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4"/>
        </w:trPr>
        <w:tc>
          <w:tcPr>
            <w:tcW w:w="98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of the outstanding borrowings under the Bridge Loan Agreement and the revolving credit facility on May 3,</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decreased principal balances of project-level debt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2023, the Company recorded an income tax benefit of $12 million on a pretax loss of $52 million. For the same period in 2022, the Company recorded an income tax benefit of $1 million on a pretax loss of $98 million. The $11 million increase in income tax benefit during the three months ended March 31, 2023, compared to the same period in 2022, was primarily due to the difference in allocation of taxable earnings and losses, which includes the effect of applying the HLBV method of accounting for book purposes for certain partnerships.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 and Redeemable Noncontrolling Interests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the Company had a net loss of $40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 had a net loss of $65 million attributable to noncontrolling interests and redeemable noncontrolling interests comprised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the HLBV method</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9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9880" w:type="dxa"/>
            <w:vAlign w:val="bottom"/>
            <w:vMerge w:val="restart"/>
          </w:tcPr>
          <w:p>
            <w:pPr>
              <w:jc w:val="right"/>
              <w:ind w:right="4070"/>
              <w:spacing w:after="0"/>
              <w:rPr>
                <w:sz w:val="20"/>
                <w:szCs w:val="20"/>
                <w:color w:val="auto"/>
              </w:rPr>
            </w:pPr>
            <w:r>
              <w:rPr>
                <w:rFonts w:ascii="Times New Roman" w:cs="Times New Roman" w:eastAsia="Times New Roman" w:hAnsi="Times New Roman"/>
                <w:sz w:val="18"/>
                <w:szCs w:val="18"/>
                <w:color w:val="231F20"/>
              </w:rPr>
              <w:t>35</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9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31F20"/>
        </w:rPr>
        <w:t>, the Company’s liquidity was approximately $1.57 billion and $1.37 billion, respectively, comprised of cash, restricted cash and availability under the Company’s revolving credit facility.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0" w:type="dxa"/>
            <w:vAlign w:val="bottom"/>
          </w:tcPr>
          <w:p>
            <w:pPr>
              <w:spacing w:after="0"/>
              <w:rPr>
                <w:sz w:val="17"/>
                <w:szCs w:val="17"/>
                <w:color w:val="auto"/>
              </w:rPr>
            </w:pPr>
          </w:p>
        </w:tc>
        <w:tc>
          <w:tcPr>
            <w:tcW w:w="16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Clearway Energy, Inc. and Clearway Energy LLC, excluding subsidiaries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accounts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9"/>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 xml:space="preserve">The Company’s liquidity includes $437 million and $339 million of restricted cash balances as of March 31, 2023 and December 31, 2022,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8"/>
          <w:szCs w:val="18"/>
          <w:color w:val="000000"/>
        </w:rPr>
        <w:t>March 31, 2023, these restricted funds were comprised of $143 million designated to fund operating expenses,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approximately $168 million designated for current debt service payments and $97 million restricted for reserves including debt service, performance obligations and other reserves, as well as capital expenditures. The remaining $29 million is held in distribution reserve accounts.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Clearway Energy LLC and Clearway Energy Operating LLC Revolving Credit Facility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March 15, 2023, Clearway Energy Operating LLC refinanced the Amended and Restated Credit Agreement, which (i) replaced LIBOR with SOFR plus a credit spread adjustment of 0.10% as the applicable reference rate, (ii) increased the available revolving commitments to an aggregate principal amount of $700 million, (iii) extended the maturity date to March 15, 2028, (iv) increased the letter of credit sublimit to $594 million and (v) implemented certain other technical modifications.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2023, the Company had no outstanding borrowings under the revolving credit facility and $139 million in letters of credit outstanding. </w:t>
      </w:r>
      <w:r>
        <w:rPr>
          <w:rFonts w:ascii="Times New Roman" w:cs="Times New Roman" w:eastAsia="Times New Roman" w:hAnsi="Times New Roman"/>
          <w:sz w:val="18"/>
          <w:szCs w:val="18"/>
          <w:color w:val="231F20"/>
        </w:rPr>
        <w:t>The facility will continue to be used for general corporate purposes including financing of future acquisitions and posting letters of credit.</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xml:space="preserve">, to this Form 10-Q and Item 15 — Note 10,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to the consolidated financial statements included in the Company’s 2022 Form 10-K, the Company’s financing arrangements consist of corporate level debt, which includes Senior Notes and the revolving credit facility, the ATM Program and project-level financings for its various assets.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ind w:left="420"/>
        <w:spacing w:after="0"/>
        <w:rPr>
          <w:sz w:val="20"/>
          <w:szCs w:val="20"/>
          <w:color w:val="auto"/>
        </w:rPr>
      </w:pPr>
      <w:r>
        <w:rPr>
          <w:rFonts w:ascii="Times New Roman" w:cs="Times New Roman" w:eastAsia="Times New Roman" w:hAnsi="Times New Roman"/>
          <w:sz w:val="18"/>
          <w:szCs w:val="18"/>
          <w:i w:val="1"/>
          <w:iCs w:val="1"/>
          <w:color w:val="auto"/>
        </w:rPr>
        <w:t>Credit Ratings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credit ratings for the Company and its Senior Notes as of March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23"/>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Clearway Energy, Inc.</w:t>
            </w:r>
          </w:p>
        </w:tc>
        <w:tc>
          <w:tcPr>
            <w:tcW w:w="1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Notes, due 2028</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3.750% Senior Notes, due 2031</w:t>
            </w: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Ba2</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3.750% Senior Notes, due 2032</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Ba2</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xml:space="preserve">; (ii) capital expenditures; (iii) off-balance sheet arrangements; (iv) acquisitions and investments, as described more fully in </w:t>
      </w:r>
      <w:r>
        <w:rPr>
          <w:rFonts w:ascii="Times New Roman" w:cs="Times New Roman" w:eastAsia="Times New Roman" w:hAnsi="Times New Roman"/>
          <w:sz w:val="18"/>
          <w:szCs w:val="18"/>
          <w:color w:val="000000"/>
        </w:rPr>
        <w:t>Note 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Acquisitions and Dispositions</w:t>
      </w:r>
      <w:r>
        <w:rPr>
          <w:rFonts w:ascii="Times New Roman" w:cs="Times New Roman" w:eastAsia="Times New Roman" w:hAnsi="Times New Roman"/>
          <w:sz w:val="18"/>
          <w:szCs w:val="18"/>
          <w:color w:val="231F20"/>
        </w:rPr>
        <w:t>; and (v) cash dividends to investors.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Capital Expenditures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For the three months ended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31F20"/>
        </w:rPr>
        <w:t xml:space="preserve">, the Company used approximately $88 million to fund capital expenditures, including growth </w:t>
      </w:r>
      <w:r>
        <w:rPr>
          <w:rFonts w:ascii="Times New Roman" w:cs="Times New Roman" w:eastAsia="Times New Roman" w:hAnsi="Times New Roman"/>
          <w:sz w:val="18"/>
          <w:szCs w:val="18"/>
          <w:color w:val="000000"/>
        </w:rPr>
        <w:t>expenditures of $81 million in the Renewables segment, funded through construction-related financing. Renewables segment capital expenditures included $74 million incurred in connection with the Daggett 3 solar project and $7 million incurred in connection with the Waiawa solar project. In addition, the Company incurred $7 million in maintenance capital expenditures. The Company estimates $35 million of maintenance expenditures for 2023. These estimates are subject to continuing review and adjustment. Actual capital expenditures may vary from these estimates.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Investments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12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Waiawa Drop Down - </w:t>
      </w:r>
      <w:r>
        <w:rPr>
          <w:rFonts w:ascii="Times New Roman" w:cs="Times New Roman" w:eastAsia="Times New Roman" w:hAnsi="Times New Roman"/>
          <w:sz w:val="18"/>
          <w:szCs w:val="18"/>
          <w:color w:val="auto"/>
        </w:rPr>
        <w:t>In connection with the 2022 Drop Down of Waiawa, the Company assumed the project’s financing agreement, which includes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loan that converted to a term loan on March 30, 2023 upon the project reaching substantial completion and a tax equity bridge loan that was repaid on March 30, 2023.</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Daggett 3 Drop Down </w:t>
      </w:r>
      <w:r>
        <w:rPr>
          <w:rFonts w:ascii="Times New Roman" w:cs="Times New Roman" w:eastAsia="Times New Roman" w:hAnsi="Times New Roman"/>
          <w:sz w:val="18"/>
          <w:szCs w:val="18"/>
          <w:color w:val="auto"/>
        </w:rPr>
        <w:t>— On February 17, 2023, the Company, through its indirect subsidiary, Daggett Solar Investment LLC, acquired the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membership interests in Daggett TargetCo LLC, the indirect owner of the Daggett 3 solar project for cash consideration of $21 million and then contributed its Class A membership interests into Daggett Renewable Holdco LLC, a partnership between the Company and a cash equity investor, which consolidates Daggett TargetCo LLC. Daggett TargetCo LLC consolidates, as the indirect owner of the primary beneficiary, a tax equity fund, Daggett TE Holdco LLC, which owns the Daggett 3 solar project. Daggett 3 has PPAs with investment-grade counterparties that have a 15-year weighted average contract duration that commence when the underlying operating assets reach commercial operations, which is expected to occur for the majority of the operating assets in the second quarter of 2023. The acquisition was funded with existing sources of liquidity.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7" w:name="page38"/>
    <w:bookmarkEnd w:id="37"/>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Cash Dividends to Investors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8"/>
          <w:szCs w:val="18"/>
          <w:color w:val="000000"/>
        </w:rPr>
        <w:t>he Class A common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common stock and Class C common stock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 2023</w:t>
            </w:r>
          </w:p>
        </w:tc>
      </w:tr>
      <w:tr>
        <w:trPr>
          <w:trHeight w:val="23"/>
        </w:trPr>
        <w:tc>
          <w:tcPr>
            <w:tcW w:w="9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0.3745</w:t>
            </w:r>
          </w:p>
        </w:tc>
      </w:tr>
      <w:tr>
        <w:trPr>
          <w:trHeight w:val="23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0.3745</w:t>
            </w:r>
          </w:p>
        </w:tc>
      </w:tr>
    </w:tbl>
    <w:p>
      <w:pPr>
        <w:spacing w:after="0" w:line="2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May 3, 2023, the Company declared quarterly dividends on its Class A and Class C common stock of $0.3818 per share payable on June 15, 2023 to stockholders of record as of June 1, 2023.</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Obligations under Certain Guarantee Contracts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Retained or Contingent Interests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Obligations Arising Out of a Variable Interest in an Unconsolidated Entity</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2023, the Company has several investments with an ownership interest percentage of 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$320 million as of March 31, 2023. This indebtedness may restrict the ability of these subsidiaries to issue dividends or distributions to the Company.</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Contractual Obligations and Commercial Commitments</w:t>
      </w:r>
    </w:p>
    <w:p>
      <w:pPr>
        <w:spacing w:after="0" w:line="17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has a variety of contractual obligations and other commercial commitments that represent prospective cash requirements in addition to the Company’s capital expenditure programs, as disclosed in the Company’s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comparative periods: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140" w:type="dxa"/>
            <w:vAlign w:val="bottom"/>
          </w:tcPr>
          <w:p>
            <w:pPr>
              <w:spacing w:after="0"/>
              <w:rPr>
                <w:sz w:val="16"/>
                <w:szCs w:val="16"/>
                <w:color w:val="auto"/>
              </w:rPr>
            </w:pPr>
          </w:p>
        </w:tc>
        <w:tc>
          <w:tcPr>
            <w:tcW w:w="9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7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96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473"/>
        </w:trPr>
        <w:tc>
          <w:tcPr>
            <w:tcW w:w="71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tc>
        <w:tc>
          <w:tcPr>
            <w:tcW w:w="9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23"/>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operating income adjusted for non-cash items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distributions from unconsolidated affiliates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5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working capital primarily driven by the timing of accounts receivable collections and payments of accounts payable</w:t>
            </w: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
        </w:trPr>
        <w:tc>
          <w:tcPr>
            <w:tcW w:w="7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ectPr>
          <w:pgSz w:w="11900" w:h="16838" w:orient="portrait"/>
          <w:cols w:equalWidth="0" w:num="1">
            <w:col w:w="11240"/>
          </w:cols>
          <w:pgMar w:left="320" w:top="887"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Decrease in cash paid for Drop Down Assets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the 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capital expenditures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net cash provided by (used in)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Increase in contributions from noncontrolling interest members, net of distributions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released from escrow distributed to CEG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right="3740"/>
        <w:spacing w:after="0" w:line="281" w:lineRule="auto"/>
        <w:rPr>
          <w:sz w:val="20"/>
          <w:szCs w:val="20"/>
          <w:color w:val="auto"/>
        </w:rPr>
      </w:pPr>
      <w:r>
        <w:rPr>
          <w:rFonts w:ascii="Times New Roman" w:cs="Times New Roman" w:eastAsia="Times New Roman" w:hAnsi="Times New Roman"/>
          <w:sz w:val="17"/>
          <w:szCs w:val="17"/>
          <w:color w:val="auto"/>
        </w:rPr>
        <w:t>Decrease in proceeds from the revolving credit facility, net of payments Decrease in proceeds from the issuance of long-term debt, net of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right="2340"/>
        <w:spacing w:after="0" w:line="292" w:lineRule="auto"/>
        <w:rPr>
          <w:sz w:val="20"/>
          <w:szCs w:val="20"/>
          <w:color w:val="auto"/>
        </w:rPr>
      </w:pPr>
      <w:r>
        <w:rPr>
          <w:rFonts w:ascii="Times New Roman" w:cs="Times New Roman" w:eastAsia="Times New Roman" w:hAnsi="Times New Roman"/>
          <w:sz w:val="18"/>
          <w:szCs w:val="18"/>
          <w:color w:val="auto"/>
        </w:rPr>
        <w:t>Increase in dividends paid to common stockholders and distributions paid to CEG unit holders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1000" w:hanging="991"/>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w:t>
      </w:r>
    </w:p>
    <w:p>
      <w:pPr>
        <w:spacing w:after="0" w:line="31" w:lineRule="exact"/>
        <w:rPr>
          <w:sz w:val="20"/>
          <w:szCs w:val="20"/>
          <w:color w:val="auto"/>
        </w:rPr>
      </w:pPr>
    </w:p>
    <w:p>
      <w:pPr>
        <w:ind w:left="1100" w:hanging="1091"/>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8058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3" w:lineRule="exact"/>
        <w:rPr>
          <w:sz w:val="20"/>
          <w:szCs w:val="20"/>
          <w:color w:val="auto"/>
        </w:rPr>
      </w:pPr>
    </w:p>
    <w:p>
      <w:pPr>
        <w:ind w:left="920" w:hanging="911"/>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w:t>
      </w:r>
    </w:p>
    <w:p>
      <w:pPr>
        <w:spacing w:after="0" w:line="31" w:lineRule="exact"/>
        <w:rPr>
          <w:sz w:val="20"/>
          <w:szCs w:val="20"/>
          <w:color w:val="auto"/>
        </w:rPr>
      </w:pPr>
    </w:p>
    <w:p>
      <w:pPr>
        <w:ind w:left="920" w:hanging="911"/>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8058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60" w:space="720"/>
            <w:col w:w="126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a cumulative federal NOL carry forward balance of $481 million for financial statement purposes, of which $88 million will begin expiring in 2037 if unutilized. The Company does not anticipate material federal income tax payments until 2027. Additionally, as of December 31, 2022, the Company had a cumulative state NOL carryforward balance of $64 million for financial statement purposes, which will expire between 2023 to 2040 if unutilized. In addition, the Company has PTC and ITC carryforward balances totaling $18 million, which will expire between 2034 and 2042 if unutilized.</w:t>
      </w:r>
    </w:p>
    <w:p>
      <w:pPr>
        <w:spacing w:after="0" w:line="1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result of the sale of the Thermal Business, the Company, after the utilization of various state NOL carryforwards, has paid $9 million in state income taxes through March 31, 2023, and expects to pay approximately $19 million of additional state income taxes in the second quarter of 2023 related to the year ended December 31, 2022. The Company does not anticipate being subject to the corporate minimum tax on financial statement income as enacted by the recently passed the IRA, which is discussed in further detail below.</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February 9, 2022, the governor of California signed Senate Bill 113, or SB 113, removing the suspension of California NOL utilization for tax year 2022. After assessing the law change, the Company expects SB 113 to have an immaterial impact on the consolidated financial statements.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recently enacted IRA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projects and the production of clean energy. The Company continues to analyze the potential impact of the IRA and monitor guidance to be issued by the United States Department of the Treasury, but it does not anticipate the corporate minimum tax will apply to it or that the IRA will otherwise have a material impact on its consolidated financial statements.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is subject to examination by taxing authorities for income tax returns filed in the U.S. federal jurisdiction and various state jurisdictions. All tax returns filed by the Company for the year ended December 31, 2013 and forward remain subject to audit. As of December 31, 2022, the U.S federal partnership returns of three subsidiaries of the Company are under audit by the IRS. The IRS has issued proposed adjustments with respect to one of the subsidiaries under audit. The Company believes that such proposed adjustments are incorrect and, in any case, would not impact the Company’s tax liability or the tax liability of such subsidiary. The IRS has not yet issued any proposed adjustments with respect to the other two subsidiaries under audit. The Company believes that the ultimate settlement of each of these audits will not be material to the Company’s financial condition, results of operations or liquidity. The Company believes that an adequate provision has been made for any adjustments that may result from tax examinations. However, the outcome of tax audits cannot be predicted with certainty. If any issues addressed in tax audits of the Company are resolved in a manner inconsistent with its expectations, the Company could be required to adjust its provision for income taxes in the period such resolution occurs.</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no material uncertain tax benefits as of March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spacing w:after="0" w:line="122"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 Activity (Losses) Gains</w:t>
            </w:r>
          </w:p>
        </w:tc>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2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December 31, 2022</w:t>
            </w:r>
          </w:p>
        </w:tc>
        <w:tc>
          <w:tcPr>
            <w:tcW w:w="49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Contracts acquired during the period</w:t>
            </w:r>
          </w:p>
        </w:tc>
        <w:tc>
          <w:tcPr>
            <w:tcW w:w="4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Changes in fair value</w:t>
            </w:r>
          </w:p>
        </w:tc>
        <w:tc>
          <w:tcPr>
            <w:tcW w:w="49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March 31, 2023</w:t>
            </w:r>
          </w:p>
        </w:tc>
        <w:tc>
          <w:tcPr>
            <w:tcW w:w="4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jc w:val="right"/>
              <w:ind w:right="4070"/>
              <w:spacing w:after="0"/>
              <w:rPr>
                <w:sz w:val="20"/>
                <w:szCs w:val="20"/>
                <w:color w:val="auto"/>
              </w:rPr>
            </w:pPr>
            <w:r>
              <w:rPr>
                <w:rFonts w:ascii="Times New Roman" w:cs="Times New Roman" w:eastAsia="Times New Roman" w:hAnsi="Times New Roman"/>
                <w:sz w:val="18"/>
                <w:szCs w:val="18"/>
                <w:color w:val="231F20"/>
              </w:rPr>
              <w:t>40</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March 31, 2023</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Hierarchy (Losses) Gains</w:t>
            </w: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80" w:type="dxa"/>
            <w:vAlign w:val="bottom"/>
          </w:tcPr>
          <w:p>
            <w:pPr>
              <w:spacing w:after="0"/>
              <w:rPr>
                <w:sz w:val="16"/>
                <w:szCs w:val="16"/>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2240" w:type="dxa"/>
            <w:vAlign w:val="bottom"/>
            <w:tcBorders>
              <w:bottom w:val="single" w:sz="8" w:color="auto"/>
            </w:tcBorders>
            <w:vMerge w:val="continue"/>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1 Year or Less</w:t>
            </w:r>
          </w:p>
        </w:tc>
        <w:tc>
          <w:tcPr>
            <w:tcW w:w="12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1 Year to 3 Years</w:t>
            </w:r>
          </w:p>
        </w:tc>
        <w:tc>
          <w:tcPr>
            <w:tcW w:w="12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3 Years to 5 Years</w:t>
            </w: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2"/>
                <w:szCs w:val="12"/>
                <w:color w:val="auto"/>
              </w:rPr>
            </w:pPr>
          </w:p>
        </w:tc>
        <w:tc>
          <w:tcPr>
            <w:tcW w:w="96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9"/>
              </w:rPr>
              <w:t>27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9"/>
              </w:rPr>
              <w:t>21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8"/>
                <w:szCs w:val="18"/>
                <w:color w:val="auto"/>
                <w:w w:val="99"/>
              </w:rPr>
              <w:t>(39)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7"/>
              <w:spacing w:after="0"/>
              <w:rPr>
                <w:sz w:val="20"/>
                <w:szCs w:val="20"/>
                <w:color w:val="auto"/>
              </w:rPr>
            </w:pPr>
            <w:r>
              <w:rPr>
                <w:rFonts w:ascii="Times New Roman" w:cs="Times New Roman" w:eastAsia="Times New Roman" w:hAnsi="Times New Roman"/>
                <w:sz w:val="18"/>
                <w:szCs w:val="18"/>
                <w:color w:val="auto"/>
                <w:w w:val="99"/>
              </w:rPr>
              <w:t>(89)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8"/>
                <w:szCs w:val="18"/>
                <w:color w:val="auto"/>
                <w:w w:val="99"/>
              </w:rPr>
              <w:t>(86)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537"/>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8"/>
                <w:szCs w:val="18"/>
                <w:color w:val="auto"/>
                <w:w w:val="99"/>
              </w:rPr>
              <w:t>(65)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Company has elected to disclose derivative assets and liabilities on a trade-by-trade basis and does not offset amounts at the counterparty master agreement level.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2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acquisition accounting and determining the fair value of financial instruments.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8"/>
          <w:szCs w:val="18"/>
          <w:color w:val="000000"/>
        </w:rPr>
        <w:t>The following disclosures about market risk provide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update to, and should be read in conjunction with, Item 7A — </w:t>
      </w:r>
      <w:r>
        <w:rPr>
          <w:rFonts w:ascii="Times New Roman" w:cs="Times New Roman" w:eastAsia="Times New Roman" w:hAnsi="Times New Roman"/>
          <w:sz w:val="18"/>
          <w:szCs w:val="18"/>
          <w:i w:val="1"/>
          <w:iCs w:val="1"/>
          <w:color w:val="000000"/>
        </w:rPr>
        <w:t>Quantitative and Qualitative Disclosures About Market Risk,</w:t>
      </w:r>
      <w:r>
        <w:rPr>
          <w:rFonts w:ascii="Times New Roman" w:cs="Times New Roman" w:eastAsia="Times New Roman" w:hAnsi="Times New Roman"/>
          <w:sz w:val="18"/>
          <w:szCs w:val="18"/>
          <w:color w:val="000000"/>
        </w:rPr>
        <w:t xml:space="preserve"> of the Company’s 2022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and emissions credits. The Company manages the commodity price risk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Based on a sensitivity analysis using simplified assumptions, the impact of a $0.50 per MWh increase or decrease in power prices across the term of the derivatives contracts would cause a change of approximately $7 million to the net value of power derivatives as of March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 Instruments and Hedging Activities</w:t>
      </w:r>
      <w:r>
        <w:rPr>
          <w:rFonts w:ascii="Times New Roman" w:cs="Times New Roman" w:eastAsia="Times New Roman" w:hAnsi="Times New Roman"/>
          <w:sz w:val="18"/>
          <w:szCs w:val="18"/>
          <w:color w:val="231F20"/>
        </w:rPr>
        <w:t>, for more information.</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Most of the Company’s project subsidiaries enter into interest rate swaps intended to hedge the risks associated with interest rates on non-recourse project-level debt.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 financial statements for the year ended December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2022 included in the 2022 Form 10-K </w:t>
      </w:r>
      <w:r>
        <w:rPr>
          <w:rFonts w:ascii="Times New Roman" w:cs="Times New Roman" w:eastAsia="Times New Roman" w:hAnsi="Times New Roman"/>
          <w:sz w:val="18"/>
          <w:szCs w:val="18"/>
          <w:color w:val="231F20"/>
        </w:rPr>
        <w:t>for more information about interest rate swaps of the Company’s project subsidiaries.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31F20"/>
        </w:rPr>
        <w:t xml:space="preserve">, the counterparties would have owed the Company </w:t>
      </w:r>
      <w:r>
        <w:rPr>
          <w:rFonts w:ascii="Times New Roman" w:cs="Times New Roman" w:eastAsia="Times New Roman" w:hAnsi="Times New Roman"/>
          <w:sz w:val="18"/>
          <w:szCs w:val="18"/>
          <w:color w:val="000000"/>
        </w:rPr>
        <w:t>$98 million.</w:t>
      </w:r>
      <w:r>
        <w:rPr>
          <w:rFonts w:ascii="Times New Roman" w:cs="Times New Roman" w:eastAsia="Times New Roman" w:hAnsi="Times New Roman"/>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a change of 1%, or 100 basis points, in interest rates would result in an approximately $1 million change in market interest expense on a rolling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twelve-month basis.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31F20"/>
        </w:rPr>
        <w:t>, the fair value of the Company’s debt was $6.76 billion and the carrying value was $7.20 billion. The Company estimates that a decrease of 1%, or 100 basis points, in market interest rates would have increased the fair value of its long-term debt by approximately $362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 13a-15(f) under the Exchange Act) during the quarter ended March 31, 2023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73"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the material legal proceedings in which the Company was involved through March 31, 2023, see Note 12,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this Form 10-Q.</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3"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2022 Form 10-K. There have been no material changes in the Company’s risk factors since those reported in its 2022 Form 10-K.</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74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1"/>
        </w:trPr>
        <w:tc>
          <w:tcPr>
            <w:tcW w:w="10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4.1</w:t>
            </w:r>
          </w:p>
        </w:tc>
        <w:tc>
          <w:tcPr>
            <w:tcW w:w="5300" w:type="dxa"/>
            <w:vAlign w:val="bottom"/>
            <w:tcBorders>
              <w:bottom w:val="single" w:sz="8" w:color="0000FF"/>
            </w:tcBorders>
            <w:gridSpan w:val="7"/>
          </w:tcPr>
          <w:p>
            <w:pPr>
              <w:spacing w:after="0" w:line="181"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Twelfth Supplemental Indenture, dated as of February 14, 2023, among Clearway</w:t>
              </w:r>
            </w:hyperlink>
          </w:p>
        </w:tc>
        <w:tc>
          <w:tcPr>
            <w:tcW w:w="440" w:type="dxa"/>
            <w:vAlign w:val="bottom"/>
            <w:gridSpan w:val="11"/>
          </w:tcPr>
          <w:p>
            <w:pPr>
              <w:spacing w:after="0"/>
              <w:rPr>
                <w:sz w:val="15"/>
                <w:szCs w:val="15"/>
                <w:color w:val="auto"/>
              </w:rPr>
            </w:pPr>
          </w:p>
        </w:tc>
      </w:tr>
      <w:tr>
        <w:trPr>
          <w:trHeight w:val="169"/>
        </w:trPr>
        <w:tc>
          <w:tcPr>
            <w:tcW w:w="1020" w:type="dxa"/>
            <w:vAlign w:val="bottom"/>
          </w:tcPr>
          <w:p>
            <w:pPr>
              <w:spacing w:after="0"/>
              <w:rPr>
                <w:sz w:val="14"/>
                <w:szCs w:val="14"/>
                <w:color w:val="auto"/>
              </w:rPr>
            </w:pPr>
          </w:p>
        </w:tc>
        <w:tc>
          <w:tcPr>
            <w:tcW w:w="5480" w:type="dxa"/>
            <w:vAlign w:val="bottom"/>
            <w:tcBorders>
              <w:bottom w:val="single" w:sz="8" w:color="0000FF"/>
            </w:tcBorders>
            <w:gridSpan w:val="12"/>
          </w:tcPr>
          <w:p>
            <w:pPr>
              <w:spacing w:after="0" w:line="169"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Energy Operating LLC, the guarantors named therein and Delaware Trust Company.</w:t>
              </w:r>
            </w:hyperlink>
          </w:p>
        </w:tc>
        <w:tc>
          <w:tcPr>
            <w:tcW w:w="260" w:type="dxa"/>
            <w:vAlign w:val="bottom"/>
            <w:gridSpan w:val="6"/>
          </w:tcPr>
          <w:p>
            <w:pPr>
              <w:spacing w:after="0"/>
              <w:rPr>
                <w:sz w:val="14"/>
                <w:szCs w:val="14"/>
                <w:color w:val="auto"/>
              </w:rPr>
            </w:pP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5740" w:type="dxa"/>
            <w:vAlign w:val="bottom"/>
            <w:gridSpan w:val="18"/>
          </w:tcPr>
          <w:p>
            <w:pPr>
              <w:spacing w:after="0"/>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Fourth Supplemental Indenture, dated as of February 14, 2023, among Clearway Energy</w:t>
              </w:r>
            </w:hyperlink>
          </w:p>
        </w:tc>
      </w:tr>
      <w:tr>
        <w:trPr>
          <w:trHeight w:val="169"/>
        </w:trPr>
        <w:tc>
          <w:tcPr>
            <w:tcW w:w="10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Operating LLC, the guarantors named therein and Delaware Trust Company.</w:t>
              </w:r>
            </w:hyperlink>
          </w:p>
        </w:tc>
        <w:tc>
          <w:tcPr>
            <w:tcW w:w="7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5740" w:type="dxa"/>
            <w:vAlign w:val="bottom"/>
            <w:gridSpan w:val="18"/>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Third Supplemental Indenture, dated as of February 14, 2023, among Clearway Energy</w:t>
              </w:r>
            </w:hyperlink>
          </w:p>
        </w:tc>
      </w:tr>
      <w:tr>
        <w:trPr>
          <w:trHeight w:val="169"/>
        </w:trPr>
        <w:tc>
          <w:tcPr>
            <w:tcW w:w="10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Operating LLC, the guarantors named therein and Delaware Trust Company.</w:t>
              </w:r>
            </w:hyperlink>
          </w:p>
        </w:tc>
        <w:tc>
          <w:tcPr>
            <w:tcW w:w="680" w:type="dxa"/>
            <w:vAlign w:val="bottom"/>
            <w:tcBorders>
              <w:top w:val="single" w:sz="8" w:color="0000FF"/>
            </w:tcBorders>
            <w:gridSpan w:val="10"/>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740" w:type="dxa"/>
            <w:vAlign w:val="bottom"/>
            <w:gridSpan w:val="18"/>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Amended and Restated Master Services Agreement, dated as of February 2, 2023, by</w:t>
              </w:r>
            </w:hyperlink>
          </w:p>
        </w:tc>
      </w:tr>
      <w:tr>
        <w:trPr>
          <w:trHeight w:val="169"/>
        </w:trPr>
        <w:tc>
          <w:tcPr>
            <w:tcW w:w="1020" w:type="dxa"/>
            <w:vAlign w:val="bottom"/>
          </w:tcPr>
          <w:p>
            <w:pPr>
              <w:spacing w:after="0"/>
              <w:rPr>
                <w:sz w:val="14"/>
                <w:szCs w:val="14"/>
                <w:color w:val="auto"/>
              </w:rPr>
            </w:pPr>
          </w:p>
        </w:tc>
        <w:tc>
          <w:tcPr>
            <w:tcW w:w="5520" w:type="dxa"/>
            <w:vAlign w:val="bottom"/>
            <w:tcBorders>
              <w:top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and among Clearway Energy Group LLC, Clearway Energy, Inc., Clearway Energy</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5420" w:type="dxa"/>
            <w:vAlign w:val="bottom"/>
            <w:tcBorders>
              <w:top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LLC and Clearway Energy Operating LLC.</w:t>
              </w:r>
            </w:hyperlink>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5740" w:type="dxa"/>
            <w:vAlign w:val="bottom"/>
            <w:gridSpan w:val="18"/>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Amended and Restated Master Services Agreement, dated as of February 2, 2023, by</w:t>
              </w:r>
            </w:hyperlink>
          </w:p>
        </w:tc>
      </w:tr>
      <w:tr>
        <w:trPr>
          <w:trHeight w:val="169"/>
        </w:trPr>
        <w:tc>
          <w:tcPr>
            <w:tcW w:w="1020" w:type="dxa"/>
            <w:vAlign w:val="bottom"/>
          </w:tcPr>
          <w:p>
            <w:pPr>
              <w:spacing w:after="0"/>
              <w:rPr>
                <w:sz w:val="14"/>
                <w:szCs w:val="14"/>
                <w:color w:val="auto"/>
              </w:rPr>
            </w:pPr>
          </w:p>
        </w:tc>
        <w:tc>
          <w:tcPr>
            <w:tcW w:w="554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6"/>
                <w:szCs w:val="16"/>
                <w:color w:val="0000FF"/>
                <w:w w:val="98"/>
              </w:rPr>
            </w:pPr>
            <w:hyperlink r:id="rId104">
              <w:r>
                <w:rPr>
                  <w:rFonts w:ascii="Times New Roman" w:cs="Times New Roman" w:eastAsia="Times New Roman" w:hAnsi="Times New Roman"/>
                  <w:sz w:val="16"/>
                  <w:szCs w:val="16"/>
                  <w:color w:val="0000FF"/>
                  <w:w w:val="98"/>
                </w:rPr>
                <w:t>and among Clearway Energy, Inc., Clearway Energy LLC, Clearway Energy Operating</w:t>
              </w:r>
            </w:hyperlink>
          </w:p>
        </w:tc>
        <w:tc>
          <w:tcPr>
            <w:tcW w:w="100" w:type="dxa"/>
            <w:vAlign w:val="bottom"/>
            <w:tcBorders>
              <w:bottom w:val="single" w:sz="8" w:color="0000FF"/>
            </w:tcBorders>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5640" w:type="dxa"/>
            <w:vAlign w:val="bottom"/>
            <w:gridSpan w:val="15"/>
          </w:tcPr>
          <w:p>
            <w:pPr>
              <w:spacing w:after="0" w:line="169"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LLC and Clearway Energy Group LLC.</w:t>
              </w:r>
            </w:hyperlink>
          </w:p>
        </w:tc>
        <w:tc>
          <w:tcPr>
            <w:tcW w:w="100" w:type="dxa"/>
            <w:vAlign w:val="bottom"/>
            <w:gridSpan w:val="3"/>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5740" w:type="dxa"/>
            <w:vAlign w:val="bottom"/>
            <w:gridSpan w:val="18"/>
          </w:tcPr>
          <w:p>
            <w:pPr>
              <w:spacing w:after="0"/>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Eighth Amendment to Amended and Restated Credit Agreement, entered into as of</w:t>
              </w:r>
            </w:hyperlink>
          </w:p>
        </w:tc>
      </w:tr>
      <w:tr>
        <w:trPr>
          <w:trHeight w:val="169"/>
        </w:trPr>
        <w:tc>
          <w:tcPr>
            <w:tcW w:w="1020" w:type="dxa"/>
            <w:vAlign w:val="bottom"/>
          </w:tcPr>
          <w:p>
            <w:pPr>
              <w:spacing w:after="0"/>
              <w:rPr>
                <w:sz w:val="14"/>
                <w:szCs w:val="14"/>
                <w:color w:val="auto"/>
              </w:rPr>
            </w:pPr>
          </w:p>
        </w:tc>
        <w:tc>
          <w:tcPr>
            <w:tcW w:w="538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6"/>
                <w:szCs w:val="16"/>
                <w:color w:val="0000FF"/>
                <w:w w:val="99"/>
              </w:rPr>
            </w:pPr>
            <w:hyperlink r:id="rId105">
              <w:r>
                <w:rPr>
                  <w:rFonts w:ascii="Times New Roman" w:cs="Times New Roman" w:eastAsia="Times New Roman" w:hAnsi="Times New Roman"/>
                  <w:sz w:val="16"/>
                  <w:szCs w:val="16"/>
                  <w:color w:val="0000FF"/>
                  <w:w w:val="99"/>
                </w:rPr>
                <w:t>March 15, 2023, by and among Clearway Energy Operating LLC, Clearway Energy</w:t>
              </w:r>
            </w:hyperlink>
          </w:p>
        </w:tc>
        <w:tc>
          <w:tcPr>
            <w:tcW w:w="60" w:type="dxa"/>
            <w:vAlign w:val="bottom"/>
            <w:tcBorders>
              <w:bottom w:val="single" w:sz="8" w:color="0000FF"/>
            </w:tcBorders>
            <w:gridSpan w:val="2"/>
          </w:tcPr>
          <w:p>
            <w:pPr>
              <w:spacing w:after="0"/>
              <w:rPr>
                <w:sz w:val="14"/>
                <w:szCs w:val="14"/>
                <w:color w:val="auto"/>
              </w:rPr>
            </w:pPr>
          </w:p>
        </w:tc>
        <w:tc>
          <w:tcPr>
            <w:tcW w:w="300" w:type="dxa"/>
            <w:vAlign w:val="bottom"/>
            <w:gridSpan w:val="7"/>
          </w:tcPr>
          <w:p>
            <w:pPr>
              <w:spacing w:after="0"/>
              <w:rPr>
                <w:sz w:val="14"/>
                <w:szCs w:val="14"/>
                <w:color w:val="auto"/>
              </w:rPr>
            </w:pPr>
          </w:p>
        </w:tc>
      </w:tr>
      <w:tr>
        <w:trPr>
          <w:trHeight w:val="169"/>
        </w:trPr>
        <w:tc>
          <w:tcPr>
            <w:tcW w:w="1020" w:type="dxa"/>
            <w:vAlign w:val="bottom"/>
          </w:tcPr>
          <w:p>
            <w:pPr>
              <w:spacing w:after="0"/>
              <w:rPr>
                <w:sz w:val="14"/>
                <w:szCs w:val="14"/>
                <w:color w:val="auto"/>
              </w:rPr>
            </w:pPr>
          </w:p>
        </w:tc>
        <w:tc>
          <w:tcPr>
            <w:tcW w:w="5440" w:type="dxa"/>
            <w:vAlign w:val="bottom"/>
            <w:gridSpan w:val="11"/>
          </w:tcPr>
          <w:p>
            <w:pPr>
              <w:spacing w:after="0" w:line="169"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LLC, the guarantors party thereto, JPMorgan Chase Bank, N.A., as administrative</w:t>
              </w:r>
            </w:hyperlink>
          </w:p>
        </w:tc>
        <w:tc>
          <w:tcPr>
            <w:tcW w:w="300" w:type="dxa"/>
            <w:vAlign w:val="bottom"/>
            <w:gridSpan w:val="7"/>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agent, and the lenders party thereto.</w:t>
              </w:r>
            </w:hyperlink>
          </w:p>
        </w:tc>
        <w:tc>
          <w:tcPr>
            <w:tcW w:w="3000" w:type="dxa"/>
            <w:vAlign w:val="bottom"/>
            <w:tcBorders>
              <w:top w:val="single" w:sz="8" w:color="0000FF"/>
            </w:tcBorders>
            <w:gridSpan w:val="7"/>
          </w:tcPr>
          <w:p>
            <w:pPr>
              <w:spacing w:after="0"/>
              <w:rPr>
                <w:sz w:val="13"/>
                <w:szCs w:val="13"/>
                <w:color w:val="auto"/>
              </w:rPr>
            </w:pPr>
          </w:p>
        </w:tc>
        <w:tc>
          <w:tcPr>
            <w:tcW w:w="420" w:type="dxa"/>
            <w:vAlign w:val="bottom"/>
            <w:gridSpan w:val="10"/>
          </w:tcPr>
          <w:p>
            <w:pPr>
              <w:spacing w:after="0"/>
              <w:rPr>
                <w:sz w:val="13"/>
                <w:szCs w:val="13"/>
                <w:color w:val="auto"/>
              </w:rPr>
            </w:pP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0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Rule 13a-14(a)/15d-14(a) certification of Christopher S. Sotos.</w:t>
            </w:r>
          </w:p>
        </w:tc>
        <w:tc>
          <w:tcPr>
            <w:tcW w:w="1660" w:type="dxa"/>
            <w:vAlign w:val="bottom"/>
            <w:gridSpan w:val="13"/>
          </w:tcPr>
          <w:p>
            <w:pPr>
              <w:spacing w:after="0"/>
              <w:rPr>
                <w:sz w:val="19"/>
                <w:szCs w:val="19"/>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3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Rule 13a-14(a)/15d-14(a) certification of Sarah Rubenstein.</w:t>
            </w:r>
          </w:p>
        </w:tc>
        <w:tc>
          <w:tcPr>
            <w:tcW w:w="1860" w:type="dxa"/>
            <w:vAlign w:val="bottom"/>
            <w:gridSpan w:val="14"/>
          </w:tcPr>
          <w:p>
            <w:pPr>
              <w:spacing w:after="0"/>
              <w:rPr>
                <w:sz w:val="17"/>
                <w:szCs w:val="17"/>
                <w:color w:val="auto"/>
              </w:rPr>
            </w:pPr>
          </w:p>
        </w:tc>
      </w:tr>
    </w:tbl>
    <w:p>
      <w:pPr>
        <w:spacing w:after="0" w:line="27" w:lineRule="exact"/>
        <w:rPr>
          <w:sz w:val="20"/>
          <w:szCs w:val="20"/>
          <w:color w:val="auto"/>
        </w:rPr>
      </w:pPr>
    </w:p>
    <w:p>
      <w:pPr>
        <w:ind w:left="1040" w:hanging="1014"/>
        <w:spacing w:after="0"/>
        <w:tabs>
          <w:tab w:leader="none" w:pos="10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Section 1350 Certification.</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SCH</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w:t>
            </w:r>
          </w:p>
        </w:tc>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bl>
    <w:p>
      <w:pPr>
        <w:spacing w:after="0" w:line="6" w:lineRule="exact"/>
        <w:rPr>
          <w:sz w:val="20"/>
          <w:szCs w:val="20"/>
          <w:color w:val="auto"/>
        </w:rPr>
      </w:pPr>
    </w:p>
    <w:p>
      <w:pPr>
        <w:ind w:left="1040" w:right="40" w:hanging="1014"/>
        <w:spacing w:after="0" w:line="232" w:lineRule="auto"/>
        <w:tabs>
          <w:tab w:leader="none" w:pos="10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3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Incorporated herein by reference to Exhibit 4.1 to the Company’s Current Report on Form 8-K filed on February 21, 2023.</w:t>
      </w:r>
    </w:p>
    <w:p>
      <w:pPr>
        <w:spacing w:after="0" w:line="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Incorporated herein by reference to Exhibit 4.2 to the Company’s Current Report on Form 8-K filed on February 21, 2023.</w:t>
      </w:r>
    </w:p>
    <w:p>
      <w:pPr>
        <w:spacing w:after="0" w:line="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Incorporated herein by reference to Exhibit 4.3 to the Company’s Current Report on Form 8-K filed on February 21, 2023.</w:t>
      </w:r>
    </w:p>
    <w:p>
      <w:pPr>
        <w:spacing w:after="0" w:line="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Incorporated herein by reference to Exhibit 10.42 to the Company’s Annual Report on Form 10-K filed on February 23, 2023.</w:t>
      </w:r>
    </w:p>
    <w:p>
      <w:pPr>
        <w:spacing w:after="0" w:line="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Incorporated herein by reference to Exhibit 10.43 to the Company’s Annual Report on Form 10-K filed on February 23, 2023.</w:t>
      </w:r>
    </w:p>
    <w:p>
      <w:pPr>
        <w:spacing w:after="0" w:line="3"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Current Report on Form 8-K filed on March 20,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Furnished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549" w:lineRule="exact"/>
        <w:rPr>
          <w:sz w:val="20"/>
          <w:szCs w:val="20"/>
          <w:color w:val="auto"/>
        </w:rPr>
      </w:pPr>
    </w:p>
    <w:p>
      <w:pPr>
        <w:sectPr>
          <w:pgSz w:w="11900" w:h="16838" w:orient="portrait"/>
          <w:cols w:equalWidth="0" w:num="2">
            <w:col w:w="6760" w:space="160"/>
            <w:col w:w="4220"/>
          </w:cols>
          <w:pgMar w:left="320" w:top="1130" w:right="439" w:bottom="1440" w:gutter="0" w:footer="0" w:header="0"/>
        </w:sectPr>
      </w:pPr>
    </w:p>
    <w:p>
      <w:pPr>
        <w:spacing w:after="0" w:line="72" w:lineRule="exact"/>
        <w:rPr>
          <w:sz w:val="20"/>
          <w:szCs w:val="20"/>
          <w:color w:val="auto"/>
        </w:rPr>
      </w:pPr>
    </w:p>
    <w:p>
      <w:pPr>
        <w:ind w:right="400" w:firstLine="8"/>
        <w:spacing w:after="0" w:line="266" w:lineRule="auto"/>
        <w:tabs>
          <w:tab w:leader="none" w:pos="1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upon request.</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0" w:right="4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CLEARWAY ENERGY, INC.</w:t>
      </w:r>
    </w:p>
    <w:p>
      <w:pPr>
        <w:ind w:left="6680"/>
        <w:spacing w:after="0"/>
        <w:rPr>
          <w:sz w:val="20"/>
          <w:szCs w:val="20"/>
          <w:color w:val="auto"/>
        </w:rPr>
      </w:pPr>
      <w:r>
        <w:rPr>
          <w:rFonts w:ascii="Times New Roman" w:cs="Times New Roman" w:eastAsia="Times New Roman" w:hAnsi="Times New Roman"/>
          <w:sz w:val="18"/>
          <w:szCs w:val="18"/>
          <w:color w:val="auto"/>
        </w:rPr>
        <w:t>(Registrant)</w:t>
      </w:r>
    </w:p>
    <w:p>
      <w:pPr>
        <w:spacing w:after="0" w:line="27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6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RUBENSTEIN</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Rubenstein</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w:t>
            </w:r>
          </w:p>
        </w:tc>
        <w:tc>
          <w:tcPr>
            <w:tcW w:w="0" w:type="dxa"/>
            <w:vAlign w:val="bottom"/>
          </w:tcPr>
          <w:p>
            <w:pPr>
              <w:spacing w:after="0"/>
              <w:rPr>
                <w:sz w:val="1"/>
                <w:szCs w:val="1"/>
                <w:color w:val="auto"/>
              </w:rPr>
            </w:pPr>
          </w:p>
        </w:tc>
      </w:tr>
      <w:tr>
        <w:trPr>
          <w:trHeight w:val="182"/>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4, 2023</w:t>
            </w:r>
          </w:p>
        </w:tc>
        <w:tc>
          <w:tcPr>
            <w:tcW w:w="3200" w:type="dxa"/>
            <w:vAlign w:val="bottom"/>
          </w:tcPr>
          <w:p>
            <w:pPr>
              <w:spacing w:after="0"/>
              <w:rPr>
                <w:sz w:val="15"/>
                <w:szCs w:val="15"/>
                <w:color w:val="auto"/>
              </w:rPr>
            </w:pPr>
          </w:p>
        </w:tc>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6"/>
        </w:trPr>
        <w:tc>
          <w:tcPr>
            <w:tcW w:w="344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0" w:type="dxa"/>
            <w:vAlign w:val="bottom"/>
          </w:tcPr>
          <w:p>
            <w:pPr>
              <w:spacing w:after="0"/>
              <w:rPr>
                <w:sz w:val="1"/>
                <w:szCs w:val="1"/>
                <w:color w:val="auto"/>
              </w:rPr>
            </w:pPr>
          </w:p>
        </w:tc>
      </w:tr>
      <w:tr>
        <w:trPr>
          <w:trHeight w:val="844"/>
        </w:trPr>
        <w:tc>
          <w:tcPr>
            <w:tcW w:w="3440" w:type="dxa"/>
            <w:vAlign w:val="bottom"/>
          </w:tcPr>
          <w:p>
            <w:pPr>
              <w:spacing w:after="0"/>
              <w:rPr>
                <w:sz w:val="24"/>
                <w:szCs w:val="24"/>
                <w:color w:val="auto"/>
              </w:rPr>
            </w:pPr>
          </w:p>
        </w:tc>
        <w:tc>
          <w:tcPr>
            <w:tcW w:w="32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231F20"/>
              </w:rPr>
              <w:t>46</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1800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Christopher S. Sotos</w:t>
      </w:r>
    </w:p>
    <w:p>
      <w:pPr>
        <w:ind w:left="7200"/>
        <w:spacing w:after="0" w:line="203"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ectPr>
          <w:pgSz w:w="11900" w:h="16838" w:orient="portrait"/>
          <w:cols w:equalWidth="0" w:num="1">
            <w:col w:w="11240"/>
          </w:cols>
          <w:pgMar w:left="320" w:top="98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17145</wp:posOffset>
            </wp:positionV>
            <wp:extent cx="18345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5"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Sarah Rubenstein</w:t>
      </w:r>
    </w:p>
    <w:p>
      <w:pPr>
        <w:ind w:left="7520"/>
        <w:spacing w:after="0" w:line="219" w:lineRule="auto"/>
        <w:rPr>
          <w:sz w:val="20"/>
          <w:szCs w:val="20"/>
          <w:color w:val="auto"/>
        </w:rPr>
      </w:pPr>
      <w:r>
        <w:rPr>
          <w:rFonts w:ascii="Times New Roman" w:cs="Times New Roman" w:eastAsia="Times New Roman" w:hAnsi="Times New Roman"/>
          <w:sz w:val="18"/>
          <w:szCs w:val="18"/>
          <w:i w:val="1"/>
          <w:iCs w:val="1"/>
          <w:color w:val="auto"/>
        </w:rPr>
        <w:t>Executive Vice President and Chief</w:t>
      </w:r>
    </w:p>
    <w:p>
      <w:pPr>
        <w:ind w:left="7520"/>
        <w:spacing w:after="0" w:line="203" w:lineRule="auto"/>
        <w:rPr>
          <w:sz w:val="20"/>
          <w:szCs w:val="20"/>
          <w:color w:val="auto"/>
        </w:rPr>
      </w:pPr>
      <w:r>
        <w:rPr>
          <w:rFonts w:ascii="Times New Roman" w:cs="Times New Roman" w:eastAsia="Times New Roman" w:hAnsi="Times New Roman"/>
          <w:sz w:val="18"/>
          <w:szCs w:val="18"/>
          <w:i w:val="1"/>
          <w:iCs w:val="1"/>
          <w:color w:val="auto"/>
        </w:rPr>
        <w:t>Financial Officer</w:t>
      </w:r>
    </w:p>
    <w:p>
      <w:pPr>
        <w:ind w:left="7520"/>
        <w:spacing w:after="0" w:line="204" w:lineRule="auto"/>
        <w:rPr>
          <w:sz w:val="20"/>
          <w:szCs w:val="20"/>
          <w:color w:val="auto"/>
        </w:rPr>
      </w:pPr>
      <w:r>
        <w:rPr>
          <w:rFonts w:ascii="Times New Roman" w:cs="Times New Roman" w:eastAsia="Times New Roman" w:hAnsi="Times New Roman"/>
          <w:sz w:val="18"/>
          <w:szCs w:val="18"/>
          <w:i w:val="1"/>
          <w:iCs w:val="1"/>
          <w:color w:val="auto"/>
        </w:rPr>
        <w:t>(Principal Financial Officer and</w:t>
      </w: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Inc. on Form 10-Q for the quarter ended March 31, 2023,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pacing w:after="0" w:line="10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0861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amp;"/>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32"/>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00" Type="http://schemas.openxmlformats.org/officeDocument/2006/relationships/hyperlink" Target="https://www.sec.gov/Archives/edgar/data/1567683/000110465923023548/tm237375d1_ex4-1.htm" TargetMode="External"/><Relationship Id="rId101" Type="http://schemas.openxmlformats.org/officeDocument/2006/relationships/hyperlink" Target="https://www.sec.gov/Archives/edgar/data/1567683/000110465923023548/tm237375d1_ex4-2.htm" TargetMode="External"/><Relationship Id="rId102" Type="http://schemas.openxmlformats.org/officeDocument/2006/relationships/hyperlink" Target="https://www.sec.gov/Archives/edgar/data/1567683/000110465923023548/tm237375d1_ex4-3.htm" TargetMode="External"/><Relationship Id="rId103" Type="http://schemas.openxmlformats.org/officeDocument/2006/relationships/hyperlink" Target="https://www.sec.gov/Archives/edgar/data/1567683/000156768323000011/clearwayincex104210-k202.htm" TargetMode="External"/><Relationship Id="rId104" Type="http://schemas.openxmlformats.org/officeDocument/2006/relationships/hyperlink" Target="https://www.sec.gov/Archives/edgar/data/1567683/000156768323000011/clearwayincex104310-k202.htm" TargetMode="External"/><Relationship Id="rId105" Type="http://schemas.openxmlformats.org/officeDocument/2006/relationships/hyperlink" Target="https://www.sec.gov/Archives/edgar/data/1567683/000110465923034463/tm23975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2023-05-04T13:57:46Z</dcterms:created>
  <dcterms:modified xsi:type="dcterms:W3CDTF">2023-05-04T13:57:46Z</dcterms:modified>
</cp:coreProperties>
</file>