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172024_080406.xml.htm"/>
      <w:bookmarkStart w:id="1" w:name="ksform404172024_0804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Rubenstein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CFO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1,327</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28,318</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27,646</w:t>
            </w:r>
            <w:r>
              <w:rPr>
                <w:rFonts w:ascii="Times;serif" w:hAnsi="Times;serif"/>
                <w:color w:val="008000"/>
                <w:position w:val="7"/>
                <w:sz w:val="16"/>
                <w:sz w:val="20"/>
                <w:shd w:fill="FFFFFF" w:val="clear"/>
              </w:rPr>
              <w:t>(4)</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26,818</w:t>
            </w:r>
            <w:r>
              <w:rPr>
                <w:rFonts w:ascii="Times;serif" w:hAnsi="Times;serif"/>
                <w:color w:val="008000"/>
                <w:position w:val="7"/>
                <w:sz w:val="16"/>
                <w:sz w:val="20"/>
                <w:shd w:fill="FFFFFF" w:val="clear"/>
              </w:rPr>
              <w:t>(6)</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7,796</w:t>
            </w:r>
            <w:r>
              <w:rPr>
                <w:rFonts w:ascii="Times;serif" w:hAnsi="Times;serif"/>
                <w:color w:val="008000"/>
                <w:position w:val="7"/>
                <w:sz w:val="16"/>
                <w:sz w:val="20"/>
                <w:shd w:fill="FFFFFF" w:val="clear"/>
              </w:rPr>
              <w:t>(7)</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34,614</w:t>
            </w:r>
            <w:r>
              <w:rPr>
                <w:rFonts w:ascii="Times;serif" w:hAnsi="Times;serif"/>
                <w:color w:val="008000"/>
                <w:position w:val="7"/>
                <w:sz w:val="16"/>
                <w:sz w:val="20"/>
                <w:shd w:fill="FFFFFF" w:val="clear"/>
              </w:rPr>
              <w:t>(9)</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Relative 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15,192</w:t>
            </w:r>
            <w:r>
              <w:rPr>
                <w:rFonts w:ascii="Times;serif" w:hAnsi="Times;serif"/>
                <w:color w:val="008000"/>
                <w:position w:val="7"/>
                <w:sz w:val="16"/>
                <w:sz w:val="20"/>
                <w:shd w:fill="FFFFFF" w:val="clear"/>
              </w:rPr>
              <w:t>(10)</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 par value $.01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15,192</w:t>
            </w:r>
            <w:r>
              <w:rPr>
                <w:rFonts w:ascii="Times;serif" w:hAnsi="Times;serif"/>
                <w:color w:val="008000"/>
                <w:position w:val="7"/>
                <w:sz w:val="16"/>
                <w:sz w:val="20"/>
                <w:shd w:fill="FFFFFF" w:val="clear"/>
              </w:rPr>
              <w:t>(11)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15, 2021, Ms. Rubenstein was issued 7,397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2,863 shares vested. Ms. Rubenstein elected to satisfy her tax obligation upon the exchange of common stock for RSUs having a value on the date of the exchange equal to the withholding obligation. This form reflects the surrender of 1,327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vesting of the RSUs described above, 392 DERs converted to Class C Common Stock, resulting in the reporting person holding 2,125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15, 2022, Ms. Rubenstein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1,448 shares vested. Ms. Rubenstein elected to satisfy her tax obligation upon the exchange of common stock for RSUs having a value on the date of the exchange equal to the withholding obligation. This form reflects the surrender of 672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connection with the vesting of the RSUs described above, 144 DERs converted to Class C Common Stock, resulting in the reporting person holding 1,981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15, 2023, Ms. Rubenstein was issued 5,037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1,785 shares vested. Ms. Rubenstein elected to satisfy her tax obligation upon the exchange of common stock for RSUs having a value on the date of the exchange equal to the withholding obligation. This form reflects the surrender of 828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connection with the vesting of the RSUs described above, 108 DERs converted to Class C Common Stock, resulting in the reporting person holding 1,873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RSUs issued to Ms. Rubenstein under the LTIP.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RSU is equivalent in value to one share of Clearway Energy, Inc.'s Class C Common Stock, par value $.01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will receive from Clearway Energy, Inc. one such share of Class C Common Stock for each RSU that will vest ratably over a three-year period beginning on the first anniversary of the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was issued 15,192 Relative Performance Stock Units ("RPSUs") by Clearway Energy, Inc. under the LTIP on April 15, 2024. The RPSUs will convert to shares of Clearway Energy, Inc. Class C Common Stock on April 15, 2027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Reporting Person will receive (i) a maximum of 22,788 shares of Class C Common Stock if Company's TSR is ranked at or above the 75th percentile relative to a peer group of companies approved by the Company's Compensation Committee (the "Peer Group") for the performance period ("Maximum"); (ii) 15,192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3,798 shares of Common Stock if Company's TSR is ranked at the 25th percentile relative to the Peer Group for the performance period (the "Threshold"). The Reporting Person will not receive any shares of Common Stock if Company's TSR is below the 25th percentile.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9270"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1644</Words>
  <Characters>8498</Characters>
  <CharactersWithSpaces>10042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