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2015</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80" w:type="dxa"/>
        <w:tblCellMar>
          <w:top w:w="0" w:type="dxa"/>
          <w:left w:w="0" w:type="dxa"/>
          <w:bottom w:w="0" w:type="dxa"/>
          <w:right w:w="0" w:type="dxa"/>
        </w:tblCellMar>
      </w:tblPr>
      <w:tr>
        <w:trPr>
          <w:trHeight w:val="220"/>
        </w:trPr>
        <w:tc>
          <w:tcPr>
            <w:tcW w:w="50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5020" w:type="dxa"/>
            <w:vAlign w:val="bottom"/>
          </w:tcPr>
          <w:p>
            <w:pPr>
              <w:jc w:val="center"/>
              <w:ind w:right="157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157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2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211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20" w:type="dxa"/>
            <w:vAlign w:val="bottom"/>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9"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p>
      <w:pPr>
        <w:spacing w:after="0" w:line="121" w:lineRule="exact"/>
        <w:rPr>
          <w:sz w:val="24"/>
          <w:szCs w:val="24"/>
          <w:color w:val="auto"/>
        </w:rPr>
      </w:pPr>
    </w:p>
    <w:p>
      <w:pPr>
        <w:jc w:val="both"/>
        <w:ind w:firstLine="27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0" w:lineRule="exact"/>
        <w:rPr>
          <w:sz w:val="24"/>
          <w:szCs w:val="24"/>
          <w:color w:val="auto"/>
        </w:rPr>
      </w:pPr>
    </w:p>
    <w:p>
      <w:pPr>
        <w:ind w:left="480"/>
        <w:spacing w:after="0"/>
        <w:tabs>
          <w:tab w:leader="none" w:pos="3080" w:val="left"/>
          <w:tab w:leader="none" w:pos="5780" w:val="left"/>
          <w:tab w:leader="none" w:pos="8900" w:val="left"/>
        </w:tabs>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p>
    <w:p>
      <w:pPr>
        <w:spacing w:after="0" w:line="68" w:lineRule="exact"/>
        <w:rPr>
          <w:sz w:val="24"/>
          <w:szCs w:val="24"/>
          <w:color w:val="auto"/>
        </w:rPr>
      </w:pPr>
    </w:p>
    <w:p>
      <w:pPr>
        <w:ind w:left="5260"/>
        <w:spacing w:after="0"/>
        <w:rPr>
          <w:sz w:val="20"/>
          <w:szCs w:val="20"/>
          <w:color w:val="auto"/>
        </w:rPr>
      </w:pPr>
      <w:r>
        <w:rPr>
          <w:rFonts w:ascii="Arial" w:cs="Arial" w:eastAsia="Arial" w:hAnsi="Arial"/>
          <w:sz w:val="14"/>
          <w:szCs w:val="14"/>
          <w:color w:val="auto"/>
        </w:rPr>
        <w:t>(Do not check if a smaller reporting company)</w:t>
      </w:r>
    </w:p>
    <w:p>
      <w:pPr>
        <w:spacing w:after="0" w:line="19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3" w:lineRule="exact"/>
        <w:rPr>
          <w:sz w:val="24"/>
          <w:szCs w:val="24"/>
          <w:color w:val="auto"/>
        </w:rPr>
      </w:pPr>
    </w:p>
    <w:p>
      <w:pPr>
        <w:ind w:left="5180"/>
        <w:spacing w:after="0"/>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p>
      <w:pPr>
        <w:spacing w:after="0" w:line="121" w:lineRule="exact"/>
        <w:rPr>
          <w:sz w:val="24"/>
          <w:szCs w:val="24"/>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As of July 31, 2015, there were 34,586,250 Class A units outstanding, 42,738,750 Class B units outstanding, 62,784,250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357505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271780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58</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58</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70</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70</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71</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73</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2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Risk Factors in Part II of this Quarterly Report on Form 10-Q and the following:</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and its subsidiaries that are contained in the project-level debt facilities and other agreements of certain subsidiaries and project-level subsidiaries generally, in the Yield Operating LLC revolving credit facility, in the indenture governing the Senior Notes and in the indenture governing the Company's convertible notes; and</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2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8680" w:type="dxa"/>
            <w:vAlign w:val="bottom"/>
          </w:tcPr>
          <w:p>
            <w:pPr>
              <w:ind w:left="202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360" w:type="dxa"/>
            <w:vAlign w:val="bottom"/>
            <w:gridSpan w:val="2"/>
          </w:tcPr>
          <w:p>
            <w:pPr>
              <w:ind w:left="24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378"/>
        </w:trPr>
        <w:tc>
          <w:tcPr>
            <w:tcW w:w="2680" w:type="dxa"/>
            <w:vAlign w:val="bottom"/>
          </w:tcPr>
          <w:p>
            <w:pPr>
              <w:spacing w:after="0"/>
              <w:rPr>
                <w:sz w:val="20"/>
                <w:szCs w:val="20"/>
                <w:color w:val="auto"/>
              </w:rPr>
            </w:pPr>
            <w:r>
              <w:rPr>
                <w:rFonts w:ascii="Arial" w:cs="Arial" w:eastAsia="Arial" w:hAnsi="Arial"/>
                <w:sz w:val="18"/>
                <w:szCs w:val="18"/>
                <w:color w:val="auto"/>
              </w:rPr>
              <w:t>2019 Convertible Notes</w:t>
            </w:r>
          </w:p>
        </w:tc>
        <w:tc>
          <w:tcPr>
            <w:tcW w:w="8680" w:type="dxa"/>
            <w:vAlign w:val="bottom"/>
          </w:tcPr>
          <w:p>
            <w:pPr>
              <w:ind w:left="280"/>
              <w:spacing w:after="0"/>
              <w:rPr>
                <w:sz w:val="20"/>
                <w:szCs w:val="20"/>
                <w:color w:val="auto"/>
              </w:rPr>
            </w:pPr>
            <w:r>
              <w:rPr>
                <w:rFonts w:ascii="Arial" w:cs="Arial" w:eastAsia="Arial" w:hAnsi="Arial"/>
                <w:sz w:val="18"/>
                <w:szCs w:val="18"/>
                <w:color w:val="auto"/>
              </w:rPr>
              <w:t>Yield, Inc.'s $345 million aggregate principal amount of 3.50% Convertible Notes due 2019</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2020 Convertible Notes</w:t>
            </w:r>
          </w:p>
        </w:tc>
        <w:tc>
          <w:tcPr>
            <w:tcW w:w="8680" w:type="dxa"/>
            <w:vAlign w:val="bottom"/>
          </w:tcPr>
          <w:p>
            <w:pPr>
              <w:ind w:left="280"/>
              <w:spacing w:after="0"/>
              <w:rPr>
                <w:sz w:val="20"/>
                <w:szCs w:val="20"/>
                <w:color w:val="auto"/>
              </w:rPr>
            </w:pPr>
            <w:r>
              <w:rPr>
                <w:rFonts w:ascii="Arial" w:cs="Arial" w:eastAsia="Arial" w:hAnsi="Arial"/>
                <w:sz w:val="18"/>
                <w:szCs w:val="18"/>
                <w:color w:val="auto"/>
              </w:rPr>
              <w:t>Yield, Inc.'s $287.5 million aggregate principal amount of 3.25% Convertible Notes due 2020</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Alta TE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Alta Wind X-XI TE Holdco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Alta Wind Portfolio</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Seven wind facilities that total 947 MW located in Tehachapi, California and a portfolio of associated land leases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AOCL</w:t>
            </w:r>
          </w:p>
        </w:tc>
        <w:tc>
          <w:tcPr>
            <w:tcW w:w="86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ARRA</w:t>
            </w:r>
          </w:p>
        </w:tc>
        <w:tc>
          <w:tcPr>
            <w:tcW w:w="8680" w:type="dxa"/>
            <w:vAlign w:val="bottom"/>
          </w:tcPr>
          <w:p>
            <w:pPr>
              <w:ind w:left="280"/>
              <w:spacing w:after="0"/>
              <w:rPr>
                <w:sz w:val="20"/>
                <w:szCs w:val="20"/>
                <w:color w:val="auto"/>
              </w:rPr>
            </w:pPr>
            <w:r>
              <w:rPr>
                <w:rFonts w:ascii="Arial" w:cs="Arial" w:eastAsia="Arial" w:hAnsi="Arial"/>
                <w:sz w:val="18"/>
                <w:szCs w:val="18"/>
                <w:color w:val="auto"/>
              </w:rPr>
              <w:t>American Recovery and Reinvestment Act of 2009</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ASC</w:t>
            </w:r>
          </w:p>
        </w:tc>
        <w:tc>
          <w:tcPr>
            <w:tcW w:w="8680" w:type="dxa"/>
            <w:vAlign w:val="bottom"/>
          </w:tcPr>
          <w:p>
            <w:pPr>
              <w:ind w:left="2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authoritative U.S. GAAP</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ASU</w:t>
            </w:r>
          </w:p>
        </w:tc>
        <w:tc>
          <w:tcPr>
            <w:tcW w:w="868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BRA</w:t>
            </w:r>
          </w:p>
        </w:tc>
        <w:tc>
          <w:tcPr>
            <w:tcW w:w="8680" w:type="dxa"/>
            <w:vAlign w:val="bottom"/>
          </w:tcPr>
          <w:p>
            <w:pPr>
              <w:ind w:left="280"/>
              <w:spacing w:after="0"/>
              <w:rPr>
                <w:sz w:val="20"/>
                <w:szCs w:val="20"/>
                <w:color w:val="auto"/>
              </w:rPr>
            </w:pPr>
            <w:r>
              <w:rPr>
                <w:rFonts w:ascii="Arial" w:cs="Arial" w:eastAsia="Arial" w:hAnsi="Arial"/>
                <w:sz w:val="18"/>
                <w:szCs w:val="18"/>
                <w:color w:val="auto"/>
              </w:rPr>
              <w:t>Base Residual Auction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Buffalo Bear</w:t>
            </w:r>
          </w:p>
        </w:tc>
        <w:tc>
          <w:tcPr>
            <w:tcW w:w="8680" w:type="dxa"/>
            <w:vAlign w:val="bottom"/>
          </w:tcPr>
          <w:p>
            <w:pPr>
              <w:ind w:left="2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CAA</w:t>
            </w:r>
          </w:p>
        </w:tc>
        <w:tc>
          <w:tcPr>
            <w:tcW w:w="8680" w:type="dxa"/>
            <w:vAlign w:val="bottom"/>
          </w:tcPr>
          <w:p>
            <w:pPr>
              <w:ind w:left="280"/>
              <w:spacing w:after="0"/>
              <w:rPr>
                <w:sz w:val="20"/>
                <w:szCs w:val="20"/>
                <w:color w:val="auto"/>
              </w:rPr>
            </w:pPr>
            <w:r>
              <w:rPr>
                <w:rFonts w:ascii="Arial" w:cs="Arial" w:eastAsia="Arial" w:hAnsi="Arial"/>
                <w:sz w:val="18"/>
                <w:szCs w:val="18"/>
                <w:color w:val="auto"/>
              </w:rPr>
              <w:t>Clean Air Act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CAFD</w:t>
            </w:r>
          </w:p>
        </w:tc>
        <w:tc>
          <w:tcPr>
            <w:tcW w:w="8680" w:type="dxa"/>
            <w:vAlign w:val="bottom"/>
          </w:tcPr>
          <w:p>
            <w:pPr>
              <w:ind w:left="280"/>
              <w:spacing w:after="0"/>
              <w:rPr>
                <w:sz w:val="20"/>
                <w:szCs w:val="20"/>
                <w:color w:val="auto"/>
              </w:rPr>
            </w:pPr>
            <w:r>
              <w:rPr>
                <w:rFonts w:ascii="Arial" w:cs="Arial" w:eastAsia="Arial" w:hAnsi="Arial"/>
                <w:sz w:val="18"/>
                <w:szCs w:val="18"/>
                <w:color w:val="auto"/>
              </w:rPr>
              <w:t>Cash Available For Distribution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CL&amp;P</w:t>
            </w:r>
          </w:p>
        </w:tc>
        <w:tc>
          <w:tcPr>
            <w:tcW w:w="8680" w:type="dxa"/>
            <w:vAlign w:val="bottom"/>
          </w:tcPr>
          <w:p>
            <w:pPr>
              <w:ind w:left="280"/>
              <w:spacing w:after="0"/>
              <w:rPr>
                <w:sz w:val="20"/>
                <w:szCs w:val="20"/>
                <w:color w:val="auto"/>
              </w:rPr>
            </w:pPr>
            <w:r>
              <w:rPr>
                <w:rFonts w:ascii="Arial" w:cs="Arial" w:eastAsia="Arial" w:hAnsi="Arial"/>
                <w:sz w:val="18"/>
                <w:szCs w:val="18"/>
                <w:color w:val="auto"/>
              </w:rPr>
              <w:t>Connecticut Light &amp; Power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COD</w:t>
            </w:r>
          </w:p>
        </w:tc>
        <w:tc>
          <w:tcPr>
            <w:tcW w:w="8680" w:type="dxa"/>
            <w:vAlign w:val="bottom"/>
          </w:tcPr>
          <w:p>
            <w:pPr>
              <w:ind w:left="280"/>
              <w:spacing w:after="0"/>
              <w:rPr>
                <w:sz w:val="20"/>
                <w:szCs w:val="20"/>
                <w:color w:val="auto"/>
              </w:rPr>
            </w:pPr>
            <w:r>
              <w:rPr>
                <w:rFonts w:ascii="Arial" w:cs="Arial" w:eastAsia="Arial" w:hAnsi="Arial"/>
                <w:sz w:val="18"/>
                <w:szCs w:val="18"/>
                <w:color w:val="auto"/>
              </w:rPr>
              <w:t>Commercial Operations Date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Code</w:t>
            </w:r>
          </w:p>
        </w:tc>
        <w:tc>
          <w:tcPr>
            <w:tcW w:w="8680" w:type="dxa"/>
            <w:vAlign w:val="bottom"/>
          </w:tcPr>
          <w:p>
            <w:pPr>
              <w:ind w:left="280"/>
              <w:spacing w:after="0"/>
              <w:rPr>
                <w:sz w:val="20"/>
                <w:szCs w:val="20"/>
                <w:color w:val="auto"/>
              </w:rPr>
            </w:pPr>
            <w:r>
              <w:rPr>
                <w:rFonts w:ascii="Arial" w:cs="Arial" w:eastAsia="Arial" w:hAnsi="Arial"/>
                <w:sz w:val="18"/>
                <w:szCs w:val="18"/>
                <w:color w:val="auto"/>
              </w:rPr>
              <w:t>Internal Revenue Code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DGPV Holdco</w:t>
            </w:r>
          </w:p>
        </w:tc>
        <w:tc>
          <w:tcPr>
            <w:tcW w:w="8680" w:type="dxa"/>
            <w:vAlign w:val="bottom"/>
          </w:tcPr>
          <w:p>
            <w:pPr>
              <w:ind w:left="2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Distributed Solar</w:t>
            </w:r>
          </w:p>
        </w:tc>
        <w:tc>
          <w:tcPr>
            <w:tcW w:w="8680" w:type="dxa"/>
            <w:vAlign w:val="bottom"/>
          </w:tcPr>
          <w:p>
            <w:pPr>
              <w:ind w:left="2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DOE</w:t>
            </w:r>
          </w:p>
        </w:tc>
        <w:tc>
          <w:tcPr>
            <w:tcW w:w="8680" w:type="dxa"/>
            <w:vAlign w:val="bottom"/>
          </w:tcPr>
          <w:p>
            <w:pPr>
              <w:ind w:left="280"/>
              <w:spacing w:after="0"/>
              <w:rPr>
                <w:sz w:val="20"/>
                <w:szCs w:val="20"/>
                <w:color w:val="auto"/>
              </w:rPr>
            </w:pPr>
            <w:r>
              <w:rPr>
                <w:rFonts w:ascii="Arial" w:cs="Arial" w:eastAsia="Arial" w:hAnsi="Arial"/>
                <w:sz w:val="18"/>
                <w:szCs w:val="18"/>
                <w:color w:val="auto"/>
              </w:rPr>
              <w:t>Department of Energy</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rPr>
              <w:t>Collectively, the June 2014 Drop Down Assets and the January 2015 Drop Down Assets</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El Segundo</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EME</w:t>
            </w:r>
          </w:p>
        </w:tc>
        <w:tc>
          <w:tcPr>
            <w:tcW w:w="8680" w:type="dxa"/>
            <w:vAlign w:val="bottom"/>
          </w:tcPr>
          <w:p>
            <w:pPr>
              <w:ind w:left="280"/>
              <w:spacing w:after="0"/>
              <w:rPr>
                <w:sz w:val="20"/>
                <w:szCs w:val="20"/>
                <w:color w:val="auto"/>
              </w:rPr>
            </w:pPr>
            <w:r>
              <w:rPr>
                <w:rFonts w:ascii="Arial" w:cs="Arial" w:eastAsia="Arial" w:hAnsi="Arial"/>
                <w:sz w:val="18"/>
                <w:szCs w:val="18"/>
                <w:color w:val="auto"/>
              </w:rPr>
              <w:t>Edison Mission Energy</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ERCOT</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Electric Reliability Council of Texas, the Independent System Operator and the regional reliability coordinator of</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the various electricity systems within Texas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EWG</w:t>
            </w:r>
          </w:p>
        </w:tc>
        <w:tc>
          <w:tcPr>
            <w:tcW w:w="8680" w:type="dxa"/>
            <w:vAlign w:val="bottom"/>
          </w:tcPr>
          <w:p>
            <w:pPr>
              <w:ind w:left="2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Exchange Act</w:t>
            </w:r>
          </w:p>
        </w:tc>
        <w:tc>
          <w:tcPr>
            <w:tcW w:w="868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FASB</w:t>
            </w:r>
          </w:p>
        </w:tc>
        <w:tc>
          <w:tcPr>
            <w:tcW w:w="868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FERC</w:t>
            </w:r>
          </w:p>
        </w:tc>
        <w:tc>
          <w:tcPr>
            <w:tcW w:w="8680" w:type="dxa"/>
            <w:vAlign w:val="bottom"/>
          </w:tcPr>
          <w:p>
            <w:pPr>
              <w:ind w:left="2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FPA</w:t>
            </w:r>
          </w:p>
        </w:tc>
        <w:tc>
          <w:tcPr>
            <w:tcW w:w="8680" w:type="dxa"/>
            <w:vAlign w:val="bottom"/>
          </w:tcPr>
          <w:p>
            <w:pPr>
              <w:ind w:left="280"/>
              <w:spacing w:after="0"/>
              <w:rPr>
                <w:sz w:val="20"/>
                <w:szCs w:val="20"/>
                <w:color w:val="auto"/>
              </w:rPr>
            </w:pPr>
            <w:r>
              <w:rPr>
                <w:rFonts w:ascii="Arial" w:cs="Arial" w:eastAsia="Arial" w:hAnsi="Arial"/>
                <w:sz w:val="18"/>
                <w:szCs w:val="18"/>
                <w:color w:val="auto"/>
              </w:rPr>
              <w:t>Federal Power Act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GenConn</w:t>
            </w:r>
          </w:p>
        </w:tc>
        <w:tc>
          <w:tcPr>
            <w:tcW w:w="8680" w:type="dxa"/>
            <w:vAlign w:val="bottom"/>
          </w:tcPr>
          <w:p>
            <w:pPr>
              <w:ind w:left="2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GHG</w:t>
            </w:r>
          </w:p>
        </w:tc>
        <w:tc>
          <w:tcPr>
            <w:tcW w:w="8680" w:type="dxa"/>
            <w:vAlign w:val="bottom"/>
          </w:tcPr>
          <w:p>
            <w:pPr>
              <w:ind w:left="280"/>
              <w:spacing w:after="0"/>
              <w:rPr>
                <w:sz w:val="20"/>
                <w:szCs w:val="20"/>
                <w:color w:val="auto"/>
              </w:rPr>
            </w:pPr>
            <w:r>
              <w:rPr>
                <w:rFonts w:ascii="Arial" w:cs="Arial" w:eastAsia="Arial" w:hAnsi="Arial"/>
                <w:sz w:val="18"/>
                <w:szCs w:val="18"/>
                <w:color w:val="auto"/>
              </w:rPr>
              <w:t>Greenhouse Gases</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HLBV</w:t>
            </w:r>
          </w:p>
        </w:tc>
        <w:tc>
          <w:tcPr>
            <w:tcW w:w="8680" w:type="dxa"/>
            <w:vAlign w:val="bottom"/>
          </w:tcPr>
          <w:p>
            <w:pPr>
              <w:ind w:left="280"/>
              <w:spacing w:after="0"/>
              <w:rPr>
                <w:sz w:val="20"/>
                <w:szCs w:val="20"/>
                <w:color w:val="auto"/>
              </w:rPr>
            </w:pPr>
            <w:r>
              <w:rPr>
                <w:rFonts w:ascii="Arial" w:cs="Arial" w:eastAsia="Arial" w:hAnsi="Arial"/>
                <w:sz w:val="18"/>
                <w:szCs w:val="18"/>
                <w:color w:val="auto"/>
              </w:rPr>
              <w:t>Hypothetical Liquidation of Book Value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ISO</w:t>
            </w:r>
          </w:p>
        </w:tc>
        <w:tc>
          <w:tcPr>
            <w:tcW w:w="8680" w:type="dxa"/>
            <w:vAlign w:val="bottom"/>
          </w:tcPr>
          <w:p>
            <w:pPr>
              <w:ind w:left="2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ITC</w:t>
            </w:r>
          </w:p>
        </w:tc>
        <w:tc>
          <w:tcPr>
            <w:tcW w:w="8680" w:type="dxa"/>
            <w:vAlign w:val="bottom"/>
          </w:tcPr>
          <w:p>
            <w:pPr>
              <w:ind w:left="280"/>
              <w:spacing w:after="0"/>
              <w:rPr>
                <w:sz w:val="20"/>
                <w:szCs w:val="20"/>
                <w:color w:val="auto"/>
              </w:rPr>
            </w:pPr>
            <w:r>
              <w:rPr>
                <w:rFonts w:ascii="Arial" w:cs="Arial" w:eastAsia="Arial" w:hAnsi="Arial"/>
                <w:sz w:val="18"/>
                <w:szCs w:val="18"/>
                <w:color w:val="auto"/>
              </w:rPr>
              <w:t>Investment Tax Credit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680" w:type="dxa"/>
            <w:vAlign w:val="bottom"/>
            <w:vMerge w:val="restart"/>
          </w:tcPr>
          <w:p>
            <w:pPr>
              <w:ind w:left="280"/>
              <w:spacing w:after="0"/>
              <w:rPr>
                <w:sz w:val="20"/>
                <w:szCs w:val="20"/>
                <w:color w:val="auto"/>
              </w:rPr>
            </w:pPr>
            <w:r>
              <w:rPr>
                <w:rFonts w:ascii="Arial" w:cs="Arial" w:eastAsia="Arial" w:hAnsi="Arial"/>
                <w:sz w:val="18"/>
                <w:szCs w:val="18"/>
                <w:color w:val="auto"/>
                <w:w w:val="92"/>
              </w:rPr>
              <w:t>The Laredo Ridge, Tapestry and Walnut Creek projects, which were acquired by Yield, Inc. from NRG on January</w:t>
            </w:r>
          </w:p>
        </w:tc>
        <w:tc>
          <w:tcPr>
            <w:tcW w:w="0" w:type="dxa"/>
            <w:vAlign w:val="bottom"/>
          </w:tcPr>
          <w:p>
            <w:pPr>
              <w:spacing w:after="0"/>
              <w:rPr>
                <w:sz w:val="1"/>
                <w:szCs w:val="1"/>
                <w:color w:val="auto"/>
              </w:rPr>
            </w:pPr>
          </w:p>
        </w:tc>
      </w:tr>
      <w:tr>
        <w:trPr>
          <w:trHeight w:val="67"/>
        </w:trPr>
        <w:tc>
          <w:tcPr>
            <w:tcW w:w="2680" w:type="dxa"/>
            <w:vAlign w:val="bottom"/>
          </w:tcPr>
          <w:p>
            <w:pPr>
              <w:spacing w:after="0"/>
              <w:rPr>
                <w:sz w:val="5"/>
                <w:szCs w:val="5"/>
                <w:color w:val="auto"/>
              </w:rPr>
            </w:pPr>
          </w:p>
        </w:tc>
        <w:tc>
          <w:tcPr>
            <w:tcW w:w="8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2, 2015</w:t>
            </w:r>
          </w:p>
        </w:tc>
        <w:tc>
          <w:tcPr>
            <w:tcW w:w="0" w:type="dxa"/>
            <w:vAlign w:val="bottom"/>
          </w:tcPr>
          <w:p>
            <w:pPr>
              <w:spacing w:after="0"/>
              <w:rPr>
                <w:sz w:val="1"/>
                <w:szCs w:val="1"/>
                <w:color w:val="auto"/>
              </w:rPr>
            </w:pPr>
          </w:p>
        </w:tc>
      </w:tr>
      <w:tr>
        <w:trPr>
          <w:trHeight w:val="337"/>
        </w:trPr>
        <w:tc>
          <w:tcPr>
            <w:tcW w:w="2680" w:type="dxa"/>
            <w:vAlign w:val="bottom"/>
          </w:tcPr>
          <w:p>
            <w:pPr>
              <w:spacing w:after="0"/>
              <w:rPr>
                <w:sz w:val="20"/>
                <w:szCs w:val="20"/>
                <w:color w:val="auto"/>
              </w:rPr>
            </w:pPr>
            <w:r>
              <w:rPr>
                <w:rFonts w:ascii="Arial" w:cs="Arial" w:eastAsia="Arial" w:hAnsi="Arial"/>
                <w:sz w:val="18"/>
                <w:szCs w:val="18"/>
                <w:color w:val="auto"/>
              </w:rPr>
              <w:t>June 2014 Drop Down Assets</w:t>
            </w:r>
          </w:p>
        </w:tc>
        <w:tc>
          <w:tcPr>
            <w:tcW w:w="8680" w:type="dxa"/>
            <w:vAlign w:val="bottom"/>
          </w:tcPr>
          <w:p>
            <w:pPr>
              <w:ind w:left="280"/>
              <w:spacing w:after="0"/>
              <w:rPr>
                <w:sz w:val="20"/>
                <w:szCs w:val="20"/>
                <w:color w:val="auto"/>
              </w:rPr>
            </w:pPr>
            <w:r>
              <w:rPr>
                <w:rFonts w:ascii="Arial" w:cs="Arial" w:eastAsia="Arial" w:hAnsi="Arial"/>
                <w:sz w:val="18"/>
                <w:szCs w:val="18"/>
                <w:color w:val="auto"/>
                <w:w w:val="91"/>
              </w:rPr>
              <w:t>The TA High Desert, Kansas South and El Segundo projects, which were acquired by Yield, Inc. from NRG on June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30, 2014</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Kansas South</w:t>
            </w:r>
          </w:p>
        </w:tc>
        <w:tc>
          <w:tcPr>
            <w:tcW w:w="8680" w:type="dxa"/>
            <w:vAlign w:val="bottom"/>
          </w:tcPr>
          <w:p>
            <w:pPr>
              <w:ind w:left="2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0"/>
                <w:szCs w:val="20"/>
                <w:color w:val="auto"/>
              </w:rPr>
            </w:pPr>
            <w:r>
              <w:rPr>
                <w:rFonts w:ascii="Arial" w:cs="Arial" w:eastAsia="Arial" w:hAnsi="Arial"/>
                <w:sz w:val="18"/>
                <w:szCs w:val="18"/>
                <w:color w:val="auto"/>
              </w:rPr>
              <w:t>Laredo Ridge</w:t>
            </w:r>
          </w:p>
        </w:tc>
        <w:tc>
          <w:tcPr>
            <w:tcW w:w="8680" w:type="dxa"/>
            <w:vAlign w:val="bottom"/>
          </w:tcPr>
          <w:p>
            <w:pPr>
              <w:ind w:left="2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8680" w:type="dxa"/>
            <w:vAlign w:val="bottom"/>
          </w:tcPr>
          <w:p>
            <w:pPr>
              <w:ind w:left="2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LIBOR</w:t>
            </w:r>
          </w:p>
        </w:tc>
        <w:tc>
          <w:tcPr>
            <w:tcW w:w="8680" w:type="dxa"/>
            <w:vAlign w:val="bottom"/>
          </w:tcPr>
          <w:p>
            <w:pPr>
              <w:ind w:left="2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Marsh Landing</w:t>
            </w:r>
          </w:p>
        </w:tc>
        <w:tc>
          <w:tcPr>
            <w:tcW w:w="8680" w:type="dxa"/>
            <w:vAlign w:val="bottom"/>
          </w:tcPr>
          <w:p>
            <w:pPr>
              <w:ind w:left="2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MMBtu</w:t>
            </w:r>
          </w:p>
        </w:tc>
        <w:tc>
          <w:tcPr>
            <w:tcW w:w="8680" w:type="dxa"/>
            <w:vAlign w:val="bottom"/>
          </w:tcPr>
          <w:p>
            <w:pPr>
              <w:ind w:left="2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486"/>
        </w:trPr>
        <w:tc>
          <w:tcPr>
            <w:tcW w:w="2680" w:type="dxa"/>
            <w:vAlign w:val="bottom"/>
          </w:tcPr>
          <w:p>
            <w:pPr>
              <w:spacing w:after="0"/>
              <w:rPr>
                <w:sz w:val="24"/>
                <w:szCs w:val="24"/>
                <w:color w:val="auto"/>
              </w:rPr>
            </w:pPr>
          </w:p>
        </w:tc>
        <w:tc>
          <w:tcPr>
            <w:tcW w:w="8680" w:type="dxa"/>
            <w:vAlign w:val="bottom"/>
          </w:tcPr>
          <w:p>
            <w:pPr>
              <w:ind w:left="29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02"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MW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MWh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NERC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Net Exposure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Megawatt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Saleable megawatt hour, net of internal/parasitic load megawatt-hour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Megawatts Thermal Equivalent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North American Electric Reliability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Counterparty credit exposure to NRG Yield, Inc. net of collateral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Energy,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Accounting predecessor, representing the combination of the projects that were acquired by NRG Yield LLC</w:t>
      </w:r>
    </w:p>
    <w:p>
      <w:pPr>
        <w:spacing w:after="0" w:line="222" w:lineRule="exact"/>
        <w:rPr>
          <w:sz w:val="20"/>
          <w:szCs w:val="20"/>
          <w:color w:val="auto"/>
        </w:rPr>
      </w:pPr>
    </w:p>
    <w:p>
      <w:pPr>
        <w:sectPr>
          <w:pgSz w:w="11900" w:h="16838" w:orient="portrait"/>
          <w:cols w:equalWidth="0" w:num="2">
            <w:col w:w="2240" w:space="720"/>
            <w:col w:w="8380"/>
          </w:cols>
          <w:pgMar w:left="280" w:top="868" w:right="27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OCI/OCL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PG&amp;E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Pinnacle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PJM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PUHCA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PURPA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RPV Holdco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QF</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ROFO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 High Desert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Taloga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Tapestry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Thermal Business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 GAAP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Utility Scale Solar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VaR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VIE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Walnut Creek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Yield,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NRG Yield LLC, together with its consolidated subsidiaries, or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Pacific Gas &amp; Electric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Pinnacle Wind, LLC, the operating subsidiary of Tapestry Wind LLC, which owns the Pinnacle project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PJM Interconnection,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Power Purchase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Public Utility Commission of Texas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Public Utility Holding Company Act of 2005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Public Utility Regulatory Policies Act of 1978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RPV Holdco 1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Qualifying Facility under PURPA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Right of First Offer Agreement between Yield, Inc. and NRG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Reliability Pricing Model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Renewable Portfolio Standard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Regional Transmission Organization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Southern California Edison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LLC's $500 million of 5.375% unsecured senior notes due 2024</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TA-High Desert LLC, the operating subsidiary of NRG Solar Mayfair LLC, which owns the TA High Desert project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Taloga Wind, LLC, the operating subsidiary of Tapestry Wind LLC, which owns the Taloga project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Collection of the Pinnacle, Buffalo Bear and Taloga projects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The Company's thermal business, which consists of thermal infrastructure assets that provide steam, hot water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and/or chilled water, and in some instances electricity, to commercial businesses, universities, hospitals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governmental units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principles generally accepted in the 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Solar power projects, typically 20 MW or greater in size (on an alternating current, or AC, basis), that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Value at Risk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NRG Yield,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NRG Yield Operating LLC</w:t>
      </w:r>
    </w:p>
    <w:p>
      <w:pPr>
        <w:spacing w:after="0" w:line="200" w:lineRule="exact"/>
        <w:rPr>
          <w:sz w:val="20"/>
          <w:szCs w:val="20"/>
          <w:color w:val="auto"/>
        </w:rPr>
      </w:pPr>
    </w:p>
    <w:p>
      <w:pPr>
        <w:sectPr>
          <w:pgSz w:w="11900" w:h="16838" w:orient="portrait"/>
          <w:cols w:equalWidth="0" w:num="2">
            <w:col w:w="2240" w:space="720"/>
            <w:col w:w="8380"/>
          </w:cols>
          <w:pgMar w:left="280" w:top="868" w:right="27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868"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c>
          <w:tcPr>
            <w:tcW w:w="300" w:type="dxa"/>
            <w:vAlign w:val="bottom"/>
          </w:tcPr>
          <w:p>
            <w:pPr>
              <w:spacing w:after="0"/>
              <w:rPr>
                <w:sz w:val="19"/>
                <w:szCs w:val="19"/>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31"/>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Cost of operations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 — affiliate</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50"/>
        </w:trPr>
        <w:tc>
          <w:tcPr>
            <w:tcW w:w="6020" w:type="dxa"/>
            <w:vAlign w:val="bottom"/>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r>
      <w:tr>
        <w:trPr>
          <w:trHeight w:val="250"/>
        </w:trPr>
        <w:tc>
          <w:tcPr>
            <w:tcW w:w="6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derivatives</w:t>
            </w:r>
          </w:p>
        </w:tc>
        <w:tc>
          <w:tcPr>
            <w:tcW w:w="8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w:t>
            </w:r>
          </w:p>
        </w:tc>
      </w:tr>
      <w:tr>
        <w:trPr>
          <w:trHeight w:val="237"/>
        </w:trPr>
        <w:tc>
          <w:tcPr>
            <w:tcW w:w="6020" w:type="dxa"/>
            <w:vAlign w:val="bottom"/>
          </w:tcPr>
          <w:p>
            <w:pPr>
              <w:ind w:left="60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(34)</w:t>
            </w:r>
          </w:p>
        </w:tc>
      </w:tr>
      <w:tr>
        <w:trPr>
          <w:trHeight w:val="27"/>
        </w:trPr>
        <w:tc>
          <w:tcPr>
            <w:tcW w:w="6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r>
      <w:tr>
        <w:trPr>
          <w:trHeight w:val="20"/>
        </w:trPr>
        <w:tc>
          <w:tcPr>
            <w:tcW w:w="6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0" w:hanging="192"/>
        <w:spacing w:after="0"/>
        <w:tabs>
          <w:tab w:leader="none" w:pos="20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02"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 xml:space="preserve">December 31, 2014 </w:t>
            </w:r>
            <w:r>
              <w:rPr>
                <w:rFonts w:ascii="Arial" w:cs="Arial" w:eastAsia="Arial" w:hAnsi="Arial"/>
                <w:sz w:val="8"/>
                <w:szCs w:val="8"/>
                <w:b w:val="1"/>
                <w:bCs w:val="1"/>
                <w:color w:val="auto"/>
                <w:w w:val="94"/>
              </w:rPr>
              <w:t>(a)</w:t>
            </w:r>
          </w:p>
        </w:tc>
      </w:tr>
      <w:tr>
        <w:trPr>
          <w:trHeight w:val="197"/>
        </w:trPr>
        <w:tc>
          <w:tcPr>
            <w:tcW w:w="7900" w:type="dxa"/>
            <w:vAlign w:val="bottom"/>
            <w:tcBorders>
              <w:bottom w:val="single" w:sz="8" w:color="CCEEFF"/>
            </w:tcBorders>
          </w:tcPr>
          <w:p>
            <w:pPr>
              <w:ind w:left="368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1291"/>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406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 service</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4,796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 construction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4,804</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Equity investments in affiliates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227</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Intangible assets, net of accumulated amortization of $64 and $36</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1,423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6,826</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w w:val="88"/>
              </w:rPr>
              <w:t xml:space="preserve">December 31, 2014 </w:t>
            </w:r>
            <w:r>
              <w:rPr>
                <w:rFonts w:ascii="Arial" w:cs="Arial" w:eastAsia="Arial" w:hAnsi="Arial"/>
                <w:sz w:val="8"/>
                <w:szCs w:val="8"/>
                <w:b w:val="1"/>
                <w:bCs w:val="1"/>
                <w:color w:val="auto"/>
                <w:w w:val="88"/>
              </w:rPr>
              <w:t>(a)</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220" w:type="dxa"/>
            <w:vAlign w:val="bottom"/>
            <w:tcBorders>
              <w:bottom w:val="single" w:sz="8" w:color="CCEEFF"/>
            </w:tcBorders>
          </w:tcPr>
          <w:p>
            <w:pPr>
              <w:spacing w:after="0"/>
              <w:rPr>
                <w:sz w:val="21"/>
                <w:szCs w:val="21"/>
                <w:color w:val="auto"/>
              </w:rPr>
            </w:pPr>
          </w:p>
        </w:tc>
        <w:tc>
          <w:tcPr>
            <w:tcW w:w="5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 affiliate</w:t>
            </w:r>
          </w:p>
        </w:tc>
        <w:tc>
          <w:tcPr>
            <w:tcW w:w="2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Long-term debt — external</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Long-term debt — affiliate</w:t>
            </w:r>
          </w:p>
        </w:tc>
        <w:tc>
          <w:tcPr>
            <w:tcW w:w="2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Contributed capital</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2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7,044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vMerge w:val="restart"/>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vMerge w:val="continue"/>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9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60" w:type="dxa"/>
            <w:vAlign w:val="bottom"/>
          </w:tcPr>
          <w:p>
            <w:pPr>
              <w:jc w:val="center"/>
              <w:ind w:left="1190"/>
              <w:spacing w:after="0"/>
              <w:rPr>
                <w:sz w:val="20"/>
                <w:szCs w:val="20"/>
                <w:color w:val="auto"/>
              </w:rPr>
            </w:pPr>
            <w:r>
              <w:rPr>
                <w:rFonts w:ascii="Arial" w:cs="Arial" w:eastAsia="Arial" w:hAnsi="Arial"/>
                <w:sz w:val="18"/>
                <w:szCs w:val="18"/>
                <w:b w:val="1"/>
                <w:bCs w:val="1"/>
                <w:color w:val="auto"/>
              </w:rPr>
              <w:t>NRG YIELD LLC</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6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75"/>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9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1"/>
                <w:szCs w:val="21"/>
                <w:color w:val="auto"/>
              </w:rPr>
            </w:pPr>
          </w:p>
        </w:tc>
        <w:tc>
          <w:tcPr>
            <w:tcW w:w="13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28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Distributions in excess of equity in earnings of unconsolidated affiliates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Amortization of financing costs and debt discount/premiums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Amortization of intangibles and out-of-market contracts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Adjustment for debt extinguishment</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Changes in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Changes in other working capital</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8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Acquisition of Drop Down Assets, net of cash acquired</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96"/>
              </w:rPr>
              <w:t>(489)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Decrease in restricted cash</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gridSpan w:val="3"/>
          </w:tcPr>
          <w:p>
            <w:pPr>
              <w:jc w:val="right"/>
              <w:ind w:right="1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Decrease in notes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Proceeds from renewable energy grants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Investments in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6"/>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gridSpan w:val="2"/>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8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6"/>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02"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47"/>
        </w:trPr>
        <w:tc>
          <w:tcPr>
            <w:tcW w:w="8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Contributions from noncontrolling interests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Capital contributions from NRG</w:t>
            </w:r>
          </w:p>
        </w:tc>
        <w:tc>
          <w:tcPr>
            <w:tcW w:w="5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and return of capital to NRG</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the issuance of Class C units</w:t>
            </w:r>
          </w:p>
        </w:tc>
        <w:tc>
          <w:tcPr>
            <w:tcW w:w="5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distributions</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 external</w:t>
            </w:r>
          </w:p>
        </w:tc>
        <w:tc>
          <w:tcPr>
            <w:tcW w:w="5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 — affiliate</w:t>
            </w: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Payment of debt issuance costs</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long-term debt — external</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5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8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0"/>
        </w:trPr>
        <w:tc>
          <w:tcPr>
            <w:tcW w:w="8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1414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NRG Yield LLC, or the Company, was formed by NRG Energy, Inc., or NRG, as a Delaware limited liability company on March 5, 2013, to serve as the primary vehicle through which NRG owns, operates and acquires contracted renewable and conventional generation and thermal infrastructure assets. NRG owns 100% of the Company's Class B units and Class D units and receives distributions through its ownership of these units. NRG Yield, Inc., or Yield, Inc., owns 100% of the Company's Class A units and Class C units. NRG Yield LLC, through its wholly owned subsidiary, NRG Yield Operating LLC, or Yield Operating LLC, holds a portfolio of renewable and conventional generation and thermal infrastructure assets, primarily located in the Northeast, Southwest and California regions of the U.S.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June 29, 2015, Yield, Inc. issued 28,198,000 shares of Class C common stock at a price of $22 per share. Net proceeds to Yield, Inc. from the sale of the Class C common stock were $600 million, net of underwriting discounts and commissions of $20 million. Yield, Inc. utilized the proceeds of the offering to acquire 28,198,000 Class C units of the Company increasing its voting interest to 44.9% and its economic interest to 53.3%. Yield, Inc. consolidates the results of the Company through its controlling interest as sole managing member.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14605</wp:posOffset>
            </wp:positionV>
            <wp:extent cx="5848985" cy="4322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2" w:right="239" w:bottom="1440" w:gutter="0" w:footer="0" w:header="0"/>
        </w:sectPr>
      </w:pPr>
    </w:p>
    <w:bookmarkStart w:id="11" w:name="page12"/>
    <w:bookmarkEnd w:id="11"/>
    <w:p>
      <w:pPr>
        <w:ind w:left="420"/>
        <w:spacing w:after="0"/>
        <w:rPr>
          <w:sz w:val="20"/>
          <w:szCs w:val="20"/>
          <w:color w:val="auto"/>
        </w:rPr>
      </w:pPr>
      <w:r>
        <w:rPr>
          <w:rFonts w:ascii="Arial" w:cs="Arial" w:eastAsia="Arial" w:hAnsi="Arial"/>
          <w:sz w:val="18"/>
          <w:szCs w:val="18"/>
          <w:color w:val="auto"/>
        </w:rPr>
        <w:t>As of June 30, 2015, the Company's operating assets are comprised of the following projects: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Percentage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4"/>
              </w:rPr>
              <w:t>Net Capacity</w:t>
            </w:r>
          </w:p>
        </w:tc>
        <w:tc>
          <w:tcPr>
            <w:tcW w:w="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43"/>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Projects</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Ownership</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(MW)</w:t>
            </w:r>
            <w:r>
              <w:rPr>
                <w:rFonts w:ascii="Arial" w:cs="Arial" w:eastAsia="Arial" w:hAnsi="Arial"/>
                <w:sz w:val="21"/>
                <w:szCs w:val="21"/>
                <w:b w:val="1"/>
                <w:bCs w:val="1"/>
                <w:color w:val="auto"/>
                <w:vertAlign w:val="superscript"/>
              </w:rPr>
              <w:t>(a)</w:t>
            </w:r>
          </w:p>
        </w:tc>
        <w:tc>
          <w:tcPr>
            <w:tcW w:w="12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Offtake Counterparty</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Expiration</w:t>
            </w: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Conventional</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GenConn Middletown</w:t>
            </w:r>
          </w:p>
        </w:tc>
        <w:tc>
          <w:tcPr>
            <w:tcW w:w="1300" w:type="dxa"/>
            <w:vAlign w:val="bottom"/>
          </w:tcPr>
          <w:p>
            <w:pPr>
              <w:jc w:val="right"/>
              <w:spacing w:after="0"/>
              <w:rPr>
                <w:sz w:val="20"/>
                <w:szCs w:val="20"/>
                <w:color w:val="auto"/>
              </w:rPr>
            </w:pPr>
            <w:r>
              <w:rPr>
                <w:rFonts w:ascii="Arial" w:cs="Arial" w:eastAsia="Arial" w:hAnsi="Arial"/>
                <w:sz w:val="16"/>
                <w:szCs w:val="16"/>
                <w:color w:val="auto"/>
              </w:rPr>
              <w:t>49.95%</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Connecticut Light &amp; Power</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2041</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GenConn Devon</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Connecticut Light &amp; Power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2040</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Marsh Landing</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Pacific Gas and Electric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2023</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El Segundo</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Walnut Creek</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2023</w:t>
            </w: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1"/>
        </w:trPr>
        <w:tc>
          <w:tcPr>
            <w:tcW w:w="4580" w:type="dxa"/>
            <w:vAlign w:val="bottom"/>
            <w:gridSpan w:val="2"/>
          </w:tcPr>
          <w:p>
            <w:pPr>
              <w:ind w:left="40"/>
              <w:spacing w:after="0"/>
              <w:rPr>
                <w:sz w:val="20"/>
                <w:szCs w:val="20"/>
                <w:color w:val="auto"/>
              </w:rPr>
            </w:pPr>
            <w:r>
              <w:rPr>
                <w:rFonts w:ascii="Arial" w:cs="Arial" w:eastAsia="Arial" w:hAnsi="Arial"/>
                <w:sz w:val="16"/>
                <w:szCs w:val="16"/>
                <w:i w:val="1"/>
                <w:iCs w:val="1"/>
                <w:color w:val="auto"/>
              </w:rPr>
              <w:t>Utility Scale Solar</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Alpine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Pacific Gas and Electric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Avenal</w:t>
            </w:r>
          </w:p>
        </w:tc>
        <w:tc>
          <w:tcPr>
            <w:tcW w:w="1300" w:type="dxa"/>
            <w:vAlign w:val="bottom"/>
          </w:tcPr>
          <w:p>
            <w:pPr>
              <w:jc w:val="right"/>
              <w:spacing w:after="0"/>
              <w:rPr>
                <w:sz w:val="20"/>
                <w:szCs w:val="20"/>
                <w:color w:val="auto"/>
              </w:rPr>
            </w:pPr>
            <w:r>
              <w:rPr>
                <w:rFonts w:ascii="Arial" w:cs="Arial" w:eastAsia="Arial" w:hAnsi="Arial"/>
                <w:sz w:val="16"/>
                <w:szCs w:val="16"/>
                <w:color w:val="auto"/>
              </w:rPr>
              <w:t>49.95%</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Pacific Gas and Electric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Avra Valley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Tucson Electric Power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Blythe</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Borrego</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San Diego Gas and Electric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Roadrunner</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El Paso Electric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CVSR</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Pacific Gas and Electric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Kansas South</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Pacific Gas and Electric</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2033</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TA High Desert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Desert Sunlight 250</w:t>
            </w:r>
          </w:p>
        </w:tc>
        <w:tc>
          <w:tcPr>
            <w:tcW w:w="13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Desert Sunlight 300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Pacific Gas and Electric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2040</w:t>
            </w:r>
          </w:p>
        </w:tc>
      </w:tr>
      <w:tr>
        <w:trPr>
          <w:trHeight w:val="21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Distributed Solar</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AZ DG Solar Projects</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2025 - 2033</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PFMG DG Solar Projects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1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Wind</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Alta I</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II</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Alta III</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IV</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Alta V</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Alta X </w:t>
            </w:r>
            <w:r>
              <w:rPr>
                <w:rFonts w:ascii="Arial" w:cs="Arial" w:eastAsia="Arial" w:hAnsi="Arial"/>
                <w:sz w:val="21"/>
                <w:szCs w:val="21"/>
                <w:color w:val="auto"/>
                <w:vertAlign w:val="superscript"/>
              </w:rPr>
              <w:t>(b)</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3"/>
                <w:szCs w:val="23"/>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2038</w:t>
            </w:r>
            <w:r>
              <w:rPr>
                <w:rFonts w:ascii="Arial" w:cs="Arial" w:eastAsia="Arial" w:hAnsi="Arial"/>
                <w:sz w:val="21"/>
                <w:szCs w:val="21"/>
                <w:color w:val="auto"/>
                <w:w w:val="84"/>
                <w:vertAlign w:val="superscript"/>
              </w:rPr>
              <w:t>(c)</w:t>
            </w:r>
          </w:p>
        </w:tc>
      </w:tr>
      <w:tr>
        <w:trPr>
          <w:trHeight w:val="270"/>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 xml:space="preserve">Alta XI </w:t>
            </w:r>
            <w:r>
              <w:rPr>
                <w:rFonts w:ascii="Arial" w:cs="Arial" w:eastAsia="Arial" w:hAnsi="Arial"/>
                <w:sz w:val="21"/>
                <w:szCs w:val="21"/>
                <w:color w:val="auto"/>
                <w:vertAlign w:val="superscript"/>
              </w:rPr>
              <w:t>(b)</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Southern California Edison</w:t>
            </w:r>
          </w:p>
        </w:tc>
        <w:tc>
          <w:tcPr>
            <w:tcW w:w="1240" w:type="dxa"/>
            <w:vAlign w:val="bottom"/>
          </w:tcPr>
          <w:p>
            <w:pPr>
              <w:jc w:val="center"/>
              <w:spacing w:after="0"/>
              <w:rPr>
                <w:sz w:val="20"/>
                <w:szCs w:val="20"/>
                <w:color w:val="auto"/>
              </w:rPr>
            </w:pPr>
            <w:r>
              <w:rPr>
                <w:rFonts w:ascii="Arial" w:cs="Arial" w:eastAsia="Arial" w:hAnsi="Arial"/>
                <w:sz w:val="16"/>
                <w:szCs w:val="16"/>
                <w:color w:val="auto"/>
                <w:w w:val="84"/>
              </w:rPr>
              <w:t>2038</w:t>
            </w:r>
            <w:r>
              <w:rPr>
                <w:rFonts w:ascii="Arial" w:cs="Arial" w:eastAsia="Arial" w:hAnsi="Arial"/>
                <w:sz w:val="21"/>
                <w:szCs w:val="21"/>
                <w:color w:val="auto"/>
                <w:w w:val="84"/>
                <w:vertAlign w:val="superscript"/>
              </w:rPr>
              <w:t>(c)</w:t>
            </w: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South Trent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AEP Energy Partners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2029</w:t>
            </w: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Laredo Ridge</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Nebraska Public Power District</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Taloga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Oklahoma Gas &amp; Electric</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r>
      <w:tr>
        <w:trPr>
          <w:trHeight w:val="220"/>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Maryland Department of General Services</w:t>
            </w:r>
          </w:p>
        </w:tc>
        <w:tc>
          <w:tcPr>
            <w:tcW w:w="1240" w:type="dxa"/>
            <w:vAlign w:val="bottom"/>
          </w:tcPr>
          <w:p>
            <w:pPr>
              <w:spacing w:after="0"/>
              <w:rPr>
                <w:sz w:val="19"/>
                <w:szCs w:val="19"/>
                <w:color w:val="auto"/>
              </w:rPr>
            </w:pPr>
          </w:p>
        </w:tc>
      </w:tr>
      <w:tr>
        <w:trPr>
          <w:trHeight w:val="206"/>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Pinnacle</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and University System of Maryland</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Buffalo Bear</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Western Farmers Electric Co-operative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70"/>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 xml:space="preserve">Spring Canyon II </w:t>
            </w:r>
            <w:r>
              <w:rPr>
                <w:rFonts w:ascii="Arial" w:cs="Arial" w:eastAsia="Arial" w:hAnsi="Arial"/>
                <w:sz w:val="21"/>
                <w:szCs w:val="21"/>
                <w:color w:val="auto"/>
                <w:vertAlign w:val="superscript"/>
              </w:rPr>
              <w:t>(b)</w:t>
            </w:r>
          </w:p>
        </w:tc>
        <w:tc>
          <w:tcPr>
            <w:tcW w:w="130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Platte River Power Authority</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2038</w:t>
            </w:r>
          </w:p>
        </w:tc>
      </w:tr>
      <w:tr>
        <w:trPr>
          <w:trHeight w:val="270"/>
        </w:trPr>
        <w:tc>
          <w:tcPr>
            <w:tcW w:w="4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Spring Canyon III </w:t>
            </w:r>
            <w:r>
              <w:rPr>
                <w:rFonts w:ascii="Arial" w:cs="Arial" w:eastAsia="Arial" w:hAnsi="Arial"/>
                <w:sz w:val="21"/>
                <w:szCs w:val="21"/>
                <w:color w:val="auto"/>
                <w:vertAlign w:val="superscript"/>
              </w:rPr>
              <w:t>(b)</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30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Platte River Power Authority</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2039</w:t>
            </w:r>
          </w:p>
        </w:tc>
      </w:tr>
      <w:tr>
        <w:trPr>
          <w:trHeight w:val="21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Thermal</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70"/>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Thermal equivalent MWt</w:t>
            </w:r>
            <w:r>
              <w:rPr>
                <w:rFonts w:ascii="Arial" w:cs="Arial" w:eastAsia="Arial" w:hAnsi="Arial"/>
                <w:sz w:val="21"/>
                <w:szCs w:val="21"/>
                <w:color w:val="auto"/>
                <w:vertAlign w:val="superscript"/>
              </w:rPr>
              <w:t>(d)</w:t>
            </w: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1,310</w:t>
            </w:r>
          </w:p>
        </w:tc>
        <w:tc>
          <w:tcPr>
            <w:tcW w:w="120" w:type="dxa"/>
            <w:vAlign w:val="bottom"/>
          </w:tcPr>
          <w:p>
            <w:pPr>
              <w:spacing w:after="0"/>
              <w:rPr>
                <w:sz w:val="23"/>
                <w:szCs w:val="23"/>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Various</w:t>
            </w: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Thermal generation</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Various</w:t>
            </w:r>
          </w:p>
        </w:tc>
      </w:tr>
      <w:tr>
        <w:trPr>
          <w:trHeight w:val="122"/>
        </w:trPr>
        <w:tc>
          <w:tcPr>
            <w:tcW w:w="4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44"/>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Total net capacity (excluding equivalent MWt)</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3,949</w:t>
            </w:r>
          </w:p>
        </w:tc>
        <w:tc>
          <w:tcPr>
            <w:tcW w:w="1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June 30, 2015.</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Projects are part of tax equity arrangements, as further described in Note 2, </w:t>
      </w:r>
      <w:r>
        <w:rPr>
          <w:rFonts w:ascii="Arial" w:cs="Arial" w:eastAsia="Arial" w:hAnsi="Arial"/>
          <w:sz w:val="14"/>
          <w:szCs w:val="14"/>
          <w:i w:val="1"/>
          <w:iCs w:val="1"/>
          <w:color w:val="auto"/>
        </w:rPr>
        <w:t>Summary of Significant Accounting Policies.</w:t>
      </w:r>
    </w:p>
    <w:p>
      <w:pPr>
        <w:spacing w:after="0" w:line="9" w:lineRule="exact"/>
        <w:rPr>
          <w:rFonts w:ascii="Arial" w:cs="Arial" w:eastAsia="Arial" w:hAnsi="Arial"/>
          <w:sz w:val="14"/>
          <w:szCs w:val="14"/>
          <w:color w:val="auto"/>
        </w:rPr>
      </w:pPr>
    </w:p>
    <w:p>
      <w:pPr>
        <w:ind w:left="200" w:hanging="192"/>
        <w:spacing w:after="0"/>
        <w:tabs>
          <w:tab w:leader="none" w:pos="2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PPA begins on January 1, 2016.</w:t>
      </w:r>
    </w:p>
    <w:p>
      <w:pPr>
        <w:spacing w:after="0" w:line="14" w:lineRule="exact"/>
        <w:rPr>
          <w:rFonts w:ascii="Arial" w:cs="Arial" w:eastAsia="Arial" w:hAnsi="Arial"/>
          <w:sz w:val="14"/>
          <w:szCs w:val="14"/>
          <w:color w:val="auto"/>
        </w:rPr>
      </w:pPr>
    </w:p>
    <w:p>
      <w:pPr>
        <w:ind w:firstLine="8"/>
        <w:spacing w:after="0" w:line="263" w:lineRule="auto"/>
        <w:tabs>
          <w:tab w:leader="none" w:pos="217"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thermal energy, net capacity represents MWt for steam or chilled water and excludes 134 MWt available under the right-to-use provisions contained in agreements between two of the Company's thermal facilities and certain of its customers.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545" w:gutter="0" w:footer="0" w:header="0"/>
        </w:sectPr>
      </w:pPr>
    </w:p>
    <w:bookmarkStart w:id="12" w:name="page13"/>
    <w:bookmarkEnd w:id="12"/>
    <w:p>
      <w:pPr>
        <w:jc w:val="both"/>
        <w:ind w:firstLine="405"/>
        <w:spacing w:after="0" w:line="259" w:lineRule="auto"/>
        <w:rPr>
          <w:sz w:val="20"/>
          <w:szCs w:val="20"/>
          <w:color w:val="auto"/>
        </w:rPr>
      </w:pPr>
      <w:r>
        <w:rPr>
          <w:rFonts w:ascii="Arial" w:cs="Arial" w:eastAsia="Arial" w:hAnsi="Arial"/>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of the district energy systems are subject to rate regulation by state public utility commissions while the other district energy systems have rates determined by negotiated bilateral contracts.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initial public offering of Yield, Inc. in 2013, the Company entered into a management services agreement with NRG for various services, including human resources, accounting, tax, legal, information systems, treasury, and risk management. Costs incurred by the Company under this agreement were $6 million and $4 million for the six months ended June 30, 2015, and 2014, respectively, which included certain direct expenses incurred by NRG on behalf of the Company.</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January 2, 2015, the Company acquired the Laredo Ridge, Tapestry, and Walnut Creek projects, or the January 2015 Drop Down Assets, for total cash consideration of $489 million, including $9 million for working capital, plus assumed debt of $737 million. Additionally, on June 30, 2014, the Company acquired the TA High Desert, Kansas South, and El Segundo projects, or the June 2014 Drop Down Assets, from NRG for total cash consideration of $357 million plus assumed project level debt. These acquisitions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 as if it had taken place from the beginning of the financial statements period, or from the date the entities were under common control, which was April 1, 2014, for the January 2015 Drop Down Assets, which represents the date these entities were acquired by NRG.</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the SEC’s regulations for interim financial information. Accordingly, they do not include all of the information and notes required by U.S. GAAP for complete financial statements. The following notes should be read in conjunction with the accounting policies and other disclosures as set forth in the notes to the Company's annual financial statements for the year ended December 31, 2014, included in the Company's Prospectus dated June 22, 2015. Interim results are not necessarily indicative of results for a full year.</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June 30, 2015, and the results of operations, comprehensive income and cash flows for the six months ended June 30, 2015, and 2014.</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These estimates and assumptions impact the reported amount of assets and liabilities and disclosures of contingent assets and liabilities as of the date of the consolidated financial statements. They also impact the reported amount of net earnings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Certain portions of the Company’s noncontrolling interest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solar energy systems under operating leases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book value, or HLBV, method. Under the HLBV method, the amounts reported as noncontrolling interests and investment in unconsolidated affiliates represent the amounts the investors that are party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1"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between the structures and the funds’ investors. The calculations utilized to apply the HLBV method include estimated calculations of taxable income or losses for each reporting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(In millions)</w:t>
            </w:r>
          </w:p>
        </w:tc>
      </w:tr>
      <w:tr>
        <w:trPr>
          <w:trHeight w:val="217"/>
        </w:trPr>
        <w:tc>
          <w:tcPr>
            <w:tcW w:w="9820" w:type="dxa"/>
            <w:vAlign w:val="bottom"/>
          </w:tcPr>
          <w:p>
            <w:pPr>
              <w:ind w:left="40"/>
              <w:spacing w:after="0"/>
              <w:rPr>
                <w:sz w:val="20"/>
                <w:szCs w:val="20"/>
                <w:color w:val="auto"/>
              </w:rPr>
            </w:pPr>
            <w:r>
              <w:rPr>
                <w:rFonts w:ascii="Arial" w:cs="Arial" w:eastAsia="Arial" w:hAnsi="Arial"/>
                <w:sz w:val="16"/>
                <w:szCs w:val="16"/>
                <w:color w:val="auto"/>
              </w:rPr>
              <w:t>Balance as of December 31, 2014</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Contributions from noncontrolling interest for Alta Wind X-X1 TE Holdco</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24"/>
        </w:trPr>
        <w:tc>
          <w:tcPr>
            <w:tcW w:w="9820" w:type="dxa"/>
            <w:vAlign w:val="bottom"/>
          </w:tcPr>
          <w:p>
            <w:pPr>
              <w:ind w:left="280"/>
              <w:spacing w:after="0"/>
              <w:rPr>
                <w:sz w:val="20"/>
                <w:szCs w:val="20"/>
                <w:color w:val="auto"/>
              </w:rPr>
            </w:pPr>
            <w:r>
              <w:rPr>
                <w:rFonts w:ascii="Arial" w:cs="Arial" w:eastAsia="Arial" w:hAnsi="Arial"/>
                <w:sz w:val="16"/>
                <w:szCs w:val="16"/>
                <w:color w:val="auto"/>
              </w:rPr>
              <w:t>Noncontrolling interest acquired in Spring Canyon acquisition</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Comprehensive income</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44"/>
        </w:trPr>
        <w:tc>
          <w:tcPr>
            <w:tcW w:w="9820" w:type="dxa"/>
            <w:vAlign w:val="bottom"/>
          </w:tcPr>
          <w:p>
            <w:pPr>
              <w:ind w:left="40"/>
              <w:spacing w:after="0"/>
              <w:rPr>
                <w:sz w:val="20"/>
                <w:szCs w:val="20"/>
                <w:color w:val="auto"/>
              </w:rPr>
            </w:pPr>
            <w:r>
              <w:rPr>
                <w:rFonts w:ascii="Arial" w:cs="Arial" w:eastAsia="Arial" w:hAnsi="Arial"/>
                <w:sz w:val="16"/>
                <w:szCs w:val="16"/>
                <w:color w:val="auto"/>
              </w:rPr>
              <w:t>Balance as of June 30, 2015</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30, 2015, Yield Operating LLC sold an economic interest in Alta TE Holdco, holder of the Alta Wind X and Alta Wind XI projects, to a financial institution in order to monetize cash and tax attributes, primarily production tax credits. The net proceeds of $119 million are reflected as noncontrolling interest in the Company's balance sheet.</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acquired Spring Canyon on May 7, 2015. The Company owns 90.1% of the Class B shares of Spring Canyon. The seller, Invenergy, owns the remaining 9.9% of the Class B shares and the Class A shares are owned by a tax equity investor. The interests of Invenergy and the tax equity investor of $74 million are shown as noncontrolling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August 4, 2015, NRG Yield LLC announced the declaration of a distribution on its Class A, Class B, Class C and Class D units of $0.21 per unit payable on September 15, 2015 to unit holders of record as of September 1, 2015.</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May 20, 2015, the Company declared a distribution on its Class A, Class B, Class C and Class D units of $0.20 per unit, which was paid on June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57" w:lineRule="exact"/>
        <w:rPr>
          <w:sz w:val="20"/>
          <w:szCs w:val="20"/>
          <w:color w:val="auto"/>
        </w:rPr>
      </w:pPr>
    </w:p>
    <w:p>
      <w:pPr>
        <w:ind w:right="440" w:firstLine="405"/>
        <w:spacing w:after="0" w:line="438" w:lineRule="auto"/>
        <w:rPr>
          <w:sz w:val="20"/>
          <w:szCs w:val="20"/>
          <w:color w:val="auto"/>
        </w:rPr>
      </w:pPr>
      <w:r>
        <w:rPr>
          <w:rFonts w:ascii="Arial" w:cs="Arial" w:eastAsia="Arial" w:hAnsi="Arial"/>
          <w:sz w:val="18"/>
          <w:szCs w:val="18"/>
          <w:color w:val="auto"/>
        </w:rPr>
        <w:t xml:space="preserve">On February 17, 2015, the Company declared a distribution on its Class A and Class B units of $0.39 per unit, which was paid on March 16, 2015.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i w:val="1"/>
          <w:iCs w:val="1"/>
          <w:color w:val="auto"/>
        </w:rPr>
        <w:t xml:space="preserve">ASU 2015-03 </w:t>
      </w:r>
      <w:r>
        <w:rPr>
          <w:rFonts w:ascii="Arial" w:cs="Arial" w:eastAsia="Arial" w:hAnsi="Arial"/>
          <w:sz w:val="16"/>
          <w:szCs w:val="16"/>
          <w:color w:val="auto"/>
        </w:rPr>
        <w:t>— In April 2015, the FASB issued ASU No. 2015-03,</w:t>
      </w:r>
      <w:r>
        <w:rPr>
          <w:rFonts w:ascii="Arial" w:cs="Arial" w:eastAsia="Arial" w:hAnsi="Arial"/>
          <w:sz w:val="16"/>
          <w:szCs w:val="16"/>
          <w:i w:val="1"/>
          <w:iCs w:val="1"/>
          <w:color w:val="auto"/>
        </w:rPr>
        <w:t xml:space="preserve"> Interest - Imputation of Interest (Subtopic 835-30): Simplifying the Presentation of Debt Issuance Costs</w:t>
      </w:r>
      <w:r>
        <w:rPr>
          <w:rFonts w:ascii="Arial" w:cs="Arial" w:eastAsia="Arial" w:hAnsi="Arial"/>
          <w:sz w:val="16"/>
          <w:szCs w:val="16"/>
          <w:color w:val="auto"/>
        </w:rPr>
        <w:t>, or ASU No. 2015-03. The amendments of ASU No. 2015-03 were issued to reduce complexity in the balance sheet presentation of debt</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costs. ASU No. 2015-03 requires that debt issuance costs be presented in the balance sheet as a direct deduction from the carrying amount of debt liability, consistent with debt discounts or premiums. The recognition and measurement guidance for debt issuance costs are not affected by the amendments in this standard. The guidance in ASU No. 2015-03 is effective for financial statements issued for fiscal years beginning after December 15, 2015, and interim periods within those fiscal years. Early adoption is permitted for financial statements that have not been previously issued. Had the Company adopted this guidance early, other assets would have been lower by $55 million and $61 million with corresponding decreases in debt as of June 30, 2015, and December 31, 2014, respectively. The adoption of this standard will have no impact on the Company's results of operations, cash flows or net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6" w:right="239" w:bottom="1440" w:gutter="0" w:footer="0" w:header="0"/>
        </w:sectPr>
      </w:pPr>
    </w:p>
    <w:bookmarkStart w:id="14" w:name="page15"/>
    <w:bookmarkEnd w:id="14"/>
    <w:p>
      <w:pPr>
        <w:spacing w:after="0" w:line="6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2015-02 </w:t>
      </w:r>
      <w:r>
        <w:rPr>
          <w:rFonts w:ascii="Arial" w:cs="Arial" w:eastAsia="Arial" w:hAnsi="Arial"/>
          <w:sz w:val="18"/>
          <w:szCs w:val="18"/>
          <w:color w:val="auto"/>
        </w:rPr>
        <w:t>— In February 2015, the FASB issued ASU No. 2015-02,</w:t>
      </w:r>
      <w:r>
        <w:rPr>
          <w:rFonts w:ascii="Arial" w:cs="Arial" w:eastAsia="Arial" w:hAnsi="Arial"/>
          <w:sz w:val="18"/>
          <w:szCs w:val="18"/>
          <w:i w:val="1"/>
          <w:iCs w:val="1"/>
          <w:color w:val="auto"/>
        </w:rPr>
        <w:t xml:space="preserve"> Consolidation (Topic 810): Amendments to the Consolidation Analysis</w:t>
      </w:r>
      <w:r>
        <w:rPr>
          <w:rFonts w:ascii="Arial" w:cs="Arial" w:eastAsia="Arial" w:hAnsi="Arial"/>
          <w:sz w:val="18"/>
          <w:szCs w:val="18"/>
          <w:color w:val="auto"/>
        </w:rPr>
        <w:t>, or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2015-02. The amendments of ASU No. 2015-02 were issued in an effort to minimize situations under previously existing guidance in which a reporting entity was required to consolidate another legal entity in which that reporting entity did not have: (1) the ability through contractual rights to act primarily on its own behalf; (2) ownership of the majority of the legal entity's voting rights; or (3) the exposure to a majority of the legal entity's economic benefits. ASU No. 2015-02 affects reporting entities that are required to evaluate whether they should consolidate certain legal entities. All legal entities are subject to reevaluation under the revised consolidation model. The guidance in ASU No. 2015-02 is effective for periods beginning after December 15, 2015. Early adoption is permitted. The Company adopted the standard effective January 1, 2015 and the adoption of this standard did not impact the Company's results of operations, cash flows or financial position.</w:t>
      </w:r>
    </w:p>
    <w:p>
      <w:pPr>
        <w:spacing w:after="0" w:line="13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i w:val="1"/>
          <w:iCs w:val="1"/>
          <w:color w:val="auto"/>
        </w:rPr>
        <w:t xml:space="preserve">ASU 2014-16 </w:t>
      </w:r>
      <w:r>
        <w:rPr>
          <w:rFonts w:ascii="Arial" w:cs="Arial" w:eastAsia="Arial" w:hAnsi="Arial"/>
          <w:sz w:val="18"/>
          <w:szCs w:val="18"/>
          <w:color w:val="auto"/>
        </w:rPr>
        <w:t>— In November 2014, the FASB issued ASU No. 2014-16,</w:t>
      </w:r>
      <w:r>
        <w:rPr>
          <w:rFonts w:ascii="Arial" w:cs="Arial" w:eastAsia="Arial" w:hAnsi="Arial"/>
          <w:sz w:val="18"/>
          <w:szCs w:val="18"/>
          <w:i w:val="1"/>
          <w:iCs w:val="1"/>
          <w:color w:val="auto"/>
        </w:rPr>
        <w:t xml:space="preserve"> Derivatives and Hedging (Topic 815): Determining Whether the Host Contract in a Hybrid Financial Instrument Issued in the Form of a Share Is More Akin to Debt or to Equity</w:t>
      </w:r>
      <w:r>
        <w:rPr>
          <w:rFonts w:ascii="Arial" w:cs="Arial" w:eastAsia="Arial" w:hAnsi="Arial"/>
          <w:sz w:val="18"/>
          <w:szCs w:val="18"/>
          <w:color w:val="auto"/>
        </w:rPr>
        <w:t>, or ASU No. 2014-16. The amendments of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2014-16 clarify how U.S. GAAP should be applied in determining whether the nature of a host contract is more akin to debt or equity and in evaluating whether the economic characteristics and risks of an embedded feature are "clearly and closely related" to its host contract. The guidance in ASU No. 2014-16 is effective for fiscal years, and interim periods within those fiscal years, beginning after December 15, 2015. Early adoption is permitted. The Company adopted the standard effective January 1, 2015 and the adoption of this standard did not impact the Company's results of operations, cash flows or financial position.</w:t>
      </w:r>
    </w:p>
    <w:p>
      <w:pPr>
        <w:spacing w:after="0" w:line="189"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w:t>
      </w:r>
      <w:r>
        <w:rPr>
          <w:rFonts w:ascii="Arial" w:cs="Arial" w:eastAsia="Arial" w:hAnsi="Arial"/>
          <w:sz w:val="17"/>
          <w:szCs w:val="17"/>
          <w:i w:val="1"/>
          <w:iCs w:val="1"/>
          <w:color w:val="auto"/>
        </w:rPr>
        <w:t xml:space="preserve"> Revenue from Contracts with Customers (Topic 606)</w:t>
      </w:r>
      <w:r>
        <w:rPr>
          <w:rFonts w:ascii="Arial" w:cs="Arial" w:eastAsia="Arial" w:hAnsi="Arial"/>
          <w:sz w:val="17"/>
          <w:szCs w:val="17"/>
          <w:color w:val="auto"/>
        </w:rPr>
        <w:t>, or ASU No. 2014-09.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of ASU No. 2014-09 complete the joint effort between the FASB and the International Accounting Standards Board, or IASB, to develop a common revenue standard for U.S. GAAP and International Financial Reporting Standards, or IFRS, and to improve financial reporting. The guidance in ASU No. 2014-09 provides that an entity should recognize revenue to depict the transfer of goods or services to customers in an amount that reflects the consideration to which the entity expects to be entitled to in exchange for the goods or services provided and establishes the following steps to be applied by an entity: (1) identify the contract with a customer; (2) identify the performance obligations in the contract; (3) determine the transaction price; (4) allocate the transaction price to the performance obligations in the contract; and (5) recognize revenue when (or as) the entity satisfies the performance obligation. On July 9, 2015, the FASB voted to defer the effective date by one year to make the guidance of ASU No. 2014-09 effective for annual reporting periods beginning after December 15, 2017, including interim periods therein. Early adoption is permitted, but not prior to the original effective date, which was for annual reporting periods beginning after December 15, 2016. The Company is currently evaluating the impact of the standard on the Company's results of operations, cash flows and financial position.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221"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29, 2015, the Company acquired 25% of the membership interest in Desert Sunlight Investment Holdings,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two solar photovoltaic facilities that 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18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Spring Canyon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7, 2015, the Company acquired a 90.1% interest in Spring Canyon II, a 34 MW wind facility, and Spring Canyon III, a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each located in Logan County, Colorado, from Invenergy Wind Global LLC. The purchase price was funded with cash on hand. Power generated by Spring Canyon II and Spring Canyon III is sold to Platte River Power Authority under long-term PPAs with approximately 24 years of remaining contract life.</w:t>
      </w:r>
    </w:p>
    <w:p>
      <w:pPr>
        <w:spacing w:after="0" w:line="18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University of Bridgeport Fuel Cell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30, 2015, the Company completed the acquisition of the University of Bridgeport Fuel Cell project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Bridgeport, Connecticut from FuelCell Energy, Inc. The project added an additional 1.4 MW of thermal capacity to the Company's portfolio, with a 12 year contract, with the option for a 7-year extension. The acquisition is reflected in the Company's Thermal segment.</w:t>
      </w:r>
    </w:p>
    <w:p>
      <w:pPr>
        <w:spacing w:after="0" w:line="17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b w:val="1"/>
          <w:bCs w:val="1"/>
          <w:i w:val="1"/>
          <w:iCs w:val="1"/>
          <w:color w:val="auto"/>
        </w:rPr>
        <w:t xml:space="preserve">January 2015 Drop Down Assets from NRG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2, 2015, the Company acquired the following projects from NRG: (i) Laredo Ridge, an 80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MW wind facility located in Petersburg, Nebraska, (ii) Tapestry, which includes Buffalo Bear, a 19 MW wind facility in Buffalo, Oklahoma; Taloga, a 130 MW wind facility in Putnum,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 Related Issues</w:t>
      </w:r>
      <w:r>
        <w:rPr>
          <w:rFonts w:ascii="Arial" w:cs="Arial" w:eastAsia="Arial" w:hAnsi="Arial"/>
          <w:sz w:val="16"/>
          <w:szCs w:val="16"/>
          <w:color w:val="auto"/>
        </w:rPr>
        <w:t>. The difference between the cash paid and the historical value of the entities' equity of $61 million, as well as $23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AOCL, was recorded as a distribution to NRG and reduced contributed capital. Since the transaction constituted a transfer of assets under common control, the guidance requires retrospective combination of the entities for all periods presented as if the combination has been in effect since the inception of common control. NRG acquired the majority of EME's assets, including Laredo Ridge, Tapestry and Walnut Creek, on April 1, 2014.</w:t>
      </w:r>
    </w:p>
    <w:p>
      <w:pPr>
        <w:spacing w:after="0" w:line="165"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The following table presents the historical information summary combining the financial information for the January 2015 Drop Down Assets transferred in connection with the acquisition:</w:t>
      </w:r>
    </w:p>
    <w:p>
      <w:pPr>
        <w:spacing w:after="0" w:line="347"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6"/>
          </w:tcPr>
          <w:p>
            <w:pPr>
              <w:ind w:left="740"/>
              <w:spacing w:after="0"/>
              <w:rPr>
                <w:sz w:val="20"/>
                <w:szCs w:val="20"/>
                <w:color w:val="auto"/>
              </w:rPr>
            </w:pPr>
            <w:r>
              <w:rPr>
                <w:rFonts w:ascii="Arial" w:cs="Arial" w:eastAsia="Arial" w:hAnsi="Arial"/>
                <w:sz w:val="16"/>
                <w:szCs w:val="16"/>
                <w:b w:val="1"/>
                <w:bCs w:val="1"/>
                <w:color w:val="auto"/>
                <w:w w:val="88"/>
              </w:rPr>
              <w:t>December 31, 2014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52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As Previously</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Walnut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Laredo</w:t>
            </w: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As Currently</w:t>
            </w:r>
          </w:p>
        </w:tc>
      </w:t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Reported</w:t>
            </w: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Creek</w:t>
            </w:r>
          </w:p>
        </w:tc>
        <w:tc>
          <w:tcPr>
            <w:tcW w:w="14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Tapestry</w:t>
            </w:r>
          </w:p>
        </w:tc>
        <w:tc>
          <w:tcPr>
            <w:tcW w:w="16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Ridge</w:t>
            </w:r>
          </w:p>
        </w:tc>
        <w:tc>
          <w:tcPr>
            <w:tcW w:w="1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Reported</w:t>
            </w: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(In millions)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37"/>
        </w:trPr>
        <w:tc>
          <w:tcPr>
            <w:tcW w:w="35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4,466</w:t>
            </w:r>
          </w:p>
        </w:tc>
      </w:tr>
      <w:tr>
        <w:trPr>
          <w:trHeight w:val="33"/>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1,770</w:t>
            </w:r>
          </w:p>
        </w:tc>
      </w:tr>
      <w:tr>
        <w:trPr>
          <w:trHeight w:val="217"/>
        </w:trPr>
        <w:tc>
          <w:tcPr>
            <w:tcW w:w="35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6,826</w:t>
            </w: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6"/>
        </w:trPr>
        <w:tc>
          <w:tcPr>
            <w:tcW w:w="3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11"/>
        </w:trPr>
        <w:tc>
          <w:tcPr>
            <w:tcW w:w="3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706" w:right="239" w:bottom="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929640</wp:posOffset>
            </wp:positionH>
            <wp:positionV relativeFrom="page">
              <wp:posOffset>88900</wp:posOffset>
            </wp:positionV>
            <wp:extent cx="5702935" cy="774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2935" cy="7747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06"/>
        </w:trPr>
        <w:tc>
          <w:tcPr>
            <w:tcW w:w="3520" w:type="dxa"/>
            <w:vAlign w:val="bottom"/>
          </w:tcPr>
          <w:p>
            <w:pPr>
              <w:ind w:left="40"/>
              <w:spacing w:after="0"/>
              <w:rPr>
                <w:sz w:val="20"/>
                <w:szCs w:val="20"/>
                <w:color w:val="auto"/>
              </w:rPr>
            </w:pPr>
            <w:r>
              <w:rPr>
                <w:rFonts w:ascii="Arial" w:cs="Arial" w:eastAsia="Arial" w:hAnsi="Arial"/>
                <w:sz w:val="16"/>
                <w:szCs w:val="16"/>
                <w:color w:val="auto"/>
              </w:rPr>
              <w:t>Debt</w:t>
            </w:r>
          </w:p>
        </w:tc>
        <w:tc>
          <w:tcPr>
            <w:tcW w:w="3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4,798</w:t>
            </w:r>
          </w:p>
        </w:tc>
      </w:tr>
      <w:tr>
        <w:trPr>
          <w:trHeight w:val="33"/>
        </w:trPr>
        <w:tc>
          <w:tcPr>
            <w:tcW w:w="3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7"/>
        </w:trPr>
        <w:tc>
          <w:tcPr>
            <w:tcW w:w="35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3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4,282</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5,090</w:t>
            </w:r>
          </w:p>
        </w:tc>
      </w:tr>
      <w:tr>
        <w:trPr>
          <w:trHeight w:val="33"/>
        </w:trPr>
        <w:tc>
          <w:tcPr>
            <w:tcW w:w="3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r>
      <w:tr>
        <w:trPr>
          <w:trHeight w:val="20"/>
        </w:trPr>
        <w:tc>
          <w:tcPr>
            <w:tcW w:w="3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292" w:right="1440"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b w:val="1"/>
          <w:bCs w:val="1"/>
          <w:color w:val="auto"/>
        </w:rPr>
        <w:t>Supplemental Pro Forma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described above, the Company's acquisition of the January 2015 Drop Down Assets was accounted for as a transfer of entities under common control and all periods were retrospectively adjusted to reflect the entities as if they were transferred on the date the entities were under common control, which was April 1, 2014, the date NRG acquired Walnut Creek, Laredo Ridge and Tapestry. The following unaudited supplemental pro forma information represents the results of operations as if the Company had acquired the January 2015 Drop Down Assets on January 1, 2014, including the impact of acquisition accounting with respect to NRG's acquisition of the projects.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For the six months ended</w:t>
            </w:r>
          </w:p>
        </w:tc>
      </w:tr>
      <w:tr>
        <w:trPr>
          <w:trHeight w:val="264"/>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June 30, 2014</w:t>
            </w:r>
          </w:p>
        </w:tc>
      </w:tr>
      <w:tr>
        <w:trPr>
          <w:trHeight w:val="135"/>
        </w:trPr>
        <w:tc>
          <w:tcPr>
            <w:tcW w:w="5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Since the acquisition date, the January 2015 Drop Down Assets contributed $73 million in operating revenues and $23 million in net income.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2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i w:val="1"/>
          <w:iCs w:val="1"/>
          <w:color w:val="auto"/>
        </w:rPr>
        <w:t xml:space="preserve">Alta Wind Portfolio Acquisition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August 12, 2014, the Company acquired 100% of the membership interests of Alta Wind Asset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Holdings, LLC, Alta Wind Company, LLC, Alta Wind X Holding Company, LLC and Alta Wind XI Holding Company, LLC, which collectively own seven wind facilities that total 947 MW located in Tehachapi, California and a portfolio of associated land leases, or the Alta Wind Portfolio. Power generated by the Alta Wind Portfolio is sold to Southern California Edison under long-term PPAs, with 21 years of remaining contract life for Alta Wind I-V. The Alta X and XI PPAs begin in 2016 with a term of 22 years and currently sell energy and renewable energy credits on a merchant basis.</w:t>
      </w:r>
    </w:p>
    <w:p>
      <w:pPr>
        <w:spacing w:after="0" w:line="11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for the Alta Wind Portfolio was $923 million, which consisted of a base purchase price of $870 million, as well as a payment for working capital of $53 million, plus the assumption of $1.6 billion of non-recourse project-level debt. In order to fund the purchase price, Yield, Inc. completed an equity offering of 12,075,000 shares of its Class A common stock at an offering price of $54.00 per share on July 29, 2014, which resulted in net proceeds of $630 million, after underwriting discounts and expenses. In addition, on August 5, 2014, Yield Operating LLC issued $500 million of Senior Notes, which bear interest at a rate of 5.375% and mature in August 2024.</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acquisition was recorded as a business combination under ASC 805, with identifiable assets acquired and liabilities assumed provisionally recorded at their estimated fair values on the acquisition date. The initial accounting for the business combination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up to one year from the date of the acquisition as more information is obtained about the fair value of assets acquired and liabilities assumed. The following table summarizes the provisional amounts recognized for assets acquired and liabilities assumed as of December 31, 2014, as well as adjustments made through June 30, 2015.</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2" w:right="2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The purchase price of $923 million was provisionally allocated as follows:</w:t>
      </w:r>
    </w:p>
    <w:p>
      <w:pPr>
        <w:spacing w:after="0" w:line="31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Acquisition Date Fair</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Measurement period</w:t>
            </w:r>
          </w:p>
        </w:tc>
        <w:tc>
          <w:tcPr>
            <w:tcW w:w="120" w:type="dxa"/>
            <w:vAlign w:val="bottom"/>
          </w:tcPr>
          <w:p>
            <w:pPr>
              <w:spacing w:after="0"/>
              <w:rPr>
                <w:sz w:val="14"/>
                <w:szCs w:val="14"/>
                <w:color w:val="auto"/>
              </w:rPr>
            </w:pPr>
          </w:p>
        </w:tc>
        <w:tc>
          <w:tcPr>
            <w:tcW w:w="13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Revised Acquisition</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Value at December 31,</w:t>
            </w: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Current and non-current assets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6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and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fair values of the property, plant and equipment and intangible assets were measured primarily based on significant inputs that are not observable in the market and thus represent a Level 3 measurement as defined in ASC 820. Significant inputs were as follows:</w:t>
      </w:r>
    </w:p>
    <w:p>
      <w:pPr>
        <w:spacing w:after="0" w:line="166" w:lineRule="exact"/>
        <w:rPr>
          <w:sz w:val="20"/>
          <w:szCs w:val="20"/>
          <w:color w:val="auto"/>
        </w:rPr>
      </w:pPr>
    </w:p>
    <w:p>
      <w:pPr>
        <w:jc w:val="both"/>
        <w:ind w:left="660" w:hanging="328"/>
        <w:spacing w:after="0" w:line="295"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Property, plant and equipment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were determined primarily based on an income method using discounted cash flows and validated</w:t>
      </w:r>
      <w:r>
        <w:rPr>
          <w:rFonts w:ascii="Arial" w:cs="Arial" w:eastAsia="Arial" w:hAnsi="Arial"/>
          <w:sz w:val="16"/>
          <w:szCs w:val="16"/>
          <w:i w:val="1"/>
          <w:iCs w:val="1"/>
          <w:color w:val="auto"/>
        </w:rPr>
        <w:t xml:space="preserve"> </w:t>
      </w:r>
      <w:r>
        <w:rPr>
          <w:rFonts w:ascii="Arial" w:cs="Arial" w:eastAsia="Arial" w:hAnsi="Arial"/>
          <w:sz w:val="16"/>
          <w:szCs w:val="16"/>
          <w:color w:val="auto"/>
        </w:rPr>
        <w:t>using a cost approach based on the replacement cost of the assets less economic obsolescence. The income approach was applied by determining the enterprise value for each acquired entity and subtracting the fair value of the intangible assets and working capital to determine the implied value of the tangible fixed assets. This methodology was primarily relied upon as the forecasted cash flows incorporate the specific attributes of each asset including age, useful life, equipment condition and technology. The income approach also allows for an accurate reflection of current and expected market dynamics such as supply and demand and regulatory environment as of the acquisition date.</w:t>
      </w:r>
    </w:p>
    <w:p>
      <w:pPr>
        <w:spacing w:after="0" w:line="155" w:lineRule="exact"/>
        <w:rPr>
          <w:rFonts w:ascii="Arial" w:cs="Arial" w:eastAsia="Arial" w:hAnsi="Arial"/>
          <w:sz w:val="16"/>
          <w:szCs w:val="16"/>
          <w:i w:val="1"/>
          <w:iCs w:val="1"/>
          <w:color w:val="auto"/>
        </w:rPr>
      </w:pPr>
    </w:p>
    <w:p>
      <w:pPr>
        <w:jc w:val="both"/>
        <w:ind w:left="660" w:hanging="328"/>
        <w:spacing w:after="0" w:line="261"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Intangible Assets - PPAs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PPAs acquired were determined utilizing a variation of the income approach where the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flows resulting from the acquired PPAs compared to the cash flows based on current market prices were discounted to present value at a weighted average cost of capital reflective of a market participant. The values were corroborated with available market data. The PPA values will be amortized over the term of the PPAs, which approximate 22 years.</w:t>
      </w:r>
    </w:p>
    <w:p>
      <w:pPr>
        <w:spacing w:after="0" w:line="180" w:lineRule="exact"/>
        <w:rPr>
          <w:rFonts w:ascii="Arial" w:cs="Arial" w:eastAsia="Arial" w:hAnsi="Arial"/>
          <w:sz w:val="18"/>
          <w:szCs w:val="18"/>
          <w:i w:val="1"/>
          <w:iCs w:val="1"/>
          <w:color w:val="auto"/>
        </w:rPr>
      </w:pPr>
    </w:p>
    <w:p>
      <w:pPr>
        <w:jc w:val="both"/>
        <w:ind w:left="660" w:hanging="328"/>
        <w:spacing w:after="0" w:line="261"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Intangible Assets - Leasehold rights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of the leasehold rights acquired, which represent the contractual right to receive royalty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a percentage of PPA revenue from certain projects, were determined utilizing the income approach. The values were corroborated with available market data. The leasehold rights values will be amortized over a period of 21 years, which is equal to the average term of the contracts.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6" w:right="239" w:bottom="1440" w:gutter="0" w:footer="0" w:header="0"/>
        </w:sectPr>
      </w:pPr>
    </w:p>
    <w:bookmarkStart w:id="18" w:name="page19"/>
    <w:bookmarkEnd w:id="18"/>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June 2014 Drop Down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June 30, 2014, Yield Operating LLC acquired from NRG: (i) El Segundo, a 550 MW fast-start, gas-fired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located in Los Angeles County, California; (ii) TA High Desert, a 20 MW solar facility located in Los Angeles County, California; and (iii) Kansas South, a 20 MW solar facility located in Kings County, California. Yield Operating LLC paid total cash consideration of $357 million, which represents a base purchase price of $349 million and $8 million of working capital adjustments. In addition, the acquisition included the assumption of $612 million of project-level debt. The assets and liabilities transferred to the Company relate to interests under common control by NRG and, were recorded at historical cost in accordance with </w:t>
      </w:r>
      <w:r>
        <w:rPr>
          <w:rFonts w:ascii="Arial" w:cs="Arial" w:eastAsia="Arial" w:hAnsi="Arial"/>
          <w:sz w:val="16"/>
          <w:szCs w:val="16"/>
          <w:i w:val="1"/>
          <w:iCs w:val="1"/>
          <w:color w:val="auto"/>
        </w:rPr>
        <w:t>ASC 805-50</w:t>
      </w:r>
      <w:r>
        <w:rPr>
          <w:rFonts w:ascii="Arial" w:cs="Arial" w:eastAsia="Arial" w:hAnsi="Arial"/>
          <w:sz w:val="16"/>
          <w:szCs w:val="16"/>
          <w:color w:val="auto"/>
        </w:rPr>
        <w:t>. The difference between the cash proceeds and the historical value of the net assets was recorded as a distribution to NRG and reduced the balance of its contributed capital. Since the transaction constituted a transfer of entities under common control, the guidance requires retrospective combination of the entities for all periods presented as if the combination has been in effect since the inception of common control. Accordingly, the Company prepared its consolidated financial statements to reflect the transfer as if it had taken place from the beginning of the financial statements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June 30, 2015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264"/>
        </w:trPr>
        <w:tc>
          <w:tcPr>
            <w:tcW w:w="49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480" w:type="dxa"/>
            <w:vAlign w:val="bottom"/>
            <w:gridSpan w:val="3"/>
          </w:tcPr>
          <w:p>
            <w:pPr>
              <w:jc w:val="right"/>
              <w:ind w:right="133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equipment</w:t>
            </w:r>
          </w:p>
        </w:tc>
        <w:tc>
          <w:tcPr>
            <w:tcW w:w="1680" w:type="dxa"/>
            <w:vAlign w:val="bottom"/>
            <w:tcBorders>
              <w:bottom w:val="single" w:sz="8" w:color="CCEEFF"/>
            </w:tcBorders>
            <w:shd w:val="clear" w:color="auto" w:fill="CCEEFF"/>
          </w:tcPr>
          <w:p>
            <w:pPr>
              <w:jc w:val="right"/>
              <w:ind w:right="14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4,709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2 - 40 Years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6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6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4,804</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1680" w:type="dxa"/>
            <w:vAlign w:val="bottom"/>
            <w:tcBorders>
              <w:top w:val="single" w:sz="8" w:color="auto"/>
              <w:bottom w:val="single" w:sz="8" w:color="auto"/>
            </w:tcBorders>
          </w:tcPr>
          <w:p>
            <w:pPr>
              <w:jc w:val="right"/>
              <w:ind w:right="14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4,466</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Variable Interest Entities, or VIEs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Entity that is Consolidated</w:t>
      </w:r>
    </w:p>
    <w:p>
      <w:pPr>
        <w:spacing w:after="0" w:line="16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b w:val="1"/>
          <w:bCs w:val="1"/>
          <w:i w:val="1"/>
          <w:iCs w:val="1"/>
          <w:color w:val="auto"/>
        </w:rPr>
        <w:t xml:space="preserve">Alta TE Holdco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30, 2015, the Company sold an economic interest in Alta TE Holdco, to a financial institution in order to monetize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and tax attributes, primarily production tax credits. The financial institution, or Investor, receives 99% of allocations of taxable income and other items until the flip point, which occurs when the Investor obtains a specified return on its initial investment, at which time the allocations to the Investor change to 5%. The Company receives 100% of cash available for distribution in the first year and subsequently receives 94.34% until the flip point, at which time the allocations to the Company of cash available for distribution change to 97.12%, except if the flip point has not occurred by a specified date, which would result in 100% of cash available for distribution allocated to the Investor until the flip point occurs. Alta TE Holdco is a VIE and the Company is the primary beneficiary, through its position as managing member, and consolidates Alta TE Holdco. The net proceeds of $119 million are reflected as noncontrolling interest in the Company's balance sheet.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2"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summarized financial information for Alta TE Holdco consisted of the following:</w:t>
      </w:r>
    </w:p>
    <w:p>
      <w:pPr>
        <w:spacing w:after="0" w:line="16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493</w:t>
            </w: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791</w:t>
            </w: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37"/>
        </w:trPr>
        <w:tc>
          <w:tcPr>
            <w:tcW w:w="772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r>
      <w:tr>
        <w:trPr>
          <w:trHeight w:val="27"/>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257"/>
        </w:trPr>
        <w:tc>
          <w:tcPr>
            <w:tcW w:w="772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653</w:t>
            </w: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Entities that are not Consolidated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has interests in entities that are considered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but is not considered the primary beneficiary. The Company accounts for its interests in these entities under the equity method of accounting.</w:t>
      </w:r>
    </w:p>
    <w:p>
      <w:pPr>
        <w:spacing w:after="0" w:line="1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NRG 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8, 2015, NRG Yield DGPV Holding LLC, a subsidiary of the Company, and NRG Renew LLC, a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 entered into a partnership by forming NRG DGPV Holdco 1 LLC, or DGPV Holdco, that will own or purchase solar power generation projects and other ancillary related assets via intermediate funds. On June 12, 2015, DGPV Holdco invested in a tax equity portfolio of distributed solar projects acquired from NRG Renew LLC. The portfolio agreed to pay NRG Renew LLC approximately $32 million for the acquired projects, of which approximately $7 million was paid in June 2015. The Company's initial investment in this portfolio was $4 million in cash and a $15 million payable into the portfolio, which it expects to pay during the third quarter of 2015. The Company's maximum exposure to loss is limited to its equity investment, which was $19 million as of June 30, 2015.</w:t>
      </w:r>
    </w:p>
    <w:p>
      <w:pPr>
        <w:spacing w:after="0" w:line="135"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i w:val="1"/>
          <w:iCs w:val="1"/>
          <w:color w:val="auto"/>
        </w:rPr>
        <w:t xml:space="preserve">NRG RPV Holdco 1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April 9, 2015, NRG Yield RPV Holding LLC, a subsidiary of the Company, and NRG Residential Solar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 subsidiary of NRG, entered into a partnership, by forming NRG RPV Holdco 1 LLC, or RPV Holdco, that will invest in and hold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and (ii) in-development, tax equity financed portfolios of approximately 13,000 leases representing approximately 90 MW, with an average lease term for the existing and new leases of approximately 17 to 20 years. The following illustrates the structure of RPV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19050</wp:posOffset>
            </wp:positionV>
            <wp:extent cx="3293110" cy="2470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9311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invested $26 million in RPV Holdco in April 2015 related to the existing, unlevered portfolio of leases. The Company also invested $14 million of its $150 million commitment in the tax equity financed portfolios through June 30, 2015. Its maximum exposure will be limited to its equity investment. RPV Holdco is considered a VIE under ASC 810, however the Company is not the primary beneficiary, and will account for its investment under the equity method. The Company's maximum exposure to loss is limited to its equity investment, which was $40 million as of June 30, 2015.</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20" w:name="page21"/>
    <w:bookmarkEnd w:id="20"/>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GenConn Energy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a 49.95% interest in GCE Holding LLC, the owner of GenConn, which owns and operates two 190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peaking generation facilities in Connecticut at the Devon and Middletown sites. Each of these facilities was constructed pursuant to a 30-year cost of service type contract with the Connecticut Light &amp; Power Company. GenConn is considered a VIE under ASC 810, however the Company is not the primary beneficiary, and accounts for its investment under the equity method.</w:t>
      </w:r>
    </w:p>
    <w:p>
      <w:pPr>
        <w:spacing w:after="0" w:line="13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project was funded through equity contributions from the owners and non-recourse, project-level debt. As of June 30, 2015, the Company's investment in GenConn was $113 million and its maximum exposure to loss is limited to its equity investment. Additionally, GenConn has a $237 million project note with an interest rate of 4.73% and a maturity date of July 2041, and a 5-year, $35 million working capital facility that matures in 2018, which can be used to issue letters of credit at an interest rate of 1.875% per annum. As of June 30, 2015, $224 million was outstanding under the note and nothing was drawn on the working capital facility. The note is secured by all of the GenConn assets.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for GCE Holding LLC:</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36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3"/>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45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w w:val="93"/>
              </w:rPr>
              <w:t>December 31, 2014</w:t>
            </w: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ind w:right="58"/>
              <w:spacing w:after="0"/>
              <w:rPr>
                <w:sz w:val="20"/>
                <w:szCs w:val="20"/>
                <w:color w:val="auto"/>
              </w:rPr>
            </w:pPr>
            <w:r>
              <w:rPr>
                <w:rFonts w:ascii="Arial" w:cs="Arial" w:eastAsia="Arial" w:hAnsi="Arial"/>
                <w:sz w:val="18"/>
                <w:szCs w:val="18"/>
                <w:color w:val="auto"/>
                <w:w w:val="99"/>
              </w:rPr>
              <w:t>424</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ind w:right="58"/>
              <w:spacing w:after="0"/>
              <w:rPr>
                <w:sz w:val="20"/>
                <w:szCs w:val="20"/>
                <w:color w:val="auto"/>
              </w:rPr>
            </w:pPr>
            <w:r>
              <w:rPr>
                <w:rFonts w:ascii="Arial" w:cs="Arial" w:eastAsia="Arial" w:hAnsi="Arial"/>
                <w:sz w:val="18"/>
                <w:szCs w:val="18"/>
                <w:color w:val="auto"/>
                <w:w w:val="99"/>
              </w:rPr>
              <w:t>219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223</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For cash and cash equivalents, restricted cash, accounts receivable, accounts payable, accounts payable </w:t>
      </w:r>
      <w:r>
        <w:rPr>
          <w:rFonts w:ascii="Arial" w:cs="Arial" w:eastAsia="Arial" w:hAnsi="Arial"/>
          <w:sz w:val="16"/>
          <w:szCs w:val="16"/>
          <w:color w:val="auto"/>
        </w:rPr>
        <w:t>— affiliate</w:t>
      </w:r>
      <w:r>
        <w:rPr>
          <w:rFonts w:ascii="Arial" w:cs="Arial" w:eastAsia="Arial" w:hAnsi="Arial"/>
          <w:sz w:val="18"/>
          <w:szCs w:val="18"/>
          <w:color w:val="auto"/>
        </w:rPr>
        <w:t>,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As of June 30, 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2014</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21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44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386</w:t>
            </w:r>
          </w:p>
        </w:tc>
      </w:tr>
      <w:tr>
        <w:trPr>
          <w:trHeight w:val="27"/>
        </w:trPr>
        <w:tc>
          <w:tcPr>
            <w:tcW w:w="6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 — external</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4,151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4,461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4,478</w:t>
            </w:r>
          </w:p>
        </w:tc>
      </w:tr>
      <w:tr>
        <w:trPr>
          <w:trHeight w:val="27"/>
        </w:trPr>
        <w:tc>
          <w:tcPr>
            <w:tcW w:w="6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notes receivable and long-term debt are based on expected future cash flows discounted at market interest rates, or current interest rates for similar instruments and are classified as Level 3 within the fair value hierarchy.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0"/>
              </w:rPr>
              <w:t>As of June 30, 2015</w:t>
            </w:r>
          </w:p>
        </w:tc>
        <w:tc>
          <w:tcPr>
            <w:tcW w:w="100" w:type="dxa"/>
            <w:vAlign w:val="bottom"/>
            <w:vMerge w:val="restart"/>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92"/>
        </w:trPr>
        <w:tc>
          <w:tcPr>
            <w:tcW w:w="7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7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0" w:type="dxa"/>
            <w:vAlign w:val="bottom"/>
          </w:tcPr>
          <w:p>
            <w:pPr>
              <w:spacing w:after="0"/>
              <w:rPr>
                <w:sz w:val="1"/>
                <w:szCs w:val="1"/>
                <w:color w:val="auto"/>
              </w:rPr>
            </w:pPr>
          </w:p>
        </w:tc>
      </w:tr>
      <w:tr>
        <w:trPr>
          <w:trHeight w:val="250"/>
        </w:trPr>
        <w:tc>
          <w:tcPr>
            <w:tcW w:w="71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Level 2</w:t>
            </w:r>
          </w:p>
        </w:tc>
        <w:tc>
          <w:tcPr>
            <w:tcW w:w="220" w:type="dxa"/>
            <w:vAlign w:val="bottom"/>
          </w:tcPr>
          <w:p>
            <w:pPr>
              <w:spacing w:after="0"/>
              <w:rPr>
                <w:sz w:val="21"/>
                <w:szCs w:val="21"/>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Level 2</w:t>
            </w:r>
          </w:p>
        </w:tc>
        <w:tc>
          <w:tcPr>
            <w:tcW w:w="0" w:type="dxa"/>
            <w:vAlign w:val="bottom"/>
          </w:tcPr>
          <w:p>
            <w:pPr>
              <w:spacing w:after="0"/>
              <w:rPr>
                <w:sz w:val="1"/>
                <w:szCs w:val="1"/>
                <w:color w:val="auto"/>
              </w:rPr>
            </w:pPr>
          </w:p>
        </w:tc>
      </w:tr>
      <w:tr>
        <w:trPr>
          <w:trHeight w:val="250"/>
        </w:trPr>
        <w:tc>
          <w:tcPr>
            <w:tcW w:w="7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718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380"/>
              <w:spacing w:after="0"/>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57"/>
        </w:trPr>
        <w:tc>
          <w:tcPr>
            <w:tcW w:w="718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There were no assets or liabilities classified as Level 1 or Level 3 as of June 30, 2015, or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 majority of 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using various valuation techniques including but not limited to internal models that apply fundamental analysis of the market and corroboration with similar markets. As of June 30, 2015, there were no contracts valued with prices provided by models and other valuation techniques.</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calculated based on credit default swaps. To the extent that the net exposure is an asset, the Company uses the counterparty’s default swap rate. If the exposure is a liability, the Company uses its default swap rate. The credit reserve is added to the discounted fair value to reflect the exit price that a market participant would be willing to receive to assume the liabilities or that a market participant would be willing to pay for the assets. As of June 30, 2015, the credit reserve resulted in a $1 million increase in fair value which is composed of a $1 million gain in OCI. It is possible that future market prices could vary from those used in recording assets and liabilities and such variations could be material.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a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June 30, 2015, credit risk exposure to these counterparties attributable to the Company's ownership interests was approximately $2.4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Company's audited consolidated financial statements included in the Company's financial statements for the year ended December 31, 2014, </w:t>
      </w:r>
      <w:r>
        <w:rPr>
          <w:rFonts w:ascii="Arial" w:cs="Arial" w:eastAsia="Arial" w:hAnsi="Arial"/>
          <w:sz w:val="18"/>
          <w:szCs w:val="18"/>
          <w:color w:val="000000"/>
        </w:rPr>
        <w:t>included in</w:t>
      </w:r>
      <w:r>
        <w:rPr>
          <w:rFonts w:ascii="Arial" w:cs="Arial" w:eastAsia="Arial" w:hAnsi="Arial"/>
          <w:sz w:val="18"/>
          <w:szCs w:val="18"/>
          <w:color w:val="231F20"/>
        </w:rPr>
        <w:t xml:space="preserve"> </w:t>
      </w:r>
      <w:r>
        <w:rPr>
          <w:rFonts w:ascii="Arial" w:cs="Arial" w:eastAsia="Arial" w:hAnsi="Arial"/>
          <w:sz w:val="18"/>
          <w:szCs w:val="18"/>
          <w:color w:val="000000"/>
        </w:rPr>
        <w:t>the Company's Prospectus dated June 22,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June 30, 2015, the Company had forward contracts with an NRG subsidiary hedging the sale of power from the Alta X and Alta XI wind facilities extending through the end of 2015 and forward contracts for the purchase of fuel commodities relating to the forecasted usage of the Company’s district energy centers extending through 2017. At June 30, 2015, these contracts were not designated as cash flow or fair value hedges.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2015, the Company had interest rate derivative instruments on non-recourse debt extending through 2031, most of which are designated as cash flow hedges.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net notional volume buy/(sell) of the Company's open derivative transactions broken out by commodity as of June 30, 2015, and December 31,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June 30, 2015</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2014</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8"/>
                <w:szCs w:val="18"/>
                <w:color w:val="auto"/>
              </w:rPr>
            </w:pPr>
          </w:p>
        </w:tc>
        <w:tc>
          <w:tcPr>
            <w:tcW w:w="34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1,841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2,817</w:t>
            </w:r>
          </w:p>
        </w:tc>
      </w:tr>
    </w:tbl>
    <w:p>
      <w:pPr>
        <w:spacing w:after="0" w:line="6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decrease in the interest rate position is primarily the result of settling the Alta X and Alta XI interest rate swaps in connection with the repayment of the outstanding project-level debt, as further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98"/>
              </w:rPr>
              <w:t>Fair Value</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Derivative Assets</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Derivative Liabilities</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2015</w:t>
            </w: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June 30, 2015</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6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6"/>
              </w:rPr>
              <w:t>(In millions)</w:t>
            </w: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3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3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9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508" w:gutter="0" w:footer="0" w:header="0"/>
        </w:sectPr>
      </w:pPr>
    </w:p>
    <w:bookmarkStart w:id="23" w:name="page24"/>
    <w:bookmarkEnd w:id="23"/>
    <w:p>
      <w:pPr>
        <w:jc w:val="both"/>
        <w:ind w:right="20" w:firstLine="405"/>
        <w:spacing w:after="0" w:line="264"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June 30, 2015, there was no outstanding collateral paid or received. The following table summarizes the offsetting of derivatives by counterparty master agreement level: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June 30, 2015</w:t>
            </w: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2014</w:t>
            </w:r>
          </w:p>
        </w:tc>
        <w:tc>
          <w:tcPr>
            <w:tcW w:w="240" w:type="dxa"/>
            <w:vAlign w:val="bottom"/>
          </w:tcPr>
          <w:p>
            <w:pPr>
              <w:spacing w:after="0"/>
              <w:rPr>
                <w:sz w:val="13"/>
                <w:szCs w:val="13"/>
                <w:color w:val="auto"/>
              </w:rPr>
            </w:pPr>
          </w:p>
        </w:tc>
        <w:tc>
          <w:tcPr>
            <w:tcW w:w="17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3"/>
                <w:szCs w:val="13"/>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3"/>
                <w:szCs w:val="13"/>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r>
      <w:tr>
        <w:trPr>
          <w:trHeight w:val="250"/>
        </w:trPr>
        <w:tc>
          <w:tcPr>
            <w:tcW w:w="5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60" w:type="dxa"/>
            <w:vAlign w:val="bottom"/>
            <w:gridSpan w:val="3"/>
          </w:tcPr>
          <w:p>
            <w:pPr>
              <w:jc w:val="right"/>
              <w:ind w:right="517"/>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620" w:type="dxa"/>
            <w:vAlign w:val="bottom"/>
          </w:tcPr>
          <w:p>
            <w:pPr>
              <w:ind w:left="200"/>
              <w:spacing w:after="0"/>
              <w:rPr>
                <w:sz w:val="20"/>
                <w:szCs w:val="20"/>
                <w:color w:val="auto"/>
              </w:rPr>
            </w:pPr>
            <w:r>
              <w:rPr>
                <w:rFonts w:ascii="Arial" w:cs="Arial" w:eastAsia="Arial" w:hAnsi="Arial"/>
                <w:sz w:val="18"/>
                <w:szCs w:val="18"/>
                <w:color w:val="auto"/>
              </w:rPr>
              <w:t>Reclassified from accumulated OCL to income due to realization of</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previously deferred amounts</w:t>
            </w:r>
          </w:p>
        </w:tc>
        <w:tc>
          <w:tcPr>
            <w:tcW w:w="94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940" w:type="dxa"/>
            <w:vAlign w:val="bottom"/>
            <w:tcBorders>
              <w:top w:val="single" w:sz="8" w:color="auto"/>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7"/>
        </w:trPr>
        <w:tc>
          <w:tcPr>
            <w:tcW w:w="5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three or six months ended June 30, 2015, and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June 30, 2015, and 2014, the impact to the consolidated statements of operations was a gain of $31 million and a loss of $3 million, respectively. For the six months ended June 30, 2015, and 2014, the impact to the consolidated statements of operations was a gain of $19 million and a loss of $6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22" w:right="239" w:bottom="1440" w:gutter="0" w:footer="0" w:header="0"/>
        </w:sectPr>
      </w:pPr>
    </w:p>
    <w:bookmarkStart w:id="24" w:name="page25"/>
    <w:bookmarkEnd w:id="24"/>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Commodity contracts also hedge the forecasted sale of power for the Alta X and Alta XI wind facilities until the start of the PPAs on January 1, 2016. The effect of these commodity hedges is recorded to operating revenues. For the three months ended June 30, 2015, and 2014, the impact to the consolidated statements of operations was an unrealized loss of $4 million and $0 million, respectively. For the six months ended June 30, 2015, and 2014, the impact to the consolidated statements of operations was an unrealized gain of $3 million and $0 million, respectively.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discussion regarding concentration of credit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9,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to the </w:t>
      </w:r>
      <w:r>
        <w:rPr>
          <w:rFonts w:ascii="Arial" w:cs="Arial" w:eastAsia="Arial" w:hAnsi="Arial"/>
          <w:sz w:val="17"/>
          <w:szCs w:val="17"/>
          <w:color w:val="231F20"/>
        </w:rPr>
        <w:t>Company's financial statements for the</w:t>
      </w:r>
      <w:r>
        <w:rPr>
          <w:rFonts w:ascii="Arial" w:cs="Arial" w:eastAsia="Arial" w:hAnsi="Arial"/>
          <w:sz w:val="17"/>
          <w:szCs w:val="17"/>
          <w:color w:val="auto"/>
        </w:rPr>
        <w:t xml:space="preserve"> </w:t>
      </w:r>
      <w:r>
        <w:rPr>
          <w:rFonts w:ascii="Arial" w:cs="Arial" w:eastAsia="Arial" w:hAnsi="Arial"/>
          <w:sz w:val="17"/>
          <w:szCs w:val="17"/>
          <w:color w:val="231F20"/>
        </w:rPr>
        <w:t xml:space="preserve">year ended December 31, 2014 included </w:t>
      </w:r>
      <w:r>
        <w:rPr>
          <w:rFonts w:ascii="Arial" w:cs="Arial" w:eastAsia="Arial" w:hAnsi="Arial"/>
          <w:sz w:val="17"/>
          <w:szCs w:val="17"/>
          <w:color w:val="000000"/>
        </w:rPr>
        <w:t>in the Company's Prospectus dated June 22, 2015. Long-term debt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14"/>
                <w:szCs w:val="14"/>
                <w:color w:val="auto"/>
              </w:rPr>
            </w:pPr>
          </w:p>
        </w:tc>
        <w:tc>
          <w:tcPr>
            <w:tcW w:w="14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5"/>
              </w:rPr>
              <w:t>December 31, 2014</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June 30, 2015, interest rate %</w:t>
            </w:r>
          </w:p>
        </w:tc>
        <w:tc>
          <w:tcPr>
            <w:tcW w:w="0" w:type="dxa"/>
            <w:vAlign w:val="bottom"/>
          </w:tcPr>
          <w:p>
            <w:pPr>
              <w:spacing w:after="0"/>
              <w:rPr>
                <w:sz w:val="1"/>
                <w:szCs w:val="1"/>
                <w:color w:val="auto"/>
              </w:rPr>
            </w:pPr>
          </w:p>
        </w:tc>
      </w:tr>
      <w:tr>
        <w:trPr>
          <w:trHeight w:val="138"/>
        </w:trPr>
        <w:tc>
          <w:tcPr>
            <w:tcW w:w="6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2040" w:type="dxa"/>
            <w:vAlign w:val="bottom"/>
            <w:tcBorders>
              <w:bottom w:val="single" w:sz="8" w:color="auto"/>
            </w:tcBorders>
          </w:tcPr>
          <w:p>
            <w:pPr>
              <w:jc w:val="right"/>
              <w:ind w:right="832"/>
              <w:spacing w:after="0"/>
              <w:rPr>
                <w:sz w:val="20"/>
                <w:szCs w:val="20"/>
                <w:color w:val="auto"/>
              </w:rPr>
            </w:pP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2"/>
          </w:tcPr>
          <w:p>
            <w:pPr>
              <w:jc w:val="right"/>
              <w:ind w:right="1792"/>
              <w:spacing w:after="0"/>
              <w:rPr>
                <w:sz w:val="20"/>
                <w:szCs w:val="20"/>
                <w:color w:val="auto"/>
              </w:rPr>
            </w:pPr>
            <w:r>
              <w:rPr>
                <w:rFonts w:ascii="Arial" w:cs="Arial" w:eastAsia="Arial" w:hAnsi="Arial"/>
                <w:sz w:val="14"/>
                <w:szCs w:val="14"/>
                <w:b w:val="1"/>
                <w:bCs w:val="1"/>
                <w:color w:val="auto"/>
                <w:w w:val="92"/>
              </w:rPr>
              <w:t>(In millions, except rates)</w:t>
            </w: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2024</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Long-term debt - affiliate, due 2019</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2040" w:type="dxa"/>
            <w:vAlign w:val="bottom"/>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 affiliate, due 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29"/>
        </w:trPr>
        <w:tc>
          <w:tcPr>
            <w:tcW w:w="6040" w:type="dxa"/>
            <w:vAlign w:val="bottom"/>
          </w:tcPr>
          <w:p>
            <w:pPr>
              <w:ind w:left="40"/>
              <w:spacing w:after="0"/>
              <w:rPr>
                <w:sz w:val="20"/>
                <w:szCs w:val="20"/>
                <w:color w:val="auto"/>
              </w:rPr>
            </w:pPr>
            <w:r>
              <w:rPr>
                <w:rFonts w:ascii="Arial" w:cs="Arial" w:eastAsia="Arial" w:hAnsi="Arial"/>
                <w:sz w:val="18"/>
                <w:szCs w:val="18"/>
                <w:color w:val="auto"/>
                <w:w w:val="98"/>
              </w:rPr>
              <w:t>NRG Yield LLC and NRG Yield Operating LLC Revolving Credit Facility, due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L+2.50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Project-level debt:</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 lease financing arrangement, due 2034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Wind II, lease financing arrangement, due 2034</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205</w:t>
            </w:r>
          </w:p>
        </w:tc>
        <w:tc>
          <w:tcPr>
            <w:tcW w:w="2040" w:type="dxa"/>
            <w:vAlign w:val="bottom"/>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III, lease financing arrangement, due 2034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Wind IV, lease financing arrangement, due 2034</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2040" w:type="dxa"/>
            <w:vAlign w:val="bottom"/>
          </w:tcPr>
          <w:p>
            <w:pPr>
              <w:jc w:val="right"/>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V, lease financing arrangement, due 2035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Wind X, due 2021</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2040" w:type="dxa"/>
            <w:vAlign w:val="bottom"/>
          </w:tcPr>
          <w:p>
            <w:pPr>
              <w:jc w:val="right"/>
              <w:spacing w:after="0"/>
              <w:rPr>
                <w:sz w:val="20"/>
                <w:szCs w:val="20"/>
                <w:color w:val="auto"/>
              </w:rPr>
            </w:pPr>
            <w:r>
              <w:rPr>
                <w:rFonts w:ascii="Arial" w:cs="Arial" w:eastAsia="Arial" w:hAnsi="Arial"/>
                <w:sz w:val="18"/>
                <w:szCs w:val="18"/>
                <w:color w:val="auto"/>
              </w:rPr>
              <w:t>L+2.00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XI, due 2021</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L+2.00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Alta Realty Investments, due 2031</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204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Asset Management, due 2031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L+2.375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West Holdings LLC, due 2023 (El Segundo Energy Center)</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2040" w:type="dxa"/>
            <w:vAlign w:val="bottom"/>
          </w:tcPr>
          <w:p>
            <w:pPr>
              <w:jc w:val="right"/>
              <w:spacing w:after="0"/>
              <w:rPr>
                <w:sz w:val="20"/>
                <w:szCs w:val="20"/>
                <w:color w:val="auto"/>
              </w:rPr>
            </w:pPr>
            <w:r>
              <w:rPr>
                <w:rFonts w:ascii="Arial" w:cs="Arial" w:eastAsia="Arial" w:hAnsi="Arial"/>
                <w:sz w:val="18"/>
                <w:szCs w:val="18"/>
                <w:color w:val="auto"/>
              </w:rPr>
              <w:t>L+1.625 - L+2.25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Marsh Landing LLC, due 2017 and 2023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L+1.75 - L+1.875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Walnut Creek Energy, due 2023</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391</w:t>
            </w:r>
          </w:p>
        </w:tc>
        <w:tc>
          <w:tcPr>
            <w:tcW w:w="2040" w:type="dxa"/>
            <w:vAlign w:val="bottom"/>
          </w:tcPr>
          <w:p>
            <w:pPr>
              <w:jc w:val="right"/>
              <w:spacing w:after="0"/>
              <w:rPr>
                <w:sz w:val="20"/>
                <w:szCs w:val="20"/>
                <w:color w:val="auto"/>
              </w:rPr>
            </w:pPr>
            <w:r>
              <w:rPr>
                <w:rFonts w:ascii="Arial" w:cs="Arial" w:eastAsia="Arial" w:hAnsi="Arial"/>
                <w:sz w:val="18"/>
                <w:szCs w:val="18"/>
                <w:color w:val="auto"/>
              </w:rPr>
              <w:t>L+1.625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Tapestry Wind LLC, due 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L+1.625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Solar Alpine LLC, due 2014 and 2022</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2040" w:type="dxa"/>
            <w:vAlign w:val="bottom"/>
          </w:tcPr>
          <w:p>
            <w:pPr>
              <w:jc w:val="right"/>
              <w:spacing w:after="0"/>
              <w:rPr>
                <w:sz w:val="20"/>
                <w:szCs w:val="20"/>
                <w:color w:val="auto"/>
              </w:rPr>
            </w:pPr>
            <w:r>
              <w:rPr>
                <w:rFonts w:ascii="Arial" w:cs="Arial" w:eastAsia="Arial" w:hAnsi="Arial"/>
                <w:sz w:val="18"/>
                <w:szCs w:val="18"/>
                <w:color w:val="auto"/>
              </w:rPr>
              <w:t>L+1.75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Energy Center Minneapolis LLC, due 2017 and 2025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5.95 -7.25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Laredo Ridge LLC, due 2026</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2040" w:type="dxa"/>
            <w:vAlign w:val="bottom"/>
          </w:tcPr>
          <w:p>
            <w:pPr>
              <w:jc w:val="right"/>
              <w:spacing w:after="0"/>
              <w:rPr>
                <w:sz w:val="20"/>
                <w:szCs w:val="20"/>
                <w:color w:val="auto"/>
              </w:rPr>
            </w:pPr>
            <w:r>
              <w:rPr>
                <w:rFonts w:ascii="Arial" w:cs="Arial" w:eastAsia="Arial" w:hAnsi="Arial"/>
                <w:sz w:val="18"/>
                <w:szCs w:val="18"/>
                <w:color w:val="auto"/>
              </w:rPr>
              <w:t>L+1.875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Solar Borrego LLC, due 2025 and 2038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L+ 2.50/5.65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South Trent Wind LLC, due 2020</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2040" w:type="dxa"/>
            <w:vAlign w:val="bottom"/>
          </w:tcPr>
          <w:p>
            <w:pPr>
              <w:jc w:val="right"/>
              <w:spacing w:after="0"/>
              <w:rPr>
                <w:sz w:val="20"/>
                <w:szCs w:val="20"/>
                <w:color w:val="auto"/>
              </w:rPr>
            </w:pPr>
            <w:r>
              <w:rPr>
                <w:rFonts w:ascii="Arial" w:cs="Arial" w:eastAsia="Arial" w:hAnsi="Arial"/>
                <w:sz w:val="18"/>
                <w:szCs w:val="18"/>
                <w:color w:val="auto"/>
              </w:rPr>
              <w:t>L+2.75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Solar Avra Valley LLC, due 2031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L+1.75</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 High Desert LLC, due 2020 and 2032</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2040" w:type="dxa"/>
            <w:vAlign w:val="bottom"/>
          </w:tcPr>
          <w:p>
            <w:pPr>
              <w:jc w:val="right"/>
              <w:spacing w:after="0"/>
              <w:rPr>
                <w:sz w:val="20"/>
                <w:szCs w:val="20"/>
                <w:color w:val="auto"/>
              </w:rPr>
            </w:pPr>
            <w:r>
              <w:rPr>
                <w:rFonts w:ascii="Arial" w:cs="Arial" w:eastAsia="Arial" w:hAnsi="Arial"/>
                <w:sz w:val="18"/>
                <w:szCs w:val="18"/>
                <w:color w:val="auto"/>
              </w:rPr>
              <w:t>L+2.50/5.15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WCEP Holdings LLC, due 2023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L+3.00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Roadrunner LLC, due 2031</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2040" w:type="dxa"/>
            <w:vAlign w:val="bottom"/>
          </w:tcPr>
          <w:p>
            <w:pPr>
              <w:jc w:val="right"/>
              <w:spacing w:after="0"/>
              <w:rPr>
                <w:sz w:val="20"/>
                <w:szCs w:val="20"/>
                <w:color w:val="auto"/>
              </w:rPr>
            </w:pPr>
            <w:r>
              <w:rPr>
                <w:rFonts w:ascii="Arial" w:cs="Arial" w:eastAsia="Arial" w:hAnsi="Arial"/>
                <w:sz w:val="18"/>
                <w:szCs w:val="18"/>
                <w:color w:val="auto"/>
              </w:rPr>
              <w:t>L+2.01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Solar Kansas South LLC, due 2031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L+2.00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Solar Blythe LLC, due 2028</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2040" w:type="dxa"/>
            <w:vAlign w:val="bottom"/>
          </w:tcPr>
          <w:p>
            <w:pPr>
              <w:jc w:val="right"/>
              <w:spacing w:after="0"/>
              <w:rPr>
                <w:sz w:val="20"/>
                <w:szCs w:val="20"/>
                <w:color w:val="auto"/>
              </w:rPr>
            </w:pPr>
            <w:r>
              <w:rPr>
                <w:rFonts w:ascii="Arial" w:cs="Arial" w:eastAsia="Arial" w:hAnsi="Arial"/>
                <w:sz w:val="18"/>
                <w:szCs w:val="18"/>
                <w:color w:val="auto"/>
              </w:rPr>
              <w:t>L+2.75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PFMG and related subsidiaries financing agreement, due 2030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NRG Energy Center Princeton LLC, due 2017</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04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 project-level debt: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3,961</w:t>
            </w: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4,798</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2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4,584</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39" w:lineRule="exact"/>
        <w:rPr>
          <w:sz w:val="20"/>
          <w:szCs w:val="20"/>
          <w:color w:val="auto"/>
        </w:rPr>
      </w:pPr>
    </w:p>
    <w:p>
      <w:pPr>
        <w:ind w:left="80" w:right="20" w:hanging="4"/>
        <w:spacing w:after="0" w:line="273" w:lineRule="auto"/>
        <w:tabs>
          <w:tab w:leader="none" w:pos="215" w:val="left"/>
        </w:tabs>
        <w:numPr>
          <w:ilvl w:val="0"/>
          <w:numId w:val="10"/>
        </w:numPr>
        <w:rPr>
          <w:rFonts w:ascii="Arial" w:cs="Arial" w:eastAsia="Arial" w:hAnsi="Arial"/>
          <w:sz w:val="9"/>
          <w:szCs w:val="9"/>
          <w:color w:val="auto"/>
        </w:rPr>
      </w:pPr>
      <w:r>
        <w:rPr>
          <w:rFonts w:ascii="Arial" w:cs="Arial" w:eastAsia="Arial" w:hAnsi="Arial"/>
          <w:sz w:val="14"/>
          <w:szCs w:val="14"/>
          <w:color w:val="auto"/>
        </w:rPr>
        <w:t>As of June 30, 2015, L+ equals 3 month LIBOR plus x%, except for the NRG Marsh Landing term loan, Walnut Creek term loan, and the Revolving Credit Facility where L+ equals 1 month LIBOR plus x% and Kansas South where L+ equals 6 month LIBOR plus x%.</w:t>
      </w:r>
    </w:p>
    <w:p>
      <w:pPr>
        <w:spacing w:after="0" w:line="124" w:lineRule="exact"/>
        <w:rPr>
          <w:sz w:val="20"/>
          <w:szCs w:val="20"/>
          <w:color w:val="auto"/>
        </w:rPr>
      </w:pPr>
    </w:p>
    <w:p>
      <w:pPr>
        <w:ind w:left="80" w:firstLine="324"/>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June 30, 2015, the Company was in compliance with all of the required covenants.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0" w:gutter="0" w:footer="0" w:header="0"/>
        </w:sectPr>
      </w:pPr>
    </w:p>
    <w:bookmarkStart w:id="25" w:name="page26"/>
    <w:bookmarkEnd w:id="25"/>
    <w:p>
      <w:pPr>
        <w:ind w:left="80"/>
        <w:spacing w:after="0"/>
        <w:rPr>
          <w:sz w:val="20"/>
          <w:szCs w:val="20"/>
          <w:color w:val="auto"/>
        </w:rPr>
      </w:pPr>
      <w:r>
        <w:rPr>
          <w:rFonts w:ascii="Arial" w:cs="Arial" w:eastAsia="Arial" w:hAnsi="Arial"/>
          <w:sz w:val="18"/>
          <w:szCs w:val="18"/>
          <w:color w:val="auto"/>
        </w:rPr>
        <w:t>The discussion below lists changes to or additions of long-term debt for the six months ended June 30,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 Inc. 2020 Convertible Notes and Related Intercompany Note</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June 29, 2015, Yield, Inc. closed on its offering of $287.5 million of 3.25% Convertible Notes due 2020, or the 2020 Convertible Notes. The 2020 Convertible Notes are convertible, under certain circumstances, into Yield, Inc.’s Class C common stock, cash or a combination thereof at an initial conversion price of $27.50 per Class C common share, which is equivalent to an initial conversion rate of approximately 36.3636 shares of Class C common stock per $1,000 principal amount of 2020 Convertible Notes. The Company and Yield Operating LLC provided a guarantee to Yield, Inc. with respect to the 2020 Convertible Notes. In addition, Yield Operating LLC and Yield, Inc. entered into an intercompany borrowing arrangement, under which Yield Operating LLC received $281 million of the proceeds of the 2020 Convertible Notes. The intercompany note bears interest at a rate of 3.325% and matures in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On June 26, 2015, the Company amended the revolving credit facility to, among other things, increase the availability from $450 million to $495 million. As of June 30, 2015, $267 million of borrowing and $32 million of letters of credit were outstanding. In July 2015, the Company repaid $190 million utilizing proceeds from the issuance of the 2020 Convertible Notes and the Yield, Inc. Class C common stock issuance.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Alta Wind X and Alta Wind XI Due 2021</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June 30, 2015, Yield Operating LLC entered into a tax equity financing arrangement through which it has received $119 million in net proceeds, as described in Note 5, </w:t>
      </w:r>
      <w:r>
        <w:rPr>
          <w:rFonts w:ascii="Arial" w:cs="Arial" w:eastAsia="Arial" w:hAnsi="Arial"/>
          <w:sz w:val="18"/>
          <w:szCs w:val="18"/>
          <w:i w:val="1"/>
          <w:iCs w:val="1"/>
          <w:color w:val="auto"/>
        </w:rPr>
        <w:t>Variable Interest Entities, or VIEs</w:t>
      </w:r>
      <w:r>
        <w:rPr>
          <w:rFonts w:ascii="Arial" w:cs="Arial" w:eastAsia="Arial" w:hAnsi="Arial"/>
          <w:sz w:val="18"/>
          <w:szCs w:val="18"/>
          <w:color w:val="auto"/>
        </w:rPr>
        <w:t xml:space="preserve">. These proceeds, as well as proceeds obtained from the June 29, 2015, Yield, Inc. common stock offering, as described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and 2020 Convertible Notes issuance, as described above, were utilized to repay all of the outstanding project indebtedness associated with the Alta Wind X and Alta Wind XI wind facilities. The Company also settled interest rate swaps associated with the project level debt for the Alta Wind X and Alta Wind XI wind facilities at a value of $17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Laredo Ridge</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July 27, 2010, Laredo Ridge entered into a credit agreement with a group of lenders for a $75 million construction loan that was convertible to a term loan upon completion of the project, a $53 million cash grant loan and a $3 million working capital loan facility. The project met the conditions to convert to a term loan on March 18, 2011. The cash grant loan was repaid in July 2011 with proceeds of the cash grant. The credit agreement also included a letter of credit facility on behalf of Laredo Ridge of up to $9 million. Laredo Ridge paid a fee equal to the applicable margin on issued letters of credit.</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December 17, 2014, Laredo Ridge amended the credit agreement to increase its term loan borrowings by an additional $41 million to reduce the working capital facility by $1 million, to increase the letter of credit facility by $1 million and to reduce the related interest rate to LIBOR plus 1.875% through December 31, 2018, LIBOR plus 2.125% from January 1, 2019 through December 31, 2023 and LIBOR plus 2.375% from January 1, 2024 through the maturity date. The fee on the working capital facility was reduced to 0.5%. In addition, the maturity date was extended to March 31, 2028. The proceeds were utilized to make a distribution of $33 million to NRG Wind LLC, an NRG subsidiary, with the remaining $8 million utilized to fund the costs of the amendment. As of June 30, 2015, $106 million was outstanding under the term loan, nothing was outstanding under the working capital facility, and $10 million of letters of credit in support of the project were issued.</w:t>
      </w:r>
    </w:p>
    <w:p>
      <w:pPr>
        <w:spacing w:after="0" w:line="1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connection with the amendment to the credit agreement, Laredo Ridge entered into a series of fixed for floating interest rate swaps that would fix the interest rate for a minimum of 75% of the outstanding notional amount. Laredo Ridge pays its counterparty the equivalent of a 2.31% fixed interest payment on a predetermined notional value, and quarterly, Laredo Ridge will receive the equivalent of a floating interest payment based on the three-month LIBOR calculated on the same notional value through December 31, 2028. All interest rate swap payments by Laredo Ridge and its counterparties are made quarterly and LIBOR is determined in advance of each interest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Tapestry Wind LLC</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December 21, 2011, Tapestry Wind LLC entered into a credit agreement with a group of lenders for a $214 million term loan and an $8 million working capital loan facility. The term loan matures in December 2021. It is secured by Tapestry Wind LLC's interest in the Buffalo Bear, Taloga, and Pinnacle projects. The term loan amortizes based upon a predetermined schedule. The working capital facility is available to fund the operating needs of Tapestry Wind LLC. The commitment fee on this facility is 0.75%. The credit agreement also includes a letter of credit facility on behalf of Tapestry Wind LLC of up to $20 million. Tapestry Wind LLC pays a fee equal to the applicable margin on issued letters of credit.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6" w:name="page27"/>
    <w:bookmarkEnd w:id="26"/>
    <w:p>
      <w:pPr>
        <w:jc w:val="both"/>
        <w:ind w:firstLine="405"/>
        <w:spacing w:after="0" w:line="253" w:lineRule="auto"/>
        <w:rPr>
          <w:sz w:val="20"/>
          <w:szCs w:val="20"/>
          <w:color w:val="auto"/>
        </w:rPr>
      </w:pPr>
      <w:r>
        <w:rPr>
          <w:rFonts w:ascii="Arial" w:cs="Arial" w:eastAsia="Arial" w:hAnsi="Arial"/>
          <w:sz w:val="18"/>
          <w:szCs w:val="18"/>
          <w:color w:val="auto"/>
        </w:rPr>
        <w:t>Under the terms of the agreement, Tapestry Wind LLC entered into a series of fixed for floating interest rate swaps that would fix the interest rate for a minimum of 90% of the outstanding notional amount. Tapestry Wind LLC will pay its counterparty the equivalent of a 2.21% fixed interest payment on a predetermined notional value, and quarterly, Tapestry Wind LLC will receive the equivalent of a floating interest payment based on a three-month LIBOR calculated on the same notional value through December 21, 2021. All interest rate swap payments by Tapestry Wind LLC and its counterparties are made quarterly and the LIBOR is determined in advance of each interest period. Swaps became effective December 30, 2011, and amortize in proportion to the term loan. At the same time Tapestry Wind LLC entered into a series of forward starting swaps to hedge the refinancing risk. The swaps are effective December 21, 2021. Tapestry Wind LLC will pay its counterparty the equivalent of a 3.57% fixed interest payment on a predetermined notional value, and quarterly, Tapestry Wind LLC will receive the equivalent of a floating interest payment based on a three-month LIBOR calculated on the same notional value through December 21, 2029.</w:t>
      </w:r>
    </w:p>
    <w:p>
      <w:pPr>
        <w:spacing w:after="0" w:line="14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November 12, 2014, Tapestry Wind LLC amended the credit agreement to reduce the related interest rate to LIBOR plus 1.625% through December 20, 2018 and LIBOR plus 1.75% from December 21, 2018 through the maturity date. As of June 30, 2015, $185 million was outstanding under the term loan, nothing was outstanding under the working capital facility and $20 million of letters of credit in support of the project were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Walnut Creek</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July 27, 2011, Walnut Creek entered into a credit agreement with a group of lenders for a $442 million construction loan that was convertible to a term loan upon completion of the project, and a $5 million working capital loan facility. The project met the conditions to convert to a term loan on June 21, 2013 and matures in May 2023. The term loan amortizes based upon a predetermined schedule. The working capital facility is available to fund the operating needs of Walnut Creek. The commitment fee on this facility is 0.625%. The Walnut Creek agreement also includes a letter of credit facility on behalf of Walnut Creek of up to $117 million. Walnut Creek pays a fee equal to the applicable margin on issued letters of credit.</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Under the terms of the agreement, Walnut Creek entered into a series of fixed for floating interest rate swaps that would fix the interest rate for a minimum of 90% of the outstanding notional amount. Walnut Creek will pay its counterparty the equivalent of a 3.54% fixed interest payment on a predetermined notional value, and quarterly, Walnut Creek will receive the equivalent of a floating interest payment based on a three-month LIBOR calculated on the same notional value through May 31, 2023. All interest rate swap payments by Walnut Creek and its counterparties are made quarterly and the LIBOR is determined in advance of each interest period. Swaps became effective June 28, 2013, and amortize in proportion to the term loan.</w:t>
      </w:r>
    </w:p>
    <w:p>
      <w:pPr>
        <w:spacing w:after="0" w:line="10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October 21, 2014, Walnut Creek amended the credit agreement to increase its term loan borrowings by an additional $10 million, and to reduce the related interest rate to LIBOR plus 1.625% through September 30, 2018, LIBOR plus 1.75% from October 1, 2018 through September 30, 2022, and LIBOR plus 1.875% from October 1, 2022, through the maturity date. The fee on the working capital facility was reduced to 0.5%. The proceeds were utilized to make a distribution of $6 million to WCEP Holdings LLC with the remaining $4 million utilized to fund the costs of the amendment. In addition, Walnut Creek entered into an additional interest rate swap to maintain the minimum of 90% of the outstanding notional amount being swapped to a fixed interest rate. Walnut Creek pays its counterparty the equivalent of a 4.0025% fixed interest payment on a predetermined notional value, and quarterly, Walnut Creek receives the equivalent of a floating interest payment based on a three-month LIBOR calculated on the same notional value through July 31, 2020. All interest rate swap payments by Walnut Creek and its counterparties are made quarterly and the LIBOR is determined in advance of each interest period. Swaps became effective June 28, 2013 and amortize in proportion to the term loan. As of June 30, 2015, $381 million was outstanding under the term loan, nothing was outstanding under the working capital facility, and $61 million of letters of credit were issued.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WCEP Holdings LLC</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27, 2011, WCEP Holdings LLC entered into a credit agreement with a group of lenders for a $53 million construction loan that was convertible to a term loan upon completion of the Walnut Creek project. The Walnut Creek project met the conditions for the WCEP Holdings LLC loan to convert to a term loan on June 21, 2013. The term loan has an interest rate of LIBOR plus an applicable margin of 4%. The term loan matures in May 2023. The term loan amortizes based upon a predetermined schedule.</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Under the terms of the credit agreement, WCEP Holdings LLC entered into two fixed for floating interest rate swaps that would fix the interest rate for a minimum of 90% of the outstanding notional amount. WCEP Holdings LLC will pay its counterparty the equivalent of a 4% fixed interest payment on a predetermined notional value, and quarterly, WCEP Holdings LLC will receive the equivalent of a floating interest payment based on a three-month LIBOR calculated on the same notional value through May 31, 2023. All interest rate swap payments by WCEP Holdings LLC and its counterparties are made quarterly and the LIBOR is determined in advance of each interest period. Swaps became effective June 28, 2013, and amortize in proportion to the term loan.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06" w:right="239" w:bottom="1440" w:gutter="0" w:footer="0" w:header="0"/>
        </w:sectPr>
      </w:pPr>
    </w:p>
    <w:bookmarkStart w:id="27" w:name="page28"/>
    <w:bookmarkEnd w:id="27"/>
    <w:p>
      <w:pPr>
        <w:jc w:val="both"/>
        <w:ind w:firstLine="405"/>
        <w:spacing w:after="0" w:line="259" w:lineRule="auto"/>
        <w:rPr>
          <w:sz w:val="20"/>
          <w:szCs w:val="20"/>
          <w:color w:val="auto"/>
        </w:rPr>
      </w:pPr>
      <w:r>
        <w:rPr>
          <w:rFonts w:ascii="Arial" w:cs="Arial" w:eastAsia="Arial" w:hAnsi="Arial"/>
          <w:sz w:val="18"/>
          <w:szCs w:val="18"/>
          <w:color w:val="auto"/>
        </w:rPr>
        <w:t>On October 21, 2014, WCEP Holdings LLC amended the credit agreement to reduce the related interest rate to LIBOR plus 3%. The proceeds of the distribution from Walnut Creek were utilized to make an optional repayment of $6 million on the term loan. In addition WCEP Holdings LLC partially terminated the interest rate agreements so that at least 90% and no more than 100% of the aggregate principal amount of the loans then outstanding will be subject to interest rate agreements. As of June 30, 2015, $46 million was outstanding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Avenal Solar Holdings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18, 2015, Avenal Solar Holdings LLC, one of the Company's equity method investments, amended its credit agreement to increase its borrowings by $43 million and to reduce the related interest rate from 6 month LIBOR plus an applicable margin of 2.25% to 6 month LIBOR plus 1.75% from March 18, 2015 through March 17, 2022 and 6 month LIBOR plus 2.00% from March 18, 2022 through March 17, 2027 and 6 month LIBOR plus 2.25% from March 18, 2027 through the maturity date. As a result of the credit agreement amendment, the Company received net proceeds of $20 million after fees from its 49.95% ownership in Avenal.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West Holdings LLC</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29, 2015, NRG West Holdings LLC amended its financing agreement to increase borrowings under the Tranche A facility by $5 million and to reduce the related interest rate to LIBOR plus an applicable margin of 1.625% from May 29, 2015 to August 31, 2017, LIBOR plus an applicable margin of 1.75% from September 1, 2017, to August 31, 2020, and LIBOR plus 1.875% from September 1, 2020 through the maturity date; to reduce the Tranche B loan interest rate to LIBOR plus an applicable margin of 2.250% from May 29, 2015, to August 31, 2017, LIBOR plus 2.375% from September 1, 2017, to August 31, 2020, and LIBOR plus an applicable margin of 2.50% from September 1, 2020 through the maturity date and to reduce the working capital facility by $9 million. The proceeds of the increased borrowing were used to pay costs associated with the refinancing. Further, the amendment resulted in a $7 million loss on debt extinguishment.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evaluates the performance of its segments based on operational measures including adjusted earnings before interest, depreciation and amortization, or Adjusted EBITDA, and cash available for distribution, or CAFD, as well as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Three months ended June 30, 2015</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8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7,044</w:t>
            </w: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0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 June 30, 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Six months ended June 30, 2015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Six months ended June 30, 2014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 — affiliate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 Services Agreement by and between NRG and the Company</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NRG provides the Company with various operation, management, and administrative services, which include human resources, accounting, tax, legal, information systems, treasury, and risk management, as set forth in the Management Services Agreement. As of June 30, 2015, the base management fee was approximately $7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six months ended June 30, 2015, the fee was increased by approximately $1 million per year in connection with the acquisition of the January 2015 Drop Down Assets. Costs incurred under this agreement were $6 million and $4 million for the six months ended June 30, 2015, and 2014, respectively, which included certain direct expenses incurred by NRG on behalf of the Company in addition to the base management fee. There was a balance of $3 million due to NRG in accounts payable — affiliate as of June 30,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27"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i w:val="1"/>
          <w:iCs w:val="1"/>
          <w:color w:val="auto"/>
        </w:rPr>
        <w:t>Operation and Maintenance Services (O&amp;M) Agreements by and between NRG and Thermal Entities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October 1, 2014, NRG entered into Plant O&amp;M Services Agreements with certain wholly-owned subsidiaries of the Company. NRG provides necessary and appropriate services to operate and maintain the subsidiaries' plant operations, businesses and thermal facilities. NRG is to be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Prior to October 1, 2014, NRG provided the same services to the Thermal Business on an informal basis. Total fees incurred under the agreements were $15 million and $14 million for the six months ended June 30, 2015, and 2014, respectively. There was a balance of $28 million and $22 million due to NRG in accounts payable — affiliate as of June 30, 2015, and December 31, 2014,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GenOn Energy Services, LLC</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Marsh Landing is a party to an administrative services agreement with GenOn Energy Services, LLC, a wholly owned subsidiary of NRG, which provides invoice processing and payment on behalf of Marsh Landing. Marsh Landing reimburses GenOn Energy Services, LLC for the amounts paid by it. The Company reimbursed costs under this agreement of approximately $9 million for the six months ended June 30, 2015, and 2014. There was a balance of $0 million and $4 million due to GenOn Energy Services, LLC in accounts payable — affiliate as of June 30, 2015, and December 31, 2014, respectively.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O&amp;M Services Agreements by and between NRG and GenConn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The fees incurred under the agreements were $2 million and $3 million for the six months ended June 30,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11 — Condensed Consolidating Financial Information</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As of June 30, 2015, Yield Operating LLC had outstanding $500 million of Senior Notes as shown in Note 8, </w:t>
      </w:r>
      <w:r>
        <w:rPr>
          <w:rFonts w:ascii="Arial" w:cs="Arial" w:eastAsia="Arial" w:hAnsi="Arial"/>
          <w:sz w:val="17"/>
          <w:szCs w:val="17"/>
          <w:i w:val="1"/>
          <w:iCs w:val="1"/>
          <w:color w:val="auto"/>
        </w:rPr>
        <w:t>Long-term Debt</w:t>
      </w:r>
      <w:r>
        <w:rPr>
          <w:rFonts w:ascii="Arial" w:cs="Arial" w:eastAsia="Arial" w:hAnsi="Arial"/>
          <w:sz w:val="17"/>
          <w:szCs w:val="17"/>
          <w:color w:val="auto"/>
        </w:rPr>
        <w:t>. These Senior Notes are guaranteed by the Company, as well as certain of the Company's subsidiaries, or guarantor subsidiaries. These guarantees are both joint and several. The non-guarantor subsidiaries include the rest of the Company's subsidiaries, including the ones that are subject to project financing.</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June 30, 2015:</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this presentation, Yield LLC consists of parent company operations. Guarantor subsidiaries and non-guarantor subsidiaries of Yield LLC are reported on an equity basis. For companies acquired, the fair values of the assets and liabilities acquired have been presented on a push-down accounting basis.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2" w:right="239" w:bottom="1440" w:gutter="0" w:footer="0" w:header="0"/>
        </w:sectPr>
      </w:pPr>
    </w:p>
    <w:bookmarkStart w:id="31" w:name="page32"/>
    <w:bookmarkEnd w:id="31"/>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June 30,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debt extinguishment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(loss) income attributable to</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ind w:left="8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6"/>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702" w:right="439" w:bottom="1440" w:gutter="0" w:footer="0" w:header="0"/>
        </w:sectPr>
      </w:pPr>
    </w:p>
    <w:bookmarkStart w:id="32" w:name="page33"/>
    <w:bookmarkEnd w:id="32"/>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transaction and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costs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Equity in earnings (losses) of 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3260" w:type="dxa"/>
            <w:vAlign w:val="bottom"/>
          </w:tcPr>
          <w:p>
            <w:pPr>
              <w:ind w:left="40"/>
              <w:spacing w:after="0"/>
              <w:rPr>
                <w:sz w:val="20"/>
                <w:szCs w:val="20"/>
                <w:color w:val="auto"/>
              </w:rPr>
            </w:pPr>
            <w:r>
              <w:rPr>
                <w:rFonts w:ascii="Arial" w:cs="Arial" w:eastAsia="Arial" w:hAnsi="Arial"/>
                <w:sz w:val="18"/>
                <w:szCs w:val="18"/>
                <w:color w:val="auto"/>
              </w:rPr>
              <w:t>Less: Net (loss) income attributable to</w:t>
            </w: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(Loss) Attributable to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ind w:left="8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1026" w:right="439" w:bottom="1440" w:gutter="0" w:footer="0" w:header="0"/>
        </w:sectPr>
      </w:pPr>
    </w:p>
    <w:bookmarkStart w:id="33" w:name="page34"/>
    <w:bookmarkEnd w:id="33"/>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June 30, 2015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NRG Yield LLC</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1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6"/>
              </w:rPr>
              <w:t>Eliminations</w:t>
            </w:r>
            <w:r>
              <w:rPr>
                <w:rFonts w:ascii="Arial" w:cs="Arial" w:eastAsia="Arial" w:hAnsi="Arial"/>
                <w:sz w:val="8"/>
                <w:szCs w:val="8"/>
                <w:b w:val="1"/>
                <w:bCs w:val="1"/>
                <w:color w:val="auto"/>
                <w:w w:val="96"/>
              </w:rPr>
              <w:t>(a)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540" w:type="dxa"/>
            <w:vAlign w:val="bottom"/>
          </w:tcPr>
          <w:p>
            <w:pPr>
              <w:jc w:val="right"/>
              <w:ind w:right="3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5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5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5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(loss) income</w:t>
            </w: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attributable to noncontrolling interests</w:t>
            </w:r>
          </w:p>
        </w:tc>
        <w:tc>
          <w:tcPr>
            <w:tcW w:w="5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5"/>
        </w:trPr>
        <w:tc>
          <w:tcPr>
            <w:tcW w:w="32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Comprehensive Income Attributable to</w:t>
            </w:r>
          </w:p>
        </w:tc>
        <w:tc>
          <w:tcPr>
            <w:tcW w:w="54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6"/>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NRG Yield LLC</w:t>
            </w:r>
          </w:p>
        </w:tc>
        <w:tc>
          <w:tcPr>
            <w:tcW w:w="54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(loss) income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attributable to 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Comprehensive Income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6"/>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Attributable to NRG Yield 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702" w:right="439" w:bottom="1440" w:gutter="0" w:footer="0" w:header="0"/>
        </w:sectPr>
      </w:pPr>
    </w:p>
    <w:bookmarkStart w:id="34" w:name="page35"/>
    <w:bookmarkEnd w:id="34"/>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5"/>
          </w:tcPr>
          <w:p>
            <w:pPr>
              <w:ind w:left="62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3"/>
        </w:trPr>
        <w:tc>
          <w:tcPr>
            <w:tcW w:w="38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4,478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Derivative instruments</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23"/>
        </w:trPr>
        <w:tc>
          <w:tcPr>
            <w:tcW w:w="386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1,946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(5,212)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7,044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200" w:hanging="138"/>
        <w:spacing w:after="0"/>
        <w:tabs>
          <w:tab w:leader="none" w:pos="200" w:val="left"/>
        </w:tabs>
        <w:numPr>
          <w:ilvl w:val="0"/>
          <w:numId w:val="1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702" w:right="359" w:bottom="1440" w:gutter="0" w:footer="0" w:header="0"/>
        </w:sectPr>
      </w:pPr>
    </w:p>
    <w:bookmarkStart w:id="35" w:name="page36"/>
    <w:bookmarkEnd w:id="35"/>
    <w:p>
      <w:pPr>
        <w:ind w:left="4060"/>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June 30, 2015</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Current portion of long-term debt — external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20"/>
                <w:szCs w:val="20"/>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Accounts payable — affiliate</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31"/>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3,744</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Long-term debt — affiliate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non-current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4,458</w:t>
            </w:r>
          </w:p>
        </w:tc>
        <w:tc>
          <w:tcPr>
            <w:tcW w:w="0" w:type="dxa"/>
            <w:vAlign w:val="bottom"/>
          </w:tcPr>
          <w:p>
            <w:pPr>
              <w:spacing w:after="0"/>
              <w:rPr>
                <w:sz w:val="1"/>
                <w:szCs w:val="1"/>
                <w:color w:val="auto"/>
              </w:rPr>
            </w:pPr>
          </w:p>
        </w:tc>
      </w:tr>
      <w:tr>
        <w:trPr>
          <w:trHeight w:val="217"/>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3,660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5,028</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Members' Equity</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Contributed capital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1,729</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44"/>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6,200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7,044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40" w:hanging="138"/>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-98425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300" w:top="918" w:right="299" w:bottom="1440" w:gutter="0" w:footer="0" w:header="0"/>
        </w:sectPr>
      </w:pPr>
    </w:p>
    <w:bookmarkStart w:id="36" w:name="page37"/>
    <w:bookmarkEnd w:id="36"/>
    <w:p>
      <w:pPr>
        <w:jc w:val="center"/>
        <w:ind w:left="980" w:right="2220"/>
        <w:spacing w:after="0" w:line="391" w:lineRule="auto"/>
        <w:rPr>
          <w:sz w:val="20"/>
          <w:szCs w:val="20"/>
          <w:color w:val="auto"/>
        </w:rPr>
      </w:pPr>
      <w:r>
        <w:rPr>
          <w:rFonts w:ascii="Arial" w:cs="Arial" w:eastAsia="Arial" w:hAnsi="Arial"/>
          <w:sz w:val="18"/>
          <w:szCs w:val="18"/>
          <w:b w:val="1"/>
          <w:bCs w:val="1"/>
          <w:color w:val="auto"/>
        </w:rPr>
        <w:t>NRG YIELD LLC AND SUBSIDIARIES CONDENSED CONSOLIDATING STATEMENTS OF CASH FLOWS For the Six Months Ended June 30, 2015</w:t>
      </w:r>
    </w:p>
    <w:p>
      <w:pPr>
        <w:spacing w:after="0" w:line="32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NRG Yield LLC</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3"/>
            <w:vMerge w:val="continue"/>
          </w:tcPr>
          <w:p>
            <w:pPr>
              <w:spacing w:after="0"/>
              <w:rPr>
                <w:sz w:val="12"/>
                <w:szCs w:val="12"/>
                <w:color w:val="auto"/>
              </w:rPr>
            </w:pPr>
          </w:p>
        </w:tc>
        <w:tc>
          <w:tcPr>
            <w:tcW w:w="12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2C2C2C"/>
                <w:w w:val="98"/>
              </w:rPr>
              <w:t>Operating LLC</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(Note Issuer)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Operating</w:t>
            </w: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Activities</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transactions from Yield LLC to</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Acquisition of business, net of cash acquired</w:t>
            </w:r>
          </w:p>
        </w:tc>
        <w:tc>
          <w:tcPr>
            <w:tcW w:w="4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Drop Down Assets, net of cash</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Decrease in notes receivable</w:t>
            </w:r>
          </w:p>
        </w:tc>
        <w:tc>
          <w:tcPr>
            <w:tcW w:w="4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5"/>
        </w:trPr>
        <w:tc>
          <w:tcPr>
            <w:tcW w:w="40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Net Cash (Used in) Provided by Investing</w:t>
            </w: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Activities</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Transfer of funds under intercompany cash</w:t>
            </w: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management arrangement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(contributions from parent)</w:t>
            </w: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Contributions from noncontrolling interests</w:t>
            </w:r>
          </w:p>
        </w:tc>
        <w:tc>
          <w:tcPr>
            <w:tcW w:w="4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the issuance of Class C units</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Payment of distributions</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Proceeds from issuance of long-term debt — external</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w w:val="95"/>
              </w:rPr>
              <w:t>Proceeds from issuance of long-term debt — affiliate</w:t>
            </w:r>
          </w:p>
        </w:tc>
        <w:tc>
          <w:tcPr>
            <w:tcW w:w="4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Payments for long-term debt — external</w:t>
            </w:r>
          </w:p>
        </w:tc>
        <w:tc>
          <w:tcPr>
            <w:tcW w:w="4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Cash Provided by (Used in) Financing</w:t>
            </w: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Activities</w:t>
            </w: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5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4" w:hanging="144"/>
        <w:spacing w:after="0"/>
        <w:tabs>
          <w:tab w:leader="none" w:pos="144" w:val="left"/>
        </w:tabs>
        <w:numPr>
          <w:ilvl w:val="0"/>
          <w:numId w:val="1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2865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24"/>
          </w:cols>
          <w:pgMar w:left="896" w:top="702" w:right="9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50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50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Equity in earnings of consolidated affiliates</w:t>
            </w:r>
          </w:p>
        </w:tc>
        <w:tc>
          <w:tcPr>
            <w:tcW w:w="500" w:type="dxa"/>
            <w:vAlign w:val="bottom"/>
          </w:tcPr>
          <w:p>
            <w:pPr>
              <w:spacing w:after="0"/>
              <w:rPr>
                <w:sz w:val="21"/>
                <w:szCs w:val="21"/>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Equity in earnings of unconsolidated affiliates</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 net</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0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General and administrative — affiliate</w:t>
            </w:r>
          </w:p>
        </w:tc>
        <w:tc>
          <w:tcPr>
            <w:tcW w:w="50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Equity in earnings of consolidated affiliates</w:t>
            </w:r>
          </w:p>
        </w:tc>
        <w:tc>
          <w:tcPr>
            <w:tcW w:w="500" w:type="dxa"/>
            <w:vAlign w:val="bottom"/>
          </w:tcPr>
          <w:p>
            <w:pPr>
              <w:spacing w:after="0"/>
              <w:rPr>
                <w:sz w:val="21"/>
                <w:szCs w:val="21"/>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Equity in earnings of unconsolidated affiliates</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21"/>
                <w:szCs w:val="21"/>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390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5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26" w:right="239" w:bottom="1440" w:gutter="0" w:footer="0" w:header="0"/>
        </w:sectPr>
      </w:pPr>
    </w:p>
    <w:bookmarkStart w:id="39" w:name="page40"/>
    <w:bookmarkEnd w:id="39"/>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June 30, 2014</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2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Other Guarantor</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8"/>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12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ind w:right="5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31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702" w:right="439" w:bottom="1440" w:gutter="0" w:footer="0" w:header="0"/>
        </w:sectPr>
      </w:pPr>
    </w:p>
    <w:bookmarkStart w:id="40" w:name="page41"/>
    <w:bookmarkEnd w:id="40"/>
    <w:p>
      <w:pPr>
        <w:jc w:val="center"/>
        <w:ind w:right="-91"/>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2014</w:t>
      </w:r>
    </w:p>
    <w:p>
      <w:pPr>
        <w:spacing w:after="0" w:line="370" w:lineRule="exact"/>
        <w:rPr>
          <w:sz w:val="20"/>
          <w:szCs w:val="20"/>
          <w:color w:val="auto"/>
        </w:rPr>
      </w:pPr>
    </w:p>
    <w:tbl>
      <w:tblPr>
        <w:tblLayout w:type="fixed"/>
        <w:tblInd w:w="92"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Operating LLC</w:t>
            </w:r>
          </w:p>
        </w:tc>
        <w:tc>
          <w:tcPr>
            <w:tcW w:w="16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5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44"/>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6,208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6,826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32" w:hanging="132"/>
        <w:spacing w:after="0"/>
        <w:tabs>
          <w:tab w:leader="none" w:pos="132" w:val="left"/>
        </w:tabs>
        <w:numPr>
          <w:ilvl w:val="0"/>
          <w:numId w:val="2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2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12"/>
          </w:cols>
          <w:pgMar w:left="248" w:top="702" w:right="339" w:bottom="1440" w:gutter="0" w:footer="0" w:header="0"/>
        </w:sectPr>
      </w:pPr>
    </w:p>
    <w:bookmarkStart w:id="41" w:name="page42"/>
    <w:bookmarkEnd w:id="41"/>
    <w:p>
      <w:pPr>
        <w:ind w:left="4120"/>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Guarantor</w:t>
            </w: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Non-Guarantor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LLC</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1"/>
              </w:rPr>
              <w:t>Subsidiaries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214</w:t>
            </w: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Accounts payable — 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31"/>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4,247</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Long-term debt — affiliate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4,702</w:t>
            </w:r>
          </w:p>
        </w:tc>
        <w:tc>
          <w:tcPr>
            <w:tcW w:w="0" w:type="dxa"/>
            <w:vAlign w:val="bottom"/>
          </w:tcPr>
          <w:p>
            <w:pPr>
              <w:spacing w:after="0"/>
              <w:rPr>
                <w:sz w:val="1"/>
                <w:szCs w:val="1"/>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886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18"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2014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2C2C2C"/>
                <w:w w:val="99"/>
              </w:rPr>
              <w:t>NRG Yield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2C2C2C"/>
                <w:w w:val="98"/>
              </w:rPr>
              <w:t>Operating LLC</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2C2C2C"/>
                <w:w w:val="93"/>
              </w:rPr>
              <w:t>(Note Issuer)</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Drop Down Assets,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in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Decrease in notes receivable</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renewable energy grants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Capital contributions from NRG</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and return of capital to NRG</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Payment of distributions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 external</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Transfer of funds under intercompany cash management arrangement</w:t>
            </w: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long-term debt- external</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Proceeds from long-term debt - affiliate</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62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702"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following discussion analyzes the Company's historical financial condition and results of operations which were recast to include the effect of the June 2014 Drop Down Assets and January 2015 Drop Down Assets on June 30, 2014, and January 2, 2015, respectively. As further discussed in Note 1, </w:t>
      </w: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to the Consolidated Financial Statements, the purchase of these assets was accounted for in accordance with</w:t>
      </w:r>
      <w:r>
        <w:rPr>
          <w:rFonts w:ascii="Arial" w:cs="Arial" w:eastAsia="Arial" w:hAnsi="Arial"/>
          <w:sz w:val="17"/>
          <w:szCs w:val="17"/>
          <w:i w:val="1"/>
          <w:iCs w:val="1"/>
          <w:color w:val="auto"/>
        </w:rPr>
        <w:t xml:space="preserve"> ASC 850-50, Business Combinations - Related Issues</w:t>
      </w:r>
      <w:r>
        <w:rPr>
          <w:rFonts w:ascii="Arial" w:cs="Arial" w:eastAsia="Arial" w:hAnsi="Arial"/>
          <w:sz w:val="17"/>
          <w:szCs w:val="17"/>
          <w:color w:val="auto"/>
        </w:rPr>
        <w:t>, whereas the assets and liabilities transferred to the Company relate to interests under common control by NRG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were recorded at historical cost. The difference between the cash proceeds and historical value of the net assets was recorded as a distribution to NRG and reduced the balance of its noncontrolling interest. The guidance requires retrospective combination of the entities for all periods presented as if the combination has been in effect since the inception of common control.</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you read this discussion and analysis, refer to the Company's Consolidated Statements of Operations to this Form 10-Q, which present the results of operations for the six months ended June 30, 2015, and 2014. Also refer to the Company's annual financial statements for the year ended December 31, 2014, included in the Company's Prospectus dated June 22, 2015, which includes detailed discussions of various items impacting the Company's business, results of operations and financial condition.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14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3,825 </w:t>
      </w:r>
      <w:r>
        <w:rPr>
          <w:rFonts w:ascii="Arial" w:cs="Arial" w:eastAsia="Arial" w:hAnsi="Arial"/>
          <w:sz w:val="17"/>
          <w:szCs w:val="17"/>
          <w:color w:val="231F20"/>
        </w:rPr>
        <w:t>net MW.</w:t>
      </w:r>
      <w:r>
        <w:rPr>
          <w:rFonts w:ascii="Arial" w:cs="Arial" w:eastAsia="Arial" w:hAnsi="Arial"/>
          <w:sz w:val="17"/>
          <w:szCs w:val="17"/>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Arial" w:cs="Arial" w:eastAsia="Arial" w:hAnsi="Arial"/>
          <w:sz w:val="17"/>
          <w:szCs w:val="17"/>
          <w:color w:val="231F20"/>
        </w:rPr>
        <w:t>17 years</w:t>
      </w:r>
      <w:r>
        <w:rPr>
          <w:rFonts w:ascii="Arial" w:cs="Arial" w:eastAsia="Arial" w:hAnsi="Arial"/>
          <w:sz w:val="17"/>
          <w:szCs w:val="17"/>
          <w:color w:val="auto"/>
        </w:rPr>
        <w:t xml:space="preserve"> </w:t>
      </w:r>
      <w:r>
        <w:rPr>
          <w:rFonts w:ascii="Arial" w:cs="Arial" w:eastAsia="Arial" w:hAnsi="Arial"/>
          <w:sz w:val="17"/>
          <w:szCs w:val="17"/>
          <w:color w:val="231F20"/>
        </w:rPr>
        <w:t xml:space="preserve">as of </w:t>
      </w:r>
      <w:r>
        <w:rPr>
          <w:rFonts w:ascii="Arial" w:cs="Arial" w:eastAsia="Arial" w:hAnsi="Arial"/>
          <w:sz w:val="17"/>
          <w:szCs w:val="17"/>
          <w:color w:val="000000"/>
        </w:rPr>
        <w:t>June 30, 2015</w:t>
      </w:r>
      <w:r>
        <w:rPr>
          <w:rFonts w:ascii="Arial" w:cs="Arial" w:eastAsia="Arial" w:hAnsi="Arial"/>
          <w:sz w:val="17"/>
          <w:szCs w:val="17"/>
          <w:color w:val="231F20"/>
        </w:rPr>
        <w:t xml:space="preserve">, </w:t>
      </w:r>
      <w:r>
        <w:rPr>
          <w:rFonts w:ascii="Arial" w:cs="Arial" w:eastAsia="Arial" w:hAnsi="Arial"/>
          <w:sz w:val="17"/>
          <w:szCs w:val="17"/>
          <w:color w:val="000000"/>
        </w:rPr>
        <w:t>based on cash available for distribution</w:t>
      </w:r>
      <w:r>
        <w:rPr>
          <w:rFonts w:ascii="Arial" w:cs="Arial" w:eastAsia="Arial" w:hAnsi="Arial"/>
          <w:sz w:val="17"/>
          <w:szCs w:val="17"/>
          <w:color w:val="231F20"/>
        </w:rPr>
        <w:t>. The Company also owns thermal infrastructure assets with an aggregate steam and chilled water capacity of 1,310 net MWt and electric generation capacity of 124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2015</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significant events have occurred to date during 2015:</w:t>
      </w:r>
    </w:p>
    <w:p>
      <w:pPr>
        <w:spacing w:after="0" w:line="171"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NRG offered the Company the opportunity to purchase 75% of NRG Wind TE Holdco LLC, which owns a portfolio of 12 wind facilities totaling 814 net MW.</w:t>
      </w:r>
    </w:p>
    <w:p>
      <w:pPr>
        <w:spacing w:after="0" w:line="129" w:lineRule="exact"/>
        <w:rPr>
          <w:rFonts w:ascii="Arial" w:cs="Arial" w:eastAsia="Arial" w:hAnsi="Arial"/>
          <w:sz w:val="18"/>
          <w:szCs w:val="18"/>
          <w:b w:val="1"/>
          <w:bCs w:val="1"/>
          <w:color w:val="auto"/>
        </w:rPr>
      </w:pPr>
    </w:p>
    <w:p>
      <w:pPr>
        <w:jc w:val="both"/>
        <w:ind w:left="660" w:hanging="328"/>
        <w:spacing w:after="0" w:line="31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June 30, 2015, the Company sold an economic interest in the Alta X and Alta XI wind facilities through a tax equity financing arrangement and received $119 million in net proceeds. These proceeds, as well as proceeds obtained from Yield, Inc.'s recently completed equity and debt offerings discussed below, were utilized to repay all of the outstanding project indebtedness associated with the Alta X and Alta XI wind facilities.</w:t>
      </w:r>
    </w:p>
    <w:p>
      <w:pPr>
        <w:spacing w:after="0" w:line="187"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June 29, 2015, Yield, Inc. issued 28,198,000 shares of Class C common stock for net proceeds, after underwriting discounts and expenses, of $600 million. Yield, Inc. utilized the proceeds of the offering to acquire 28,198,000 additional Class C units of the Company and, as a result, it currently owns 53.3% of the economic interests of the Company, with NRG retaining 46.7% of the economic interests of the Company. Additionally, on June 29, 2015, Yield, Inc. completed an offering of $287.5 million aggregate principal amount of 3.25% Convertible Notes due 2020, which proceeds were subsequently lent to Yield Operating LLC.</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June 29, 2015, Yield Operating acquired 25% of the membership interest in Desert Sunlight Investment Holdings, LLC, which owns two solar photovoltaic facilities totaling 550 MW, located in Desert Center, California, from EFS Desert Sun, LLC, a subsidiary of GE Energy Financial Services, for a purchase price of $285 million, utilizing a portion of the proceeds from the Yield, Inc. Class C common stock issuance. The Company's pro-rata share of non-recourse project level debt was $287 million as of June 30, 2015.</w:t>
      </w:r>
    </w:p>
    <w:p>
      <w:pPr>
        <w:spacing w:after="0" w:line="186"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Recapitalization enhances Yield, Inc.’s and the Company's ability to focus on growth opportunities without the constraints of NRG’s capital allocation to the Company, while maintaining Yield, Inc.’s and the Company's relationship with NRG. The Recapitalization preserves NRG’s management and operational expertise, asset development and acquisition track record, financing experience and provides flexibility to raise capital to fund the Company's growth.</w:t>
      </w:r>
    </w:p>
    <w:p>
      <w:pPr>
        <w:spacing w:after="0" w:line="164"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The Class C common stock and Class D common stock have the same rights and privileges and rank equally, share ratably and are identical in all respects to the shares of Class A common stock and Class B common stock, respectively, as to all matters, except that each share of Class C common stock and Class D common stock is entitled to 1/100th of a vote on all stockholder matters.</w:t>
      </w:r>
    </w:p>
    <w:p>
      <w:pPr>
        <w:spacing w:after="0" w:line="181" w:lineRule="exact"/>
        <w:rPr>
          <w:rFonts w:ascii="Arial" w:cs="Arial" w:eastAsia="Arial" w:hAnsi="Arial"/>
          <w:sz w:val="16"/>
          <w:szCs w:val="16"/>
          <w:color w:val="auto"/>
        </w:rPr>
      </w:pPr>
    </w:p>
    <w:p>
      <w:pPr>
        <w:jc w:val="both"/>
        <w:ind w:left="660" w:right="20"/>
        <w:spacing w:after="0" w:line="264" w:lineRule="auto"/>
        <w:rPr>
          <w:rFonts w:ascii="Arial" w:cs="Arial" w:eastAsia="Arial" w:hAnsi="Arial"/>
          <w:sz w:val="16"/>
          <w:szCs w:val="16"/>
          <w:color w:val="auto"/>
        </w:rPr>
      </w:pPr>
      <w:r>
        <w:rPr>
          <w:rFonts w:ascii="Arial" w:cs="Arial" w:eastAsia="Arial" w:hAnsi="Arial"/>
          <w:sz w:val="18"/>
          <w:szCs w:val="18"/>
          <w:color w:val="auto"/>
        </w:rPr>
        <w:t>In connection with the amendments described above, the ROFO Agreement was amended to make additional assets available to the Company and Yield, Inc., should NRG choose to sell them, including (i) two natural gas facilities totaling 795 MW of net capacity that are expected to reach COD in 2017 and 2020, (ii) an equity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2" w:right="239" w:bottom="1440" w:gutter="0" w:footer="0" w:header="0"/>
        </w:sectPr>
      </w:pPr>
    </w:p>
    <w:bookmarkStart w:id="45" w:name="page46"/>
    <w:bookmarkEnd w:id="45"/>
    <w:p>
      <w:pPr>
        <w:ind w:left="660"/>
        <w:spacing w:after="0" w:line="277" w:lineRule="auto"/>
        <w:rPr>
          <w:sz w:val="20"/>
          <w:szCs w:val="20"/>
          <w:color w:val="auto"/>
        </w:rPr>
      </w:pPr>
      <w:r>
        <w:rPr>
          <w:rFonts w:ascii="Arial" w:cs="Arial" w:eastAsia="Arial" w:hAnsi="Arial"/>
          <w:sz w:val="18"/>
          <w:szCs w:val="18"/>
          <w:color w:val="auto"/>
        </w:rPr>
        <w:t>in a wind portfolio that includes wind facilities totaling approximately 934 MW of net capacity, and (iii) up to $250 million of equity interests in one or more residential or distributed solar generation portfolios developed by affiliates of NRG.</w:t>
      </w:r>
    </w:p>
    <w:p>
      <w:pPr>
        <w:spacing w:after="0" w:line="170" w:lineRule="exact"/>
        <w:rPr>
          <w:sz w:val="20"/>
          <w:szCs w:val="20"/>
          <w:color w:val="auto"/>
        </w:rPr>
      </w:pPr>
    </w:p>
    <w:p>
      <w:pPr>
        <w:jc w:val="both"/>
        <w:ind w:left="660" w:right="2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May 7, 2015, the Company acquired a 90.1% interest in Spring Canyon II, a 34 MW wind facility, and Spring Canyon III, a 29 MW wind facility, each located in Logan County, Colorado, from Invenergy Wind Global LLC. The purchase price was funded with cash on hand. Power generated by Spring Canyon II and Spring Canyon III is sold to Platte River Power Authority under long-term PPAs with approximately 24 years of remaining contract life.</w:t>
      </w:r>
    </w:p>
    <w:p>
      <w:pPr>
        <w:spacing w:after="0" w:line="186"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May 2015, the Company and NRG formed a partnership that will invest in and hold operating portfolios of distributed solar assets developed by NRG Renew, a subsidiary of NRG. The partnership will allow NRG to periodically monetize its distributed solar investments and the Company to invest in a growing segment of the solar market. Under the terms of the partnership agreement, the Company will receive 95% of the economics until achieving a targeted return, expected to be achieved commensurate with the end of the customer contract period, after which NRG will receive 95% of the economics. The Company has initially committed to invest up to $100 million of cash contributions into the partnership over time. The partnership is expected to be fully invested over the next 18 months.</w:t>
      </w:r>
    </w:p>
    <w:p>
      <w:pPr>
        <w:spacing w:after="0" w:line="124"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April 30, 2015, the Company completed the acquisition of the University of Bridgeport Fuel Cell project in Bridgeport, Connecticut from FuelCell Energy, Inc. The project added an additional 1.4 MW of thermal capacity with a 12 year contract, with the option for a 7-year extension.</w:t>
      </w:r>
    </w:p>
    <w:p>
      <w:pPr>
        <w:spacing w:after="0" w:line="69"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9, 2015, NRG and the Company entered into a partnership that will invest in and hold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in which the Company invested $26 million in April 2015; and (ii) in-development, tax equity financed portfolios of approximately 13,000 leases representing approximately 90 MW, with an average lease term for the existing and new leases of approximately 17 to 20 years, in which the Company invested $14 million of its $150 million commitment through June 30, 2015.</w:t>
      </w:r>
    </w:p>
    <w:p>
      <w:pPr>
        <w:spacing w:after="0" w:line="139"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 January 2, 2015, the Company acquired the following projects from NRG: (i) Laredo Ridge, an 80 MW wind facility located in Nebraska; (ii) the Tapestry projects, which include Buffalo Bear, a 19 MW wind facility in Oklahoma; Taloga, a 130 MW wind facility in Oklahoma; and Pinnacle, a 55 MW wind facility in West Virginia; and (iii) Walnut Creek, a 485 MW natural gas facility located in California, for total cash consideration of $489 million including adjustments of $9 million for working capital, plus assumed project level debt of $737 million. The Company funded the acquisition with cash on hand and approximately $210 million borrowed under the Company's revolving credit facility.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 Segundo Forced Outage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January 2015, El Segundo experienced a steam turbine water intrusion resulting in a forced outage on Units 5 and 6. The units returned to service in April 2015. The Company completed a root cause analysis and has implemented steps to prevent a recurrence of the event. The company continues to review the financial impact of repair costs and lost capacity revenue to determine amounts available for recovery through insurance or warranty claims.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Resource Availability</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first and second quarters of 2015, the Company's results were impacted by lower than normal wind resource availability. While the Company's wind facilities were available, adverse weather had a negative impact on wind resources. The Company cannot predict the impact of wind resource availability on future performance or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06" w:right="239" w:bottom="1440" w:gutter="0" w:footer="0" w:header="0"/>
        </w:sectPr>
      </w:pPr>
    </w:p>
    <w:bookmarkStart w:id="46" w:name="page47"/>
    <w:bookmarkEnd w:id="46"/>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and regulations surrounding the protection of wildlife, including migratory birds, eagles and threatened and endangered species. Environmental laws have become increasingly stringent and the Company expects this trend to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acquisitions of the June 2014 Drop Down Assets from NRG on June 30, 2014, and the January 2015 Drop Down Assets on January 2, 2015, were accounted for as a transfer of entities under common control. The guidance requires retrospective combination of the entities for all periods presented as if the combination has been in effect since the inception of common control. Accordingly, the Company prepared its consolidated financial statements to reflect the transfer as if it had taken place on January 1, 2014, or from the date the entities were under common control, which was April 1, 2014, for the January 2015 Drop Down Assets.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06" w:right="239" w:bottom="1440" w:gutter="0" w:footer="0" w:header="0"/>
        </w:sectPr>
      </w:pPr>
    </w:p>
    <w:bookmarkStart w:id="47" w:name="page48"/>
    <w:bookmarkEnd w:id="47"/>
    <w:p>
      <w:pPr>
        <w:ind w:left="4190"/>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right"/>
              <w:ind w:right="45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jc w:val="right"/>
              <w:ind w:right="511"/>
              <w:spacing w:after="0"/>
              <w:rPr>
                <w:sz w:val="20"/>
                <w:szCs w:val="20"/>
                <w:color w:val="auto"/>
              </w:rPr>
            </w:pPr>
            <w:r>
              <w:rPr>
                <w:rFonts w:ascii="Arial" w:cs="Arial" w:eastAsia="Arial" w:hAnsi="Arial"/>
                <w:sz w:val="14"/>
                <w:szCs w:val="14"/>
                <w:b w:val="1"/>
                <w:bCs w:val="1"/>
                <w:color w:val="auto"/>
                <w:w w:val="99"/>
              </w:rPr>
              <w:t>Six months ended 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otherwise noted)</w:t>
            </w:r>
          </w:p>
        </w:tc>
        <w:tc>
          <w:tcPr>
            <w:tcW w:w="22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Change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35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8"/>
              <w:spacing w:after="0"/>
              <w:rPr>
                <w:sz w:val="20"/>
                <w:szCs w:val="20"/>
                <w:color w:val="auto"/>
              </w:rPr>
            </w:pPr>
            <w:r>
              <w:rPr>
                <w:rFonts w:ascii="Arial" w:cs="Arial" w:eastAsia="Arial" w:hAnsi="Arial"/>
                <w:sz w:val="18"/>
                <w:szCs w:val="18"/>
                <w:color w:val="auto"/>
              </w:rPr>
              <w:t>420</w:t>
            </w:r>
          </w:p>
        </w:tc>
        <w:tc>
          <w:tcPr>
            <w:tcW w:w="240" w:type="dxa"/>
            <w:vAlign w:val="bottom"/>
            <w:gridSpan w:val="2"/>
          </w:tcPr>
          <w:p>
            <w:pPr>
              <w:jc w:val="center"/>
              <w:ind w:left="3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3"/>
          </w:tcPr>
          <w:p>
            <w:pPr>
              <w:jc w:val="right"/>
              <w:ind w:right="2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3"/>
          </w:tcPr>
          <w:p>
            <w:pPr>
              <w:jc w:val="right"/>
              <w:ind w:right="2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costs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3"/>
          </w:tcPr>
          <w:p>
            <w:pPr>
              <w:jc w:val="right"/>
              <w:ind w:right="28"/>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General and administrative — affiliate</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3"/>
          </w:tcPr>
          <w:p>
            <w:pPr>
              <w:jc w:val="right"/>
              <w:ind w:right="2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9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3"/>
          </w:tcPr>
          <w:p>
            <w:pPr>
              <w:jc w:val="right"/>
              <w:ind w:right="2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ind w:left="140"/>
              <w:spacing w:after="0"/>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8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3"/>
          </w:tcPr>
          <w:p>
            <w:pPr>
              <w:ind w:left="34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9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NRG Yield LLC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24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0" w:type="dxa"/>
            <w:vAlign w:val="bottom"/>
            <w:vMerge w:val="restart"/>
          </w:tcPr>
          <w:p>
            <w:pPr>
              <w:spacing w:after="0"/>
              <w:rPr>
                <w:sz w:val="24"/>
                <w:szCs w:val="24"/>
                <w:color w:val="auto"/>
              </w:rPr>
            </w:pPr>
          </w:p>
        </w:tc>
        <w:tc>
          <w:tcPr>
            <w:tcW w:w="258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60" w:type="dxa"/>
            <w:vAlign w:val="bottom"/>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right"/>
              <w:ind w:right="271"/>
              <w:spacing w:after="0"/>
              <w:rPr>
                <w:sz w:val="20"/>
                <w:szCs w:val="20"/>
                <w:color w:val="auto"/>
              </w:rPr>
            </w:pPr>
            <w:r>
              <w:rPr>
                <w:rFonts w:ascii="Arial" w:cs="Arial" w:eastAsia="Arial" w:hAnsi="Arial"/>
                <w:sz w:val="14"/>
                <w:szCs w:val="14"/>
                <w:b w:val="1"/>
                <w:bCs w:val="1"/>
                <w:color w:val="auto"/>
                <w:w w:val="90"/>
              </w:rPr>
              <w:t>Six months ended June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Business metrics:</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gridSpan w:val="3"/>
          </w:tcPr>
          <w:p>
            <w:pPr>
              <w:jc w:val="center"/>
              <w:ind w:right="3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shd w:val="clear" w:color="auto" w:fill="CCEEFF"/>
          </w:tcPr>
          <w:p>
            <w:pPr>
              <w:spacing w:after="0"/>
              <w:rPr>
                <w:sz w:val="23"/>
                <w:szCs w:val="23"/>
                <w:color w:val="auto"/>
              </w:rPr>
            </w:pPr>
          </w:p>
        </w:tc>
        <w:tc>
          <w:tcPr>
            <w:tcW w:w="4800" w:type="dxa"/>
            <w:vAlign w:val="bottom"/>
            <w:tcBorders>
              <w:top w:val="single" w:sz="8" w:color="CCEEFF"/>
            </w:tcBorders>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Renewable MWh sold (in thousands) </w:t>
            </w:r>
            <w:r>
              <w:rPr>
                <w:rFonts w:ascii="Arial" w:cs="Arial" w:eastAsia="Arial" w:hAnsi="Arial"/>
                <w:sz w:val="25"/>
                <w:szCs w:val="25"/>
                <w:color w:val="auto"/>
                <w:vertAlign w:val="superscript"/>
              </w:rPr>
              <w:t>(a)</w:t>
            </w:r>
          </w:p>
        </w:tc>
        <w:tc>
          <w:tcPr>
            <w:tcW w:w="22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w:t>
            </w: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1,904</w:t>
            </w:r>
          </w:p>
        </w:tc>
        <w:tc>
          <w:tcPr>
            <w:tcW w:w="1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Thermal MWt sold (in thousands)</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1,051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Thermal MWh sold (in thousands)</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450" w:right="3700" w:hanging="5450"/>
        <w:spacing w:after="0"/>
        <w:tabs>
          <w:tab w:leader="none" w:pos="167"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Volumes sold do not include the MWh generated by the Company's equity method investments.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3893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ectPr>
          <w:pgSz w:w="11900" w:h="16838" w:orient="portrait"/>
          <w:cols w:equalWidth="0" w:num="1">
            <w:col w:w="10750"/>
          </w:cols>
          <w:pgMar w:left="410" w:top="702" w:right="739" w:bottom="1440" w:gutter="0" w:footer="0" w:header="0"/>
        </w:sectPr>
      </w:pPr>
    </w:p>
    <w:bookmarkStart w:id="48" w:name="page49"/>
    <w:bookmarkEnd w:id="48"/>
    <w:p>
      <w:pPr>
        <w:ind w:right="3160"/>
        <w:spacing w:after="0" w:line="438"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June 30, 2015, and 2014 </w:t>
      </w:r>
      <w:r>
        <w:rPr>
          <w:rFonts w:ascii="Arial" w:cs="Arial" w:eastAsia="Arial" w:hAnsi="Arial"/>
          <w:sz w:val="18"/>
          <w:szCs w:val="18"/>
          <w:b w:val="1"/>
          <w:bCs w:val="1"/>
          <w:i w:val="1"/>
          <w:iCs w:val="1"/>
          <w:color w:val="auto"/>
        </w:rPr>
        <w:t>Gross Margin</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2015</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Operating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235</w:t>
            </w: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6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218</w:t>
            </w:r>
          </w:p>
        </w:tc>
      </w:tr>
      <w:tr>
        <w:trPr>
          <w:trHeight w:val="284"/>
        </w:trPr>
        <w:tc>
          <w:tcPr>
            <w:tcW w:w="6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June 30, 2014</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r>
      <w:tr>
        <w:trPr>
          <w:trHeight w:val="243"/>
        </w:trPr>
        <w:tc>
          <w:tcPr>
            <w:tcW w:w="6260" w:type="dxa"/>
            <w:vAlign w:val="bottom"/>
          </w:tcPr>
          <w:p>
            <w:pPr>
              <w:ind w:left="160"/>
              <w:spacing w:after="0"/>
              <w:rPr>
                <w:sz w:val="20"/>
                <w:szCs w:val="20"/>
                <w:color w:val="auto"/>
              </w:rPr>
            </w:pPr>
            <w:r>
              <w:rPr>
                <w:rFonts w:ascii="Arial" w:cs="Arial" w:eastAsia="Arial" w:hAnsi="Arial"/>
                <w:sz w:val="18"/>
                <w:szCs w:val="18"/>
                <w:color w:val="auto"/>
              </w:rPr>
              <w:t>Cost of fuels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Gross margin increased by $62 million during the three months ended June 30, 2015, compared to the same period in 2014, primarily due to the acquisition of the Alta Wind Portfolio in August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amortization</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Contract amortization increased by $13 million due primarily to the amortization of the PPAs acquired in the acquisitions of the Alta Wind Portfolio in August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Mark-to-market for economic hedging activities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Mark-to-market results represent the unrealized losses on forward contracts with an NRG subsidiary hedging the sale of power from the Alta X and Alta XI wind facilities extending through the end of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Costs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Conventional</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Renewables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Thermal</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264"/>
        </w:trPr>
        <w:tc>
          <w:tcPr>
            <w:tcW w:w="6260" w:type="dxa"/>
            <w:vAlign w:val="bottom"/>
          </w:tcPr>
          <w:p>
            <w:pPr>
              <w:ind w:left="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Three months ended June 30, 2014</w:t>
            </w:r>
          </w:p>
        </w:tc>
        <w:tc>
          <w:tcPr>
            <w:tcW w:w="20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35</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operating costs increased by $15 million during the three months ended June 30, 2015, compared to the same period in 2014, due to:</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5"/>
        </w:trPr>
        <w:tc>
          <w:tcPr>
            <w:tcW w:w="10340" w:type="dxa"/>
            <w:vAlign w:val="bottom"/>
          </w:tcPr>
          <w:p>
            <w:pPr>
              <w:ind w:left="40"/>
              <w:spacing w:after="0"/>
              <w:rPr>
                <w:sz w:val="20"/>
                <w:szCs w:val="20"/>
                <w:color w:val="auto"/>
              </w:rPr>
            </w:pPr>
            <w:r>
              <w:rPr>
                <w:rFonts w:ascii="Arial" w:cs="Arial" w:eastAsia="Arial" w:hAnsi="Arial"/>
                <w:sz w:val="18"/>
                <w:szCs w:val="18"/>
                <w:color w:val="auto"/>
                <w:w w:val="91"/>
              </w:rPr>
              <w:t>Increase due to operations and maintenance expense and property tax expense, primarily for the Alta Wind Portfolio acquired in August 2014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10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Increase in costs primarily associated with operations and maintenance expense due to the forced outage at El Segundo in the first half of the</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57"/>
        </w:trPr>
        <w:tc>
          <w:tcPr>
            <w:tcW w:w="10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year, returning to service in April 2015</w:t>
            </w: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37"/>
        </w:trPr>
        <w:tc>
          <w:tcPr>
            <w:tcW w:w="103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10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10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increased by $5 million during the three months ended June 30, 2015, compared to the same period in 2014, due primarily to the acquisition of the Alta Wind Portfolio in August 2014, partially offset by the impact of the final adjustments to acquisition accounting for the January 2015 Drop Down Assets.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earnings of unconsolidated affiliates decreased by $5 million during the three months ended June 30, 2015, compared to the same period in 2014, due primarily to reduced equity in earnings from CVSR.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0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increased by $9 million during the three months ended June 30, 2015, compared to the same period in 2014, due primarily to:</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3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5"/>
        </w:trPr>
        <w:tc>
          <w:tcPr>
            <w:tcW w:w="10340" w:type="dxa"/>
            <w:vAlign w:val="bottom"/>
          </w:tcPr>
          <w:p>
            <w:pPr>
              <w:ind w:left="20"/>
              <w:spacing w:after="0"/>
              <w:rPr>
                <w:sz w:val="20"/>
                <w:szCs w:val="20"/>
                <w:color w:val="auto"/>
              </w:rPr>
            </w:pPr>
            <w:r>
              <w:rPr>
                <w:rFonts w:ascii="Arial" w:cs="Arial" w:eastAsia="Arial" w:hAnsi="Arial"/>
                <w:sz w:val="18"/>
                <w:szCs w:val="18"/>
                <w:color w:val="auto"/>
              </w:rPr>
              <w:t>Increase due to acquisition of the Alta Wind Portfolio in August 2014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from the issuance of intercompany debt with Yield, Inc. due 2019 and the Senior Notes due 2024</w:t>
            </w:r>
          </w:p>
        </w:tc>
        <w:tc>
          <w:tcPr>
            <w:tcW w:w="4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10340" w:type="dxa"/>
            <w:vAlign w:val="bottom"/>
          </w:tcPr>
          <w:p>
            <w:pPr>
              <w:ind w:left="20"/>
              <w:spacing w:after="0"/>
              <w:rPr>
                <w:sz w:val="20"/>
                <w:szCs w:val="20"/>
                <w:color w:val="auto"/>
              </w:rPr>
            </w:pPr>
            <w:r>
              <w:rPr>
                <w:rFonts w:ascii="Arial" w:cs="Arial" w:eastAsia="Arial" w:hAnsi="Arial"/>
                <w:sz w:val="18"/>
                <w:szCs w:val="18"/>
                <w:color w:val="auto"/>
              </w:rPr>
              <w:t>Decrease from repricing of project-level financing arrangements and principal repayments</w:t>
            </w:r>
          </w:p>
        </w:tc>
        <w:tc>
          <w:tcPr>
            <w:tcW w:w="4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0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10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from changes in the fair value of interest rate swaps</w:t>
            </w: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1034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10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10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For the three months ended June 30, 2015, the Company had income of $7 million attributable to noncontrolling interests with respect to its tax equity financing arrangements and the application of the hypothetical liquidation at book value, or HLBV, method.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06" w:right="259" w:bottom="1440" w:gutter="0" w:footer="0" w:header="0"/>
        </w:sectPr>
      </w:pPr>
    </w:p>
    <w:bookmarkStart w:id="50" w:name="page51"/>
    <w:bookmarkEnd w:id="50"/>
    <w:p>
      <w:pPr>
        <w:ind w:right="3420"/>
        <w:spacing w:after="0" w:line="470" w:lineRule="auto"/>
        <w:rPr>
          <w:sz w:val="20"/>
          <w:szCs w:val="20"/>
          <w:color w:val="auto"/>
        </w:rPr>
      </w:pPr>
      <w:r>
        <w:rPr>
          <w:rFonts w:ascii="Arial" w:cs="Arial" w:eastAsia="Arial" w:hAnsi="Arial"/>
          <w:sz w:val="18"/>
          <w:szCs w:val="18"/>
          <w:b w:val="1"/>
          <w:bCs w:val="1"/>
          <w:color w:val="auto"/>
        </w:rPr>
        <w:t xml:space="preserve">Management’s Discussion of the Results of Operations for the Six Months ended June 30, 2015 and 2014 </w:t>
      </w:r>
      <w:r>
        <w:rPr>
          <w:rFonts w:ascii="Arial" w:cs="Arial" w:eastAsia="Arial" w:hAnsi="Arial"/>
          <w:sz w:val="18"/>
          <w:szCs w:val="18"/>
          <w:b w:val="1"/>
          <w:bCs w:val="1"/>
          <w:i w:val="1"/>
          <w:iCs w:val="1"/>
          <w:color w:val="auto"/>
        </w:rPr>
        <w:t>Gross Margin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Conventional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2015</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420</w:t>
            </w: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382</w:t>
            </w:r>
          </w:p>
        </w:tc>
      </w:tr>
      <w:tr>
        <w:trPr>
          <w:trHeight w:val="284"/>
        </w:trPr>
        <w:tc>
          <w:tcPr>
            <w:tcW w:w="5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Six months ended June 30, 2014</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 of fuels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261</w:t>
            </w: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Gross margin increased by $121 million during the six months ended June 30, 2015, compared to the same period in 2014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ectPr>
          <w:pgSz w:w="11900" w:h="16838" w:orient="portrait"/>
          <w:cols w:equalWidth="0" w:num="1">
            <w:col w:w="11420"/>
          </w:cols>
          <w:pgMar w:left="240" w:top="702" w:right="239" w:bottom="1440" w:gutter="0" w:footer="0" w:header="0"/>
        </w:sectPr>
      </w:pPr>
    </w:p>
    <w:p>
      <w:pPr>
        <w:spacing w:after="0" w:line="50" w:lineRule="exact"/>
        <w:rPr>
          <w:sz w:val="20"/>
          <w:szCs w:val="20"/>
          <w:color w:val="auto"/>
        </w:rPr>
      </w:pPr>
    </w:p>
    <w:p>
      <w:pPr>
        <w:ind w:left="200" w:right="200" w:hanging="161"/>
        <w:spacing w:after="0" w:line="277" w:lineRule="auto"/>
        <w:rPr>
          <w:sz w:val="20"/>
          <w:szCs w:val="20"/>
          <w:color w:val="auto"/>
        </w:rPr>
      </w:pPr>
      <w:r>
        <w:rPr>
          <w:rFonts w:ascii="Arial" w:cs="Arial" w:eastAsia="Arial" w:hAnsi="Arial"/>
          <w:sz w:val="18"/>
          <w:szCs w:val="18"/>
          <w:color w:val="auto"/>
        </w:rPr>
        <w:t>Increase in Renewables gross margin due to the acquisition of the Alta Wind Portfolio in August 2014, and the Tapestry and Laredo Ridge projects, which were acquired by NRG in April 2014 and sold to the Company on January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200" w:hanging="161"/>
        <w:spacing w:after="0" w:line="264" w:lineRule="auto"/>
        <w:rPr>
          <w:sz w:val="20"/>
          <w:szCs w:val="20"/>
          <w:color w:val="auto"/>
        </w:rPr>
      </w:pPr>
      <w:r>
        <w:rPr>
          <w:rFonts w:ascii="Arial" w:cs="Arial" w:eastAsia="Arial" w:hAnsi="Arial"/>
          <w:sz w:val="18"/>
          <w:szCs w:val="18"/>
          <w:color w:val="auto"/>
        </w:rPr>
        <w:t>Increase in Conventional gross margin due to Walnut Creek, which was acquired by NRG in April 2014 and sold to the Company on January 2, 2015, partially offset by reduced revenues at El Segundo due to the forced outage in the first half of 2015, returning to service in April 2015</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 Thermal gross margin due to milder weather conditions in the first half of 2015 compared to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amortization</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620" w:hanging="619"/>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22</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ind w:left="620" w:hanging="619"/>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48895</wp:posOffset>
            </wp:positionV>
            <wp:extent cx="6515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10200" w:space="220"/>
            <w:col w:w="1000"/>
          </w:cols>
          <w:pgMar w:left="240" w:top="702" w:right="239" w:bottom="1440" w:gutter="0" w:footer="0" w:header="0"/>
          <w:type w:val="continuous"/>
        </w:sectPr>
      </w:pPr>
    </w:p>
    <w:p>
      <w:pPr>
        <w:ind w:right="300" w:firstLine="405"/>
        <w:spacing w:after="0" w:line="308" w:lineRule="auto"/>
        <w:rPr>
          <w:sz w:val="20"/>
          <w:szCs w:val="20"/>
          <w:color w:val="auto"/>
        </w:rPr>
      </w:pPr>
      <w:r>
        <w:rPr>
          <w:rFonts w:ascii="Arial" w:cs="Arial" w:eastAsia="Arial" w:hAnsi="Arial"/>
          <w:sz w:val="17"/>
          <w:szCs w:val="17"/>
          <w:color w:val="auto"/>
        </w:rPr>
        <w:t>Contract amortization increased by $25 million due to the amortization of the PPAs acquired in the acquisitions of the Alta Wind Portfolio in August 2014, and the January 2015 Drop Down Assets, which were acquired by NRG in April 2014 and sold to the Company on January 2,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Mark-to-market for economic hedging activities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Mark-to-market results represent the unrealized gains on forward contracts with an NRG subsidiary hedging the sale of power from the Alta X and Alta XI wind facilities extending through the end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Costs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Conventional</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Renewables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Thermal</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2015</w:t>
            </w:r>
          </w:p>
        </w:tc>
        <w:tc>
          <w:tcPr>
            <w:tcW w:w="2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Six months ended June 30, 2014</w:t>
            </w: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60</w:t>
            </w:r>
          </w:p>
        </w:tc>
      </w:tr>
      <w:tr>
        <w:trPr>
          <w:trHeight w:val="486"/>
        </w:trPr>
        <w:tc>
          <w:tcPr>
            <w:tcW w:w="4000" w:type="dxa"/>
            <w:vAlign w:val="bottom"/>
          </w:tcPr>
          <w:p>
            <w:pPr>
              <w:spacing w:after="0"/>
              <w:rPr>
                <w:sz w:val="24"/>
                <w:szCs w:val="24"/>
                <w:color w:val="auto"/>
              </w:rPr>
            </w:pPr>
          </w:p>
        </w:tc>
        <w:tc>
          <w:tcPr>
            <w:tcW w:w="2280" w:type="dxa"/>
            <w:vAlign w:val="bottom"/>
          </w:tcPr>
          <w:p>
            <w:pPr>
              <w:jc w:val="right"/>
              <w:ind w:right="39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702" w:right="239" w:bottom="1440" w:gutter="0" w:footer="0" w:header="0"/>
          <w:type w:val="continuous"/>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0" w:type="dxa"/>
            <w:vAlign w:val="bottom"/>
          </w:tcPr>
          <w:p>
            <w:pPr>
              <w:ind w:left="420"/>
              <w:spacing w:after="0"/>
              <w:rPr>
                <w:sz w:val="20"/>
                <w:szCs w:val="20"/>
                <w:color w:val="auto"/>
              </w:rPr>
            </w:pPr>
            <w:r>
              <w:rPr>
                <w:rFonts w:ascii="Arial" w:cs="Arial" w:eastAsia="Arial" w:hAnsi="Arial"/>
                <w:sz w:val="18"/>
                <w:szCs w:val="18"/>
                <w:color w:val="auto"/>
                <w:w w:val="91"/>
              </w:rPr>
              <w:t>Other operating costs increased by $44 million during the six months ended June 30, 2015, compared to the same period in 2014 due to:</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35"/>
        </w:trPr>
        <w:tc>
          <w:tcPr>
            <w:tcW w:w="10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29"/>
        </w:trPr>
        <w:tc>
          <w:tcPr>
            <w:tcW w:w="10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Increase primarily due to operations and maintenance expense for the Alta Wind Portfolio acquired in August 2014 and the January 2015 Drop</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7"/>
        </w:trPr>
        <w:tc>
          <w:tcPr>
            <w:tcW w:w="10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Down Assets, which were acquired by NRG in April 2014 and sold to the Company on January 2, 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29"/>
        </w:trPr>
        <w:tc>
          <w:tcPr>
            <w:tcW w:w="10400" w:type="dxa"/>
            <w:vAlign w:val="bottom"/>
          </w:tcPr>
          <w:p>
            <w:pPr>
              <w:ind w:left="40"/>
              <w:spacing w:after="0"/>
              <w:rPr>
                <w:sz w:val="20"/>
                <w:szCs w:val="20"/>
                <w:color w:val="auto"/>
              </w:rPr>
            </w:pPr>
            <w:r>
              <w:rPr>
                <w:rFonts w:ascii="Arial" w:cs="Arial" w:eastAsia="Arial" w:hAnsi="Arial"/>
                <w:sz w:val="18"/>
                <w:szCs w:val="18"/>
                <w:color w:val="auto"/>
                <w:w w:val="93"/>
              </w:rPr>
              <w:t>Increase in operations and maintenance expense related to El Segundo's forced outage in the first half of 2015, returning to service in April</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10400" w:type="dxa"/>
            <w:vAlign w:val="bottom"/>
          </w:tcPr>
          <w:p>
            <w:pPr>
              <w:ind w:left="20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10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10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104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10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10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Depreciation and amortization increased by $35 million during the six months ended June 30, 2015, compared to the same period in 2014, due primarily to the acquisition of the Alta Wind Portfolio in August 2014 and the January 2015 Drop Down Assets, which were acquired by NRG in April 2014 and sold to the Company on January 2, 2015, partially offset by the impact of the final adjustments to acquisition accounting for Walnut Creek, Tapestry and Laredo Ridge.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earnings of unconsolidated affiliates decreased by $5 million during the six months ended June 30, 2015, compared to the same period in 2014, due primarily to reduced equity in earnings from CVSR.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$52 million during the six months ended June 30, 2015, compared to the same period in 2014, due to:</w:t>
      </w:r>
    </w:p>
    <w:p>
      <w:pPr>
        <w:spacing w:after="0" w:line="378"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5"/>
        </w:trPr>
        <w:tc>
          <w:tcPr>
            <w:tcW w:w="99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Increase due to the acquisition of the Alta Wind Portfolio in August 2014 and the acquisition of the January 2015Assets, which were</w:t>
            </w: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by NRG in April 2014 and sold to the Company on January 2, 2015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Increase from the issuance of intercompany debt with Yield, Inc. due 2019 and the Senior Notes due 2024</w:t>
            </w:r>
          </w:p>
        </w:tc>
        <w:tc>
          <w:tcPr>
            <w:tcW w:w="4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borrowings under the Company's revolving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Decrease from repricing of project-level financing arrangements and principal repayments</w:t>
            </w:r>
          </w:p>
        </w:tc>
        <w:tc>
          <w:tcPr>
            <w:tcW w:w="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from changes in the fair value of interest rate swaps</w:t>
            </w:r>
          </w:p>
        </w:tc>
        <w:tc>
          <w:tcPr>
            <w:tcW w:w="4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99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9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w:t>
      </w:r>
    </w:p>
    <w:p>
      <w:pPr>
        <w:spacing w:after="0" w:line="22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For the six months ended June 30, 2015, the Company had income of $7 million attributable to noncontrolling interests with respect to its tax equity financing arrangements and the application of the HLBV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to service debt and to pay distributions. Historically, the Company's predecessor operations were financed as part of NRG's integrated operations and largely relied on internally generated cash flows as well as corporate and/or project-level borrowings to satisfy its capital expenditure requirements. </w:t>
      </w:r>
      <w:r>
        <w:rPr>
          <w:rFonts w:ascii="Arial" w:cs="Arial" w:eastAsia="Arial" w:hAnsi="Arial"/>
          <w:sz w:val="17"/>
          <w:szCs w:val="17"/>
          <w:color w:val="000000"/>
        </w:rPr>
        <w:t>As a normal part of the Company's business, depending on market conditions, the Company will from time to time consider</w:t>
      </w:r>
      <w:r>
        <w:rPr>
          <w:rFonts w:ascii="Arial" w:cs="Arial" w:eastAsia="Arial" w:hAnsi="Arial"/>
          <w:sz w:val="17"/>
          <w:szCs w:val="17"/>
          <w:color w:val="231F20"/>
        </w:rPr>
        <w:t xml:space="preserve"> </w:t>
      </w:r>
      <w:r>
        <w:rPr>
          <w:rFonts w:ascii="Arial" w:cs="Arial" w:eastAsia="Arial" w:hAnsi="Arial"/>
          <w:sz w:val="17"/>
          <w:szCs w:val="17"/>
          <w:color w:val="000000"/>
        </w:rPr>
        <w:t>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2015</w:t>
      </w:r>
      <w:r>
        <w:rPr>
          <w:rFonts w:ascii="Arial" w:cs="Arial" w:eastAsia="Arial" w:hAnsi="Arial"/>
          <w:sz w:val="18"/>
          <w:szCs w:val="18"/>
          <w:color w:val="231F20"/>
        </w:rPr>
        <w:t xml:space="preserve">, and </w:t>
      </w:r>
      <w:r>
        <w:rPr>
          <w:rFonts w:ascii="Arial" w:cs="Arial" w:eastAsia="Arial" w:hAnsi="Arial"/>
          <w:sz w:val="18"/>
          <w:szCs w:val="18"/>
          <w:color w:val="000000"/>
        </w:rPr>
        <w:t>December 31, 2014</w:t>
      </w:r>
      <w:r>
        <w:rPr>
          <w:rFonts w:ascii="Arial" w:cs="Arial" w:eastAsia="Arial" w:hAnsi="Arial"/>
          <w:sz w:val="18"/>
          <w:szCs w:val="18"/>
          <w:color w:val="231F20"/>
        </w:rPr>
        <w:t xml:space="preserve">, the Company's liquidity was approximately </w:t>
      </w:r>
      <w:r>
        <w:rPr>
          <w:rFonts w:ascii="Arial" w:cs="Arial" w:eastAsia="Arial" w:hAnsi="Arial"/>
          <w:sz w:val="18"/>
          <w:szCs w:val="18"/>
          <w:color w:val="000000"/>
        </w:rPr>
        <w:t>$515 million</w:t>
      </w:r>
      <w:r>
        <w:rPr>
          <w:rFonts w:ascii="Arial" w:cs="Arial" w:eastAsia="Arial" w:hAnsi="Arial"/>
          <w:sz w:val="18"/>
          <w:szCs w:val="18"/>
          <w:color w:val="231F20"/>
        </w:rPr>
        <w:t xml:space="preserve"> and $863 million, respectively, comprised of cash, restricted cash, and availability under the Company's revolving credit facility. The decrease primarily relates to the acquisition of the January 2015 Drop Down Assets. The Company's various financing arrangements are described in Note 8, </w:t>
      </w:r>
      <w:r>
        <w:rPr>
          <w:rFonts w:ascii="Arial" w:cs="Arial" w:eastAsia="Arial" w:hAnsi="Arial"/>
          <w:sz w:val="18"/>
          <w:szCs w:val="18"/>
          <w:i w:val="1"/>
          <w:iCs w:val="1"/>
          <w:color w:val="231F20"/>
        </w:rPr>
        <w:t>Long-term Debt.</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finance growth, operating and maintenance capital expenditures, and to fund distributions to Yield, Inc. and NRG, both in the near and longer term. Management continues to regularly monitor the Company's ability to finance the needs of its operating, financing and investing activity within the dictates of prudent balance sheet management.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The Company's Senior Notes are rated BB+ by S&amp;P and Ba1 by Moody's.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securities by Yield, Inc. as appropriate given market conditions. As described in Note 8, </w:t>
      </w:r>
      <w:r>
        <w:rPr>
          <w:rFonts w:ascii="Arial" w:cs="Arial" w:eastAsia="Arial" w:hAnsi="Arial"/>
          <w:sz w:val="18"/>
          <w:szCs w:val="18"/>
          <w:i w:val="1"/>
          <w:iCs w:val="1"/>
          <w:color w:val="231F20"/>
        </w:rPr>
        <w:t>Long-term Debt</w:t>
      </w:r>
      <w:r>
        <w:rPr>
          <w:rFonts w:ascii="Arial" w:cs="Arial" w:eastAsia="Arial" w:hAnsi="Arial"/>
          <w:sz w:val="18"/>
          <w:szCs w:val="18"/>
          <w:color w:val="231F20"/>
        </w:rPr>
        <w:t>, the Company's financing arrangements consist of the revolving credit facility, the Senior Notes, its intercompany borrowings with Yield, Inc. and project-level financings for its various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Recapitalization</w:t>
      </w:r>
    </w:p>
    <w:p>
      <w:pPr>
        <w:spacing w:after="0" w:line="14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Significant Events During 2015</w:t>
      </w:r>
      <w:r>
        <w:rPr>
          <w:rFonts w:ascii="Arial" w:cs="Arial" w:eastAsia="Arial" w:hAnsi="Arial"/>
          <w:sz w:val="17"/>
          <w:szCs w:val="17"/>
          <w:color w:val="auto"/>
        </w:rPr>
        <w:t xml:space="preserve"> in this Item 2 above, amendments to the Yield, Inc.'s certificate of incorporation were approved by the Yield, Inc.'s stockholders at the Annual Meeting of Stockholders held on May 5, 2015 and the Recapitalization became effective on May 14, 2015.</w:t>
      </w:r>
    </w:p>
    <w:p>
      <w:pPr>
        <w:spacing w:after="0" w:line="14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Class C common stock and Class D common stock have the same rights and privileges and rank equally, share ratably and are identical in all respects to the shares of Class A common stock and Class B common stock, respectively, as to all matters, except that each share of Class C common stock and Class D common stock is entitled to 1/100th of a vote on all stockholder matters. As described above, on June 29, 2015, Yield, Inc. completed the issuance of 28,198,000 shares of Class C common stock for net proceeds of $600 million, net of underwriting discounts and commissions of $20 million. Yield, Inc. utilized the proceeds of the offering to acquire 28,198,000 Class C units of the Company.</w:t>
      </w:r>
    </w:p>
    <w:p>
      <w:pPr>
        <w:spacing w:after="0" w:line="2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8</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(ii) capital expenditures; (iii) acquisitions and investments; and (iv) distributions.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02" w:right="23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3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Company's capital spending program is mainly focused on maintenance capital expenditures, or costs to maintain the assets currently operating, such as costs to replace or refurbish assets during routine maintenance. The Company develops annual capital spending plans based on projected requirements for maintenance capital. For the six months ended </w:t>
      </w:r>
      <w:r>
        <w:rPr>
          <w:rFonts w:ascii="Arial" w:cs="Arial" w:eastAsia="Arial" w:hAnsi="Arial"/>
          <w:sz w:val="18"/>
          <w:szCs w:val="18"/>
          <w:color w:val="000000"/>
        </w:rPr>
        <w:t>June 30, 2015</w:t>
      </w:r>
      <w:r>
        <w:rPr>
          <w:rFonts w:ascii="Arial" w:cs="Arial" w:eastAsia="Arial" w:hAnsi="Arial"/>
          <w:sz w:val="18"/>
          <w:szCs w:val="18"/>
          <w:color w:val="231F20"/>
        </w:rPr>
        <w:t xml:space="preserve">, and 2014, the Company used approximately $8 million and $29 million, respectively, to fund capital expenditures. The capital expenditures in the first half of 2015 primarily related to maintenance expense. During the six months ended June 30, 2015, the Company did not incur significant growth capital expenditures related to the </w:t>
      </w:r>
      <w:r>
        <w:rPr>
          <w:rFonts w:ascii="Arial" w:cs="Arial" w:eastAsia="Arial" w:hAnsi="Arial"/>
          <w:sz w:val="18"/>
          <w:szCs w:val="18"/>
          <w:color w:val="000000"/>
        </w:rPr>
        <w:t>construction of new assets and/or the completion of the construction of</w:t>
      </w:r>
      <w:r>
        <w:rPr>
          <w:rFonts w:ascii="Arial" w:cs="Arial" w:eastAsia="Arial" w:hAnsi="Arial"/>
          <w:sz w:val="18"/>
          <w:szCs w:val="18"/>
          <w:color w:val="231F20"/>
        </w:rPr>
        <w:t xml:space="preserve"> </w:t>
      </w:r>
      <w:r>
        <w:rPr>
          <w:rFonts w:ascii="Arial" w:cs="Arial" w:eastAsia="Arial" w:hAnsi="Arial"/>
          <w:sz w:val="18"/>
          <w:szCs w:val="18"/>
          <w:color w:val="000000"/>
        </w:rPr>
        <w:t>new assets if already in process.</w:t>
      </w:r>
    </w:p>
    <w:p>
      <w:pPr>
        <w:spacing w:after="0" w:line="139"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In January 2015, El Segundo experienced a steam turbine water intrusion resulting in a forced outage on Units 5 and 6. The units returned to service in April 2015. The Company completed a root cause analysis and has implemented steps to prevent a recurrence of the event. The company continues to review the financial impact of repair costs and lost capacity revenue to determine amounts available for recovery through insurance or warranty claims.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intends to acquire generation assets developed and constructed by NRG in the future, as well as generation and thermal infrastructure assets from third parties where the Company believes its knowledge of the market, operating expertise and access to capital provides a competitive advantage, and to utilize such acquisitions as a means to grow its cash available for distribution. As described above in </w:t>
      </w:r>
      <w:r>
        <w:rPr>
          <w:rFonts w:ascii="Arial" w:cs="Arial" w:eastAsia="Arial" w:hAnsi="Arial"/>
          <w:sz w:val="18"/>
          <w:szCs w:val="18"/>
          <w:i w:val="1"/>
          <w:iCs w:val="1"/>
          <w:color w:val="auto"/>
        </w:rPr>
        <w:t>Significant Events in 2015</w:t>
      </w:r>
      <w:r>
        <w:rPr>
          <w:rFonts w:ascii="Arial" w:cs="Arial" w:eastAsia="Arial" w:hAnsi="Arial"/>
          <w:sz w:val="18"/>
          <w:szCs w:val="18"/>
          <w:color w:val="auto"/>
        </w:rPr>
        <w:t>, the following acquisitions and investments occurred in 2015:</w:t>
      </w:r>
    </w:p>
    <w:p>
      <w:pPr>
        <w:spacing w:after="0" w:line="133" w:lineRule="exact"/>
        <w:rPr>
          <w:sz w:val="20"/>
          <w:szCs w:val="20"/>
          <w:color w:val="auto"/>
        </w:rPr>
      </w:pPr>
    </w:p>
    <w:p>
      <w:pPr>
        <w:jc w:val="both"/>
        <w:ind w:left="1300" w:hanging="239"/>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June 29, 2015, the Company acquired 25% of the membership interest in Desert Sunlight Investment Holdings, LLC, which owns two solar photovoltaic facilities that total 550 MW located in Desert Center, California, from EFS Desert Sun, LLC, a subsidiary of GE Energy Financial Services for a purchase price of $285 million.</w:t>
      </w:r>
    </w:p>
    <w:p>
      <w:pPr>
        <w:spacing w:after="0" w:line="181" w:lineRule="exact"/>
        <w:rPr>
          <w:rFonts w:ascii="Arial" w:cs="Arial" w:eastAsia="Arial" w:hAnsi="Arial"/>
          <w:sz w:val="18"/>
          <w:szCs w:val="18"/>
          <w:color w:val="auto"/>
        </w:rPr>
      </w:pPr>
    </w:p>
    <w:p>
      <w:pPr>
        <w:jc w:val="both"/>
        <w:ind w:left="1300" w:hanging="239"/>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May 7, 2015, the Company acquired a 90.1% interest in Spring Canyon II, a 34 MW wind facility, and Spring Canyon III, a 29 MW wind facility, each located in Logan County, Colorado, from Invenergy Wind Global LLC. The purchase price was funded with cash on hand.</w:t>
      </w:r>
    </w:p>
    <w:p>
      <w:pPr>
        <w:spacing w:after="0" w:line="181" w:lineRule="exact"/>
        <w:rPr>
          <w:rFonts w:ascii="Arial" w:cs="Arial" w:eastAsia="Arial" w:hAnsi="Arial"/>
          <w:sz w:val="18"/>
          <w:szCs w:val="18"/>
          <w:color w:val="auto"/>
        </w:rPr>
      </w:pPr>
    </w:p>
    <w:p>
      <w:pPr>
        <w:jc w:val="both"/>
        <w:ind w:left="1300" w:hanging="239"/>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April 30, 2015, the Company completed the acquisition of the University of Bridgeport Fuel Cell project in Bridgeport, CT from FuelCell Energy, Inc. The project added an additional 1.4 MW of thermal capacity with a 12 year contract, with the option for a 7-year extension.</w:t>
      </w:r>
    </w:p>
    <w:p>
      <w:pPr>
        <w:spacing w:after="0" w:line="181" w:lineRule="exact"/>
        <w:rPr>
          <w:rFonts w:ascii="Arial" w:cs="Arial" w:eastAsia="Arial" w:hAnsi="Arial"/>
          <w:sz w:val="18"/>
          <w:szCs w:val="18"/>
          <w:color w:val="auto"/>
        </w:rPr>
      </w:pPr>
    </w:p>
    <w:p>
      <w:pPr>
        <w:jc w:val="both"/>
        <w:ind w:left="1300" w:hanging="239"/>
        <w:spacing w:after="0" w:line="293"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April 9, 2015, NRG and the Company entered into a partnership that will invest in and hold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in which the Company invested $26 million in April 2015; and (ii) in-development, tax equity financed portfolios of approximately 13,000 leases representing approximately 90 MW, with an average lease term for the existing and new leases of approximately 17 to 20 years, in which the company invested $14 million of its $150 million commitment through June 30, 2015. Its maximum exposure will be limited to its equity investment.</w:t>
      </w:r>
    </w:p>
    <w:p>
      <w:pPr>
        <w:spacing w:after="0" w:line="56" w:lineRule="exact"/>
        <w:rPr>
          <w:rFonts w:ascii="Arial" w:cs="Arial" w:eastAsia="Arial" w:hAnsi="Arial"/>
          <w:sz w:val="16"/>
          <w:szCs w:val="16"/>
          <w:color w:val="auto"/>
        </w:rPr>
      </w:pPr>
    </w:p>
    <w:p>
      <w:pPr>
        <w:ind w:left="1300" w:hanging="239"/>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January 2, 2015, the Company acquired the January 2015 Drop Down Assets for total cash consideration of $489 million including adjustments of $9 million for working capital, plus assumed project level debt of $737 million.</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Cash Distributions to Yield, Inc.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cash available for distribution that is generated each quarter less reserves for the prudent conduct of the business, including among others, maintenance capital expenditures to maintain the operating capacity of the assets. Cash available for distribution is defined as earnings before income taxes, depreciation and amortization, excluding contract amortization, cash interest paid, income taxes paid, maintenance capital expenditures, investments in unconsolidated affiliates, growth capital expenditures, net of capital and debt funding, and principal amortization of indebtedness, and including cash distributions from unconsolidated affiliates. Distributions on units </w:t>
      </w:r>
      <w:r>
        <w:rPr>
          <w:rFonts w:ascii="Arial" w:cs="Arial" w:eastAsia="Arial" w:hAnsi="Arial"/>
          <w:sz w:val="17"/>
          <w:szCs w:val="17"/>
          <w:color w:val="000000"/>
        </w:rPr>
        <w:t>are subject to available capital, market conditions, and compliance with associated laws, regulations and other contractual obligations. The Company</w:t>
      </w:r>
      <w:r>
        <w:rPr>
          <w:rFonts w:ascii="Arial" w:cs="Arial" w:eastAsia="Arial" w:hAnsi="Arial"/>
          <w:sz w:val="17"/>
          <w:szCs w:val="17"/>
          <w:color w:val="231F20"/>
        </w:rPr>
        <w:t xml:space="preserve"> </w:t>
      </w:r>
      <w:r>
        <w:rPr>
          <w:rFonts w:ascii="Arial" w:cs="Arial" w:eastAsia="Arial" w:hAnsi="Arial"/>
          <w:sz w:val="17"/>
          <w:szCs w:val="17"/>
          <w:color w:val="000000"/>
        </w:rPr>
        <w:t>expects that, based on current circumstances, comparable distributions will continue to be paid in the foreseeable future.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06" w:right="239" w:bottom="1440" w:gutter="0" w:footer="0" w:header="0"/>
        </w:sectPr>
      </w:pPr>
    </w:p>
    <w:bookmarkStart w:id="54" w:name="page55"/>
    <w:bookmarkEnd w:id="54"/>
    <w:p>
      <w:pPr>
        <w:ind w:right="20" w:firstLine="405"/>
        <w:spacing w:after="0" w:line="342" w:lineRule="auto"/>
        <w:rPr>
          <w:sz w:val="20"/>
          <w:szCs w:val="20"/>
          <w:color w:val="auto"/>
        </w:rPr>
      </w:pPr>
      <w:r>
        <w:rPr>
          <w:rFonts w:ascii="Arial" w:cs="Arial" w:eastAsia="Arial" w:hAnsi="Arial"/>
          <w:sz w:val="16"/>
          <w:szCs w:val="16"/>
          <w:color w:val="auto"/>
        </w:rPr>
        <w:t>As a result of the Yield, Inc. recapitalization, the Company adjusted its distribution policy to reflect the additional number of Class C and Class D units outstanding. The following table lists the distributions paid on the Company's Class A, B, C and D units during the six months ended June 30, 2015:</w:t>
      </w:r>
    </w:p>
    <w:p>
      <w:pPr>
        <w:spacing w:after="0" w:line="129"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Quarter 2015</w:t>
            </w:r>
          </w:p>
        </w:tc>
        <w:tc>
          <w:tcPr>
            <w:tcW w:w="100" w:type="dxa"/>
            <w:vAlign w:val="bottom"/>
          </w:tcPr>
          <w:p>
            <w:pPr>
              <w:spacing w:after="0"/>
              <w:rPr>
                <w:sz w:val="16"/>
                <w:szCs w:val="16"/>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rPr>
              <w:t>First Quarter 2015</w:t>
            </w:r>
          </w:p>
        </w:tc>
      </w:tr>
      <w:tr>
        <w:trPr>
          <w:trHeight w:val="250"/>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unit A, B</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0.39</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b w:val="1"/>
                <w:bCs w:val="1"/>
                <w:color w:val="auto"/>
              </w:rPr>
              <w:t>Distributions per unit C, D</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ind w:left="880"/>
              <w:spacing w:after="0"/>
              <w:rPr>
                <w:sz w:val="20"/>
                <w:szCs w:val="20"/>
                <w:color w:val="auto"/>
              </w:rPr>
            </w:pPr>
            <w:r>
              <w:rPr>
                <w:rFonts w:ascii="Arial" w:cs="Arial" w:eastAsia="Arial" w:hAnsi="Arial"/>
                <w:sz w:val="18"/>
                <w:szCs w:val="18"/>
                <w:color w:val="auto"/>
              </w:rPr>
              <w:t>N/A</w:t>
            </w:r>
          </w:p>
        </w:tc>
      </w:tr>
    </w:tbl>
    <w:p>
      <w:pPr>
        <w:spacing w:after="0" w:line="1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August 4, 2015, the Company declared a distribution on its Class A, Class B, Class C and Class D units of $0.21 per unit payable on September 15, 2015 to unit holders of record as of September 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cash flows for the six months ended June 30, 2015, compared to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21"/>
                <w:szCs w:val="21"/>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432"/>
        </w:trPr>
        <w:tc>
          <w:tcPr>
            <w:tcW w:w="81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12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net distributions from unconsolidated affiliates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Decrease in operating income adjusted for non-cash items and changes in working capital</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12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acquire businesses, net of cash acquired</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3"/>
              </w:rPr>
              <w:t>Increase in payments made to acquire January 2015 Drop Down Assets on January 2, 2015, compared to the payments made on June 30,</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2014, for the June 2014 Drop Down Assets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capital expenditures due to several projects being placed in service in early 2014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Changes in restricted cash</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renewable grants in 2014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3"/>
              </w:rPr>
              <w:t>Increase in investments in unconsolidated affiliates in 2015, compared to 2014, primarily due to the investment in Desert Sunlight made on</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June 29, 2015</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Financing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provided by financing activities were driven by:</w:t>
            </w:r>
          </w:p>
        </w:tc>
        <w:tc>
          <w:tcPr>
            <w:tcW w:w="18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Contributions from non-controlling interests in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Payment of distributions and returns of capital to NRG, partially offset by contributions from NRG in the first six months of 2014</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distributions paid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Proceeds from the issuance of Class C units on June 29, 2015</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600</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payments for long term debt, partially offset by an increase in proceeds from long term debt - external and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Decrease in debt issuance costs paid</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June 30, 2015, the Company has several investments with an ownership interest percentage of 50%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in energy and energy-related entities that are accounted for under the equity method. One of these investments, GenConn Energy LLC, is a variable interest entity for which the Company is not the primary beneficiary.</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$866 million as of June 30, 2015. This indebtedness may restrict the ability of these subsidiaries to issue dividends or distributions to the Company. See also Note 5, </w:t>
      </w:r>
      <w:r>
        <w:rPr>
          <w:rFonts w:ascii="Arial" w:cs="Arial" w:eastAsia="Arial" w:hAnsi="Arial"/>
          <w:sz w:val="18"/>
          <w:szCs w:val="18"/>
          <w:i w:val="1"/>
          <w:iCs w:val="1"/>
          <w:color w:val="auto"/>
        </w:rPr>
        <w:t>Variable Interest Entities, or</w:t>
      </w:r>
      <w:r>
        <w:rPr>
          <w:rFonts w:ascii="Arial" w:cs="Arial" w:eastAsia="Arial" w:hAnsi="Arial"/>
          <w:sz w:val="18"/>
          <w:szCs w:val="18"/>
          <w:color w:val="auto"/>
        </w:rPr>
        <w:t xml:space="preserve"> </w:t>
      </w:r>
      <w:r>
        <w:rPr>
          <w:rFonts w:ascii="Arial" w:cs="Arial" w:eastAsia="Arial" w:hAnsi="Arial"/>
          <w:sz w:val="18"/>
          <w:szCs w:val="18"/>
          <w:i w:val="1"/>
          <w:iCs w:val="1"/>
          <w:color w:val="auto"/>
        </w:rPr>
        <w:t>VIEs</w:t>
      </w:r>
      <w:r>
        <w:rPr>
          <w:rFonts w:ascii="Arial" w:cs="Arial" w:eastAsia="Arial" w:hAnsi="Arial"/>
          <w:sz w:val="18"/>
          <w:szCs w:val="18"/>
          <w:color w:val="auto"/>
        </w:rPr>
        <w:t>.</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our capital expenditure programs, as disclosed in the Company's 2014 financial statements </w:t>
      </w:r>
      <w:r>
        <w:rPr>
          <w:rFonts w:ascii="Arial" w:cs="Arial" w:eastAsia="Arial" w:hAnsi="Arial"/>
          <w:sz w:val="18"/>
          <w:szCs w:val="18"/>
          <w:color w:val="231F20"/>
        </w:rPr>
        <w:t>for the year ended December 31, 2014, included</w:t>
      </w:r>
      <w:r>
        <w:rPr>
          <w:rFonts w:ascii="Arial" w:cs="Arial" w:eastAsia="Arial" w:hAnsi="Arial"/>
          <w:sz w:val="18"/>
          <w:szCs w:val="18"/>
          <w:color w:val="auto"/>
        </w:rPr>
        <w:t xml:space="preserve"> in the Company's Prospectus dated June 22, 2015. See also </w:t>
      </w:r>
      <w:r>
        <w:rPr>
          <w:rFonts w:ascii="Arial" w:cs="Arial" w:eastAsia="Arial" w:hAnsi="Arial"/>
          <w:sz w:val="18"/>
          <w:szCs w:val="18"/>
          <w:color w:val="231F20"/>
        </w:rPr>
        <w:t>Note 8,</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additional discussion of contractual obligations incurred during the six months ended June 30,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and fixed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that include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June 30, 2015</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June 30, 2015</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Gains/(Losses)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2014</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June 30, 2015</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8"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5"/>
          </w:tcPr>
          <w:p>
            <w:pPr>
              <w:jc w:val="center"/>
              <w:ind w:right="82"/>
              <w:spacing w:after="0"/>
              <w:rPr>
                <w:sz w:val="20"/>
                <w:szCs w:val="20"/>
                <w:color w:val="auto"/>
              </w:rPr>
            </w:pPr>
            <w:r>
              <w:rPr>
                <w:rFonts w:ascii="Arial" w:cs="Arial" w:eastAsia="Arial" w:hAnsi="Arial"/>
                <w:sz w:val="14"/>
                <w:szCs w:val="14"/>
                <w:b w:val="1"/>
                <w:bCs w:val="1"/>
                <w:color w:val="auto"/>
                <w:w w:val="91"/>
              </w:rPr>
              <w:t>Fair Value of Contracts as of June 30, 2015</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Maturity</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Gains/(Losses)</w:t>
            </w:r>
          </w:p>
        </w:tc>
        <w:tc>
          <w:tcPr>
            <w:tcW w:w="160" w:type="dxa"/>
            <w:vAlign w:val="bottom"/>
          </w:tcPr>
          <w:p>
            <w:pPr>
              <w:spacing w:after="0"/>
              <w:rPr>
                <w:sz w:val="13"/>
                <w:szCs w:val="13"/>
                <w:color w:val="auto"/>
              </w:rPr>
            </w:pPr>
          </w:p>
        </w:tc>
        <w:tc>
          <w:tcPr>
            <w:tcW w:w="114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1"/>
              </w:rPr>
              <w:t>1 Year or Less</w:t>
            </w:r>
          </w:p>
        </w:tc>
        <w:tc>
          <w:tcPr>
            <w:tcW w:w="240" w:type="dxa"/>
            <w:vAlign w:val="bottom"/>
          </w:tcPr>
          <w:p>
            <w:pPr>
              <w:spacing w:after="0"/>
              <w:rPr>
                <w:sz w:val="13"/>
                <w:szCs w:val="13"/>
                <w:color w:val="auto"/>
              </w:rPr>
            </w:pPr>
          </w:p>
        </w:tc>
        <w:tc>
          <w:tcPr>
            <w:tcW w:w="114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3"/>
                <w:szCs w:val="13"/>
                <w:color w:val="auto"/>
              </w:rPr>
            </w:pPr>
          </w:p>
        </w:tc>
        <w:tc>
          <w:tcPr>
            <w:tcW w:w="1140" w:type="dxa"/>
            <w:vAlign w:val="bottom"/>
          </w:tcPr>
          <w:p>
            <w:pPr>
              <w:jc w:val="center"/>
              <w:ind w:right="144"/>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22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320" w:type="dxa"/>
            <w:vAlign w:val="bottom"/>
          </w:tcPr>
          <w:p>
            <w:pPr>
              <w:spacing w:after="0"/>
              <w:rPr>
                <w:sz w:val="13"/>
                <w:szCs w:val="13"/>
                <w:color w:val="auto"/>
              </w:rPr>
            </w:pPr>
          </w:p>
        </w:tc>
        <w:tc>
          <w:tcPr>
            <w:tcW w:w="104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3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3 Years to 5 Years</w:t>
            </w:r>
          </w:p>
        </w:tc>
        <w:tc>
          <w:tcPr>
            <w:tcW w:w="22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20" w:type="dxa"/>
            <w:vAlign w:val="bottom"/>
          </w:tcPr>
          <w:p>
            <w:pPr>
              <w:spacing w:after="0"/>
              <w:rPr>
                <w:sz w:val="13"/>
                <w:szCs w:val="13"/>
                <w:color w:val="auto"/>
              </w:rPr>
            </w:pPr>
          </w:p>
        </w:tc>
        <w:tc>
          <w:tcPr>
            <w:tcW w:w="1040" w:type="dxa"/>
            <w:vAlign w:val="bottom"/>
          </w:tcPr>
          <w:p>
            <w:pPr>
              <w:jc w:val="center"/>
              <w:ind w:right="14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7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U.S. GAAP. The preparation of these financial statements and related disclosures in compliance with U.S.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The Company's significant accounting policies are summarized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2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cause no change to the net value of derivatives as of </w:t>
      </w:r>
      <w:r>
        <w:rPr>
          <w:rFonts w:ascii="Arial" w:cs="Arial" w:eastAsia="Arial" w:hAnsi="Arial"/>
          <w:sz w:val="18"/>
          <w:szCs w:val="18"/>
          <w:color w:val="000000"/>
        </w:rPr>
        <w:t>June 30, 2015</w:t>
      </w:r>
      <w:r>
        <w:rPr>
          <w:rFonts w:ascii="Arial" w:cs="Arial" w:eastAsia="Arial" w:hAnsi="Arial"/>
          <w:sz w:val="18"/>
          <w:szCs w:val="18"/>
          <w:color w:val="231F20"/>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Most of the Company's project subsidiaries enter into interest rate swaps, intended to hedge the risks associated with interest rates on non-recourse project level debt. See Note 9,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the Company's </w:t>
      </w:r>
      <w:r>
        <w:rPr>
          <w:rFonts w:ascii="Arial" w:cs="Arial" w:eastAsia="Arial" w:hAnsi="Arial"/>
          <w:sz w:val="18"/>
          <w:szCs w:val="18"/>
          <w:color w:val="000000"/>
        </w:rPr>
        <w:t>annual financial statements for the year ended December 31, 2014, included in the</w:t>
      </w:r>
      <w:r>
        <w:rPr>
          <w:rFonts w:ascii="Arial" w:cs="Arial" w:eastAsia="Arial" w:hAnsi="Arial"/>
          <w:sz w:val="18"/>
          <w:szCs w:val="18"/>
          <w:color w:val="231F20"/>
        </w:rPr>
        <w:t xml:space="preserve"> </w:t>
      </w:r>
      <w:r>
        <w:rPr>
          <w:rFonts w:ascii="Arial" w:cs="Arial" w:eastAsia="Arial" w:hAnsi="Arial"/>
          <w:sz w:val="18"/>
          <w:szCs w:val="18"/>
          <w:color w:val="000000"/>
        </w:rPr>
        <w:t>Company's Prospectus dated June 22, 2015</w:t>
      </w:r>
      <w:r>
        <w:rPr>
          <w:rFonts w:ascii="Arial" w:cs="Arial" w:eastAsia="Arial" w:hAnsi="Arial"/>
          <w:sz w:val="18"/>
          <w:szCs w:val="18"/>
          <w:color w:val="231F20"/>
        </w:rPr>
        <w:t>. See</w:t>
      </w:r>
      <w:r>
        <w:rPr>
          <w:rFonts w:ascii="Arial" w:cs="Arial" w:eastAsia="Arial" w:hAnsi="Arial"/>
          <w:sz w:val="18"/>
          <w:szCs w:val="18"/>
          <w:color w:val="000000"/>
        </w:rPr>
        <w:t xml:space="preserve"> Note 8, </w:t>
      </w:r>
      <w:r>
        <w:rPr>
          <w:rFonts w:ascii="Arial" w:cs="Arial" w:eastAsia="Arial" w:hAnsi="Arial"/>
          <w:sz w:val="18"/>
          <w:szCs w:val="18"/>
          <w:i w:val="1"/>
          <w:iCs w:val="1"/>
          <w:color w:val="000000"/>
        </w:rPr>
        <w:t>Long-term Debt</w:t>
      </w:r>
      <w:r>
        <w:rPr>
          <w:rFonts w:ascii="Arial" w:cs="Arial" w:eastAsia="Arial" w:hAnsi="Arial"/>
          <w:sz w:val="18"/>
          <w:szCs w:val="18"/>
          <w:color w:val="231F20"/>
        </w:rPr>
        <w:t>, to this Form 10-Q for more information about interest rate swaps of the Company's</w:t>
      </w:r>
      <w:r>
        <w:rPr>
          <w:rFonts w:ascii="Arial" w:cs="Arial" w:eastAsia="Arial" w:hAnsi="Arial"/>
          <w:sz w:val="18"/>
          <w:szCs w:val="18"/>
          <w:color w:val="000000"/>
        </w:rPr>
        <w:t xml:space="preserve"> </w:t>
      </w:r>
      <w:r>
        <w:rPr>
          <w:rFonts w:ascii="Arial" w:cs="Arial" w:eastAsia="Arial" w:hAnsi="Arial"/>
          <w:sz w:val="18"/>
          <w:szCs w:val="18"/>
          <w:color w:val="231F20"/>
        </w:rPr>
        <w:t>project subsidiaries.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If all of the above swaps had been discontinued on </w:t>
      </w:r>
      <w:r>
        <w:rPr>
          <w:rFonts w:ascii="Arial" w:cs="Arial" w:eastAsia="Arial" w:hAnsi="Arial"/>
          <w:sz w:val="18"/>
          <w:szCs w:val="18"/>
          <w:color w:val="000000"/>
        </w:rPr>
        <w:t>June 30, 2015</w:t>
      </w:r>
      <w:r>
        <w:rPr>
          <w:rFonts w:ascii="Arial" w:cs="Arial" w:eastAsia="Arial" w:hAnsi="Arial"/>
          <w:sz w:val="18"/>
          <w:szCs w:val="18"/>
          <w:color w:val="231F20"/>
        </w:rPr>
        <w:t>, the Company would have owed the counterparties $83 million. Based on the investment grade rating of the counterparties, the Company believes its exposure to credit risk due to nonperformance by counterparties to its hedge contracts to be insignificant.</w:t>
      </w:r>
    </w:p>
    <w:p>
      <w:pPr>
        <w:spacing w:after="0" w:line="12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The Company has long-term debt instruments that subject it to the risk of loss associated with movements in market interest rates. As of </w:t>
      </w:r>
      <w:r>
        <w:rPr>
          <w:rFonts w:ascii="Arial" w:cs="Arial" w:eastAsia="Arial" w:hAnsi="Arial"/>
          <w:sz w:val="17"/>
          <w:szCs w:val="17"/>
          <w:color w:val="000000"/>
        </w:rPr>
        <w:t>June 30, 2015</w:t>
      </w:r>
      <w:r>
        <w:rPr>
          <w:rFonts w:ascii="Arial" w:cs="Arial" w:eastAsia="Arial" w:hAnsi="Arial"/>
          <w:sz w:val="17"/>
          <w:szCs w:val="17"/>
          <w:color w:val="231F20"/>
        </w:rPr>
        <w:t>, a 1% change in interest rates would result in an approximately $3 million change in interest expense on a rolling twelve month basis.</w:t>
      </w:r>
    </w:p>
    <w:p>
      <w:pPr>
        <w:spacing w:after="0" w:line="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June 30, 2015</w:t>
      </w:r>
      <w:r>
        <w:rPr>
          <w:rFonts w:ascii="Arial" w:cs="Arial" w:eastAsia="Arial" w:hAnsi="Arial"/>
          <w:sz w:val="18"/>
          <w:szCs w:val="18"/>
          <w:color w:val="231F20"/>
        </w:rPr>
        <w:t>, the fair value of the Company's debt was $4,798 million and the carrying value was $4,769 million. The Company estimates that a 1% decrease in market interest rates would have increased the fair value of its long-term debt by $269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0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second quarter of 2015 that materially affected, or are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02"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the Company's facilities are newly constructed and may not perform as the Company expects.</w:t>
      </w:r>
    </w:p>
    <w:p>
      <w:pPr>
        <w:spacing w:after="0" w:line="171" w:lineRule="exact"/>
        <w:rPr>
          <w:sz w:val="20"/>
          <w:szCs w:val="20"/>
          <w:color w:val="auto"/>
        </w:rPr>
      </w:pPr>
    </w:p>
    <w:p>
      <w:pPr>
        <w:jc w:val="both"/>
        <w:ind w:firstLine="379"/>
        <w:spacing w:after="0" w:line="257" w:lineRule="auto"/>
        <w:rPr>
          <w:sz w:val="20"/>
          <w:szCs w:val="20"/>
          <w:color w:val="auto"/>
        </w:rPr>
      </w:pPr>
      <w:r>
        <w:rPr>
          <w:rFonts w:ascii="Arial" w:cs="Arial" w:eastAsia="Arial" w:hAnsi="Arial"/>
          <w:sz w:val="18"/>
          <w:szCs w:val="18"/>
          <w:color w:val="auto"/>
        </w:rPr>
        <w:t>All of the Company's conventional and renewable assets have achieved commercial operations within the past six years. The ability of these facilities to meet the Company's performance expectations is subject to the risks inherent in newly constructed power generation facilities and the construction of such facilities, including, but not limited to, degradation of equipment in excess of the Company's expectations, system failures and outages. The failure of these facilities to perform as the Company expects could have a material adverse effect on the Company's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effectively identify or consummate any future acquisitions on favorable terms, or at all.</w:t>
      </w:r>
    </w:p>
    <w:p>
      <w:pPr>
        <w:spacing w:after="0" w:line="171" w:lineRule="exact"/>
        <w:rPr>
          <w:sz w:val="20"/>
          <w:szCs w:val="20"/>
          <w:color w:val="auto"/>
        </w:rPr>
      </w:pPr>
    </w:p>
    <w:p>
      <w:pPr>
        <w:jc w:val="both"/>
        <w:ind w:firstLine="465"/>
        <w:spacing w:after="0" w:line="291" w:lineRule="auto"/>
        <w:rPr>
          <w:sz w:val="20"/>
          <w:szCs w:val="20"/>
          <w:color w:val="auto"/>
        </w:rPr>
      </w:pPr>
      <w:r>
        <w:rPr>
          <w:rFonts w:ascii="Arial" w:cs="Arial" w:eastAsia="Arial" w:hAnsi="Arial"/>
          <w:sz w:val="16"/>
          <w:szCs w:val="16"/>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w:t>
      </w:r>
    </w:p>
    <w:p>
      <w:pPr>
        <w:spacing w:after="0" w:line="113" w:lineRule="exact"/>
        <w:rPr>
          <w:sz w:val="20"/>
          <w:szCs w:val="20"/>
          <w:color w:val="auto"/>
        </w:rPr>
      </w:pPr>
    </w:p>
    <w:p>
      <w:pPr>
        <w:jc w:val="both"/>
        <w:ind w:firstLine="540"/>
        <w:spacing w:after="0" w:line="297" w:lineRule="auto"/>
        <w:rPr>
          <w:sz w:val="20"/>
          <w:szCs w:val="20"/>
          <w:color w:val="auto"/>
        </w:rPr>
      </w:pPr>
      <w:r>
        <w:rPr>
          <w:rFonts w:ascii="Arial" w:cs="Arial" w:eastAsia="Arial" w:hAnsi="Arial"/>
          <w:sz w:val="16"/>
          <w:szCs w:val="16"/>
          <w:color w:val="auto"/>
        </w:rPr>
        <w:t>Furthermore, the Company's ability to acquire future renewable facilities may depend on the viability of renewable assets generally. These assets currently are largely contingent on public policy mechanisms including investment tax credits, cash grants, loan guarantees, accelerated depreciation, RPS and carbon trading plans. These mechanisms have been implemented at the state and federal levels to support the development of renewable generation, demand- 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ability to effectively consummate future acquisitions also depends on its ability to arrange the required or desired financing for acquisitions.</w:t>
      </w:r>
    </w:p>
    <w:p>
      <w:pPr>
        <w:spacing w:after="0" w:line="116" w:lineRule="exact"/>
        <w:rPr>
          <w:sz w:val="20"/>
          <w:szCs w:val="20"/>
          <w:color w:val="auto"/>
        </w:rPr>
      </w:pPr>
    </w:p>
    <w:p>
      <w:pPr>
        <w:jc w:val="both"/>
        <w:ind w:firstLine="407"/>
        <w:spacing w:after="0" w:line="273" w:lineRule="auto"/>
        <w:rPr>
          <w:sz w:val="20"/>
          <w:szCs w:val="20"/>
          <w:color w:val="auto"/>
        </w:rPr>
      </w:pPr>
      <w:r>
        <w:rPr>
          <w:rFonts w:ascii="Arial" w:cs="Arial" w:eastAsia="Arial" w:hAnsi="Arial"/>
          <w:sz w:val="17"/>
          <w:szCs w:val="17"/>
          <w:color w:val="auto"/>
        </w:rPr>
        <w:t>The Company may not have sufficient availability under its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its growth strategy. If financing is available, utilization of the Company's credit facilities or project-level financing for all or a portion of the purchase price of an acquisition could significantly increase its interest expense, impose additional or more restrictive covenants and reduce cash available for distribution. The Company's ability to consummate future acquisitions may also depend on its ability to obtain any required regulatory approvals for such acquisitions, including, but not limited to, approval by the FERC under Section 203 of the FPA.</w:t>
      </w:r>
    </w:p>
    <w:p>
      <w:pPr>
        <w:spacing w:after="0" w:line="124" w:lineRule="exact"/>
        <w:rPr>
          <w:sz w:val="20"/>
          <w:szCs w:val="20"/>
          <w:color w:val="auto"/>
        </w:rPr>
      </w:pPr>
    </w:p>
    <w:p>
      <w:pPr>
        <w:jc w:val="both"/>
        <w:ind w:firstLine="416"/>
        <w:spacing w:after="0" w:line="272" w:lineRule="auto"/>
        <w:rPr>
          <w:sz w:val="20"/>
          <w:szCs w:val="20"/>
          <w:color w:val="auto"/>
        </w:rPr>
      </w:pPr>
      <w:r>
        <w:rPr>
          <w:rFonts w:ascii="Arial" w:cs="Arial" w:eastAsia="Arial" w:hAnsi="Arial"/>
          <w:sz w:val="17"/>
          <w:szCs w:val="17"/>
          <w:color w:val="auto"/>
        </w:rPr>
        <w:t>Finally, the acquisition of companies and assets are subject to substantial risks, including the failure to identify material problems during due diligence (for which the Company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the Company's acquisitions may divert management's attention from its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the Company's business, financial condition, results of operations and cash flows.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02" w:right="239" w:bottom="1440" w:gutter="0" w:footer="0" w:header="0"/>
        </w:sectPr>
      </w:pPr>
    </w:p>
    <w:bookmarkStart w:id="60" w:name="page61"/>
    <w:bookmarkEnd w:id="60"/>
    <w:p>
      <w:pPr>
        <w:jc w:val="both"/>
        <w:spacing w:after="0" w:line="381" w:lineRule="auto"/>
        <w:rPr>
          <w:sz w:val="20"/>
          <w:szCs w:val="20"/>
          <w:color w:val="auto"/>
        </w:rPr>
      </w:pPr>
      <w:r>
        <w:rPr>
          <w:rFonts w:ascii="Arial" w:cs="Arial" w:eastAsia="Arial" w:hAnsi="Arial"/>
          <w:sz w:val="15"/>
          <w:szCs w:val="15"/>
          <w:b w:val="1"/>
          <w:bCs w:val="1"/>
          <w:i w:val="1"/>
          <w:iCs w:val="1"/>
          <w:color w:val="auto"/>
        </w:rPr>
        <w:t>The Company's indebtedness could adversely affect its ability to raise additional capital to fund its operations. It could also expose the Company to the risk of increased interest rates and limit its ability to react to changes in the economy or its industry as well as impact its cash available for distribution.</w:t>
      </w:r>
    </w:p>
    <w:p>
      <w:pPr>
        <w:spacing w:after="0" w:line="47" w:lineRule="exact"/>
        <w:rPr>
          <w:sz w:val="20"/>
          <w:szCs w:val="20"/>
          <w:color w:val="auto"/>
        </w:rPr>
      </w:pPr>
    </w:p>
    <w:p>
      <w:pPr>
        <w:jc w:val="both"/>
        <w:ind w:firstLine="551"/>
        <w:spacing w:after="0" w:line="255" w:lineRule="auto"/>
        <w:rPr>
          <w:sz w:val="20"/>
          <w:szCs w:val="20"/>
          <w:color w:val="auto"/>
        </w:rPr>
      </w:pPr>
      <w:r>
        <w:rPr>
          <w:rFonts w:ascii="Arial" w:cs="Arial" w:eastAsia="Arial" w:hAnsi="Arial"/>
          <w:sz w:val="18"/>
          <w:szCs w:val="18"/>
          <w:color w:val="auto"/>
        </w:rPr>
        <w:t>As of June 30, 2015, the Company had approximately $3,384 million of project-level debt which was incurred by the Company's non-guarantor subsidiaries. In addition, the Company's share of its unconsolidated affiliates' total indebtedness and letters of credit outstanding, as of June 30, 2015, totaled approximately $866 million and $90 million, respectively (calculated as the Company's unconsolidated affiliates' total indebtedness as of such date multiplied by its percentage membership interest in such assets). The Company also had $32 million of letters of credit outstanding to support contracted obligations at its project-level entities as of June 30, 2015. As of June 30, 2015, the Company had borrowing availability of $228 million under its amended and restated revolving credit facility, as amended on June 26, 2015, or the revolving credit facility. The Company's substantial debt could have important negative consequences on its financial condition, including:</w:t>
      </w:r>
    </w:p>
    <w:p>
      <w:pPr>
        <w:spacing w:after="0" w:line="5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the Company's vulnerability to general economic and industry conditions;</w:t>
      </w:r>
    </w:p>
    <w:p>
      <w:pPr>
        <w:spacing w:after="0" w:line="63"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requiring a substantial portion of the Company's cash flow from operations to be dedicated to the payment of principal and interest on its indebtedness, therefore reducing its ability to its cash flow to fund its operations, capital expenditures and future business opportunities;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Company's ability to enter into long-term power sales or fuel purchases, which require credit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Company's ability to fund operations or future acquisitions;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restricting the ability of the Company's subsidiaries to make certain distributions to it, in light of restricted payment and other financial covenants in its revolving credit facility and other financing agreements;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exposing the Company to the risk of increased interest rates because certain of the Company's borrowings, which may include borrowings under its revolving credit facility, are at variable rates of interest;</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Company's ability to obtain additional financing for working capital, including collateral postings, capital expenditures, debt service requirements, acquisitions and general corporate or other purposes;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the Company's ability to adjust to changing market conditions and placing it at a competitive disadvantage compared to its competitors who have less debt.</w:t>
      </w:r>
    </w:p>
    <w:p>
      <w:pPr>
        <w:spacing w:after="0" w:line="89" w:lineRule="exact"/>
        <w:rPr>
          <w:sz w:val="20"/>
          <w:szCs w:val="20"/>
          <w:color w:val="auto"/>
        </w:rPr>
      </w:pPr>
    </w:p>
    <w:p>
      <w:pPr>
        <w:jc w:val="both"/>
        <w:ind w:firstLine="409"/>
        <w:spacing w:after="0" w:line="276" w:lineRule="auto"/>
        <w:rPr>
          <w:sz w:val="20"/>
          <w:szCs w:val="20"/>
          <w:color w:val="auto"/>
        </w:rPr>
      </w:pPr>
      <w:r>
        <w:rPr>
          <w:rFonts w:ascii="Arial" w:cs="Arial" w:eastAsia="Arial" w:hAnsi="Arial"/>
          <w:sz w:val="17"/>
          <w:szCs w:val="17"/>
          <w:color w:val="auto"/>
        </w:rPr>
        <w:t>The Company's revolving credit facility contains financial and other restrictive covenants that limit its ability to return capital to investors or otherwise engage in activities that may be in the Company's long-term best interests. The failure of the Company to comply with certain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19" w:lineRule="exact"/>
        <w:rPr>
          <w:sz w:val="20"/>
          <w:szCs w:val="20"/>
          <w:color w:val="auto"/>
        </w:rPr>
      </w:pPr>
    </w:p>
    <w:p>
      <w:pPr>
        <w:jc w:val="both"/>
        <w:ind w:firstLine="512"/>
        <w:spacing w:after="0" w:line="270" w:lineRule="auto"/>
        <w:rPr>
          <w:sz w:val="20"/>
          <w:szCs w:val="20"/>
          <w:color w:val="auto"/>
        </w:rPr>
      </w:pPr>
      <w:r>
        <w:rPr>
          <w:rFonts w:ascii="Arial" w:cs="Arial" w:eastAsia="Arial" w:hAnsi="Arial"/>
          <w:sz w:val="17"/>
          <w:szCs w:val="17"/>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inability of the Company to satisfy certain financial covenants may prevent cash distributions by particular projects to the Company, and the failure of the Company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 If the Company is unable to make distributions from its project-level subsidiaries, it would likely have a material adverse effect on its cash flows.</w:t>
      </w:r>
    </w:p>
    <w:p>
      <w:pPr>
        <w:spacing w:after="0" w:line="128" w:lineRule="exact"/>
        <w:rPr>
          <w:sz w:val="20"/>
          <w:szCs w:val="20"/>
          <w:color w:val="auto"/>
        </w:rPr>
      </w:pPr>
    </w:p>
    <w:p>
      <w:pPr>
        <w:jc w:val="both"/>
        <w:ind w:firstLine="529"/>
        <w:spacing w:after="0" w:line="255" w:lineRule="auto"/>
        <w:rPr>
          <w:sz w:val="20"/>
          <w:szCs w:val="20"/>
          <w:color w:val="auto"/>
        </w:rPr>
      </w:pPr>
      <w:r>
        <w:rPr>
          <w:rFonts w:ascii="Arial" w:cs="Arial" w:eastAsia="Arial" w:hAnsi="Arial"/>
          <w:sz w:val="18"/>
          <w:szCs w:val="18"/>
          <w:color w:val="auto"/>
        </w:rPr>
        <w:t>Letter of credit facilities to support project-level contractual obligations generally need to be renewed after five to seven years, at which time the Company will need to satisfy applicable financial ratios and covenants. If the Company is unable to renew its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the Company and/or reduce the amount of cash available at such subsidiary to make distributions to the Company.</w:t>
      </w:r>
    </w:p>
    <w:p>
      <w:pPr>
        <w:spacing w:after="0" w:line="139" w:lineRule="exact"/>
        <w:rPr>
          <w:sz w:val="20"/>
          <w:szCs w:val="20"/>
          <w:color w:val="auto"/>
        </w:rPr>
      </w:pPr>
    </w:p>
    <w:p>
      <w:pPr>
        <w:jc w:val="both"/>
        <w:ind w:right="20" w:firstLine="423"/>
        <w:spacing w:after="0" w:line="277" w:lineRule="auto"/>
        <w:rPr>
          <w:sz w:val="20"/>
          <w:szCs w:val="20"/>
          <w:color w:val="auto"/>
        </w:rPr>
      </w:pPr>
      <w:r>
        <w:rPr>
          <w:rFonts w:ascii="Arial" w:cs="Arial" w:eastAsia="Arial" w:hAnsi="Arial"/>
          <w:sz w:val="18"/>
          <w:szCs w:val="18"/>
          <w:color w:val="auto"/>
        </w:rPr>
        <w:t>In addition, the Company's ability to arrange financing, either at the corporate level or at a non-recourse project-level subsidiary, and the costs of such capital, are dependent on numerous factors, including:</w:t>
      </w:r>
    </w:p>
    <w:p>
      <w:pPr>
        <w:spacing w:after="0" w:line="3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and capital market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credit availability from banks and other financial institutions;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87" w:right="239" w:bottom="1440" w:gutter="0" w:footer="0" w:header="0"/>
        </w:sectPr>
      </w:pPr>
    </w:p>
    <w:bookmarkStart w:id="61" w:name="page62"/>
    <w:bookmarkEnd w:id="61"/>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 confidence in the Company, its partners, NRG, as principal stockholder (on a combined voting basis) of Yield, Inc. and manager under the Management Services Agreement, and the regional wholesale power markets;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financial performance and the financial performance of its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level of indebtedness and compliance with covenants in debt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maintenance of acceptable project credit ratings or credit quality;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flow;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of tax and securities laws that may impact raising capital.</w:t>
      </w:r>
    </w:p>
    <w:p>
      <w:pPr>
        <w:spacing w:after="0" w:line="144" w:lineRule="exact"/>
        <w:rPr>
          <w:sz w:val="20"/>
          <w:szCs w:val="20"/>
          <w:color w:val="auto"/>
        </w:rPr>
      </w:pPr>
    </w:p>
    <w:p>
      <w:pPr>
        <w:jc w:val="both"/>
        <w:ind w:firstLine="381"/>
        <w:spacing w:after="0" w:line="257" w:lineRule="auto"/>
        <w:rPr>
          <w:sz w:val="20"/>
          <w:szCs w:val="20"/>
          <w:color w:val="auto"/>
        </w:rPr>
      </w:pPr>
      <w:r>
        <w:rPr>
          <w:rFonts w:ascii="Arial" w:cs="Arial" w:eastAsia="Arial" w:hAnsi="Arial"/>
          <w:sz w:val="18"/>
          <w:szCs w:val="18"/>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its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of the Company's long-term bilateral contracts with state-regulated utilities could be declared invalid by courts of competent jurisdiction.</w:t>
      </w:r>
    </w:p>
    <w:p>
      <w:pPr>
        <w:spacing w:after="0" w:line="194" w:lineRule="exact"/>
        <w:rPr>
          <w:sz w:val="20"/>
          <w:szCs w:val="20"/>
          <w:color w:val="auto"/>
        </w:rPr>
      </w:pPr>
    </w:p>
    <w:p>
      <w:pPr>
        <w:jc w:val="both"/>
        <w:ind w:firstLine="536"/>
        <w:spacing w:after="0" w:line="272" w:lineRule="auto"/>
        <w:rPr>
          <w:sz w:val="20"/>
          <w:szCs w:val="20"/>
          <w:color w:val="auto"/>
        </w:rPr>
      </w:pPr>
      <w:r>
        <w:rPr>
          <w:rFonts w:ascii="Arial" w:cs="Arial" w:eastAsia="Arial" w:hAnsi="Arial"/>
          <w:sz w:val="17"/>
          <w:szCs w:val="17"/>
          <w:color w:val="auto"/>
        </w:rPr>
        <w:t>A significant portion of the Company's revenues are derived from long-term bilateral contracts with state-regulated utilities. Other state-regulated contracts, to which the Company is not a party, are being challenged in federal court and have been declared unconstitutional on the grounds that the rate for energy and capacity established by the state-regulated contracts impermissibly conflict with the rate for energy and capacity established by FERC. To date, federal district courts in New Jersey and Maryland have struck down contracts on similar grounds. In 2014, the U.S. Court of Appeals for the Fourth Circuit upheld the Maryland court decision, while the U.S. Court of Appeals for the Third Circuit upheld the New Jersey decision. If certain of the Company's state-regulated agreements with utilities are held to be invalid, the Company may be unable to replace such contracts, which could have a material adverse effect on the Company's business,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generation of electric energy from solar and wind energy sources depends heavily on suitable meteorological conditions.</w:t>
      </w:r>
    </w:p>
    <w:p>
      <w:pPr>
        <w:spacing w:after="0" w:line="171"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8"/>
          <w:szCs w:val="18"/>
          <w:color w:val="auto"/>
        </w:rPr>
        <w:t>If solar or wind conditions are unfavorable, the Company's electricity generation and revenue from renewable generation facilities may be substantially below its expectations. The electricity produced and revenues generated by a solar electric or wind energy generation facility is highly dependent on suitable solar or wind conditions, as applicable, and associated weather conditions, which are beyond the Company's control. Furthermore, components of the Company's system, such as solar panels and inverters, could be damaged by severe weather, such as hailstorms or tornadoes.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w:t>
      </w:r>
    </w:p>
    <w:p>
      <w:pPr>
        <w:spacing w:after="0" w:line="135" w:lineRule="exact"/>
        <w:rPr>
          <w:sz w:val="20"/>
          <w:szCs w:val="20"/>
          <w:color w:val="auto"/>
        </w:rPr>
      </w:pPr>
    </w:p>
    <w:p>
      <w:pPr>
        <w:jc w:val="both"/>
        <w:ind w:firstLine="551"/>
        <w:spacing w:after="0" w:line="257" w:lineRule="auto"/>
        <w:rPr>
          <w:sz w:val="20"/>
          <w:szCs w:val="20"/>
          <w:color w:val="auto"/>
        </w:rPr>
      </w:pPr>
      <w:r>
        <w:rPr>
          <w:rFonts w:ascii="Arial" w:cs="Arial" w:eastAsia="Arial" w:hAnsi="Arial"/>
          <w:sz w:val="18"/>
          <w:szCs w:val="18"/>
          <w:color w:val="auto"/>
        </w:rPr>
        <w:t>The Company bases its investment decisions with respect to each renewable generation facility on the findings of related wind and solar studies conducted on-site prior to construction or based on historical conditions at existing facilities. However, actual climatic conditions at a facility site, particularly wind conditions, may not conform to the findings of these studies, and therefore, the Company's solar and wind energy facilities may not meet anticipated production levels or the rated capacity of the Company's generation assets, which could adversely affect the Company's business, financial condition and results of operations and cash flows.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116" w:lineRule="exact"/>
        <w:rPr>
          <w:sz w:val="20"/>
          <w:szCs w:val="20"/>
          <w:color w:val="auto"/>
        </w:rPr>
      </w:pPr>
    </w:p>
    <w:p>
      <w:pPr>
        <w:jc w:val="both"/>
        <w:ind w:firstLine="390"/>
        <w:spacing w:after="0" w:line="272" w:lineRule="auto"/>
        <w:rPr>
          <w:sz w:val="20"/>
          <w:szCs w:val="20"/>
          <w:color w:val="auto"/>
        </w:rPr>
      </w:pPr>
      <w:r>
        <w:rPr>
          <w:rFonts w:ascii="Arial" w:cs="Arial" w:eastAsia="Arial" w:hAnsi="Arial"/>
          <w:sz w:val="17"/>
          <w:szCs w:val="17"/>
          <w:color w:val="auto"/>
        </w:rPr>
        <w:t>The ongoing operation of the Company's facilities involves risks that include the breakdown or failure of equipment or processes or performance below expected levels of output or efficiency due to wear and tear, latent defect, design error, operator error or force majeure events, among other things. Operation of the Company's facilities also involves risks that the Company will be unable to transport its product to customers in an efficient manner due to a lack of transmission capacity. Unplanned outages of generating units, including extensions of scheduled outages due to mechanical failures or other problems, occur from time to time and are an inherent risk of the Company's business. Unplanned outages typically increase the Company's operation and maintenance expenses and may reduce the Company's revenues as a result of selling fewer MWh or require the Company to incur significant costs as a result of obtaining replacement power from third parties in the open market to satisfy its forward power sales obligations.</w:t>
      </w:r>
    </w:p>
    <w:p>
      <w:pPr>
        <w:spacing w:after="0" w:line="124" w:lineRule="exact"/>
        <w:rPr>
          <w:sz w:val="20"/>
          <w:szCs w:val="20"/>
          <w:color w:val="auto"/>
        </w:rPr>
      </w:pPr>
    </w:p>
    <w:p>
      <w:pPr>
        <w:jc w:val="both"/>
        <w:ind w:firstLine="407"/>
        <w:spacing w:after="0" w:line="276" w:lineRule="auto"/>
        <w:rPr>
          <w:sz w:val="20"/>
          <w:szCs w:val="20"/>
          <w:color w:val="auto"/>
        </w:rPr>
      </w:pPr>
      <w:r>
        <w:rPr>
          <w:rFonts w:ascii="Arial" w:cs="Arial" w:eastAsia="Arial" w:hAnsi="Arial"/>
          <w:sz w:val="17"/>
          <w:szCs w:val="17"/>
          <w:color w:val="auto"/>
        </w:rPr>
        <w:t>The Company's inability to operate its electric generation assets efficiently, manage capital expenditures and costs and generate earnings and cash flow from its asset-based businesses could have a material adverse effect on its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the Company experience equipment breakdown or non-performance by contractors or vendors.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06" w:right="239" w:bottom="1440" w:gutter="0" w:footer="0" w:header="0"/>
        </w:sectPr>
      </w:pPr>
    </w:p>
    <w:bookmarkStart w:id="62" w:name="page63"/>
    <w:bookmarkEnd w:id="62"/>
    <w:p>
      <w:pPr>
        <w:jc w:val="both"/>
        <w:ind w:firstLine="434"/>
        <w:spacing w:after="0" w:line="286" w:lineRule="auto"/>
        <w:rPr>
          <w:sz w:val="20"/>
          <w:szCs w:val="20"/>
          <w:color w:val="auto"/>
        </w:rPr>
      </w:pPr>
      <w:r>
        <w:rPr>
          <w:rFonts w:ascii="Arial" w:cs="Arial" w:eastAsia="Arial" w:hAnsi="Arial"/>
          <w:sz w:val="16"/>
          <w:szCs w:val="16"/>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it considers adequate, but the Company cannot provide any assurance that its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Maintenance, expansion and refurbishment of electric generation facilities involve significant risks that could result in unplanned power outages or reduced output.</w:t>
      </w:r>
    </w:p>
    <w:p>
      <w:pPr>
        <w:spacing w:after="0" w:line="116" w:lineRule="exact"/>
        <w:rPr>
          <w:sz w:val="20"/>
          <w:szCs w:val="20"/>
          <w:color w:val="auto"/>
        </w:rPr>
      </w:pPr>
    </w:p>
    <w:p>
      <w:pPr>
        <w:jc w:val="both"/>
        <w:ind w:firstLine="573"/>
        <w:spacing w:after="0" w:line="257" w:lineRule="auto"/>
        <w:rPr>
          <w:sz w:val="20"/>
          <w:szCs w:val="20"/>
          <w:color w:val="auto"/>
        </w:rPr>
      </w:pPr>
      <w:r>
        <w:rPr>
          <w:rFonts w:ascii="Arial" w:cs="Arial" w:eastAsia="Arial" w:hAnsi="Arial"/>
          <w:sz w:val="18"/>
          <w:szCs w:val="18"/>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which would reduce the Company's revenues.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134" w:lineRule="exact"/>
        <w:rPr>
          <w:sz w:val="20"/>
          <w:szCs w:val="20"/>
          <w:color w:val="auto"/>
        </w:rPr>
      </w:pPr>
    </w:p>
    <w:p>
      <w:pPr>
        <w:jc w:val="both"/>
        <w:ind w:firstLine="450"/>
        <w:spacing w:after="0" w:line="272" w:lineRule="auto"/>
        <w:rPr>
          <w:sz w:val="20"/>
          <w:szCs w:val="20"/>
          <w:color w:val="auto"/>
        </w:rPr>
      </w:pPr>
      <w:r>
        <w:rPr>
          <w:rFonts w:ascii="Arial" w:cs="Arial" w:eastAsia="Arial" w:hAnsi="Arial"/>
          <w:sz w:val="17"/>
          <w:szCs w:val="17"/>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CAA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This could have a material adverse effect on the Company's business, financial condition, results of operations and cash flows.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Counterparties to the Company's offtake agreements may not fulfill their obligations, and, as the Company's contracts expire, the Company may not be able to replace them with agreements on similar terms in light of increasing competition in the markets in which the Company operates.</w:t>
      </w:r>
    </w:p>
    <w:p>
      <w:pPr>
        <w:spacing w:after="0" w:line="70" w:lineRule="exact"/>
        <w:rPr>
          <w:sz w:val="20"/>
          <w:szCs w:val="20"/>
          <w:color w:val="auto"/>
        </w:rPr>
      </w:pPr>
    </w:p>
    <w:p>
      <w:pPr>
        <w:jc w:val="both"/>
        <w:ind w:firstLine="514"/>
        <w:spacing w:after="0" w:line="302" w:lineRule="auto"/>
        <w:rPr>
          <w:sz w:val="20"/>
          <w:szCs w:val="20"/>
          <w:color w:val="auto"/>
        </w:rPr>
      </w:pPr>
      <w:r>
        <w:rPr>
          <w:rFonts w:ascii="Arial" w:cs="Arial" w:eastAsia="Arial" w:hAnsi="Arial"/>
          <w:sz w:val="16"/>
          <w:szCs w:val="16"/>
          <w:color w:val="auto"/>
        </w:rPr>
        <w:t xml:space="preserve">A significant portion of the electric power the Company generates is sold under long-term offtake agreements with public utilities or industrial or commercial end-users, with a weighted average remaining duration of approximately </w:t>
      </w:r>
      <w:r>
        <w:rPr>
          <w:rFonts w:ascii="Arial" w:cs="Arial" w:eastAsia="Arial" w:hAnsi="Arial"/>
          <w:sz w:val="16"/>
          <w:szCs w:val="16"/>
          <w:color w:val="231F20"/>
        </w:rPr>
        <w:t>17 years</w:t>
      </w:r>
      <w:r>
        <w:rPr>
          <w:rFonts w:ascii="Arial" w:cs="Arial" w:eastAsia="Arial" w:hAnsi="Arial"/>
          <w:sz w:val="16"/>
          <w:szCs w:val="16"/>
          <w:color w:val="auto"/>
        </w:rPr>
        <w:t xml:space="preserve"> (based on cash available for distribution) as of June 30, 2015. The largest customers of the Company's power generation assets, including assets in which the Company has less than a 100% membership interest, were SCE, PG&amp;E and CL&amp;P, representing 55%, 24% and 5%, respectively, of the net electric generation capacity of the Company's facilities as of June 30, 2015.</w:t>
      </w:r>
    </w:p>
    <w:p>
      <w:pPr>
        <w:spacing w:after="0" w:line="100"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8"/>
          <w:szCs w:val="18"/>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134"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The power generation industry is characterized by intense competition and the Company's electric generation assets encounter competition from utilities, industrial companies and other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its current and potential suppliers, lenders, customers and have extensive knowledge of the Company's target markets. As a result, these competitors may be able to respond more quickly to evolving industry standards and changing customer requirements than the Company will be able to. Adoption of technology more advanced than that employed by the Company could reduce the Company's competitors' power production costs resulting in their having a lower cost structure than is achievable with the technologies the Company currently employs and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87" w:right="2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adversely affect the Company's ability to compete for offtake agreement renewals. If the Company is unable to replace an expiring or terminated offtake agreement, the affected facility may temporarily or permanently cease operations. External events, such as a severe economic downturn, could also impair the ability of some counterparties to the Company's offtake agreements and other customer agreements to pay for energy and/or other products and services received.</w:t>
      </w:r>
    </w:p>
    <w:p>
      <w:pPr>
        <w:spacing w:after="0" w:line="133" w:lineRule="exact"/>
        <w:rPr>
          <w:sz w:val="20"/>
          <w:szCs w:val="20"/>
          <w:color w:val="auto"/>
        </w:rPr>
      </w:pPr>
    </w:p>
    <w:p>
      <w:pPr>
        <w:jc w:val="both"/>
        <w:ind w:right="20" w:firstLine="435"/>
        <w:spacing w:after="0" w:line="342" w:lineRule="auto"/>
        <w:rPr>
          <w:sz w:val="20"/>
          <w:szCs w:val="20"/>
          <w:color w:val="auto"/>
        </w:rPr>
      </w:pPr>
      <w:r>
        <w:rPr>
          <w:rFonts w:ascii="Arial" w:cs="Arial" w:eastAsia="Arial" w:hAnsi="Arial"/>
          <w:sz w:val="16"/>
          <w:szCs w:val="16"/>
          <w:color w:val="auto"/>
        </w:rPr>
        <w:t>The Company's inability to enter into new or replacement offtake agreements or to compete successfully against current and future competitors in the markets in which the Company operates could have a material adverse effect on its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the Company's assets operate, wholly or partially, without long-term power sale agreements.</w:t>
      </w:r>
    </w:p>
    <w:p>
      <w:pPr>
        <w:spacing w:after="0" w:line="171" w:lineRule="exact"/>
        <w:rPr>
          <w:sz w:val="20"/>
          <w:szCs w:val="20"/>
          <w:color w:val="auto"/>
        </w:rPr>
      </w:pPr>
    </w:p>
    <w:p>
      <w:pPr>
        <w:jc w:val="both"/>
        <w:ind w:firstLine="433"/>
        <w:spacing w:after="0" w:line="293" w:lineRule="auto"/>
        <w:rPr>
          <w:sz w:val="20"/>
          <w:szCs w:val="20"/>
          <w:color w:val="auto"/>
        </w:rPr>
      </w:pPr>
      <w:r>
        <w:rPr>
          <w:rFonts w:ascii="Arial" w:cs="Arial" w:eastAsia="Arial" w:hAnsi="Arial"/>
          <w:sz w:val="16"/>
          <w:szCs w:val="16"/>
          <w:color w:val="auto"/>
        </w:rPr>
        <w:t>The generation capacity of the Company's Dover and Paxton thermal generation assets has been sold through May 2018 in the annual BRA under the PJM-administered RPM. Capacity revenue beginning in June 2018 is not yet determined. These facilities do not have offtake agreements for energy sales and sell energy through NRG Power Marketing LLC, an NRG affiliate, into the bid-based auction market for energy administered by PJM based on economic dispatch of their units. If the Company is unable to sell available capacity from those facilities beginning in June 2018 through the BRA or one of the other RPM capacity auctions or the Company is unable to enter into a offtake agreement or otherwise sell unallocated or unsold capacity at favorable terms, there may be a material adverse effect on the Company's business, financial condition, results of operations and cash flows.</w:t>
      </w:r>
    </w:p>
    <w:p>
      <w:pPr>
        <w:spacing w:after="0" w:line="111" w:lineRule="exact"/>
        <w:rPr>
          <w:sz w:val="20"/>
          <w:szCs w:val="20"/>
          <w:color w:val="auto"/>
        </w:rPr>
      </w:pPr>
    </w:p>
    <w:p>
      <w:pPr>
        <w:jc w:val="both"/>
        <w:ind w:firstLine="370"/>
        <w:spacing w:after="0" w:line="257" w:lineRule="auto"/>
        <w:rPr>
          <w:sz w:val="20"/>
          <w:szCs w:val="20"/>
          <w:color w:val="auto"/>
        </w:rPr>
      </w:pPr>
      <w:r>
        <w:rPr>
          <w:rFonts w:ascii="Arial" w:cs="Arial" w:eastAsia="Arial" w:hAnsi="Arial"/>
          <w:sz w:val="18"/>
          <w:szCs w:val="18"/>
          <w:color w:val="auto"/>
        </w:rPr>
        <w:t>In addition, the Alta X and XI facilities will operate as merchant facilities without long-term power sales agreements for 2015, and therefore are exposed to market fluctuations. Without the benefit of long-term power sales agreements for these assets, the Company cannot be sure that it will be able to sell any or all of the power generated by these facilities at commercially attractive rates or that these facilities will be able to operate profitably. This could lead to future impairments of the Company's property, plant and equipment, which could have a material adverse effect on the Company's results of operations, financial condition or cash flows.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 portion of the steam and chilled water produced by the Company's thermal assets is sold at regulated rates, and the revenue earned by the Company's GenConn assets is established each year in a rate case; accordingly, the profitability of these assets is dependent on regulatory approval.</w:t>
      </w:r>
    </w:p>
    <w:p>
      <w:pPr>
        <w:spacing w:after="0" w:line="70" w:lineRule="exact"/>
        <w:rPr>
          <w:sz w:val="20"/>
          <w:szCs w:val="20"/>
          <w:color w:val="auto"/>
        </w:rPr>
      </w:pPr>
    </w:p>
    <w:p>
      <w:pPr>
        <w:jc w:val="both"/>
        <w:ind w:firstLine="522"/>
        <w:spacing w:after="0" w:line="269" w:lineRule="auto"/>
        <w:rPr>
          <w:sz w:val="20"/>
          <w:szCs w:val="20"/>
          <w:color w:val="auto"/>
        </w:rPr>
      </w:pPr>
      <w:r>
        <w:rPr>
          <w:rFonts w:ascii="Arial" w:cs="Arial" w:eastAsia="Arial" w:hAnsi="Arial"/>
          <w:sz w:val="17"/>
          <w:szCs w:val="17"/>
          <w:color w:val="auto"/>
        </w:rPr>
        <w:t>Approximately 375 net MWt of capacity from certain of the Company's thermal assets are sold at rates approved by one or more federal or state regulatory commissions, including the Pennsylvania Public Utility Commission and the California Public Utilities Commission for the thermal assets. Similarly, the revenues related to approximately 380 MW of capacity from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its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Supplier and/or customer concentration at certain of the Company's facilities may expose it to significant financial credit or performance risks.</w:t>
      </w:r>
    </w:p>
    <w:p>
      <w:pPr>
        <w:spacing w:after="0" w:line="194" w:lineRule="exact"/>
        <w:rPr>
          <w:sz w:val="20"/>
          <w:szCs w:val="20"/>
          <w:color w:val="auto"/>
        </w:rPr>
      </w:pPr>
    </w:p>
    <w:p>
      <w:pPr>
        <w:jc w:val="both"/>
        <w:ind w:firstLine="465"/>
        <w:spacing w:after="0" w:line="288" w:lineRule="auto"/>
        <w:rPr>
          <w:sz w:val="20"/>
          <w:szCs w:val="20"/>
          <w:color w:val="auto"/>
        </w:rPr>
      </w:pPr>
      <w:r>
        <w:rPr>
          <w:rFonts w:ascii="Arial" w:cs="Arial" w:eastAsia="Arial" w:hAnsi="Arial"/>
          <w:sz w:val="16"/>
          <w:szCs w:val="16"/>
          <w:color w:val="auto"/>
        </w:rPr>
        <w:t>The Company often relies on a single contracted supplier or a small number of suppliers for the provision of fuel, transportation of fuel, equipment, technology and/or other services required for the operation of certain of the Company's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the Company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Company's business, financial condition, results of operations, credit support terms and cash flows.</w:t>
      </w:r>
    </w:p>
    <w:p>
      <w:pPr>
        <w:spacing w:after="0" w:line="115"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auto"/>
        </w:rPr>
        <w:t>In addition, potential or existing customers at the Company's district energy centers and combined heat and power plants may opt for on-site systems in lieu of using the Company's district energy centers and combined heat and power plants, either due to corporate policies regarding the allocation of capital, unique situations where an on-site system might in fact prove more efficient, because of previously committed capital in systems that are already on-site, or otherwise. At times, the Company relies on a single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87" w:right="2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customer or a few customers to purchase all or a significant portion of a facility's output, in some cases under long-term agreements that account for a substantial percentage of the anticipated revenue from a given facility.</w:t>
      </w:r>
    </w:p>
    <w:p>
      <w:pPr>
        <w:spacing w:after="0" w:line="116" w:lineRule="exact"/>
        <w:rPr>
          <w:sz w:val="20"/>
          <w:szCs w:val="20"/>
          <w:color w:val="auto"/>
        </w:rPr>
      </w:pPr>
    </w:p>
    <w:p>
      <w:pPr>
        <w:jc w:val="both"/>
        <w:ind w:firstLine="499"/>
        <w:spacing w:after="0" w:line="286" w:lineRule="auto"/>
        <w:rPr>
          <w:sz w:val="20"/>
          <w:szCs w:val="20"/>
          <w:color w:val="auto"/>
        </w:rPr>
      </w:pPr>
      <w:r>
        <w:rPr>
          <w:rFonts w:ascii="Arial" w:cs="Arial" w:eastAsia="Arial" w:hAnsi="Arial"/>
          <w:sz w:val="17"/>
          <w:szCs w:val="17"/>
          <w:color w:val="auto"/>
        </w:rPr>
        <w:t>The failure of any supplier to fulfill its contractual obligations to the Company or the loss of potential or existing customers could have a material adverse effect on the Company's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currently owns, and in the future may acquire, certain assets in which the Company has limited control over management decisions and the Company's interests in such assets may be subject to transfer or other related restrictions.</w:t>
      </w:r>
    </w:p>
    <w:p>
      <w:pPr>
        <w:spacing w:after="0" w:line="116" w:lineRule="exact"/>
        <w:rPr>
          <w:sz w:val="20"/>
          <w:szCs w:val="20"/>
          <w:color w:val="auto"/>
        </w:rPr>
      </w:pPr>
    </w:p>
    <w:p>
      <w:pPr>
        <w:jc w:val="both"/>
        <w:ind w:firstLine="480"/>
        <w:spacing w:after="0" w:line="287" w:lineRule="auto"/>
        <w:rPr>
          <w:sz w:val="20"/>
          <w:szCs w:val="20"/>
          <w:color w:val="auto"/>
        </w:rPr>
      </w:pPr>
      <w:r>
        <w:rPr>
          <w:rFonts w:ascii="Arial" w:cs="Arial" w:eastAsia="Arial" w:hAnsi="Arial"/>
          <w:sz w:val="16"/>
          <w:szCs w:val="16"/>
          <w:color w:val="auto"/>
        </w:rPr>
        <w:t>The Company has limited control over the operation of GenConn, Avenal and CVSR because the Company beneficially owns 49.95%, 49.95% and 48.95%, respectively,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investors, on the one hand, and the Company's co-venturers, on the other hand, where the Company's co-venturers' business interests are inconsistent with the Company's interests and those of the Company's investors. Further, disagreements or disputes between the Company and its co-venturers could result in litigation, which could increase the Company's expenses and potentially limit the time and effort the Company's officers and the officers and directors of Yield, Inc. are able to devote to the Company's business.</w:t>
      </w:r>
    </w:p>
    <w:p>
      <w:pPr>
        <w:spacing w:after="0" w:line="119"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The approval of co-venturers may also be required for the Company to receive distributions of funds from assets or to sell, pledge, transfer, assign or otherwise convey its interest in such assets, or for the Company to acquire NRG's interests in such co-ventures as an initial matter. Alternatively, the Company's co-venturers may have rights of first refusal or rights of first offer in the event of a proposed sale or transfer of its interests in such assets. These restrictions may limit the price or interest level for the Company's interests in such assets, in the event the Company wants to sell such interests.</w:t>
      </w:r>
    </w:p>
    <w:p>
      <w:pPr>
        <w:spacing w:after="0" w:line="100" w:lineRule="exact"/>
        <w:rPr>
          <w:sz w:val="20"/>
          <w:szCs w:val="20"/>
          <w:color w:val="auto"/>
        </w:rPr>
      </w:pPr>
    </w:p>
    <w:p>
      <w:pPr>
        <w:jc w:val="both"/>
        <w:ind w:firstLine="396"/>
        <w:spacing w:after="0" w:line="264" w:lineRule="auto"/>
        <w:rPr>
          <w:sz w:val="20"/>
          <w:szCs w:val="20"/>
          <w:color w:val="auto"/>
        </w:rPr>
      </w:pPr>
      <w:r>
        <w:rPr>
          <w:rFonts w:ascii="Arial" w:cs="Arial" w:eastAsia="Arial" w:hAnsi="Arial"/>
          <w:sz w:val="18"/>
          <w:szCs w:val="18"/>
          <w:color w:val="auto"/>
        </w:rPr>
        <w:t>Furthermore, certain of the Company's facilities are operated by third-party operators, such as First Solar. To the extent that third-party operators do not fulfill their obligations to manage operations of the facilities or are not effective in doing so, the amount of the Company's cash available for distribution may be adversely affected.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assets are exposed to risks inherent in the Company's use of interest rate swaps and forward fuel purchase contracts and the Company may be exposed to additional risks in the future if it utilizes other derivative instruments.</w:t>
      </w:r>
    </w:p>
    <w:p>
      <w:pPr>
        <w:spacing w:after="0" w:line="116" w:lineRule="exact"/>
        <w:rPr>
          <w:sz w:val="20"/>
          <w:szCs w:val="20"/>
          <w:color w:val="auto"/>
        </w:rPr>
      </w:pPr>
    </w:p>
    <w:p>
      <w:pPr>
        <w:jc w:val="both"/>
        <w:ind w:firstLine="426"/>
        <w:spacing w:after="0" w:line="291" w:lineRule="auto"/>
        <w:rPr>
          <w:sz w:val="20"/>
          <w:szCs w:val="20"/>
          <w:color w:val="auto"/>
        </w:rPr>
      </w:pPr>
      <w:r>
        <w:rPr>
          <w:rFonts w:ascii="Arial" w:cs="Arial" w:eastAsia="Arial" w:hAnsi="Arial"/>
          <w:sz w:val="16"/>
          <w:szCs w:val="16"/>
          <w:color w:val="auto"/>
        </w:rPr>
        <w:t>The Company uses interest rate swaps to manage interest rate risk. In addition, the Company uses forward fuel purchase contracts to hedge its limited commodity exposure with respect to its district energy assets. If the Company elects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Company's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subject to restrictions resulting from environmental, health and safety laws and regulations.</w:t>
      </w:r>
    </w:p>
    <w:p>
      <w:pPr>
        <w:spacing w:after="0" w:line="171" w:lineRule="exact"/>
        <w:rPr>
          <w:sz w:val="20"/>
          <w:szCs w:val="20"/>
          <w:color w:val="auto"/>
        </w:rPr>
      </w:pPr>
    </w:p>
    <w:p>
      <w:pPr>
        <w:jc w:val="both"/>
        <w:ind w:firstLine="465"/>
        <w:spacing w:after="0" w:line="270" w:lineRule="auto"/>
        <w:rPr>
          <w:sz w:val="20"/>
          <w:szCs w:val="20"/>
          <w:color w:val="auto"/>
        </w:rPr>
      </w:pPr>
      <w:r>
        <w:rPr>
          <w:rFonts w:ascii="Arial" w:cs="Arial" w:eastAsia="Arial" w:hAnsi="Arial"/>
          <w:sz w:val="17"/>
          <w:szCs w:val="17"/>
          <w:color w:val="auto"/>
        </w:rPr>
        <w:t>The Company is subject to various federal, state and local environmental and health and safety laws and regulations, and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its business.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87" w:right="239" w:bottom="1440" w:gutter="0" w:footer="0" w:header="0"/>
        </w:sectPr>
      </w:pPr>
    </w:p>
    <w:bookmarkStart w:id="65" w:name="page66"/>
    <w:bookmarkEnd w:id="65"/>
    <w:p>
      <w:pPr>
        <w:spacing w:after="0"/>
        <w:rPr>
          <w:sz w:val="20"/>
          <w:szCs w:val="20"/>
          <w:color w:val="auto"/>
        </w:rPr>
      </w:pPr>
      <w:r>
        <w:rPr>
          <w:rFonts w:ascii="Arial" w:cs="Arial" w:eastAsia="Arial" w:hAnsi="Arial"/>
          <w:sz w:val="15"/>
          <w:szCs w:val="15"/>
          <w:b w:val="1"/>
          <w:bCs w:val="1"/>
          <w:i w:val="1"/>
          <w:iCs w:val="1"/>
          <w:color w:val="auto"/>
        </w:rPr>
        <w:t>The Company does not own all of the land on which its power generation or thermal assets are located, which could result in disruption to its operations.</w:t>
      </w:r>
    </w:p>
    <w:p>
      <w:pPr>
        <w:spacing w:after="0" w:line="206"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The Company does not own all of the land on which its power generation or thermal assets are located, and the Company is, therefore, subject to the possibility of less desirable terms and increased costs to retain necessary land use if the Company does not have valid leases or rights-of-way or if such rights-of-way lapse or terminate. Although the Company has obtained rights to construct and operate these assets pursuant to related lease arrangements, the Company's rights to conduct those activities are subject to certain exceptions, including the term of the lease arrangement. The Company's loss of these rights, through its inability to renew right- of-way contracts or otherwise, may adversely affect the Company's ability to operate its generation and thermal infrastructure assets.</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Company's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93" w:lineRule="exact"/>
        <w:rPr>
          <w:sz w:val="20"/>
          <w:szCs w:val="20"/>
          <w:color w:val="auto"/>
        </w:rPr>
      </w:pPr>
    </w:p>
    <w:p>
      <w:pPr>
        <w:jc w:val="both"/>
        <w:ind w:firstLine="415"/>
        <w:spacing w:after="0" w:line="264" w:lineRule="auto"/>
        <w:rPr>
          <w:sz w:val="20"/>
          <w:szCs w:val="20"/>
          <w:color w:val="auto"/>
        </w:rPr>
      </w:pPr>
      <w:r>
        <w:rPr>
          <w:rFonts w:ascii="Arial" w:cs="Arial" w:eastAsia="Arial" w:hAnsi="Arial"/>
          <w:sz w:val="18"/>
          <w:szCs w:val="18"/>
          <w:color w:val="auto"/>
        </w:rPr>
        <w:t>The Company's electric generation business is subject to extensive U.S. federal, state and local laws and regulation.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w:t>
      </w:r>
    </w:p>
    <w:p>
      <w:pPr>
        <w:spacing w:after="0" w:line="12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Public utilities under the FPA are required to obtain FERC acceptance of their rate schedules for wholesale sales of electric energy, capacity and ancillary services. Except for generating facilities within the footprint of the ERCOT, which are regulated by the PUCT, all of the Company's assets make wholesale sales of electric energy, capacity and ancillary services in interstate commerce and are public utilities for purposes of the FPA, unless otherwise exempt from such status (see below). FERC's orders that grant market-based rate authority to wholesale power marketers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24"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The Company's market-based sales are subject to certain rules prohibiting manipulative or deceptive conduct, and if any of the Company's generating companies are deemed to have violated those rules, they will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39" w:lineRule="exact"/>
        <w:rPr>
          <w:sz w:val="20"/>
          <w:szCs w:val="20"/>
          <w:color w:val="auto"/>
        </w:rPr>
      </w:pPr>
    </w:p>
    <w:p>
      <w:pPr>
        <w:jc w:val="both"/>
        <w:ind w:firstLine="455"/>
        <w:spacing w:after="0" w:line="257" w:lineRule="auto"/>
        <w:rPr>
          <w:sz w:val="20"/>
          <w:szCs w:val="20"/>
          <w:color w:val="auto"/>
        </w:rPr>
      </w:pPr>
      <w:r>
        <w:rPr>
          <w:rFonts w:ascii="Arial" w:cs="Arial" w:eastAsia="Arial" w:hAnsi="Arial"/>
          <w:sz w:val="18"/>
          <w:szCs w:val="18"/>
          <w:color w:val="auto"/>
        </w:rPr>
        <w:t>Most of the Company's assets are operating as EWGs, as defined under the PUHCA, or QFs, as defined under the PURPA, and therefore are exempt from certain regulation under the PUHCA and the PURPA. If a facility fails to maintain its status as an EWG or a QF or there are legislative or regulatory changes revoking or limiting the exemptions to the PUHCA,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134" w:lineRule="exact"/>
        <w:rPr>
          <w:sz w:val="20"/>
          <w:szCs w:val="20"/>
          <w:color w:val="auto"/>
        </w:rPr>
      </w:pPr>
    </w:p>
    <w:p>
      <w:pPr>
        <w:jc w:val="both"/>
        <w:ind w:firstLine="528"/>
        <w:spacing w:after="0" w:line="264" w:lineRule="auto"/>
        <w:rPr>
          <w:sz w:val="20"/>
          <w:szCs w:val="20"/>
          <w:color w:val="auto"/>
        </w:rPr>
      </w:pPr>
      <w:r>
        <w:rPr>
          <w:rFonts w:ascii="Arial" w:cs="Arial" w:eastAsia="Arial" w:hAnsi="Arial"/>
          <w:sz w:val="18"/>
          <w:szCs w:val="18"/>
          <w:color w:val="auto"/>
        </w:rPr>
        <w:t>Substantially all of the Company's generation assets are also subject to the reliability standards promulgated by the designated Electric Reliability Organization (currently the NERC). If the Company fails to comply with the mandatory reliability standards, it could be subject to sanctions, including substantial monetary penalties and increased compliance obligations.</w:t>
      </w:r>
    </w:p>
    <w:p>
      <w:pPr>
        <w:spacing w:after="0" w:line="127" w:lineRule="exact"/>
        <w:rPr>
          <w:sz w:val="20"/>
          <w:szCs w:val="20"/>
          <w:color w:val="auto"/>
        </w:rPr>
      </w:pPr>
    </w:p>
    <w:p>
      <w:pPr>
        <w:jc w:val="both"/>
        <w:ind w:firstLine="482"/>
        <w:spacing w:after="0" w:line="255" w:lineRule="auto"/>
        <w:rPr>
          <w:sz w:val="20"/>
          <w:szCs w:val="20"/>
          <w:color w:val="auto"/>
        </w:rPr>
      </w:pPr>
      <w:r>
        <w:rPr>
          <w:rFonts w:ascii="Arial" w:cs="Arial" w:eastAsia="Arial" w:hAnsi="Arial"/>
          <w:sz w:val="18"/>
          <w:szCs w:val="18"/>
          <w:color w:val="auto"/>
        </w:rPr>
        <w:t>The Company is also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w:t>
      </w:r>
    </w:p>
    <w:p>
      <w:pPr>
        <w:spacing w:after="0" w:line="13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material market design changes and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87" w:right="2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environmental laws and regulations that impose extensive and increasingly stringent requirements on the Company's operations, as well as potentially substantial liabilities arising out of environmental contamination.</w:t>
      </w:r>
    </w:p>
    <w:p>
      <w:pPr>
        <w:spacing w:after="0" w:line="116"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w:t>
      </w:r>
    </w:p>
    <w:p>
      <w:pPr>
        <w:spacing w:after="0" w:line="124" w:lineRule="exact"/>
        <w:rPr>
          <w:sz w:val="20"/>
          <w:szCs w:val="20"/>
          <w:color w:val="auto"/>
        </w:rPr>
      </w:pPr>
    </w:p>
    <w:p>
      <w:pPr>
        <w:jc w:val="both"/>
        <w:ind w:firstLine="399"/>
        <w:spacing w:after="0" w:line="257" w:lineRule="auto"/>
        <w:rPr>
          <w:sz w:val="20"/>
          <w:szCs w:val="20"/>
          <w:color w:val="auto"/>
        </w:rPr>
      </w:pPr>
      <w:r>
        <w:rPr>
          <w:rFonts w:ascii="Arial" w:cs="Arial" w:eastAsia="Arial" w:hAnsi="Arial"/>
          <w:sz w:val="18"/>
          <w:szCs w:val="18"/>
          <w:color w:val="auto"/>
        </w:rPr>
        <w:t>Environmental laws and regulations have generally become more stringent over time, and the Company expects this trend to continue.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Company's business, financial condition, results of operations and cash flows.</w:t>
      </w:r>
    </w:p>
    <w:p>
      <w:pPr>
        <w:spacing w:after="0" w:line="13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Risks that are beyond the Company's control, including but not limited to acts of terrorism or related acts of war, natural disaster, hostile cyber intrusions or other catastrophic events, could have a material adverse effect on the Company's business, financial condition, results of operations and cash flows.</w:t>
      </w:r>
    </w:p>
    <w:p>
      <w:pPr>
        <w:spacing w:after="0" w:line="47" w:lineRule="exact"/>
        <w:rPr>
          <w:sz w:val="20"/>
          <w:szCs w:val="20"/>
          <w:color w:val="auto"/>
        </w:rPr>
      </w:pPr>
    </w:p>
    <w:p>
      <w:pPr>
        <w:jc w:val="both"/>
        <w:ind w:firstLine="371"/>
        <w:spacing w:after="0" w:line="293" w:lineRule="auto"/>
        <w:rPr>
          <w:sz w:val="20"/>
          <w:szCs w:val="20"/>
          <w:color w:val="auto"/>
        </w:rPr>
      </w:pPr>
      <w:r>
        <w:rPr>
          <w:rFonts w:ascii="Arial" w:cs="Arial" w:eastAsia="Arial" w:hAnsi="Arial"/>
          <w:sz w:val="16"/>
          <w:szCs w:val="16"/>
          <w:color w:val="auto"/>
        </w:rPr>
        <w:t>The Company's generation facilities that have been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111" w:lineRule="exact"/>
        <w:rPr>
          <w:sz w:val="20"/>
          <w:szCs w:val="20"/>
          <w:color w:val="auto"/>
        </w:rPr>
      </w:pPr>
    </w:p>
    <w:p>
      <w:pPr>
        <w:jc w:val="both"/>
        <w:ind w:firstLine="401"/>
        <w:spacing w:after="0" w:line="293" w:lineRule="auto"/>
        <w:rPr>
          <w:sz w:val="20"/>
          <w:szCs w:val="20"/>
          <w:color w:val="auto"/>
        </w:rPr>
      </w:pPr>
      <w:r>
        <w:rPr>
          <w:rFonts w:ascii="Arial" w:cs="Arial" w:eastAsia="Arial" w:hAnsi="Arial"/>
          <w:sz w:val="16"/>
          <w:szCs w:val="16"/>
          <w:color w:val="auto"/>
        </w:rPr>
        <w:t>Furthermore, certain of the Company's power generation thermal assets are located in active earthquake zones in California and Arizona, and certain of the Company's project companies and suppliers conduct their operations in the same region or in other locations that are susceptible to natural disasters. In addition, California and some of the locations where certain of the Company's suppliers are located, from time to time, have experienced shortages of water, electric power and natural gas. The occurrence of a natural disaster, such as an earthquake, drought, flood or localized extended outages of critical utilities or transportation systems or any critical resource shortages, affecting the Company or its suppliers, could cause a significant interruption in the Company's business, damage or destroy its facilities or those of its suppliers or the manufacturing equipment or inventory of its suppliers.</w:t>
      </w:r>
    </w:p>
    <w:p>
      <w:pPr>
        <w:spacing w:after="0" w:line="111" w:lineRule="exact"/>
        <w:rPr>
          <w:sz w:val="20"/>
          <w:szCs w:val="20"/>
          <w:color w:val="auto"/>
        </w:rPr>
      </w:pPr>
    </w:p>
    <w:p>
      <w:pPr>
        <w:jc w:val="both"/>
        <w:ind w:firstLine="435"/>
        <w:spacing w:after="0" w:line="264" w:lineRule="auto"/>
        <w:rPr>
          <w:sz w:val="20"/>
          <w:szCs w:val="20"/>
          <w:color w:val="auto"/>
        </w:rPr>
      </w:pPr>
      <w:r>
        <w:rPr>
          <w:rFonts w:ascii="Arial" w:cs="Arial" w:eastAsia="Arial" w:hAnsi="Arial"/>
          <w:sz w:val="18"/>
          <w:szCs w:val="18"/>
          <w:color w:val="auto"/>
        </w:rPr>
        <w:t>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Company's business, financial condition, results of operations and cash flows.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regulations providing incentives for renewable generation could change at any time and such changes may negatively impact the Company's growth strategy.</w:t>
      </w:r>
    </w:p>
    <w:p>
      <w:pPr>
        <w:spacing w:after="0" w:line="116"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The Company's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For example, the U.S. Internal Revenue Code of 1986, as amended, provides an ITC of 30% of the cost-basis of an eligible resource, including solar energy facilities placed in service prior to the end of 2016, which percentage is currently scheduled to be reduced to 10% for solar energy systems placed in service after December 31, 2016.</w:t>
      </w:r>
    </w:p>
    <w:p>
      <w:pPr>
        <w:spacing w:after="0" w:line="139" w:lineRule="exact"/>
        <w:rPr>
          <w:sz w:val="20"/>
          <w:szCs w:val="20"/>
          <w:color w:val="auto"/>
        </w:rPr>
      </w:pPr>
    </w:p>
    <w:p>
      <w:pPr>
        <w:jc w:val="both"/>
        <w:ind w:firstLine="484"/>
        <w:spacing w:after="0" w:line="257" w:lineRule="auto"/>
        <w:rPr>
          <w:sz w:val="20"/>
          <w:szCs w:val="20"/>
          <w:color w:val="auto"/>
        </w:rPr>
      </w:pPr>
      <w:r>
        <w:rPr>
          <w:rFonts w:ascii="Arial" w:cs="Arial" w:eastAsia="Arial" w:hAnsi="Arial"/>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87" w:right="23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7"/>
          <w:szCs w:val="17"/>
          <w:color w:val="auto"/>
        </w:rPr>
        <w:t>have a material adverse effect on the Company's future growth prospects. Such material adverse effects may result from decreased revenues, reduced economic returns on certain project company investments, increased financing costs, and/or difficulty obtaining financing. Furthermore, the ARRA included incentives to encourage investment in the renewable energy sector, such as cash grants in lieu of ITCs, bonus depreciation and expansion of the DOE loan guarantee program. It is uncertain what loan guarantees may be made by the DOE loan guarantee program in the future. In addition, the cash grant in lieu of ITCs program only applies to facilities that commenced construction prior to December 31, 2011, which commencement date may be determined in accordance with the safe harbor if more than 5% of the total cost of the eligible property was paid or incurred by December 31, 2011.</w:t>
      </w:r>
    </w:p>
    <w:p>
      <w:pPr>
        <w:spacing w:after="0" w:line="124" w:lineRule="exact"/>
        <w:rPr>
          <w:sz w:val="20"/>
          <w:szCs w:val="20"/>
          <w:color w:val="auto"/>
        </w:rPr>
      </w:pPr>
    </w:p>
    <w:p>
      <w:pPr>
        <w:jc w:val="both"/>
        <w:ind w:firstLine="468"/>
        <w:spacing w:after="0" w:line="264" w:lineRule="auto"/>
        <w:rPr>
          <w:sz w:val="20"/>
          <w:szCs w:val="20"/>
          <w:color w:val="auto"/>
        </w:rPr>
      </w:pPr>
      <w:r>
        <w:rPr>
          <w:rFonts w:ascii="Arial" w:cs="Arial" w:eastAsia="Arial" w:hAnsi="Arial"/>
          <w:sz w:val="18"/>
          <w:szCs w:val="18"/>
          <w:color w:val="auto"/>
        </w:rPr>
        <w:t>If the Company is unable to utilize various federal, state and local government incentives to acquire additional renewable assets in the future, or the terms of such incentives are revised in a manner that is less favorable to the Company, the Company may suffer a material adverse effect on its business, financial condition, results of operations and cash flows.</w:t>
      </w:r>
    </w:p>
    <w:p>
      <w:pPr>
        <w:spacing w:after="0" w:line="12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The Company relies on electric interconnection and transmission facilities that it does not own or control and that are subject to transmission constraints within a number of the Company's regions. If these facilities fail to provide the Company with adequate transmission capacity, the Company may be restricted in its ability to deliver electric power to its customers and it may either incur additional costs or forego revenues.</w:t>
      </w:r>
    </w:p>
    <w:p>
      <w:pPr>
        <w:spacing w:after="0" w:line="93"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7"/>
          <w:szCs w:val="17"/>
          <w:color w:val="auto"/>
        </w:rPr>
        <w:t>The Company depends on electric interconnection and transmission facilities owned and operated by others to deliver the wholesale power it sells from its electric generation assets to its customers. A failure or delay in the operation or development of these interconnection or transmission facilities or a significant increase in the cost of the development of such facilities could result in the Company losing revenues. Such failures or delays could limit the amount of power the Company's operating facilities deliver or delay the completion of the Company's construction projects. Additionally, such failures, delays or increased costs could have a material adverse effect on the Company's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cannot also predict whether interconnection and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electricity generating sources, reducing the Company's revenues and impairing the Company's ability to capitalize fully on a particular facility's generating potential. Such curtailments could have a material adverse effect on the Company's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costs, results of operations, financial condition and cash flows could be adversely impacted by the disruption of the fuel supplies necessary to generate power at the Company's conventional and thermal power generation facilities.</w:t>
      </w:r>
    </w:p>
    <w:p>
      <w:pPr>
        <w:spacing w:after="0" w:line="116"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Delivery of fossil fuels to fuel the Company's conventional and thermal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a limited operating history and as a result there is no assurance it can operate on a profitable basis.</w:t>
      </w:r>
    </w:p>
    <w:p>
      <w:pPr>
        <w:spacing w:after="0" w:line="171" w:lineRule="exact"/>
        <w:rPr>
          <w:sz w:val="20"/>
          <w:szCs w:val="20"/>
          <w:color w:val="auto"/>
        </w:rPr>
      </w:pPr>
    </w:p>
    <w:p>
      <w:pPr>
        <w:jc w:val="both"/>
        <w:ind w:firstLine="407"/>
        <w:spacing w:after="0" w:line="259" w:lineRule="auto"/>
        <w:rPr>
          <w:sz w:val="20"/>
          <w:szCs w:val="20"/>
          <w:color w:val="auto"/>
        </w:rPr>
      </w:pPr>
      <w:r>
        <w:rPr>
          <w:rFonts w:ascii="Arial" w:cs="Arial" w:eastAsia="Arial" w:hAnsi="Arial"/>
          <w:sz w:val="18"/>
          <w:szCs w:val="18"/>
          <w:color w:val="auto"/>
        </w:rPr>
        <w:t>The Company has a limited operating history on which to base an evaluation of the Company's business and prospects. The Company's prospects must be considered in light of the risks, expenses and difficulties frequently encountered by companies in their early stages of operation. There is no assurance that the Company will be successful in addressing the risks it may encounter, and the Company's failure to do so could have a material adverse effect on its business, financial condition, results of operations and cash flows.</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the Company is deemed to be an investment company, it may be required to institute burdensome compliance requirements and its activities may be restricted, which may make it difficult for the Company to complete strategic acquisitions or effect combinations.</w:t>
      </w:r>
    </w:p>
    <w:p>
      <w:pPr>
        <w:spacing w:after="0" w:line="93" w:lineRule="exact"/>
        <w:rPr>
          <w:sz w:val="20"/>
          <w:szCs w:val="20"/>
          <w:color w:val="auto"/>
        </w:rPr>
      </w:pPr>
    </w:p>
    <w:p>
      <w:pPr>
        <w:jc w:val="both"/>
        <w:ind w:firstLine="492"/>
        <w:spacing w:after="0" w:line="264" w:lineRule="auto"/>
        <w:rPr>
          <w:sz w:val="20"/>
          <w:szCs w:val="20"/>
          <w:color w:val="auto"/>
        </w:rPr>
      </w:pPr>
      <w:r>
        <w:rPr>
          <w:rFonts w:ascii="Arial" w:cs="Arial" w:eastAsia="Arial" w:hAnsi="Arial"/>
          <w:sz w:val="18"/>
          <w:szCs w:val="18"/>
          <w:color w:val="auto"/>
        </w:rPr>
        <w:t>If the Company is deemed to be an investment company under the Investment Company Act of 1940, the Company's business would be subject to applicable restrictions under the Investment Company Act of 1940, which could make it impracticable for the Company to continue its business as contemplated.</w:t>
      </w:r>
    </w:p>
    <w:p>
      <w:pPr>
        <w:spacing w:after="0" w:line="127" w:lineRule="exact"/>
        <w:rPr>
          <w:sz w:val="20"/>
          <w:szCs w:val="20"/>
          <w:color w:val="auto"/>
        </w:rPr>
      </w:pPr>
    </w:p>
    <w:p>
      <w:pPr>
        <w:jc w:val="both"/>
        <w:ind w:right="20" w:firstLine="364"/>
        <w:spacing w:after="0" w:line="264" w:lineRule="auto"/>
        <w:rPr>
          <w:sz w:val="20"/>
          <w:szCs w:val="20"/>
          <w:color w:val="auto"/>
        </w:rPr>
      </w:pPr>
      <w:r>
        <w:rPr>
          <w:rFonts w:ascii="Arial" w:cs="Arial" w:eastAsia="Arial" w:hAnsi="Arial"/>
          <w:sz w:val="18"/>
          <w:szCs w:val="18"/>
          <w:color w:val="auto"/>
        </w:rPr>
        <w:t>The Company believes it is not an investment company under Section 3(b)(1) of the Investment Company Act of 1940 because it is primarily engaged in a non-investment company business. The Company intends to conduct its operations so that it will not be deemed an investment company. However, if the Company were to be deemed an investment company, restrictions imposed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87" w:right="239" w:bottom="1440" w:gutter="0" w:footer="0" w:header="0"/>
        </w:sectPr>
      </w:pPr>
    </w:p>
    <w:bookmarkStart w:id="68" w:name="page69"/>
    <w:bookmarkEnd w:id="68"/>
    <w:p>
      <w:pPr>
        <w:jc w:val="both"/>
        <w:ind w:right="20"/>
        <w:spacing w:after="0" w:line="277" w:lineRule="auto"/>
        <w:rPr>
          <w:sz w:val="20"/>
          <w:szCs w:val="20"/>
          <w:color w:val="auto"/>
        </w:rPr>
      </w:pPr>
      <w:r>
        <w:rPr>
          <w:rFonts w:ascii="Arial" w:cs="Arial" w:eastAsia="Arial" w:hAnsi="Arial"/>
          <w:sz w:val="18"/>
          <w:szCs w:val="18"/>
          <w:color w:val="auto"/>
        </w:rPr>
        <w:t>by the Investment Company Act, including limitations on the Company's capital structure and the Company's ability to transact with affiliates, could make it impractical for the Company to continue its business as contemplated.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Relationship with NRG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NRG is the controlling stockholder of the Company's corporate parent, Yield, Inc., and will exercise substantial influence over the Company and the Company is highly dependent on NRG.</w:t>
      </w:r>
    </w:p>
    <w:p>
      <w:pPr>
        <w:spacing w:after="0" w:line="116" w:lineRule="exact"/>
        <w:rPr>
          <w:sz w:val="20"/>
          <w:szCs w:val="20"/>
          <w:color w:val="auto"/>
        </w:rPr>
      </w:pPr>
    </w:p>
    <w:p>
      <w:pPr>
        <w:jc w:val="both"/>
        <w:ind w:firstLine="431"/>
        <w:spacing w:after="0" w:line="257" w:lineRule="auto"/>
        <w:rPr>
          <w:sz w:val="20"/>
          <w:szCs w:val="20"/>
          <w:color w:val="auto"/>
        </w:rPr>
      </w:pPr>
      <w:r>
        <w:rPr>
          <w:rFonts w:ascii="Arial" w:cs="Arial" w:eastAsia="Arial" w:hAnsi="Arial"/>
          <w:sz w:val="18"/>
          <w:szCs w:val="18"/>
          <w:color w:val="auto"/>
        </w:rPr>
        <w:t>NRG beneficially owns approximately 55.1% of the combined voting power of Yield, Inc.'s common stock outstanding. As a result of this ownership, NRG has a substantial influence on the Company's affairs. NRG's voting power will continue to constitute a large percentage of any quorum of the stockholders of Yield, Inc. voting on any matter requiring the approval of its stockholders. Such matters include the election of directors, the adoption of amendments to Yield, Inc.'s second amended and restated certificate of incorporation and bylaws and approval of mergers or sales of all or substantially all of its assets.</w:t>
      </w:r>
    </w:p>
    <w:p>
      <w:pPr>
        <w:spacing w:after="0" w:line="134" w:lineRule="exact"/>
        <w:rPr>
          <w:sz w:val="20"/>
          <w:szCs w:val="20"/>
          <w:color w:val="auto"/>
        </w:rPr>
      </w:pPr>
    </w:p>
    <w:p>
      <w:pPr>
        <w:jc w:val="both"/>
        <w:ind w:firstLine="644"/>
        <w:spacing w:after="0" w:line="254" w:lineRule="auto"/>
        <w:rPr>
          <w:sz w:val="20"/>
          <w:szCs w:val="20"/>
          <w:color w:val="auto"/>
        </w:rPr>
      </w:pPr>
      <w:r>
        <w:rPr>
          <w:rFonts w:ascii="Arial" w:cs="Arial" w:eastAsia="Arial" w:hAnsi="Arial"/>
          <w:sz w:val="18"/>
          <w:szCs w:val="18"/>
          <w:color w:val="auto"/>
        </w:rPr>
        <w:t>Furthermore, the Company depends upon the management and administration services provided by or under the direction of NRG under the Management Services Agreement. NRG personnel and support staff that provide services to the Company under the Management Services Agreement are not required to, and the Company does not expect that they will, have as their primary responsibility the management and administration of Yield, Inc. or to act exclusively for the Company and the Management Services Agreement does not require any specific individuals to be provided by NRG. Under the Management Services Agreement, NRG has the discretion to determine which of its employees perform assignments required to be provided to the Company. Any failure to effectively manage the Company's operations or to implement the Company's strategy could have a material adverse effect on its business, financial condition, results of operations and cash flows. The Management Services Agreement has a perpetual duration, until terminated in accordance with its provisions.</w:t>
      </w:r>
    </w:p>
    <w:p>
      <w:pPr>
        <w:spacing w:after="0" w:line="138"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Company also depends upon NRG for the provision of management and administration services at all of the Company's facilities. Any failure by NRG to perform its requirements under these arrangements or the failure by the Company to identify and contract with replacement service providers, if required, could adversely affect the operation of the Company's facilities and have a material adverse effect on the Company's business, financial condition, results of operations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consummate future acquisitions from NRG.</w:t>
      </w:r>
    </w:p>
    <w:p>
      <w:pPr>
        <w:spacing w:after="0" w:line="171" w:lineRule="exact"/>
        <w:rPr>
          <w:sz w:val="20"/>
          <w:szCs w:val="20"/>
          <w:color w:val="auto"/>
        </w:rPr>
      </w:pPr>
    </w:p>
    <w:p>
      <w:pPr>
        <w:jc w:val="both"/>
        <w:ind w:firstLine="627"/>
        <w:spacing w:after="0" w:line="255" w:lineRule="auto"/>
        <w:rPr>
          <w:sz w:val="20"/>
          <w:szCs w:val="20"/>
          <w:color w:val="auto"/>
        </w:rPr>
      </w:pPr>
      <w:r>
        <w:rPr>
          <w:rFonts w:ascii="Arial" w:cs="Arial" w:eastAsia="Arial" w:hAnsi="Arial"/>
          <w:sz w:val="18"/>
          <w:szCs w:val="18"/>
          <w:color w:val="auto"/>
        </w:rPr>
        <w:t>The Company's ability to grow through acquisitions depends, in part, on NRG's ability to identify and present the Company with acquisition opportunities. NRG established the Company to hold and acquire a diversified suite of power generating assets in the U.S. Although NRG has agreed to grant the Company a right of first offer with respect to certain power generation assets that NRG may elect to sell in the future, NRG is under no obligation to sell drop-down assets or to accept any related offer from the Company. Furthermore, NRG has no obligation to source acquisition opportunities specifically for the Company. In addition, NRG has not agreed to commit to the Company any minimum level of dedicated resources for the pursuit of renewable power-related acquisitions. There are a number of factors which could materially and adversely impact the extent to which suitable acquisition opportunities are made available from NRG, including:</w:t>
      </w:r>
    </w:p>
    <w:p>
      <w:pPr>
        <w:spacing w:after="0" w:line="135" w:lineRule="exact"/>
        <w:rPr>
          <w:sz w:val="20"/>
          <w:szCs w:val="20"/>
          <w:color w:val="auto"/>
        </w:rPr>
      </w:pPr>
    </w:p>
    <w:p>
      <w:pPr>
        <w:jc w:val="both"/>
        <w:ind w:left="66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same professionals within NRG's organization that are involved in acquisitions that are suitable for the Company have responsibilities within NRG's broader asset management business, which may include sourcing acquisition opportunities for NRG (limits on the availability of such individuals will likewise result in a limitation on their availability to pursue acquisition opportunities for the Company); and</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addition to structural limitations, the question of whether a particular asset is suitable is highly subjective and is dependent on a number of factors including an assessment by NRG relating to the Company's liquidity position at the time, the risk profile of the opportunity and its fit with the balance of the Company's then current operations and other factors. If NRG determines that an opportunity is not suitable for the Company, it may still pursue such opportunity on its own behalf, or on behalf of another NRG affiliate.</w:t>
      </w:r>
    </w:p>
    <w:p>
      <w:pPr>
        <w:spacing w:after="0" w:line="52"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7"/>
          <w:szCs w:val="17"/>
          <w:color w:val="auto"/>
        </w:rPr>
        <w:t>In making these determinations, NRG may be influenced by factors that result in a misalignment or conflict of interest. See "Risks Related to the Company's Business—The Company may not be able to effectively identify or consummate any future acquisitions on favorable terms, or at all" for a description of risks associated with the identifying, evaluating and consummating acquisitions generally, including acquisitions of drop-down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departure of some or all of NRG's employees could prevent the Company from achieving its objectives.</w:t>
      </w:r>
    </w:p>
    <w:p>
      <w:pPr>
        <w:spacing w:after="0" w:line="171" w:lineRule="exact"/>
        <w:rPr>
          <w:sz w:val="20"/>
          <w:szCs w:val="20"/>
          <w:color w:val="auto"/>
        </w:rPr>
      </w:pPr>
    </w:p>
    <w:p>
      <w:pPr>
        <w:jc w:val="both"/>
        <w:ind w:firstLine="411"/>
        <w:spacing w:after="0" w:line="264" w:lineRule="auto"/>
        <w:rPr>
          <w:sz w:val="20"/>
          <w:szCs w:val="20"/>
          <w:color w:val="auto"/>
        </w:rPr>
      </w:pPr>
      <w:r>
        <w:rPr>
          <w:rFonts w:ascii="Arial" w:cs="Arial" w:eastAsia="Arial" w:hAnsi="Arial"/>
          <w:sz w:val="18"/>
          <w:szCs w:val="18"/>
          <w:color w:val="auto"/>
        </w:rPr>
        <w:t>The Company depends on the diligence, skill and business contacts of NRG's professionals and the information and opportunities they generate during the normal course of their activities. Furthermore, approximately 31% of NRG's employees at NRG's generation plants were covered by collective bargaining agreements as of December 31, 2014.</w:t>
      </w:r>
    </w:p>
    <w:p>
      <w:pPr>
        <w:spacing w:after="0" w:line="127"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The Company's future success depends on the continued service of these individuals, who are not obligated to remain employed with NRG, and on successfully renegotiating their collective bargaining agreements when such agreements expire or otherwise terminate. NRG has experienced departures of key professionals and personnel in the past and may do so in the future, and the Company cannot predict the impact that any such departures will have on the Company's ability to achieve its objectives.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87"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departure of a significant number of NRG's professionals or a material portion of the NRG employees who work at any of the Company's facilities for any reason, or the failure to appoint qualified or effective successors in the event of such departures, could have a material adverse effect on the Company's ability to achieve its objectives. The Management Services Agreement does not require NRG to maintain the employment of any of its professionals or to cause any particular professional to provide services to the Company or on the Company's behalf.</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Company's organizational and ownership structure may create significant conflicts of interest that may be resolved in a manner that is not in the Company's best interests and that may have a material adverse effect on the Company's business, financial condition, results of operations and cash flows.</w:t>
      </w:r>
    </w:p>
    <w:p>
      <w:pPr>
        <w:spacing w:after="0" w:line="127"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The Company's organizational and ownership structure involves a number of relationships that may give rise to certain conflicts of interest between the Company and NRG. The Company has entered into a Management Services Agreement with NRG. Each of the Company's executive officers is a shared NRG executive and devotes his or her time to both the Company and NRG as needed to conduct the respective businesses pursuant to the Management Services Agreement. In addition, NRG and its representatives, agents and affiliates have access to the Company's confidential information. Although some of these persons are subject to confidentiality obligations pursuant to confidentiality agreements or implied duties of confidence, the Management Services Agreement does not contain general confidentiality provisions.</w:t>
      </w:r>
    </w:p>
    <w:p>
      <w:pPr>
        <w:spacing w:after="0" w:line="139" w:lineRule="exact"/>
        <w:rPr>
          <w:sz w:val="20"/>
          <w:szCs w:val="20"/>
          <w:color w:val="auto"/>
        </w:rPr>
      </w:pPr>
    </w:p>
    <w:p>
      <w:pPr>
        <w:jc w:val="both"/>
        <w:ind w:firstLine="570"/>
        <w:spacing w:after="0" w:line="285" w:lineRule="auto"/>
        <w:rPr>
          <w:sz w:val="20"/>
          <w:szCs w:val="20"/>
          <w:color w:val="auto"/>
        </w:rPr>
      </w:pPr>
      <w:r>
        <w:rPr>
          <w:rFonts w:ascii="Arial" w:cs="Arial" w:eastAsia="Arial" w:hAnsi="Arial"/>
          <w:sz w:val="16"/>
          <w:szCs w:val="16"/>
          <w:color w:val="auto"/>
        </w:rPr>
        <w:t>Additionally, all of the Company's executive officers continue to have economic interests in NRG and, accordingly, the benefit to NRG from a transaction between the Company and NRG will proportionately inure to their benefit as holders of economic interests in NRG. NRG is a related party under the applicable securities laws governing related party transactions and may have interests which differ from the Company's interests, including with respect to the types of acquisitions made, the timing and amount of dividends by Yield, Inc., the reinvestment of returns generated by the Company's operations, the use of leverage when making acquisitions and the appointment of outside advisors and service providers. Any material transaction between the Company and NRG (including the proposed acquisition of any drop-down asset) will be subject to the Company's related party transaction policy, which requires prior approval of such transaction by Yield, Inc.'s corporate committees. Those of Yield, Inc.'s executive officers who have economic interests in NRG may be conflicted when advising its corporate committees or otherwise participating in the negotiation or approval of such transactions. These executive officers have significant project- and industry-specific expertise that could prove beneficial to Yield, Inc.'s Corporate Governance, Conflicts and Nominating Committee's decision-making process and the absence of such strategic guidance could have a material adverse effect on the corporate committees' ability to evaluate any such transaction. Furthermore, the creation of Yield, Inc.'s corporate committees and the Company's related party transaction approval policy may not insulate the Company from derivative claims related to related party transactions and the conflicts of interest described in this risk factor. Regardless of the merits of such claims, the Company may be required to expend significant management time and financial resources in the defense thereof. Additionally, to the extent the Company fails to appropriately deal with any such conflicts, it could negatively impact the Company's reputation and ability to raise additional funds and the willingness of counterparties to do business with the Company, all of which could have a material adverse effect on the Company's business,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be unable or unwilling to terminate the Management Services Agreement.</w:t>
      </w:r>
    </w:p>
    <w:p>
      <w:pPr>
        <w:spacing w:after="0" w:line="171" w:lineRule="exact"/>
        <w:rPr>
          <w:sz w:val="20"/>
          <w:szCs w:val="20"/>
          <w:color w:val="auto"/>
        </w:rPr>
      </w:pPr>
    </w:p>
    <w:p>
      <w:pPr>
        <w:jc w:val="both"/>
        <w:ind w:firstLine="476"/>
        <w:spacing w:after="0" w:line="290" w:lineRule="auto"/>
        <w:rPr>
          <w:sz w:val="20"/>
          <w:szCs w:val="20"/>
          <w:color w:val="auto"/>
        </w:rPr>
      </w:pPr>
      <w:r>
        <w:rPr>
          <w:rFonts w:ascii="Arial" w:cs="Arial" w:eastAsia="Arial" w:hAnsi="Arial"/>
          <w:sz w:val="16"/>
          <w:szCs w:val="16"/>
          <w:color w:val="auto"/>
        </w:rPr>
        <w:t>The Management Services Agreement provides that the Company may terminate the agreement upon 30 days prior written notice to NRG upon the occurrence of any of the following: (i) NRG defaults in the performance or observance of any material term, condition or covenant contained therein in a manner that results in material harm to the Company and the default continues unremedied for a period of 30 days after written notice thereof is given to NRG; (ii) NRG engages in any act of fraud, misappropriation of funds or embezzlement that results in material harm to the Company; (iii) NRG is grossly negligent in the performance of its duties under the agreement and such negligence results in material harm to the Company; or (iv) upon the happening of certain events relating to the bankruptcy or insolvency of NRG. Furthermore, if the Company requests an amendment to the scope of services provided by NRG under the Management Services Agreement and the Company is not able to agree with NRG as to a change to the service fee resulting from a change in the scope of services within 180 days of the request, the Company may terminate the agreement upon 30 days prior notice to NRG.</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able to terminate the agreement for any other reason, including if NRG experiences a change of control, and the agreement continues in perpetuity, until terminated in accordance with its terms. If NRG's performance does not meet the expectations of investors, and the Company is unable to terminate the Management Services Agreement, it could have a material adverse effect on the Company's business, financial condition, results of operations and cash flows.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NRG terminates the Management Services Agreement or defaults in the performance of its obligations under the agreement the Company may be unable to contract with a substitute service provider on similar terms, or at all.</w:t>
      </w:r>
    </w:p>
    <w:p>
      <w:pPr>
        <w:spacing w:after="0" w:line="116"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The Company relies on NRG to provide it with management services under the Management Services Agreement and do not have independent executive or senior management personnel. The Management Services Agreement provides that NRG may terminate the agreement upon 180 days prior written notice of termination to the Company if it defaults in the performance or observance of any material term, condition or covenant contained in the agreement in a manner that results in material harm 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87" w:right="2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the default continues unremedied for a period of 30 days after written notice of the breach is given to the Company. If NRG terminates the Management Services Agreement or defaults in the performance of its obligations under the agreement, the Company may be unable to contract with a substitute service provider on similar terms or at all, and the costs of substituting service providers may be substantial. In addition, in light of NRG's familiarity with the Company's assets, a substitute service provider may not be able to provide the same level of service due to lack of pre-existing synergies. If the Company cannot locate a service provider that is able to provide the Company with substantially similar services as NRG does under the Management Services Agreement on similar terms, it would likely have a material adverse effect on the Company's business, financial condition, results of operation and cash flows.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liability of NRG is limited under the Company's arrangements with it and the Company has agreed to indemnify NRG against claims that it may face in connection with such arrangements, which may lead it to assume greater risks when making decisions relating to the Company than it otherwise would if acting solely for its own account.</w:t>
      </w:r>
    </w:p>
    <w:p>
      <w:pPr>
        <w:spacing w:after="0" w:line="127"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Under the Management Services Agreement, NRG does not assume any responsibility other than to provide or arrange for the provision of the services described in the Management Services Agreement in good faith. In addition, under the Management Services Agreement, the liability of NRG and its affiliates is limited to the fullest extent permitted by law to conduct involving bad faith, fraud, willful misconduct or gross negligence or, in the case of a criminal matter, action that was known to have been unlawful. In addition, the Company has agreed to indemnify NRG to the fullest extent permitted by law from and against any claims, liabilities, losses, damages, costs or expenses incurred by an indemnified person or threatened in connection with the Company's operations, investments and activities or in respect of or arising from the Management Services Agreement or the services provided by NRG, except to the extent that the claims, liabilities, losses, damages, costs or expenses are determined to have resulted from the conduct in respect of which such persons have liability as described above. These protections may result in NRG tolerating greater risks when making decisions than otherwise would be the case, including when determining whether to use leverage in connection with acquisitions. The indemnification arrangements to which NRG is a party may also give rise to legal claims for indemnification that are adverse to Yield,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8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ITEM 2 — UNREGISTERED SALES OF EQUITY SECURITIES AND USE OF PROCEEDS</w:t>
      </w:r>
    </w:p>
    <w:p>
      <w:pPr>
        <w:spacing w:after="0" w:line="3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702"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6060" w:type="dxa"/>
            <w:vAlign w:val="bottom"/>
          </w:tcPr>
          <w:p>
            <w:pPr>
              <w:ind w:left="2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0"/>
                <w:szCs w:val="20"/>
                <w:color w:val="auto"/>
              </w:rPr>
            </w:pPr>
            <w:r>
              <w:rPr>
                <w:rFonts w:ascii="Arial" w:cs="Arial" w:eastAsia="Arial" w:hAnsi="Arial"/>
                <w:sz w:val="16"/>
                <w:szCs w:val="16"/>
                <w:color w:val="auto"/>
              </w:rPr>
              <w:t>2.1*^</w:t>
            </w:r>
          </w:p>
        </w:tc>
        <w:tc>
          <w:tcPr>
            <w:tcW w:w="6060" w:type="dxa"/>
            <w:vAlign w:val="bottom"/>
          </w:tcPr>
          <w:p>
            <w:pPr>
              <w:ind w:left="220"/>
              <w:spacing w:after="0"/>
              <w:rPr>
                <w:sz w:val="20"/>
                <w:szCs w:val="20"/>
                <w:color w:val="auto"/>
              </w:rPr>
            </w:pPr>
            <w:r>
              <w:rPr>
                <w:rFonts w:ascii="Arial" w:cs="Arial" w:eastAsia="Arial" w:hAnsi="Arial"/>
                <w:sz w:val="16"/>
                <w:szCs w:val="16"/>
                <w:color w:val="auto"/>
                <w:w w:val="91"/>
              </w:rPr>
              <w:t>Purchase and Sale Agreement, dated as of June 17, 2015, between EFS Desert Sun, LLC</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and NRG Yield Operating LLC.</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6"/>
                <w:szCs w:val="16"/>
                <w:color w:val="auto"/>
              </w:rPr>
              <w:t>3.1</w:t>
            </w:r>
          </w:p>
        </w:tc>
        <w:tc>
          <w:tcPr>
            <w:tcW w:w="6060" w:type="dxa"/>
            <w:vAlign w:val="bottom"/>
            <w:vMerge w:val="restart"/>
          </w:tcPr>
          <w:p>
            <w:pPr>
              <w:ind w:left="220"/>
              <w:spacing w:after="0"/>
              <w:rPr>
                <w:sz w:val="20"/>
                <w:szCs w:val="20"/>
                <w:color w:val="auto"/>
              </w:rPr>
            </w:pPr>
            <w:r>
              <w:rPr>
                <w:rFonts w:ascii="Arial" w:cs="Arial" w:eastAsia="Arial" w:hAnsi="Arial"/>
                <w:sz w:val="16"/>
                <w:szCs w:val="16"/>
                <w:color w:val="auto"/>
                <w:w w:val="94"/>
              </w:rPr>
              <w:t>Third Amended and Restated Limited Liability Company Agreement of NRG Yield LLC,</w:t>
            </w: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dated as of May 14, 2015.</w:t>
            </w:r>
          </w:p>
        </w:tc>
        <w:tc>
          <w:tcPr>
            <w:tcW w:w="0" w:type="dxa"/>
            <w:vAlign w:val="bottom"/>
          </w:tcPr>
          <w:p>
            <w:pPr>
              <w:spacing w:after="0"/>
              <w:rPr>
                <w:sz w:val="1"/>
                <w:szCs w:val="1"/>
                <w:color w:val="auto"/>
              </w:rPr>
            </w:pPr>
          </w:p>
        </w:tc>
      </w:tr>
      <w:tr>
        <w:trPr>
          <w:trHeight w:val="536"/>
        </w:trPr>
        <w:tc>
          <w:tcPr>
            <w:tcW w:w="820" w:type="dxa"/>
            <w:vAlign w:val="bottom"/>
          </w:tcPr>
          <w:p>
            <w:pPr>
              <w:spacing w:after="0"/>
              <w:rPr>
                <w:sz w:val="20"/>
                <w:szCs w:val="20"/>
                <w:color w:val="auto"/>
              </w:rPr>
            </w:pPr>
            <w:r>
              <w:rPr>
                <w:rFonts w:ascii="Arial" w:cs="Arial" w:eastAsia="Arial" w:hAnsi="Arial"/>
                <w:sz w:val="16"/>
                <w:szCs w:val="16"/>
                <w:color w:val="auto"/>
              </w:rPr>
              <w:t>4.1</w:t>
            </w:r>
          </w:p>
        </w:tc>
        <w:tc>
          <w:tcPr>
            <w:tcW w:w="6060" w:type="dxa"/>
            <w:vAlign w:val="bottom"/>
          </w:tcPr>
          <w:p>
            <w:pPr>
              <w:ind w:left="220"/>
              <w:spacing w:after="0"/>
              <w:rPr>
                <w:sz w:val="20"/>
                <w:szCs w:val="20"/>
                <w:color w:val="auto"/>
              </w:rPr>
            </w:pPr>
            <w:r>
              <w:rPr>
                <w:rFonts w:ascii="Arial" w:cs="Arial" w:eastAsia="Arial" w:hAnsi="Arial"/>
                <w:sz w:val="16"/>
                <w:szCs w:val="16"/>
                <w:color w:val="auto"/>
                <w:w w:val="94"/>
              </w:rPr>
              <w:t>Fourth Supplemental Indenture, dated as of May 8, 2015, among NRG Yield Operating</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w w:val="96"/>
              </w:rPr>
              <w:t>LLC, the guarantors named therein and Law Debenture Trust Company of New York.</w:t>
            </w:r>
          </w:p>
        </w:tc>
        <w:tc>
          <w:tcPr>
            <w:tcW w:w="0" w:type="dxa"/>
            <w:vAlign w:val="bottom"/>
          </w:tcPr>
          <w:p>
            <w:pPr>
              <w:spacing w:after="0"/>
              <w:rPr>
                <w:sz w:val="1"/>
                <w:szCs w:val="1"/>
                <w:color w:val="auto"/>
              </w:rPr>
            </w:pP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4.2</w:t>
            </w:r>
          </w:p>
        </w:tc>
        <w:tc>
          <w:tcPr>
            <w:tcW w:w="6060" w:type="dxa"/>
            <w:vAlign w:val="bottom"/>
          </w:tcPr>
          <w:p>
            <w:pPr>
              <w:ind w:left="220"/>
              <w:spacing w:after="0"/>
              <w:rPr>
                <w:sz w:val="20"/>
                <w:szCs w:val="20"/>
                <w:color w:val="auto"/>
              </w:rPr>
            </w:pPr>
            <w:r>
              <w:rPr>
                <w:rFonts w:ascii="Arial" w:cs="Arial" w:eastAsia="Arial" w:hAnsi="Arial"/>
                <w:sz w:val="16"/>
                <w:szCs w:val="16"/>
                <w:color w:val="auto"/>
                <w:w w:val="92"/>
              </w:rPr>
              <w:t>Indenture, dated June 29, 2015, among NRG Yield, Inc., the Guarantors and the Trustee.</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0"/>
                <w:szCs w:val="20"/>
                <w:color w:val="auto"/>
              </w:rPr>
            </w:pPr>
            <w:r>
              <w:rPr>
                <w:rFonts w:ascii="Arial" w:cs="Arial" w:eastAsia="Arial" w:hAnsi="Arial"/>
                <w:sz w:val="16"/>
                <w:szCs w:val="16"/>
                <w:color w:val="auto"/>
              </w:rPr>
              <w:t>4.3</w:t>
            </w:r>
          </w:p>
        </w:tc>
        <w:tc>
          <w:tcPr>
            <w:tcW w:w="6060" w:type="dxa"/>
            <w:vAlign w:val="bottom"/>
          </w:tcPr>
          <w:p>
            <w:pPr>
              <w:ind w:left="220"/>
              <w:spacing w:after="0"/>
              <w:rPr>
                <w:sz w:val="20"/>
                <w:szCs w:val="20"/>
                <w:color w:val="auto"/>
              </w:rPr>
            </w:pPr>
            <w:r>
              <w:rPr>
                <w:rFonts w:ascii="Arial" w:cs="Arial" w:eastAsia="Arial" w:hAnsi="Arial"/>
                <w:sz w:val="16"/>
                <w:szCs w:val="16"/>
                <w:color w:val="auto"/>
              </w:rPr>
              <w:t>Form of 3.25% Convertible Senior Note due 2020.</w:t>
            </w: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Arial" w:cs="Arial" w:eastAsia="Arial" w:hAnsi="Arial"/>
                <w:sz w:val="16"/>
                <w:szCs w:val="16"/>
                <w:color w:val="auto"/>
              </w:rPr>
              <w:t>10.1*</w:t>
            </w:r>
          </w:p>
        </w:tc>
        <w:tc>
          <w:tcPr>
            <w:tcW w:w="6060" w:type="dxa"/>
            <w:vAlign w:val="bottom"/>
          </w:tcPr>
          <w:p>
            <w:pPr>
              <w:ind w:left="220"/>
              <w:spacing w:after="0"/>
              <w:rPr>
                <w:sz w:val="20"/>
                <w:szCs w:val="20"/>
                <w:color w:val="auto"/>
              </w:rPr>
            </w:pPr>
            <w:r>
              <w:rPr>
                <w:rFonts w:ascii="Arial" w:cs="Arial" w:eastAsia="Arial" w:hAnsi="Arial"/>
                <w:sz w:val="16"/>
                <w:szCs w:val="16"/>
                <w:color w:val="auto"/>
                <w:w w:val="96"/>
              </w:rPr>
              <w:t>Amended and Restated Limited Liability Company Agreement of NRG RPV Holdco 1</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LLC, dated as of April 9, 2015.</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0"/>
                <w:szCs w:val="20"/>
                <w:color w:val="auto"/>
              </w:rPr>
            </w:pPr>
            <w:r>
              <w:rPr>
                <w:rFonts w:ascii="Arial" w:cs="Arial" w:eastAsia="Arial" w:hAnsi="Arial"/>
                <w:sz w:val="16"/>
                <w:szCs w:val="16"/>
                <w:color w:val="auto"/>
              </w:rPr>
              <w:t>10.2*</w:t>
            </w:r>
          </w:p>
        </w:tc>
        <w:tc>
          <w:tcPr>
            <w:tcW w:w="6060" w:type="dxa"/>
            <w:vAlign w:val="bottom"/>
          </w:tcPr>
          <w:p>
            <w:pPr>
              <w:ind w:left="220"/>
              <w:spacing w:after="0"/>
              <w:rPr>
                <w:sz w:val="20"/>
                <w:szCs w:val="20"/>
                <w:color w:val="auto"/>
              </w:rPr>
            </w:pPr>
            <w:r>
              <w:rPr>
                <w:rFonts w:ascii="Arial" w:cs="Arial" w:eastAsia="Arial" w:hAnsi="Arial"/>
                <w:sz w:val="16"/>
                <w:szCs w:val="16"/>
                <w:color w:val="auto"/>
                <w:w w:val="94"/>
              </w:rPr>
              <w:t>Amended and Restated Limited Liability Company Agreement of NRG DGPV Holdco 1</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LLC, dated as of May 8, 2015.</w:t>
            </w:r>
          </w:p>
        </w:tc>
        <w:tc>
          <w:tcPr>
            <w:tcW w:w="0" w:type="dxa"/>
            <w:vAlign w:val="bottom"/>
          </w:tcPr>
          <w:p>
            <w:pPr>
              <w:spacing w:after="0"/>
              <w:rPr>
                <w:sz w:val="1"/>
                <w:szCs w:val="1"/>
                <w:color w:val="auto"/>
              </w:rPr>
            </w:pPr>
          </w:p>
        </w:tc>
      </w:tr>
      <w:tr>
        <w:trPr>
          <w:trHeight w:val="257"/>
        </w:trPr>
        <w:tc>
          <w:tcPr>
            <w:tcW w:w="820" w:type="dxa"/>
            <w:vAlign w:val="bottom"/>
          </w:tcPr>
          <w:p>
            <w:pPr>
              <w:spacing w:after="0"/>
              <w:rPr>
                <w:sz w:val="20"/>
                <w:szCs w:val="20"/>
                <w:color w:val="auto"/>
              </w:rPr>
            </w:pPr>
            <w:r>
              <w:rPr>
                <w:rFonts w:ascii="Arial" w:cs="Arial" w:eastAsia="Arial" w:hAnsi="Arial"/>
                <w:sz w:val="16"/>
                <w:szCs w:val="16"/>
                <w:color w:val="auto"/>
              </w:rPr>
              <w:t>10.3</w:t>
            </w:r>
          </w:p>
        </w:tc>
        <w:tc>
          <w:tcPr>
            <w:tcW w:w="6060" w:type="dxa"/>
            <w:vAlign w:val="bottom"/>
            <w:vMerge w:val="restart"/>
          </w:tcPr>
          <w:p>
            <w:pPr>
              <w:ind w:left="220"/>
              <w:spacing w:after="0"/>
              <w:rPr>
                <w:sz w:val="20"/>
                <w:szCs w:val="20"/>
                <w:color w:val="auto"/>
              </w:rPr>
            </w:pPr>
            <w:r>
              <w:rPr>
                <w:rFonts w:ascii="Arial" w:cs="Arial" w:eastAsia="Arial" w:hAnsi="Arial"/>
                <w:sz w:val="16"/>
                <w:szCs w:val="16"/>
                <w:color w:val="auto"/>
                <w:w w:val="92"/>
              </w:rPr>
              <w:t>Amended and Restated Exchange Agreement, dated as of May 14, 2015, by and among</w:t>
            </w: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NRG Energy, Inc., NRG Yield, Inc., and NRG Yield LLC.</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6"/>
                <w:szCs w:val="16"/>
                <w:color w:val="auto"/>
              </w:rPr>
              <w:t>10.4</w:t>
            </w:r>
          </w:p>
        </w:tc>
        <w:tc>
          <w:tcPr>
            <w:tcW w:w="6060" w:type="dxa"/>
            <w:vAlign w:val="bottom"/>
            <w:vMerge w:val="restart"/>
          </w:tcPr>
          <w:p>
            <w:pPr>
              <w:ind w:left="220"/>
              <w:spacing w:after="0"/>
              <w:rPr>
                <w:sz w:val="20"/>
                <w:szCs w:val="20"/>
                <w:color w:val="auto"/>
              </w:rPr>
            </w:pPr>
            <w:r>
              <w:rPr>
                <w:rFonts w:ascii="Arial" w:cs="Arial" w:eastAsia="Arial" w:hAnsi="Arial"/>
                <w:sz w:val="16"/>
                <w:szCs w:val="16"/>
                <w:color w:val="auto"/>
                <w:w w:val="91"/>
              </w:rPr>
              <w:t>Amended and Restated Registration Rights Agreement, dated as of May 14, 2015, by and</w:t>
            </w: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between NRG Energy, Inc. and NRG Yield, Inc.</w:t>
            </w:r>
          </w:p>
        </w:tc>
        <w:tc>
          <w:tcPr>
            <w:tcW w:w="0" w:type="dxa"/>
            <w:vAlign w:val="bottom"/>
          </w:tcPr>
          <w:p>
            <w:pPr>
              <w:spacing w:after="0"/>
              <w:rPr>
                <w:sz w:val="1"/>
                <w:szCs w:val="1"/>
                <w:color w:val="auto"/>
              </w:rPr>
            </w:pPr>
          </w:p>
        </w:tc>
      </w:tr>
      <w:tr>
        <w:trPr>
          <w:trHeight w:val="338"/>
        </w:trPr>
        <w:tc>
          <w:tcPr>
            <w:tcW w:w="820" w:type="dxa"/>
            <w:vAlign w:val="bottom"/>
          </w:tcPr>
          <w:p>
            <w:pPr>
              <w:spacing w:after="0"/>
              <w:rPr>
                <w:sz w:val="20"/>
                <w:szCs w:val="20"/>
                <w:color w:val="auto"/>
              </w:rPr>
            </w:pPr>
            <w:r>
              <w:rPr>
                <w:rFonts w:ascii="Arial" w:cs="Arial" w:eastAsia="Arial" w:hAnsi="Arial"/>
                <w:sz w:val="16"/>
                <w:szCs w:val="16"/>
                <w:color w:val="auto"/>
              </w:rPr>
              <w:t>10.5</w:t>
            </w:r>
          </w:p>
        </w:tc>
        <w:tc>
          <w:tcPr>
            <w:tcW w:w="6060" w:type="dxa"/>
            <w:vAlign w:val="bottom"/>
            <w:vMerge w:val="restart"/>
          </w:tcPr>
          <w:p>
            <w:pPr>
              <w:ind w:left="220"/>
              <w:spacing w:after="0"/>
              <w:rPr>
                <w:sz w:val="20"/>
                <w:szCs w:val="20"/>
                <w:color w:val="auto"/>
              </w:rPr>
            </w:pPr>
            <w:r>
              <w:rPr>
                <w:rFonts w:ascii="Arial" w:cs="Arial" w:eastAsia="Arial" w:hAnsi="Arial"/>
                <w:sz w:val="16"/>
                <w:szCs w:val="16"/>
                <w:color w:val="auto"/>
                <w:w w:val="92"/>
              </w:rPr>
              <w:t>NRG Yield, Inc. Amended and Restated 2013 Equity Incentive Plan, dated as of May 14,</w:t>
            </w:r>
          </w:p>
        </w:tc>
        <w:tc>
          <w:tcPr>
            <w:tcW w:w="0" w:type="dxa"/>
            <w:vAlign w:val="bottom"/>
          </w:tcPr>
          <w:p>
            <w:pPr>
              <w:spacing w:after="0"/>
              <w:rPr>
                <w:sz w:val="1"/>
                <w:szCs w:val="1"/>
                <w:color w:val="auto"/>
              </w:rPr>
            </w:pPr>
          </w:p>
        </w:tc>
      </w:tr>
      <w:tr>
        <w:trPr>
          <w:trHeight w:val="77"/>
        </w:trPr>
        <w:tc>
          <w:tcPr>
            <w:tcW w:w="820" w:type="dxa"/>
            <w:vAlign w:val="bottom"/>
          </w:tcPr>
          <w:p>
            <w:pPr>
              <w:spacing w:after="0"/>
              <w:rPr>
                <w:sz w:val="6"/>
                <w:szCs w:val="6"/>
                <w:color w:val="auto"/>
              </w:rPr>
            </w:pPr>
          </w:p>
        </w:tc>
        <w:tc>
          <w:tcPr>
            <w:tcW w:w="6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334"/>
        </w:trPr>
        <w:tc>
          <w:tcPr>
            <w:tcW w:w="820" w:type="dxa"/>
            <w:vAlign w:val="bottom"/>
          </w:tcPr>
          <w:p>
            <w:pPr>
              <w:spacing w:after="0"/>
              <w:rPr>
                <w:sz w:val="20"/>
                <w:szCs w:val="20"/>
                <w:color w:val="auto"/>
              </w:rPr>
            </w:pPr>
            <w:r>
              <w:rPr>
                <w:rFonts w:ascii="Arial" w:cs="Arial" w:eastAsia="Arial" w:hAnsi="Arial"/>
                <w:sz w:val="16"/>
                <w:szCs w:val="16"/>
                <w:color w:val="auto"/>
              </w:rPr>
              <w:t>10.6</w:t>
            </w:r>
          </w:p>
        </w:tc>
        <w:tc>
          <w:tcPr>
            <w:tcW w:w="6060" w:type="dxa"/>
            <w:vAlign w:val="bottom"/>
          </w:tcPr>
          <w:p>
            <w:pPr>
              <w:ind w:left="220"/>
              <w:spacing w:after="0"/>
              <w:rPr>
                <w:sz w:val="20"/>
                <w:szCs w:val="20"/>
                <w:color w:val="auto"/>
              </w:rPr>
            </w:pPr>
            <w:r>
              <w:rPr>
                <w:rFonts w:ascii="Arial" w:cs="Arial" w:eastAsia="Arial" w:hAnsi="Arial"/>
                <w:sz w:val="16"/>
                <w:szCs w:val="16"/>
                <w:color w:val="auto"/>
                <w:w w:val="94"/>
              </w:rPr>
              <w:t>Amendment No. 3 to Credit Agreement, dated as of January 27, 2014, by and between</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NRG West Holdings LLC and Credit Agricole Corporate and Investment Bank.</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0"/>
                <w:szCs w:val="20"/>
                <w:color w:val="auto"/>
              </w:rPr>
            </w:pPr>
            <w:r>
              <w:rPr>
                <w:rFonts w:ascii="Arial" w:cs="Arial" w:eastAsia="Arial" w:hAnsi="Arial"/>
                <w:sz w:val="16"/>
                <w:szCs w:val="16"/>
                <w:color w:val="auto"/>
              </w:rPr>
              <w:t>10.7</w:t>
            </w:r>
          </w:p>
        </w:tc>
        <w:tc>
          <w:tcPr>
            <w:tcW w:w="6060" w:type="dxa"/>
            <w:vAlign w:val="bottom"/>
          </w:tcPr>
          <w:p>
            <w:pPr>
              <w:ind w:left="220"/>
              <w:spacing w:after="0"/>
              <w:rPr>
                <w:sz w:val="20"/>
                <w:szCs w:val="20"/>
                <w:color w:val="auto"/>
              </w:rPr>
            </w:pPr>
            <w:r>
              <w:rPr>
                <w:rFonts w:ascii="Arial" w:cs="Arial" w:eastAsia="Arial" w:hAnsi="Arial"/>
                <w:sz w:val="16"/>
                <w:szCs w:val="16"/>
                <w:color w:val="auto"/>
                <w:w w:val="99"/>
              </w:rPr>
              <w:t>Amendment No. 4 to the Credit Agreement and Amendment No. 1 to the Collateral</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w w:val="97"/>
              </w:rPr>
              <w:t>Agreement, dated as of May 16, 2014, by and between NRG West Holdings LLC, El</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Segundo Energy Center LLC and Credit Agricole Corporate and Investment Bank.</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0"/>
                <w:szCs w:val="20"/>
                <w:color w:val="auto"/>
              </w:rPr>
            </w:pPr>
            <w:r>
              <w:rPr>
                <w:rFonts w:ascii="Arial" w:cs="Arial" w:eastAsia="Arial" w:hAnsi="Arial"/>
                <w:sz w:val="16"/>
                <w:szCs w:val="16"/>
                <w:color w:val="auto"/>
              </w:rPr>
              <w:t>10.8</w:t>
            </w:r>
          </w:p>
        </w:tc>
        <w:tc>
          <w:tcPr>
            <w:tcW w:w="6060" w:type="dxa"/>
            <w:vAlign w:val="bottom"/>
          </w:tcPr>
          <w:p>
            <w:pPr>
              <w:ind w:left="220"/>
              <w:spacing w:after="0"/>
              <w:rPr>
                <w:sz w:val="20"/>
                <w:szCs w:val="20"/>
                <w:color w:val="auto"/>
              </w:rPr>
            </w:pPr>
            <w:r>
              <w:rPr>
                <w:rFonts w:ascii="Arial" w:cs="Arial" w:eastAsia="Arial" w:hAnsi="Arial"/>
                <w:sz w:val="16"/>
                <w:szCs w:val="16"/>
                <w:color w:val="auto"/>
                <w:w w:val="92"/>
              </w:rPr>
              <w:t>Amendment No. 5 to Credit Agreement, dated as of May 29, 2015, by and between NRG</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West Holdings LLC and ING Capital LLC.</w:t>
            </w: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Arial" w:cs="Arial" w:eastAsia="Arial" w:hAnsi="Arial"/>
                <w:sz w:val="16"/>
                <w:szCs w:val="16"/>
                <w:color w:val="auto"/>
              </w:rPr>
              <w:t>10.9</w:t>
            </w:r>
          </w:p>
        </w:tc>
        <w:tc>
          <w:tcPr>
            <w:tcW w:w="6060" w:type="dxa"/>
            <w:vAlign w:val="bottom"/>
          </w:tcPr>
          <w:p>
            <w:pPr>
              <w:ind w:left="220"/>
              <w:spacing w:after="0"/>
              <w:rPr>
                <w:sz w:val="20"/>
                <w:szCs w:val="20"/>
                <w:color w:val="auto"/>
              </w:rPr>
            </w:pPr>
            <w:r>
              <w:rPr>
                <w:rFonts w:ascii="Arial" w:cs="Arial" w:eastAsia="Arial" w:hAnsi="Arial"/>
                <w:sz w:val="16"/>
                <w:szCs w:val="16"/>
                <w:color w:val="auto"/>
                <w:w w:val="91"/>
              </w:rPr>
              <w:t>First Amendment to Amended &amp; Restated Credit Agreement, dated June 26, 2015, by and</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w w:val="99"/>
              </w:rPr>
              <w:t>among NRG Yield Operating LLC, NRG Yield LLC, Royal Bank of Canada and the</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Lenders party thereto.</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31.1</w:t>
            </w:r>
          </w:p>
        </w:tc>
        <w:tc>
          <w:tcPr>
            <w:tcW w:w="606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Crane.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31.2</w:t>
            </w:r>
          </w:p>
        </w:tc>
        <w:tc>
          <w:tcPr>
            <w:tcW w:w="6060" w:type="dxa"/>
            <w:vAlign w:val="bottom"/>
          </w:tcPr>
          <w:p>
            <w:pPr>
              <w:ind w:left="220"/>
              <w:spacing w:after="0"/>
              <w:rPr>
                <w:sz w:val="20"/>
                <w:szCs w:val="20"/>
                <w:color w:val="auto"/>
              </w:rPr>
            </w:pPr>
            <w:r>
              <w:rPr>
                <w:rFonts w:ascii="Arial" w:cs="Arial" w:eastAsia="Arial" w:hAnsi="Arial"/>
                <w:sz w:val="16"/>
                <w:szCs w:val="16"/>
                <w:color w:val="auto"/>
              </w:rPr>
              <w:t>Rule 13a-14(a)/15d-14(a) certification of Kirkland B. Andrews.</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31.3</w:t>
            </w:r>
          </w:p>
        </w:tc>
        <w:tc>
          <w:tcPr>
            <w:tcW w:w="606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Callen.</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32</w:t>
            </w:r>
          </w:p>
        </w:tc>
        <w:tc>
          <w:tcPr>
            <w:tcW w:w="6060" w:type="dxa"/>
            <w:vAlign w:val="bottom"/>
          </w:tcPr>
          <w:p>
            <w:pPr>
              <w:ind w:left="220"/>
              <w:spacing w:after="0"/>
              <w:rPr>
                <w:sz w:val="20"/>
                <w:szCs w:val="20"/>
                <w:color w:val="auto"/>
              </w:rPr>
            </w:pPr>
            <w:r>
              <w:rPr>
                <w:rFonts w:ascii="Arial" w:cs="Arial" w:eastAsia="Arial" w:hAnsi="Arial"/>
                <w:sz w:val="16"/>
                <w:szCs w:val="16"/>
                <w:color w:val="auto"/>
              </w:rPr>
              <w:t>Section 1350 Certification.</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INS</w:t>
            </w:r>
          </w:p>
        </w:tc>
        <w:tc>
          <w:tcPr>
            <w:tcW w:w="6060" w:type="dxa"/>
            <w:vAlign w:val="bottom"/>
          </w:tcPr>
          <w:p>
            <w:pPr>
              <w:ind w:left="220"/>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SCH</w:t>
            </w:r>
          </w:p>
        </w:tc>
        <w:tc>
          <w:tcPr>
            <w:tcW w:w="606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CAL</w:t>
            </w:r>
          </w:p>
        </w:tc>
        <w:tc>
          <w:tcPr>
            <w:tcW w:w="606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DEF</w:t>
            </w:r>
          </w:p>
        </w:tc>
        <w:tc>
          <w:tcPr>
            <w:tcW w:w="606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LAB</w:t>
            </w:r>
          </w:p>
        </w:tc>
        <w:tc>
          <w:tcPr>
            <w:tcW w:w="606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0" w:type="dxa"/>
            <w:vAlign w:val="bottom"/>
          </w:tcPr>
          <w:p>
            <w:pPr>
              <w:spacing w:after="0"/>
              <w:rPr>
                <w:sz w:val="1"/>
                <w:szCs w:val="1"/>
                <w:color w:val="auto"/>
              </w:rPr>
            </w:pPr>
          </w:p>
        </w:tc>
      </w:tr>
      <w:tr>
        <w:trPr>
          <w:trHeight w:val="270"/>
        </w:trPr>
        <w:tc>
          <w:tcPr>
            <w:tcW w:w="820" w:type="dxa"/>
            <w:vAlign w:val="bottom"/>
          </w:tcPr>
          <w:p>
            <w:pPr>
              <w:spacing w:after="0"/>
              <w:rPr>
                <w:sz w:val="20"/>
                <w:szCs w:val="20"/>
                <w:color w:val="auto"/>
              </w:rPr>
            </w:pPr>
            <w:r>
              <w:rPr>
                <w:rFonts w:ascii="Arial" w:cs="Arial" w:eastAsia="Arial" w:hAnsi="Arial"/>
                <w:sz w:val="16"/>
                <w:szCs w:val="16"/>
                <w:color w:val="auto"/>
              </w:rPr>
              <w:t>101 PRE</w:t>
            </w:r>
          </w:p>
        </w:tc>
        <w:tc>
          <w:tcPr>
            <w:tcW w:w="606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jc w:val="both"/>
        <w:ind w:right="80"/>
        <w:spacing w:after="0" w:line="369" w:lineRule="auto"/>
        <w:rPr>
          <w:sz w:val="20"/>
          <w:szCs w:val="20"/>
          <w:color w:val="auto"/>
        </w:rPr>
      </w:pPr>
      <w:r>
        <w:rPr>
          <w:rFonts w:ascii="Arial" w:cs="Arial" w:eastAsia="Arial" w:hAnsi="Arial"/>
          <w:sz w:val="14"/>
          <w:szCs w:val="14"/>
          <w:color w:val="auto"/>
        </w:rPr>
        <w:t>Incorporated herein by reference to Exhibit 2.1 to NRG Yield, Inc.'s Quarterly Report on Form 10-Q filed on August 4, 2015.</w:t>
      </w:r>
    </w:p>
    <w:p>
      <w:pPr>
        <w:spacing w:after="0" w:line="167"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10.4 to NRG Yield, Inc.'s Current Report on Form 8-K filed on May 15, 2015.</w:t>
      </w:r>
    </w:p>
    <w:p>
      <w:pPr>
        <w:spacing w:after="0" w:line="329" w:lineRule="exact"/>
        <w:rPr>
          <w:sz w:val="20"/>
          <w:szCs w:val="20"/>
          <w:color w:val="auto"/>
        </w:rPr>
      </w:pPr>
    </w:p>
    <w:p>
      <w:pPr>
        <w:ind w:right="120"/>
        <w:spacing w:after="0" w:line="342" w:lineRule="auto"/>
        <w:rPr>
          <w:sz w:val="20"/>
          <w:szCs w:val="20"/>
          <w:color w:val="auto"/>
        </w:rPr>
      </w:pPr>
      <w:r>
        <w:rPr>
          <w:rFonts w:ascii="Arial" w:cs="Arial" w:eastAsia="Arial" w:hAnsi="Arial"/>
          <w:sz w:val="14"/>
          <w:szCs w:val="14"/>
          <w:color w:val="auto"/>
        </w:rPr>
        <w:t>Incorporated herein by reference to Exhibit 4.1 to NRG Yield, Inc.'s Current Report on Form 8-K filed on May 8, 2015.</w:t>
      </w:r>
    </w:p>
    <w:p>
      <w:pPr>
        <w:ind w:right="120"/>
        <w:spacing w:after="0" w:line="342" w:lineRule="auto"/>
        <w:rPr>
          <w:sz w:val="20"/>
          <w:szCs w:val="20"/>
          <w:color w:val="auto"/>
        </w:rPr>
      </w:pPr>
      <w:r>
        <w:rPr>
          <w:rFonts w:ascii="Arial" w:cs="Arial" w:eastAsia="Arial" w:hAnsi="Arial"/>
          <w:sz w:val="14"/>
          <w:szCs w:val="14"/>
          <w:color w:val="auto"/>
        </w:rPr>
        <w:t>Incorporated herein by reference to Exhibit 4.1 to NRG Yield, Inc.'s Current Report on Form 8-K filed on June 29, 2015.</w:t>
      </w:r>
    </w:p>
    <w:p>
      <w:pPr>
        <w:ind w:right="120"/>
        <w:spacing w:after="0" w:line="342" w:lineRule="auto"/>
        <w:rPr>
          <w:sz w:val="20"/>
          <w:szCs w:val="20"/>
          <w:color w:val="auto"/>
        </w:rPr>
      </w:pPr>
      <w:r>
        <w:rPr>
          <w:rFonts w:ascii="Arial" w:cs="Arial" w:eastAsia="Arial" w:hAnsi="Arial"/>
          <w:sz w:val="14"/>
          <w:szCs w:val="14"/>
          <w:color w:val="auto"/>
        </w:rPr>
        <w:t>Incorporated herein by reference to Exhibit 4.2 to NRG Yield, Inc.'s Current Report on Form 8-K filed on June 29, 2015.</w:t>
      </w:r>
    </w:p>
    <w:p>
      <w:pPr>
        <w:jc w:val="both"/>
        <w:ind w:right="40"/>
        <w:spacing w:after="0" w:line="342" w:lineRule="auto"/>
        <w:rPr>
          <w:sz w:val="20"/>
          <w:szCs w:val="20"/>
          <w:color w:val="auto"/>
        </w:rPr>
      </w:pPr>
      <w:r>
        <w:rPr>
          <w:rFonts w:ascii="Arial" w:cs="Arial" w:eastAsia="Arial" w:hAnsi="Arial"/>
          <w:sz w:val="14"/>
          <w:szCs w:val="14"/>
          <w:color w:val="auto"/>
        </w:rPr>
        <w:t>Incorporated herein by reference to Exhibit 10.1 to NRG Yield, Inc.'s Quarterly Report on Form 10-Q filed on August 4, 2015.</w:t>
      </w:r>
    </w:p>
    <w:p>
      <w:pPr>
        <w:jc w:val="both"/>
        <w:ind w:right="40"/>
        <w:spacing w:after="0" w:line="342" w:lineRule="auto"/>
        <w:rPr>
          <w:sz w:val="20"/>
          <w:szCs w:val="20"/>
          <w:color w:val="auto"/>
        </w:rPr>
      </w:pPr>
      <w:r>
        <w:rPr>
          <w:rFonts w:ascii="Arial" w:cs="Arial" w:eastAsia="Arial" w:hAnsi="Arial"/>
          <w:sz w:val="14"/>
          <w:szCs w:val="14"/>
          <w:color w:val="auto"/>
        </w:rPr>
        <w:t>Incorporated herein by reference to Exhibit 10.2 to NRG Yield, Inc.'s Quarterly Report on Form 10-Q filed on August 4, 2015.</w:t>
      </w:r>
    </w:p>
    <w:p>
      <w:pPr>
        <w:ind w:right="40"/>
        <w:spacing w:after="0" w:line="369" w:lineRule="auto"/>
        <w:rPr>
          <w:sz w:val="20"/>
          <w:szCs w:val="20"/>
          <w:color w:val="auto"/>
        </w:rPr>
      </w:pPr>
      <w:r>
        <w:rPr>
          <w:rFonts w:ascii="Arial" w:cs="Arial" w:eastAsia="Arial" w:hAnsi="Arial"/>
          <w:sz w:val="14"/>
          <w:szCs w:val="14"/>
          <w:color w:val="auto"/>
        </w:rPr>
        <w:t>Incorporated herein by reference to Exhibit 10.1 to NRG Yield, Inc.'s Current Report on Form 8-K filed on May 15, 2015.</w:t>
      </w:r>
    </w:p>
    <w:p>
      <w:pPr>
        <w:spacing w:after="0" w:line="126"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10.2 to NRG Yield, Inc.'s Current Report on Form 8-K filed on May 15, 2015.</w:t>
      </w:r>
    </w:p>
    <w:p>
      <w:pPr>
        <w:spacing w:after="0" w:line="126"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10.5 to NRG Yield, Inc.'s Current Report on Form 8-K filed on May 15, 2015.</w:t>
      </w:r>
    </w:p>
    <w:p>
      <w:pPr>
        <w:spacing w:after="0" w:line="126" w:lineRule="exact"/>
        <w:rPr>
          <w:sz w:val="20"/>
          <w:szCs w:val="20"/>
          <w:color w:val="auto"/>
        </w:rPr>
      </w:pPr>
    </w:p>
    <w:p>
      <w:pPr>
        <w:jc w:val="both"/>
        <w:ind w:right="40"/>
        <w:spacing w:after="0" w:line="342" w:lineRule="auto"/>
        <w:rPr>
          <w:sz w:val="20"/>
          <w:szCs w:val="20"/>
          <w:color w:val="auto"/>
        </w:rPr>
      </w:pPr>
      <w:r>
        <w:rPr>
          <w:rFonts w:ascii="Arial" w:cs="Arial" w:eastAsia="Arial" w:hAnsi="Arial"/>
          <w:sz w:val="14"/>
          <w:szCs w:val="14"/>
          <w:color w:val="auto"/>
        </w:rPr>
        <w:t>Incorporated herein by reference to Exhibit 10.6 to NRG Yield, Inc.'s Quarterly Report on Form 10-Q filed on August 4, 2015.</w:t>
      </w:r>
    </w:p>
    <w:p>
      <w:pPr>
        <w:jc w:val="both"/>
        <w:ind w:right="40"/>
        <w:spacing w:after="0" w:line="369" w:lineRule="auto"/>
        <w:rPr>
          <w:sz w:val="20"/>
          <w:szCs w:val="20"/>
          <w:color w:val="auto"/>
        </w:rPr>
      </w:pPr>
      <w:r>
        <w:rPr>
          <w:rFonts w:ascii="Arial" w:cs="Arial" w:eastAsia="Arial" w:hAnsi="Arial"/>
          <w:sz w:val="14"/>
          <w:szCs w:val="14"/>
          <w:color w:val="auto"/>
        </w:rPr>
        <w:t>Incorporated herein by reference to Exhibit 10.7 to NRG Yield, Inc.'s Quarterly Report on Form 10-Q filed on August 4, 2015.</w:t>
      </w:r>
    </w:p>
    <w:p>
      <w:pPr>
        <w:spacing w:after="0" w:line="167" w:lineRule="exact"/>
        <w:rPr>
          <w:sz w:val="20"/>
          <w:szCs w:val="20"/>
          <w:color w:val="auto"/>
        </w:rPr>
      </w:pPr>
    </w:p>
    <w:p>
      <w:pPr>
        <w:jc w:val="both"/>
        <w:ind w:right="40"/>
        <w:spacing w:after="0" w:line="369" w:lineRule="auto"/>
        <w:rPr>
          <w:sz w:val="20"/>
          <w:szCs w:val="20"/>
          <w:color w:val="auto"/>
        </w:rPr>
      </w:pPr>
      <w:r>
        <w:rPr>
          <w:rFonts w:ascii="Arial" w:cs="Arial" w:eastAsia="Arial" w:hAnsi="Arial"/>
          <w:sz w:val="14"/>
          <w:szCs w:val="14"/>
          <w:color w:val="auto"/>
        </w:rPr>
        <w:t>Incorporated herein by reference to Exhibit 10.8 to NRG Yield, Inc.'s Quarterly Report on Form 10-Q filed on August 4, 2015.</w:t>
      </w:r>
    </w:p>
    <w:p>
      <w:pPr>
        <w:spacing w:after="0" w:line="167" w:lineRule="exact"/>
        <w:rPr>
          <w:sz w:val="20"/>
          <w:szCs w:val="20"/>
          <w:color w:val="auto"/>
        </w:rPr>
      </w:pPr>
    </w:p>
    <w:p>
      <w:pPr>
        <w:jc w:val="both"/>
        <w:ind w:right="40"/>
        <w:spacing w:after="0" w:line="369" w:lineRule="auto"/>
        <w:rPr>
          <w:sz w:val="20"/>
          <w:szCs w:val="20"/>
          <w:color w:val="auto"/>
        </w:rPr>
      </w:pPr>
      <w:r>
        <w:rPr>
          <w:rFonts w:ascii="Arial" w:cs="Arial" w:eastAsia="Arial" w:hAnsi="Arial"/>
          <w:sz w:val="14"/>
          <w:szCs w:val="14"/>
          <w:color w:val="auto"/>
        </w:rPr>
        <w:t>Incorporated herein by reference to Exhibit 10.9 to NRG Yield, Inc.'s Quarterly Report on Form 10-Q filed on August 4, 2015.</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22" w:lineRule="exact"/>
        <w:rPr>
          <w:sz w:val="20"/>
          <w:szCs w:val="20"/>
          <w:color w:val="auto"/>
        </w:rPr>
      </w:pPr>
    </w:p>
    <w:p>
      <w:pPr>
        <w:sectPr>
          <w:pgSz w:w="11900" w:h="16838" w:orient="portrait"/>
          <w:cols w:equalWidth="0" w:num="2">
            <w:col w:w="6920" w:space="200"/>
            <w:col w:w="4140"/>
          </w:cols>
          <w:pgMar w:left="240" w:top="702" w:right="399" w:bottom="1440" w:gutter="0" w:footer="0" w:header="0"/>
        </w:sectPr>
      </w:pPr>
    </w:p>
    <w:p>
      <w:pPr>
        <w:spacing w:after="0" w:line="53" w:lineRule="exact"/>
        <w:rPr>
          <w:sz w:val="20"/>
          <w:szCs w:val="20"/>
          <w:color w:val="auto"/>
        </w:rPr>
      </w:pPr>
    </w:p>
    <w:p>
      <w:pPr>
        <w:ind w:firstLine="8"/>
        <w:spacing w:after="0" w:line="259" w:lineRule="auto"/>
        <w:tabs>
          <w:tab w:leader="none" w:pos="135" w:val="left"/>
        </w:tabs>
        <w:numPr>
          <w:ilvl w:val="0"/>
          <w:numId w:val="35"/>
        </w:numPr>
        <w:rPr>
          <w:rFonts w:ascii="Arial" w:cs="Arial" w:eastAsia="Arial" w:hAnsi="Arial"/>
          <w:sz w:val="18"/>
          <w:szCs w:val="18"/>
          <w:color w:val="auto"/>
        </w:rPr>
      </w:pPr>
      <w:r>
        <w:rPr>
          <w:rFonts w:ascii="Arial" w:cs="Arial" w:eastAsia="Arial" w:hAnsi="Arial"/>
          <w:sz w:val="16"/>
          <w:szCs w:val="16"/>
          <w:i w:val="1"/>
          <w:iCs w:val="1"/>
          <w:color w:val="auto"/>
        </w:rPr>
        <w:t>Confidential Treatment has been requested for certain provisions omitted from this Exhibit pursuant to Rule 24b-2 promulgated under the Securities Exchange Act of 1934. The omitted information has been filed separately with the Securities and Exchange Commission.</w:t>
      </w:r>
    </w:p>
    <w:p>
      <w:pPr>
        <w:ind w:right="20"/>
        <w:spacing w:after="0" w:line="270" w:lineRule="auto"/>
        <w:rPr>
          <w:rFonts w:ascii="Arial" w:cs="Arial" w:eastAsia="Arial" w:hAnsi="Arial"/>
          <w:sz w:val="18"/>
          <w:szCs w:val="18"/>
          <w:color w:val="auto"/>
        </w:rPr>
      </w:pPr>
      <w:r>
        <w:rPr>
          <w:rFonts w:ascii="Arial" w:cs="Arial" w:eastAsia="Arial" w:hAnsi="Arial"/>
          <w:sz w:val="16"/>
          <w:szCs w:val="16"/>
          <w:i w:val="1"/>
          <w:iCs w:val="1"/>
          <w:color w:val="auto"/>
        </w:rPr>
        <w:t>^ Schedules omitted pursuant to Item 601(b)(2) of Regulation S-K. The Company will furnish copies of such schedules to the U.S. Securities and Exchange Commission upon request.</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60"/>
          </w:cols>
          <w:pgMar w:left="240" w:top="702" w:right="39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9019"/>
          </w:cols>
          <w:pgMar w:left="1440" w:top="1165"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CRANE</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Crane</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KIRKLAND B. ANDREWS</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Kirkland B. Andrews</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5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5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5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August 4, 2015</w:t>
            </w:r>
          </w:p>
        </w:tc>
        <w:tc>
          <w:tcPr>
            <w:tcW w:w="31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560" w:type="dxa"/>
            <w:vAlign w:val="bottom"/>
          </w:tcPr>
          <w:p>
            <w:pPr>
              <w:spacing w:after="0"/>
              <w:rPr>
                <w:sz w:val="24"/>
                <w:szCs w:val="24"/>
                <w:color w:val="auto"/>
              </w:rPr>
            </w:pPr>
          </w:p>
        </w:tc>
        <w:tc>
          <w:tcPr>
            <w:tcW w:w="3120" w:type="dxa"/>
            <w:vAlign w:val="bottom"/>
          </w:tcPr>
          <w:p>
            <w:pPr>
              <w:jc w:val="right"/>
              <w:ind w:right="850"/>
              <w:spacing w:after="0"/>
              <w:rPr>
                <w:sz w:val="20"/>
                <w:szCs w:val="20"/>
                <w:color w:val="auto"/>
              </w:rPr>
            </w:pPr>
            <w:r>
              <w:rPr>
                <w:rFonts w:ascii="Arial" w:cs="Arial" w:eastAsia="Arial" w:hAnsi="Arial"/>
                <w:sz w:val="18"/>
                <w:szCs w:val="18"/>
                <w:color w:val="auto"/>
              </w:rPr>
              <w:t>73</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02" w:right="239" w:bottom="1440" w:gutter="0" w:footer="0" w:header="0"/>
        </w:sectPr>
      </w:pPr>
    </w:p>
    <w:bookmarkStart w:id="75" w:name="page76"/>
    <w:bookmarkEnd w:id="75"/>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Crane, certify that:</w:t>
      </w:r>
    </w:p>
    <w:p>
      <w:pPr>
        <w:spacing w:after="0" w:line="30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DAVID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31750</wp:posOffset>
            </wp:positionV>
            <wp:extent cx="17837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5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David Crane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ectPr>
          <w:pgSz w:w="11900" w:h="16838" w:orient="portrait"/>
          <w:cols w:equalWidth="0" w:num="1">
            <w:col w:w="11420"/>
          </w:cols>
          <w:pgMar w:left="240" w:top="661" w:right="239" w:bottom="1440" w:gutter="0" w:footer="0" w:header="0"/>
        </w:sectPr>
      </w:pPr>
    </w:p>
    <w:bookmarkStart w:id="76" w:name="page77"/>
    <w:bookmarkEnd w:id="76"/>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306"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ectPr>
          <w:pgSz w:w="11900" w:h="16838" w:orient="portrait"/>
          <w:cols w:equalWidth="0" w:num="1">
            <w:col w:w="11420"/>
          </w:cols>
          <w:pgMar w:left="240" w:top="661" w:right="239" w:bottom="1440" w:gutter="0" w:footer="0" w:header="0"/>
        </w:sectPr>
      </w:pPr>
    </w:p>
    <w:bookmarkStart w:id="77" w:name="page78"/>
    <w:bookmarkEnd w:id="77"/>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June 30, 2015,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2015</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Crane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Kirkland B. Andrews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lowerLetter"/>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2019-12-29T16:25:53Z</dcterms:created>
  <dcterms:modified xsi:type="dcterms:W3CDTF">2019-12-29T16:25:53Z</dcterms:modified>
</cp:coreProperties>
</file>