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302260</wp:posOffset>
            </wp:positionH>
            <wp:positionV relativeFrom="page">
              <wp:posOffset>620395</wp:posOffset>
            </wp:positionV>
            <wp:extent cx="69437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43725" cy="8890"/>
                    </a:xfrm>
                    <a:prstGeom prst="rect">
                      <a:avLst/>
                    </a:prstGeom>
                    <a:noFill/>
                  </pic:spPr>
                </pic:pic>
              </a:graphicData>
            </a:graphic>
          </wp:anchor>
        </w:drawing>
        <w:drawing>
          <wp:anchor simplePos="0" relativeHeight="251657728" behindDoc="1" locked="0" layoutInCell="0" allowOverlap="1">
            <wp:simplePos x="0" y="0"/>
            <wp:positionH relativeFrom="page">
              <wp:posOffset>302260</wp:posOffset>
            </wp:positionH>
            <wp:positionV relativeFrom="page">
              <wp:posOffset>517525</wp:posOffset>
            </wp:positionV>
            <wp:extent cx="694372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3725" cy="26035"/>
                    </a:xfrm>
                    <a:prstGeom prst="rect">
                      <a:avLst/>
                    </a:prstGeom>
                    <a:noFill/>
                  </pic:spPr>
                </pic:pic>
              </a:graphicData>
            </a:graphic>
          </wp:anchor>
        </w:drawing>
        <w:t>UNITED STATES SECURITIES AND EXCHANGE COMMISSION</w:t>
      </w:r>
    </w:p>
    <w:p>
      <w:pPr>
        <w:spacing w:after="0" w:line="22" w:lineRule="exact"/>
        <w:rPr>
          <w:sz w:val="24"/>
          <w:szCs w:val="24"/>
          <w:color w:val="auto"/>
        </w:rPr>
      </w:pPr>
    </w:p>
    <w:p>
      <w:pPr>
        <w:jc w:val="center"/>
        <w:ind w:right="-259"/>
        <w:spacing w:after="0"/>
        <w:rPr>
          <w:sz w:val="20"/>
          <w:szCs w:val="20"/>
          <w:color w:val="auto"/>
        </w:rPr>
      </w:pPr>
      <w:r>
        <w:rPr>
          <w:rFonts w:ascii="Arial" w:cs="Arial" w:eastAsia="Arial" w:hAnsi="Arial"/>
          <w:sz w:val="16"/>
          <w:szCs w:val="16"/>
          <w:b w:val="1"/>
          <w:bCs w:val="1"/>
          <w:color w:val="auto"/>
        </w:rPr>
        <w:t>Washington, D.C. 20549</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Form 10-K/A</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(Amendment No. 1)</w:t>
      </w:r>
    </w:p>
    <w:p>
      <w:pPr>
        <w:spacing w:after="0" w:line="152" w:lineRule="exact"/>
        <w:rPr>
          <w:sz w:val="24"/>
          <w:szCs w:val="24"/>
          <w:color w:val="auto"/>
        </w:rPr>
      </w:pPr>
    </w:p>
    <w:p>
      <w:pPr>
        <w:ind w:left="380" w:hanging="338"/>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5"/>
          <w:szCs w:val="15"/>
          <w:b w:val="1"/>
          <w:bCs w:val="1"/>
          <w:color w:val="auto"/>
        </w:rPr>
        <w:t>ANNUAL REPORT PURSUANT TO SECTION 13 OR 15(d) OF THE SECURITIES EXCHANGE ACT OF 1934</w:t>
      </w:r>
    </w:p>
    <w:p>
      <w:pPr>
        <w:spacing w:after="0" w:line="190" w:lineRule="exact"/>
        <w:rPr>
          <w:sz w:val="24"/>
          <w:szCs w:val="24"/>
          <w:color w:val="auto"/>
        </w:rPr>
      </w:pPr>
    </w:p>
    <w:p>
      <w:pPr>
        <w:ind w:left="380"/>
        <w:spacing w:after="0"/>
        <w:tabs>
          <w:tab w:leader="none" w:pos="560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2019</w:t>
      </w:r>
    </w:p>
    <w:p>
      <w:pPr>
        <w:spacing w:after="0" w:line="180" w:lineRule="exact"/>
        <w:rPr>
          <w:sz w:val="24"/>
          <w:szCs w:val="24"/>
          <w:color w:val="auto"/>
        </w:rPr>
      </w:pPr>
    </w:p>
    <w:p>
      <w:pPr>
        <w:ind w:left="380" w:hanging="338"/>
        <w:spacing w:after="0"/>
        <w:tabs>
          <w:tab w:leader="none" w:pos="380" w:val="left"/>
        </w:tabs>
        <w:numPr>
          <w:ilvl w:val="0"/>
          <w:numId w:val="2"/>
        </w:numPr>
        <w:rPr>
          <w:rFonts w:ascii="MS PGothic" w:cs="MS PGothic" w:eastAsia="MS PGothic" w:hAnsi="MS PGothic"/>
          <w:sz w:val="18"/>
          <w:szCs w:val="18"/>
          <w:color w:val="auto"/>
        </w:rPr>
      </w:pPr>
      <w:r>
        <w:rPr>
          <w:rFonts w:ascii="Arial" w:cs="Arial" w:eastAsia="Arial" w:hAnsi="Arial"/>
          <w:sz w:val="15"/>
          <w:szCs w:val="15"/>
          <w:b w:val="1"/>
          <w:bCs w:val="1"/>
          <w:color w:val="auto"/>
        </w:rPr>
        <w:t>TRANSITION REPORT PURSUANT TO SECTION 13 OR 15(d) OF THE SECURITIES EXCHANGE ACT OF 1934</w:t>
      </w:r>
    </w:p>
    <w:p>
      <w:pPr>
        <w:ind w:left="380"/>
        <w:spacing w:after="0"/>
        <w:tabs>
          <w:tab w:leader="none" w:pos="3200" w:val="left"/>
          <w:tab w:leader="none" w:pos="4280" w:val="left"/>
        </w:tabs>
        <w:rPr>
          <w:sz w:val="20"/>
          <w:szCs w:val="20"/>
          <w:color w:val="auto"/>
        </w:rPr>
      </w:pPr>
      <w:r>
        <w:rPr>
          <w:rFonts w:ascii="Arial" w:cs="Arial" w:eastAsia="Arial" w:hAnsi="Arial"/>
          <w:sz w:val="15"/>
          <w:szCs w:val="15"/>
          <w:b w:val="1"/>
          <w:bCs w:val="1"/>
          <w:color w:val="auto"/>
        </w:rPr>
        <w:t>For the Transition period from</w:t>
      </w:r>
      <w:r>
        <w:rPr>
          <w:sz w:val="20"/>
          <w:szCs w:val="20"/>
          <w:color w:val="auto"/>
        </w:rPr>
        <w:tab/>
      </w:r>
      <w:r>
        <w:rPr>
          <w:rFonts w:ascii="Arial" w:cs="Arial" w:eastAsia="Arial" w:hAnsi="Arial"/>
          <w:sz w:val="15"/>
          <w:szCs w:val="15"/>
          <w:b w:val="1"/>
          <w:bCs w:val="1"/>
          <w:color w:val="auto"/>
        </w:rPr>
        <w:t>to</w:t>
      </w:r>
      <w:r>
        <w:rPr>
          <w:sz w:val="20"/>
          <w:szCs w:val="20"/>
          <w:color w:val="auto"/>
        </w:rPr>
        <w:tab/>
      </w:r>
      <w:r>
        <w:rPr>
          <w:rFonts w:ascii="Arial" w:cs="Arial" w:eastAsia="Arial" w:hAnsi="Arial"/>
          <w:sz w:val="13"/>
          <w:szCs w:val="13"/>
          <w:b w:val="1"/>
          <w:bCs w:val="1"/>
          <w:color w:val="auto"/>
        </w:rPr>
        <w:t>.</w:t>
      </w:r>
    </w:p>
    <w:p>
      <w:pPr>
        <w:spacing w:after="0" w:line="64"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Commission File Number: 333-203369</w:t>
      </w:r>
    </w:p>
    <w:p>
      <w:pPr>
        <w:spacing w:after="0" w:line="61" w:lineRule="exact"/>
        <w:rPr>
          <w:sz w:val="24"/>
          <w:szCs w:val="24"/>
          <w:color w:val="auto"/>
        </w:rPr>
      </w:pPr>
    </w:p>
    <w:p>
      <w:pPr>
        <w:jc w:val="center"/>
        <w:ind w:right="-259"/>
        <w:spacing w:after="0"/>
        <w:rPr>
          <w:sz w:val="20"/>
          <w:szCs w:val="20"/>
          <w:color w:val="auto"/>
        </w:rPr>
      </w:pPr>
      <w:r>
        <w:rPr>
          <w:rFonts w:ascii="Arial" w:cs="Arial" w:eastAsia="Arial" w:hAnsi="Arial"/>
          <w:sz w:val="40"/>
          <w:szCs w:val="40"/>
          <w:b w:val="1"/>
          <w:bCs w:val="1"/>
          <w:color w:val="auto"/>
        </w:rPr>
        <w:t>Clearway Energy LLC</w:t>
      </w:r>
    </w:p>
    <w:p>
      <w:pPr>
        <w:spacing w:after="0" w:line="104" w:lineRule="exact"/>
        <w:rPr>
          <w:sz w:val="24"/>
          <w:szCs w:val="24"/>
          <w:color w:val="auto"/>
        </w:rPr>
      </w:pPr>
    </w:p>
    <w:p>
      <w:pPr>
        <w:jc w:val="center"/>
        <w:ind w:right="-259"/>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190" w:lineRule="exact"/>
        <w:rPr>
          <w:sz w:val="24"/>
          <w:szCs w:val="24"/>
          <w:color w:val="auto"/>
        </w:rPr>
      </w:pPr>
    </w:p>
    <w:p>
      <w:pPr>
        <w:ind w:left="1720"/>
        <w:spacing w:after="0"/>
        <w:tabs>
          <w:tab w:leader="none" w:pos="9000" w:val="left"/>
        </w:tabs>
        <w:rPr>
          <w:sz w:val="20"/>
          <w:szCs w:val="20"/>
          <w:color w:val="auto"/>
        </w:rPr>
      </w:pPr>
      <w:r>
        <w:rPr>
          <w:rFonts w:ascii="Arial" w:cs="Arial" w:eastAsia="Arial" w:hAnsi="Arial"/>
          <w:sz w:val="16"/>
          <w:szCs w:val="16"/>
          <w:b w:val="1"/>
          <w:bCs w:val="1"/>
          <w:color w:val="auto"/>
        </w:rPr>
        <w:t>Delaware</w:t>
      </w:r>
      <w:r>
        <w:rPr>
          <w:sz w:val="20"/>
          <w:szCs w:val="20"/>
          <w:color w:val="auto"/>
        </w:rPr>
        <w:tab/>
      </w:r>
      <w:r>
        <w:rPr>
          <w:rFonts w:ascii="Arial" w:cs="Arial" w:eastAsia="Arial" w:hAnsi="Arial"/>
          <w:sz w:val="16"/>
          <w:szCs w:val="16"/>
          <w:b w:val="1"/>
          <w:bCs w:val="1"/>
          <w:color w:val="auto"/>
        </w:rPr>
        <w:t>32-0407370</w:t>
      </w:r>
    </w:p>
    <w:p>
      <w:pPr>
        <w:spacing w:after="0" w:line="77" w:lineRule="exact"/>
        <w:rPr>
          <w:sz w:val="24"/>
          <w:szCs w:val="24"/>
          <w:color w:val="auto"/>
        </w:rPr>
      </w:pPr>
    </w:p>
    <w:p>
      <w:pPr>
        <w:ind w:left="540"/>
        <w:spacing w:after="0"/>
        <w:tabs>
          <w:tab w:leader="none" w:pos="8220" w:val="left"/>
        </w:tabs>
        <w:rPr>
          <w:sz w:val="20"/>
          <w:szCs w:val="20"/>
          <w:color w:val="auto"/>
        </w:rPr>
      </w:pPr>
      <w:r>
        <w:rPr>
          <w:rFonts w:ascii="Arial" w:cs="Arial" w:eastAsia="Arial" w:hAnsi="Arial"/>
          <w:sz w:val="16"/>
          <w:szCs w:val="16"/>
          <w:i w:val="1"/>
          <w:iCs w:val="1"/>
          <w:color w:val="auto"/>
        </w:rPr>
        <w:t>(State or other jurisdiction of incorporation or</w:t>
      </w:r>
      <w:r>
        <w:rPr>
          <w:sz w:val="20"/>
          <w:szCs w:val="20"/>
          <w:color w:val="auto"/>
        </w:rPr>
        <w:tab/>
      </w:r>
      <w:r>
        <w:rPr>
          <w:rFonts w:ascii="Arial" w:cs="Arial" w:eastAsia="Arial" w:hAnsi="Arial"/>
          <w:sz w:val="15"/>
          <w:szCs w:val="15"/>
          <w:i w:val="1"/>
          <w:iCs w:val="1"/>
          <w:color w:val="auto"/>
        </w:rPr>
        <w:t>(I.R.S. Employer Identification No.)</w:t>
      </w:r>
    </w:p>
    <w:p>
      <w:pPr>
        <w:spacing w:after="0" w:line="22" w:lineRule="exact"/>
        <w:rPr>
          <w:sz w:val="24"/>
          <w:szCs w:val="24"/>
          <w:color w:val="auto"/>
        </w:rPr>
      </w:pPr>
    </w:p>
    <w:p>
      <w:pPr>
        <w:ind w:left="1620"/>
        <w:spacing w:after="0"/>
        <w:rPr>
          <w:sz w:val="20"/>
          <w:szCs w:val="20"/>
          <w:color w:val="auto"/>
        </w:rPr>
      </w:pPr>
      <w:r>
        <w:rPr>
          <w:rFonts w:ascii="Arial" w:cs="Arial" w:eastAsia="Arial" w:hAnsi="Arial"/>
          <w:sz w:val="16"/>
          <w:szCs w:val="16"/>
          <w:i w:val="1"/>
          <w:iCs w:val="1"/>
          <w:color w:val="auto"/>
        </w:rPr>
        <w:t>organization)</w:t>
      </w:r>
    </w:p>
    <w:p>
      <w:pPr>
        <w:spacing w:after="0" w:line="267" w:lineRule="exact"/>
        <w:rPr>
          <w:sz w:val="24"/>
          <w:szCs w:val="24"/>
          <w:color w:val="auto"/>
        </w:rPr>
      </w:pPr>
    </w:p>
    <w:p>
      <w:pPr>
        <w:ind w:left="980"/>
        <w:spacing w:after="0"/>
        <w:tabs>
          <w:tab w:leader="none" w:pos="4400" w:val="left"/>
          <w:tab w:leader="none" w:pos="6500" w:val="left"/>
          <w:tab w:leader="none" w:pos="9180" w:val="left"/>
        </w:tabs>
        <w:rPr>
          <w:sz w:val="20"/>
          <w:szCs w:val="20"/>
          <w:color w:val="auto"/>
        </w:rPr>
      </w:pPr>
      <w:r>
        <w:rPr>
          <w:rFonts w:ascii="Arial" w:cs="Arial" w:eastAsia="Arial" w:hAnsi="Arial"/>
          <w:sz w:val="16"/>
          <w:szCs w:val="16"/>
          <w:b w:val="1"/>
          <w:bCs w:val="1"/>
          <w:color w:val="auto"/>
        </w:rPr>
        <w:t>300 Carnegie Center, Suite 300</w:t>
      </w:r>
      <w:r>
        <w:rPr>
          <w:sz w:val="20"/>
          <w:szCs w:val="20"/>
          <w:color w:val="auto"/>
        </w:rPr>
        <w:tab/>
      </w:r>
      <w:r>
        <w:rPr>
          <w:rFonts w:ascii="Arial" w:cs="Arial" w:eastAsia="Arial" w:hAnsi="Arial"/>
          <w:sz w:val="16"/>
          <w:szCs w:val="16"/>
          <w:b w:val="1"/>
          <w:bCs w:val="1"/>
          <w:color w:val="auto"/>
        </w:rPr>
        <w:t>Princeton</w:t>
      </w:r>
      <w:r>
        <w:rPr>
          <w:sz w:val="20"/>
          <w:szCs w:val="20"/>
          <w:color w:val="auto"/>
        </w:rPr>
        <w:tab/>
      </w:r>
      <w:r>
        <w:rPr>
          <w:rFonts w:ascii="Arial" w:cs="Arial" w:eastAsia="Arial" w:hAnsi="Arial"/>
          <w:sz w:val="16"/>
          <w:szCs w:val="16"/>
          <w:b w:val="1"/>
          <w:bCs w:val="1"/>
          <w:color w:val="auto"/>
        </w:rPr>
        <w:t>New Jersey</w:t>
      </w:r>
      <w:r>
        <w:rPr>
          <w:sz w:val="20"/>
          <w:szCs w:val="20"/>
          <w:color w:val="auto"/>
        </w:rPr>
        <w:tab/>
      </w:r>
      <w:r>
        <w:rPr>
          <w:rFonts w:ascii="Arial" w:cs="Arial" w:eastAsia="Arial" w:hAnsi="Arial"/>
          <w:sz w:val="14"/>
          <w:szCs w:val="14"/>
          <w:b w:val="1"/>
          <w:bCs w:val="1"/>
          <w:color w:val="auto"/>
        </w:rPr>
        <w:t>08540</w:t>
      </w:r>
    </w:p>
    <w:p>
      <w:pPr>
        <w:spacing w:after="0" w:line="77" w:lineRule="exact"/>
        <w:rPr>
          <w:sz w:val="24"/>
          <w:szCs w:val="24"/>
          <w:color w:val="auto"/>
        </w:rPr>
      </w:pPr>
    </w:p>
    <w:p>
      <w:pPr>
        <w:ind w:left="2960"/>
        <w:spacing w:after="0"/>
        <w:tabs>
          <w:tab w:leader="none" w:pos="9040" w:val="left"/>
        </w:tabs>
        <w:rPr>
          <w:sz w:val="20"/>
          <w:szCs w:val="20"/>
          <w:color w:val="auto"/>
        </w:rPr>
      </w:pPr>
      <w:r>
        <w:rPr>
          <w:rFonts w:ascii="Arial" w:cs="Arial" w:eastAsia="Arial" w:hAnsi="Arial"/>
          <w:sz w:val="16"/>
          <w:szCs w:val="16"/>
          <w:i w:val="1"/>
          <w:iCs w:val="1"/>
          <w:color w:val="auto"/>
        </w:rPr>
        <w:t>(Address of principal executive offices)</w:t>
      </w:r>
      <w:r>
        <w:rPr>
          <w:sz w:val="20"/>
          <w:szCs w:val="20"/>
          <w:color w:val="auto"/>
        </w:rPr>
        <w:tab/>
      </w:r>
      <w:r>
        <w:rPr>
          <w:rFonts w:ascii="Arial" w:cs="Arial" w:eastAsia="Arial" w:hAnsi="Arial"/>
          <w:sz w:val="14"/>
          <w:szCs w:val="14"/>
          <w:i w:val="1"/>
          <w:iCs w:val="1"/>
          <w:color w:val="auto"/>
        </w:rPr>
        <w:t>(Zip Code)</w:t>
      </w:r>
    </w:p>
    <w:p>
      <w:pPr>
        <w:spacing w:after="0" w:line="42" w:lineRule="exact"/>
        <w:rPr>
          <w:sz w:val="24"/>
          <w:szCs w:val="24"/>
          <w:color w:val="auto"/>
        </w:rPr>
      </w:pPr>
    </w:p>
    <w:p>
      <w:pPr>
        <w:ind w:left="5240"/>
        <w:spacing w:after="0"/>
        <w:rPr>
          <w:sz w:val="20"/>
          <w:szCs w:val="20"/>
          <w:color w:val="auto"/>
        </w:rPr>
      </w:pPr>
      <w:r>
        <w:rPr>
          <w:rFonts w:ascii="Arial" w:cs="Arial" w:eastAsia="Arial" w:hAnsi="Arial"/>
          <w:sz w:val="16"/>
          <w:szCs w:val="16"/>
          <w:b w:val="1"/>
          <w:bCs w:val="1"/>
          <w:color w:val="auto"/>
        </w:rPr>
        <w:t>(609) 608-1525</w:t>
      </w:r>
    </w:p>
    <w:p>
      <w:pPr>
        <w:spacing w:after="0" w:line="23" w:lineRule="exact"/>
        <w:rPr>
          <w:sz w:val="24"/>
          <w:szCs w:val="24"/>
          <w:color w:val="auto"/>
        </w:rPr>
      </w:pPr>
    </w:p>
    <w:p>
      <w:pPr>
        <w:ind w:left="4020"/>
        <w:spacing w:after="0"/>
        <w:rPr>
          <w:sz w:val="20"/>
          <w:szCs w:val="20"/>
          <w:color w:val="auto"/>
        </w:rPr>
      </w:pPr>
      <w:r>
        <w:rPr>
          <w:rFonts w:ascii="Arial" w:cs="Arial" w:eastAsia="Arial" w:hAnsi="Arial"/>
          <w:sz w:val="16"/>
          <w:szCs w:val="16"/>
          <w:i w:val="1"/>
          <w:iCs w:val="1"/>
          <w:color w:val="auto"/>
        </w:rPr>
        <w:t>(Registrant’s telephone number, including area code)</w:t>
      </w:r>
    </w:p>
    <w:p>
      <w:pPr>
        <w:spacing w:after="0" w:line="5" w:lineRule="exact"/>
        <w:rPr>
          <w:sz w:val="24"/>
          <w:szCs w:val="24"/>
          <w:color w:val="auto"/>
        </w:rPr>
      </w:pPr>
    </w:p>
    <w:p>
      <w:pPr>
        <w:ind w:left="3640"/>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None</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Securities registered pursuant to Section 12(g) of the Act:</w:t>
      </w:r>
    </w:p>
    <w:p>
      <w:pPr>
        <w:jc w:val="center"/>
        <w:spacing w:after="0"/>
        <w:rPr>
          <w:sz w:val="20"/>
          <w:szCs w:val="20"/>
          <w:color w:val="auto"/>
        </w:rPr>
      </w:pPr>
      <w:r>
        <w:rPr>
          <w:rFonts w:ascii="Arial" w:cs="Arial" w:eastAsia="Arial" w:hAnsi="Arial"/>
          <w:sz w:val="16"/>
          <w:szCs w:val="16"/>
          <w:b w:val="1"/>
          <w:bCs w:val="1"/>
          <w:color w:val="auto"/>
        </w:rPr>
        <w:t>None</w:t>
      </w:r>
    </w:p>
    <w:p>
      <w:pPr>
        <w:ind w:left="260"/>
        <w:spacing w:after="0"/>
        <w:tabs>
          <w:tab w:leader="none" w:pos="7120" w:val="left"/>
          <w:tab w:leader="none" w:pos="7580" w:val="left"/>
        </w:tabs>
        <w:rPr>
          <w:sz w:val="20"/>
          <w:szCs w:val="20"/>
          <w:color w:val="auto"/>
        </w:rPr>
      </w:pPr>
      <w:r>
        <w:rPr>
          <w:rFonts w:ascii="Arial" w:cs="Arial" w:eastAsia="Arial" w:hAnsi="Arial"/>
          <w:sz w:val="13"/>
          <w:szCs w:val="13"/>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4"/>
          <w:szCs w:val="14"/>
          <w:color w:val="auto"/>
        </w:rPr>
        <w:t>Yes o</w:t>
        <w:tab/>
        <w:t>No x</w:t>
      </w:r>
    </w:p>
    <w:p>
      <w:pPr>
        <w:spacing w:after="0" w:line="97" w:lineRule="exact"/>
        <w:rPr>
          <w:sz w:val="24"/>
          <w:szCs w:val="24"/>
          <w:color w:val="auto"/>
        </w:rPr>
      </w:pPr>
    </w:p>
    <w:p>
      <w:pPr>
        <w:ind w:left="260"/>
        <w:spacing w:after="0"/>
        <w:tabs>
          <w:tab w:leader="none" w:pos="8280" w:val="left"/>
        </w:tabs>
        <w:rPr>
          <w:sz w:val="20"/>
          <w:szCs w:val="20"/>
          <w:color w:val="auto"/>
        </w:rPr>
      </w:pPr>
      <w:r>
        <w:rPr>
          <w:rFonts w:ascii="Arial" w:cs="Arial" w:eastAsia="Arial" w:hAnsi="Arial"/>
          <w:sz w:val="13"/>
          <w:szCs w:val="13"/>
          <w:color w:val="auto"/>
        </w:rPr>
        <w:t>Indicate by check mark if the registrant is not required to file reports pursuant to Section 13 or Section 15(d) of the Exchange Act.  Yes o</w:t>
        <w:tab/>
        <w:t>No x</w:t>
      </w:r>
    </w:p>
    <w:p>
      <w:pPr>
        <w:spacing w:after="0" w:line="121" w:lineRule="exact"/>
        <w:rPr>
          <w:sz w:val="24"/>
          <w:szCs w:val="24"/>
          <w:color w:val="auto"/>
        </w:rPr>
      </w:pPr>
    </w:p>
    <w:p>
      <w:pPr>
        <w:ind w:right="20" w:firstLine="243"/>
        <w:spacing w:after="0" w:line="273" w:lineRule="auto"/>
        <w:rPr>
          <w:sz w:val="20"/>
          <w:szCs w:val="20"/>
          <w:color w:val="auto"/>
        </w:rPr>
      </w:pPr>
      <w:r>
        <w:rPr>
          <w:rFonts w:ascii="Arial" w:cs="Arial" w:eastAsia="Arial" w:hAnsi="Arial"/>
          <w:sz w:val="14"/>
          <w:szCs w:val="14"/>
          <w:color w:val="auto"/>
        </w:rPr>
        <w:t>Indicate by check mark whether the registrant (1) has filed all reports to be filed by Section 13 or 15(d) of the Securities Exchange Act of 1934 during the preceding 12 months (or for such shorter period that the registrant was required to file such reports), and (2) has been subject to such filing requirements for the past 90 days. Yes o No o</w:t>
      </w:r>
    </w:p>
    <w:p>
      <w:pPr>
        <w:spacing w:after="0" w:line="120" w:lineRule="exact"/>
        <w:rPr>
          <w:sz w:val="24"/>
          <w:szCs w:val="24"/>
          <w:color w:val="auto"/>
        </w:rPr>
      </w:pPr>
    </w:p>
    <w:p>
      <w:pPr>
        <w:ind w:firstLine="243"/>
        <w:spacing w:after="0" w:line="27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o</w:t>
      </w:r>
    </w:p>
    <w:p>
      <w:pPr>
        <w:spacing w:after="0" w:line="133" w:lineRule="exact"/>
        <w:rPr>
          <w:sz w:val="24"/>
          <w:szCs w:val="24"/>
          <w:color w:val="auto"/>
        </w:rPr>
      </w:pPr>
    </w:p>
    <w:p>
      <w:pPr>
        <w:ind w:firstLine="243"/>
        <w:spacing w:after="0" w:line="27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emerging growth company. See the definitions of "large accelerated filer," "accelerated filer," "smaller reporting company," and "emerging growth company" in Rule 12b-2 of the Exchange Act</w:t>
      </w:r>
      <w:r>
        <w:rPr>
          <w:rFonts w:ascii="Arial" w:cs="Arial" w:eastAsia="Arial" w:hAnsi="Arial"/>
          <w:sz w:val="15"/>
          <w:szCs w:val="15"/>
          <w:color w:val="auto"/>
        </w:rPr>
        <w:t>.</w:t>
      </w:r>
    </w:p>
    <w:p>
      <w:pPr>
        <w:spacing w:after="0" w:line="91" w:lineRule="exact"/>
        <w:rPr>
          <w:sz w:val="24"/>
          <w:szCs w:val="24"/>
          <w:color w:val="auto"/>
        </w:rPr>
      </w:pPr>
    </w:p>
    <w:tbl>
      <w:tblPr>
        <w:tblLayout w:type="fixed"/>
        <w:tblInd w:w="1200" w:type="dxa"/>
        <w:tblCellMar>
          <w:top w:w="0" w:type="dxa"/>
          <w:left w:w="0" w:type="dxa"/>
          <w:bottom w:w="0" w:type="dxa"/>
          <w:right w:w="0" w:type="dxa"/>
        </w:tblCellMar>
      </w:tblPr>
      <w:tr>
        <w:trPr>
          <w:trHeight w:val="254"/>
        </w:trPr>
        <w:tc>
          <w:tcPr>
            <w:tcW w:w="2240" w:type="dxa"/>
            <w:vAlign w:val="bottom"/>
          </w:tcPr>
          <w:p>
            <w:pPr>
              <w:jc w:val="center"/>
              <w:ind w:right="699"/>
              <w:spacing w:after="0"/>
              <w:rPr>
                <w:sz w:val="20"/>
                <w:szCs w:val="20"/>
                <w:color w:val="auto"/>
              </w:rPr>
            </w:pPr>
            <w:r>
              <w:rPr>
                <w:rFonts w:ascii="Arial" w:cs="Arial" w:eastAsia="Arial" w:hAnsi="Arial"/>
                <w:sz w:val="16"/>
                <w:szCs w:val="16"/>
                <w:color w:val="auto"/>
                <w:w w:val="92"/>
              </w:rPr>
              <w:t>Large accelerated filer</w:t>
            </w:r>
          </w:p>
        </w:tc>
        <w:tc>
          <w:tcPr>
            <w:tcW w:w="15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600"/>
              <w:spacing w:after="0"/>
              <w:rPr>
                <w:sz w:val="20"/>
                <w:szCs w:val="20"/>
                <w:color w:val="auto"/>
              </w:rPr>
            </w:pPr>
            <w:r>
              <w:rPr>
                <w:rFonts w:ascii="Arial" w:cs="Arial" w:eastAsia="Arial" w:hAnsi="Arial"/>
                <w:sz w:val="16"/>
                <w:szCs w:val="16"/>
                <w:color w:val="auto"/>
              </w:rPr>
              <w:t>Accelerated filer</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jc w:val="center"/>
              <w:ind w:right="659"/>
              <w:spacing w:after="0"/>
              <w:rPr>
                <w:sz w:val="20"/>
                <w:szCs w:val="20"/>
                <w:color w:val="auto"/>
              </w:rPr>
            </w:pPr>
            <w:r>
              <w:rPr>
                <w:rFonts w:ascii="Arial" w:cs="Arial" w:eastAsia="Arial" w:hAnsi="Arial"/>
                <w:sz w:val="16"/>
                <w:szCs w:val="16"/>
                <w:color w:val="auto"/>
                <w:w w:val="93"/>
              </w:rPr>
              <w:t>Non-accelerated filer</w:t>
            </w:r>
          </w:p>
        </w:tc>
        <w:tc>
          <w:tcPr>
            <w:tcW w:w="1500" w:type="dxa"/>
            <w:vAlign w:val="bottom"/>
          </w:tcPr>
          <w:p>
            <w:pPr>
              <w:ind w:left="76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600"/>
              <w:spacing w:after="0"/>
              <w:rPr>
                <w:sz w:val="20"/>
                <w:szCs w:val="20"/>
                <w:color w:val="auto"/>
              </w:rPr>
            </w:pPr>
            <w:r>
              <w:rPr>
                <w:rFonts w:ascii="Arial" w:cs="Arial" w:eastAsia="Arial" w:hAnsi="Arial"/>
                <w:sz w:val="16"/>
                <w:szCs w:val="16"/>
                <w:color w:val="auto"/>
              </w:rPr>
              <w:t>Smaller reporting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2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3220" w:type="dxa"/>
            <w:vAlign w:val="bottom"/>
          </w:tcPr>
          <w:p>
            <w:pPr>
              <w:ind w:left="600"/>
              <w:spacing w:after="0"/>
              <w:rPr>
                <w:sz w:val="20"/>
                <w:szCs w:val="20"/>
                <w:color w:val="auto"/>
              </w:rPr>
            </w:pPr>
            <w:r>
              <w:rPr>
                <w:rFonts w:ascii="Arial" w:cs="Arial" w:eastAsia="Arial" w:hAnsi="Arial"/>
                <w:sz w:val="16"/>
                <w:szCs w:val="16"/>
                <w:color w:val="auto"/>
              </w:rPr>
              <w:t>Emerging growth company</w:t>
            </w:r>
          </w:p>
        </w:tc>
        <w:tc>
          <w:tcPr>
            <w:tcW w:w="980" w:type="dxa"/>
            <w:vAlign w:val="bottom"/>
          </w:tcPr>
          <w:p>
            <w:pPr>
              <w:ind w:left="84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85" w:lineRule="exact"/>
        <w:rPr>
          <w:sz w:val="24"/>
          <w:szCs w:val="24"/>
          <w:color w:val="auto"/>
        </w:rPr>
      </w:pPr>
    </w:p>
    <w:p>
      <w:pPr>
        <w:ind w:firstLine="243"/>
        <w:spacing w:after="0" w:line="24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 w:lineRule="exact"/>
        <w:rPr>
          <w:sz w:val="24"/>
          <w:szCs w:val="24"/>
          <w:color w:val="auto"/>
        </w:rPr>
      </w:pPr>
    </w:p>
    <w:p>
      <w:pPr>
        <w:ind w:left="260"/>
        <w:spacing w:after="0" w:line="161" w:lineRule="exact"/>
        <w:tabs>
          <w:tab w:leader="none" w:pos="6300" w:val="left"/>
          <w:tab w:leader="none" w:pos="6820" w:val="left"/>
        </w:tabs>
        <w:rPr>
          <w:sz w:val="20"/>
          <w:szCs w:val="20"/>
          <w:color w:val="auto"/>
        </w:rPr>
      </w:pPr>
      <w:r>
        <w:rPr>
          <w:rFonts w:ascii="Arial" w:cs="Arial" w:eastAsia="Arial" w:hAnsi="Arial"/>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No x</w:t>
      </w:r>
    </w:p>
    <w:p>
      <w:pPr>
        <w:spacing w:after="0" w:line="6" w:lineRule="exact"/>
        <w:rPr>
          <w:sz w:val="24"/>
          <w:szCs w:val="24"/>
          <w:color w:val="auto"/>
        </w:rPr>
      </w:pPr>
    </w:p>
    <w:p>
      <w:pPr>
        <w:ind w:left="260"/>
        <w:spacing w:after="0"/>
        <w:rPr>
          <w:sz w:val="20"/>
          <w:szCs w:val="20"/>
          <w:color w:val="auto"/>
        </w:rPr>
      </w:pPr>
      <w:r>
        <w:rPr>
          <w:rFonts w:ascii="Arial" w:cs="Arial" w:eastAsia="Arial" w:hAnsi="Arial"/>
          <w:sz w:val="14"/>
          <w:szCs w:val="14"/>
          <w:color w:val="auto"/>
        </w:rPr>
        <w:t>Clearway Energy LLC's outstanding equity interests are held by Clearway Energy, Inc. and Clearway Energy Group LLC and there are no equity interests held by non-affiliates.</w:t>
      </w:r>
    </w:p>
    <w:p>
      <w:pPr>
        <w:spacing w:after="0" w:line="1" w:lineRule="exact"/>
        <w:rPr>
          <w:sz w:val="24"/>
          <w:szCs w:val="24"/>
          <w:color w:val="auto"/>
        </w:rPr>
      </w:pPr>
    </w:p>
    <w:p>
      <w:pPr>
        <w:ind w:left="260"/>
        <w:spacing w:after="0"/>
        <w:rPr>
          <w:sz w:val="20"/>
          <w:szCs w:val="20"/>
          <w:color w:val="auto"/>
        </w:rPr>
      </w:pPr>
      <w:r>
        <w:rPr>
          <w:rFonts w:ascii="Arial" w:cs="Arial" w:eastAsia="Arial" w:hAnsi="Arial"/>
          <w:sz w:val="13"/>
          <w:szCs w:val="13"/>
          <w:color w:val="auto"/>
        </w:rPr>
        <w:t>Indicate the number of shares outstanding of each of the registrant's classes of common stock as of the latest practicable date. There is no public market for the registrant's outstanding units.</w:t>
      </w:r>
    </w:p>
    <w:p>
      <w:pPr>
        <w:spacing w:after="0" w:line="244" w:lineRule="exact"/>
        <w:rPr>
          <w:sz w:val="24"/>
          <w:szCs w:val="24"/>
          <w:color w:val="auto"/>
        </w:rPr>
      </w:pPr>
    </w:p>
    <w:tbl>
      <w:tblPr>
        <w:tblLayout w:type="fixed"/>
        <w:tblInd w:w="3480" w:type="dxa"/>
        <w:tblCellMar>
          <w:top w:w="0" w:type="dxa"/>
          <w:left w:w="0" w:type="dxa"/>
          <w:bottom w:w="0" w:type="dxa"/>
          <w:right w:w="0" w:type="dxa"/>
        </w:tblCellMar>
      </w:tblPr>
      <w:tr>
        <w:trPr>
          <w:trHeight w:val="164"/>
        </w:trPr>
        <w:tc>
          <w:tcPr>
            <w:tcW w:w="2000" w:type="dxa"/>
            <w:vAlign w:val="bottom"/>
          </w:tcPr>
          <w:p>
            <w:pPr>
              <w:jc w:val="center"/>
              <w:ind w:right="1237"/>
              <w:spacing w:after="0"/>
              <w:rPr>
                <w:sz w:val="20"/>
                <w:szCs w:val="20"/>
                <w:color w:val="auto"/>
              </w:rPr>
            </w:pPr>
            <w:r>
              <w:rPr>
                <w:rFonts w:ascii="Arial" w:cs="Arial" w:eastAsia="Arial" w:hAnsi="Arial"/>
                <w:sz w:val="13"/>
                <w:szCs w:val="13"/>
                <w:b w:val="1"/>
                <w:bCs w:val="1"/>
                <w:color w:val="auto"/>
                <w:w w:val="86"/>
              </w:rPr>
              <w:t>Class</w:t>
            </w:r>
          </w:p>
        </w:tc>
        <w:tc>
          <w:tcPr>
            <w:tcW w:w="2960" w:type="dxa"/>
            <w:vAlign w:val="bottom"/>
          </w:tcPr>
          <w:p>
            <w:pPr>
              <w:jc w:val="center"/>
              <w:ind w:left="1237"/>
              <w:spacing w:after="0"/>
              <w:rPr>
                <w:sz w:val="20"/>
                <w:szCs w:val="20"/>
                <w:color w:val="auto"/>
              </w:rPr>
            </w:pPr>
            <w:r>
              <w:rPr>
                <w:rFonts w:ascii="Arial" w:cs="Arial" w:eastAsia="Arial" w:hAnsi="Arial"/>
                <w:sz w:val="13"/>
                <w:szCs w:val="13"/>
                <w:b w:val="1"/>
                <w:bCs w:val="1"/>
                <w:color w:val="auto"/>
                <w:w w:val="88"/>
              </w:rPr>
              <w:t>Outstanding at March 24, 2020</w:t>
            </w:r>
          </w:p>
        </w:tc>
      </w:tr>
      <w:tr>
        <w:trPr>
          <w:trHeight w:val="270"/>
        </w:trPr>
        <w:tc>
          <w:tcPr>
            <w:tcW w:w="2000" w:type="dxa"/>
            <w:vAlign w:val="bottom"/>
          </w:tcPr>
          <w:p>
            <w:pPr>
              <w:jc w:val="center"/>
              <w:ind w:right="1237"/>
              <w:spacing w:after="0"/>
              <w:rPr>
                <w:sz w:val="20"/>
                <w:szCs w:val="20"/>
                <w:color w:val="auto"/>
              </w:rPr>
            </w:pPr>
            <w:r>
              <w:rPr>
                <w:rFonts w:ascii="Arial" w:cs="Arial" w:eastAsia="Arial" w:hAnsi="Arial"/>
                <w:sz w:val="13"/>
                <w:szCs w:val="13"/>
                <w:color w:val="auto"/>
                <w:w w:val="89"/>
              </w:rPr>
              <w:t>Class A Units</w:t>
            </w:r>
          </w:p>
        </w:tc>
        <w:tc>
          <w:tcPr>
            <w:tcW w:w="2960" w:type="dxa"/>
            <w:vAlign w:val="bottom"/>
          </w:tcPr>
          <w:p>
            <w:pPr>
              <w:jc w:val="center"/>
              <w:ind w:left="1237"/>
              <w:spacing w:after="0"/>
              <w:rPr>
                <w:sz w:val="20"/>
                <w:szCs w:val="20"/>
                <w:color w:val="auto"/>
              </w:rPr>
            </w:pPr>
            <w:r>
              <w:rPr>
                <w:rFonts w:ascii="Arial" w:cs="Arial" w:eastAsia="Arial" w:hAnsi="Arial"/>
                <w:sz w:val="13"/>
                <w:szCs w:val="13"/>
                <w:color w:val="auto"/>
                <w:w w:val="89"/>
              </w:rPr>
              <w:t>34,599,645</w:t>
            </w:r>
          </w:p>
        </w:tc>
      </w:tr>
      <w:tr>
        <w:trPr>
          <w:trHeight w:val="270"/>
        </w:trPr>
        <w:tc>
          <w:tcPr>
            <w:tcW w:w="2000" w:type="dxa"/>
            <w:vAlign w:val="bottom"/>
          </w:tcPr>
          <w:p>
            <w:pPr>
              <w:jc w:val="center"/>
              <w:ind w:right="1237"/>
              <w:spacing w:after="0"/>
              <w:rPr>
                <w:sz w:val="20"/>
                <w:szCs w:val="20"/>
                <w:color w:val="auto"/>
              </w:rPr>
            </w:pPr>
            <w:r>
              <w:rPr>
                <w:rFonts w:ascii="Arial" w:cs="Arial" w:eastAsia="Arial" w:hAnsi="Arial"/>
                <w:sz w:val="13"/>
                <w:szCs w:val="13"/>
                <w:color w:val="auto"/>
                <w:w w:val="89"/>
              </w:rPr>
              <w:t>Class B Units</w:t>
            </w:r>
          </w:p>
        </w:tc>
        <w:tc>
          <w:tcPr>
            <w:tcW w:w="2960" w:type="dxa"/>
            <w:vAlign w:val="bottom"/>
          </w:tcPr>
          <w:p>
            <w:pPr>
              <w:jc w:val="center"/>
              <w:ind w:left="1237"/>
              <w:spacing w:after="0"/>
              <w:rPr>
                <w:sz w:val="20"/>
                <w:szCs w:val="20"/>
                <w:color w:val="auto"/>
              </w:rPr>
            </w:pPr>
            <w:r>
              <w:rPr>
                <w:rFonts w:ascii="Arial" w:cs="Arial" w:eastAsia="Arial" w:hAnsi="Arial"/>
                <w:sz w:val="13"/>
                <w:szCs w:val="13"/>
                <w:color w:val="auto"/>
                <w:w w:val="89"/>
              </w:rPr>
              <w:t>42,738,750</w:t>
            </w:r>
          </w:p>
        </w:tc>
      </w:tr>
      <w:tr>
        <w:trPr>
          <w:trHeight w:val="270"/>
        </w:trPr>
        <w:tc>
          <w:tcPr>
            <w:tcW w:w="2000" w:type="dxa"/>
            <w:vAlign w:val="bottom"/>
          </w:tcPr>
          <w:p>
            <w:pPr>
              <w:jc w:val="center"/>
              <w:ind w:right="1237"/>
              <w:spacing w:after="0"/>
              <w:rPr>
                <w:sz w:val="20"/>
                <w:szCs w:val="20"/>
                <w:color w:val="auto"/>
              </w:rPr>
            </w:pPr>
            <w:r>
              <w:rPr>
                <w:rFonts w:ascii="Arial" w:cs="Arial" w:eastAsia="Arial" w:hAnsi="Arial"/>
                <w:sz w:val="13"/>
                <w:szCs w:val="13"/>
                <w:color w:val="auto"/>
                <w:w w:val="88"/>
              </w:rPr>
              <w:t>Class C Units</w:t>
            </w:r>
          </w:p>
        </w:tc>
        <w:tc>
          <w:tcPr>
            <w:tcW w:w="2960" w:type="dxa"/>
            <w:vAlign w:val="bottom"/>
          </w:tcPr>
          <w:p>
            <w:pPr>
              <w:jc w:val="center"/>
              <w:ind w:left="1237"/>
              <w:spacing w:after="0"/>
              <w:rPr>
                <w:sz w:val="20"/>
                <w:szCs w:val="20"/>
                <w:color w:val="auto"/>
              </w:rPr>
            </w:pPr>
            <w:r>
              <w:rPr>
                <w:rFonts w:ascii="Arial" w:cs="Arial" w:eastAsia="Arial" w:hAnsi="Arial"/>
                <w:sz w:val="13"/>
                <w:szCs w:val="13"/>
                <w:color w:val="auto"/>
                <w:w w:val="89"/>
              </w:rPr>
              <w:t>79,329,761</w:t>
            </w:r>
          </w:p>
        </w:tc>
      </w:tr>
      <w:tr>
        <w:trPr>
          <w:trHeight w:val="270"/>
        </w:trPr>
        <w:tc>
          <w:tcPr>
            <w:tcW w:w="2000" w:type="dxa"/>
            <w:vAlign w:val="bottom"/>
          </w:tcPr>
          <w:p>
            <w:pPr>
              <w:jc w:val="center"/>
              <w:ind w:right="1237"/>
              <w:spacing w:after="0"/>
              <w:rPr>
                <w:sz w:val="20"/>
                <w:szCs w:val="20"/>
                <w:color w:val="auto"/>
              </w:rPr>
            </w:pPr>
            <w:r>
              <w:rPr>
                <w:rFonts w:ascii="Arial" w:cs="Arial" w:eastAsia="Arial" w:hAnsi="Arial"/>
                <w:sz w:val="13"/>
                <w:szCs w:val="13"/>
                <w:color w:val="auto"/>
                <w:w w:val="88"/>
              </w:rPr>
              <w:t>Class D Units</w:t>
            </w:r>
          </w:p>
        </w:tc>
        <w:tc>
          <w:tcPr>
            <w:tcW w:w="2960" w:type="dxa"/>
            <w:vAlign w:val="bottom"/>
          </w:tcPr>
          <w:p>
            <w:pPr>
              <w:jc w:val="center"/>
              <w:ind w:left="1237"/>
              <w:spacing w:after="0"/>
              <w:rPr>
                <w:sz w:val="20"/>
                <w:szCs w:val="20"/>
                <w:color w:val="auto"/>
              </w:rPr>
            </w:pPr>
            <w:r>
              <w:rPr>
                <w:rFonts w:ascii="Arial" w:cs="Arial" w:eastAsia="Arial" w:hAnsi="Arial"/>
                <w:sz w:val="13"/>
                <w:szCs w:val="13"/>
                <w:color w:val="auto"/>
                <w:w w:val="89"/>
              </w:rPr>
              <w:t>42,738,750</w:t>
            </w:r>
          </w:p>
        </w:tc>
      </w:tr>
    </w:tbl>
    <w:p>
      <w:pPr>
        <w:jc w:val="center"/>
        <w:spacing w:after="0"/>
        <w:rPr>
          <w:sz w:val="20"/>
          <w:szCs w:val="20"/>
          <w:color w:val="auto"/>
        </w:rPr>
      </w:pPr>
      <w:r>
        <w:rPr>
          <w:rFonts w:ascii="Arial" w:cs="Arial" w:eastAsia="Arial" w:hAnsi="Arial"/>
          <w:sz w:val="15"/>
          <w:szCs w:val="15"/>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99060</wp:posOffset>
            </wp:positionH>
            <wp:positionV relativeFrom="paragraph">
              <wp:posOffset>183515</wp:posOffset>
            </wp:positionV>
            <wp:extent cx="6943725"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43725" cy="26035"/>
                    </a:xfrm>
                    <a:prstGeom prst="rect">
                      <a:avLst/>
                    </a:prstGeom>
                    <a:noFill/>
                  </pic:spPr>
                </pic:pic>
              </a:graphicData>
            </a:graphic>
          </wp:anchor>
        </w:drawing>
        <w:drawing>
          <wp:anchor simplePos="0" relativeHeight="251657728" behindDoc="1" locked="0" layoutInCell="0" allowOverlap="1">
            <wp:simplePos x="0" y="0"/>
            <wp:positionH relativeFrom="column">
              <wp:posOffset>99060</wp:posOffset>
            </wp:positionH>
            <wp:positionV relativeFrom="paragraph">
              <wp:posOffset>97790</wp:posOffset>
            </wp:positionV>
            <wp:extent cx="6943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43725" cy="8890"/>
                    </a:xfrm>
                    <a:prstGeom prst="rect">
                      <a:avLst/>
                    </a:prstGeom>
                    <a:noFill/>
                  </pic:spPr>
                </pic:pic>
              </a:graphicData>
            </a:graphic>
          </wp:anchor>
        </w:drawing>
      </w:r>
    </w:p>
    <w:p>
      <w:pPr>
        <w:sectPr>
          <w:pgSz w:w="11900" w:h="16838" w:orient="portrait"/>
          <w:cols w:equalWidth="0" w:num="1">
            <w:col w:w="11240"/>
          </w:cols>
          <w:pgMar w:left="320" w:top="1084"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20"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11240"/>
          </w:cols>
          <w:pgMar w:left="320" w:top="1084" w:right="339" w:bottom="1440" w:gutter="0" w:footer="0" w:header="0"/>
          <w:type w:val="continuous"/>
        </w:sectPr>
      </w:pPr>
    </w:p>
    <w:bookmarkStart w:id="1" w:name="page2"/>
    <w:bookmarkEnd w:id="1"/>
    <w:p>
      <w:pPr>
        <w:jc w:val="center"/>
        <w:ind w:left="400"/>
        <w:spacing w:after="0"/>
        <w:rPr>
          <w:sz w:val="20"/>
          <w:szCs w:val="20"/>
          <w:color w:val="auto"/>
        </w:rPr>
      </w:pPr>
      <w:r>
        <w:rPr>
          <w:rFonts w:ascii="Arial" w:cs="Arial" w:eastAsia="Arial" w:hAnsi="Arial"/>
          <w:sz w:val="18"/>
          <w:szCs w:val="18"/>
          <w:b w:val="1"/>
          <w:bCs w:val="1"/>
          <w:color w:val="auto"/>
        </w:rPr>
        <w:t>Explanatory Note</w:t>
      </w:r>
    </w:p>
    <w:p>
      <w:pPr>
        <w:spacing w:after="0" w:line="175" w:lineRule="exact"/>
        <w:rPr>
          <w:sz w:val="20"/>
          <w:szCs w:val="20"/>
          <w:color w:val="auto"/>
        </w:rPr>
      </w:pPr>
    </w:p>
    <w:p>
      <w:pPr>
        <w:jc w:val="both"/>
        <w:ind w:right="20" w:firstLine="405"/>
        <w:spacing w:after="0" w:line="277" w:lineRule="auto"/>
        <w:rPr>
          <w:sz w:val="20"/>
          <w:szCs w:val="20"/>
          <w:color w:val="auto"/>
        </w:rPr>
      </w:pPr>
      <w:r>
        <w:rPr>
          <w:rFonts w:ascii="Arial" w:cs="Arial" w:eastAsia="Arial" w:hAnsi="Arial"/>
          <w:sz w:val="18"/>
          <w:szCs w:val="18"/>
          <w:color w:val="auto"/>
        </w:rPr>
        <w:t>On March 2, 2020, Clearway Energy LLC (the "Company") filed with the Securities and Exchange Commission its Annual Report on Form 10-K for the year ended December 31, 2019.</w:t>
      </w:r>
    </w:p>
    <w:p>
      <w:pPr>
        <w:spacing w:after="0" w:line="116" w:lineRule="exact"/>
        <w:rPr>
          <w:sz w:val="20"/>
          <w:szCs w:val="20"/>
          <w:color w:val="auto"/>
        </w:rPr>
      </w:pPr>
    </w:p>
    <w:p>
      <w:pPr>
        <w:jc w:val="both"/>
        <w:ind w:firstLine="405"/>
        <w:spacing w:after="0" w:line="259" w:lineRule="auto"/>
        <w:rPr>
          <w:sz w:val="20"/>
          <w:szCs w:val="20"/>
          <w:color w:val="auto"/>
        </w:rPr>
      </w:pPr>
      <w:r>
        <w:rPr>
          <w:rFonts w:ascii="Arial" w:cs="Arial" w:eastAsia="Arial" w:hAnsi="Arial"/>
          <w:sz w:val="18"/>
          <w:szCs w:val="18"/>
          <w:color w:val="auto"/>
        </w:rPr>
        <w:t>This Amendment No. 1 to Form 10-K (this "Amendment") of the Company is being filed solely to amend Item 15 of Part IV to include the consolidated financial statements of DGPV Holdco 3 LLC and Subsidiaries ("DGPV Holdco 3") as required under Rule 3-09 of Regulation S-X. The financial statements of DGPV Holdco 3 for its fiscal year ended December 31, 2019 were not available at the time the Company filed its Annual Report on Form 10-K. The required financial statements are now provided as Exhibit 99.1 to this Amendment.</w:t>
      </w:r>
    </w:p>
    <w:p>
      <w:pPr>
        <w:spacing w:after="0" w:line="133" w:lineRule="exact"/>
        <w:rPr>
          <w:sz w:val="20"/>
          <w:szCs w:val="20"/>
          <w:color w:val="auto"/>
        </w:rPr>
      </w:pPr>
    </w:p>
    <w:p>
      <w:pPr>
        <w:jc w:val="both"/>
        <w:ind w:firstLine="405"/>
        <w:spacing w:after="0" w:line="296" w:lineRule="auto"/>
        <w:rPr>
          <w:sz w:val="20"/>
          <w:szCs w:val="20"/>
          <w:color w:val="auto"/>
        </w:rPr>
      </w:pPr>
      <w:r>
        <w:rPr>
          <w:rFonts w:ascii="Arial" w:cs="Arial" w:eastAsia="Arial" w:hAnsi="Arial"/>
          <w:sz w:val="16"/>
          <w:szCs w:val="16"/>
          <w:color w:val="auto"/>
        </w:rPr>
        <w:t>Item 15(c) is the only portion of the Company's Annual Report on Form 10-K being supplemented or amended by this Amendment. Except as set forth herein, this Amendment does not change or update any other information set forth in the original filing of the Company's Annual Report on Form 10-K for the year ended December 31, 2019, and does not reflect events occurring after the original filing of the Company's Annual Report on Form 10-K for the year ended December 31, 2019. This Amendment consists solely of the preceding cover page, this explanatory note, the information required by Item 15(c) of Form 10-K as provided in Exhibit 99.1, an updated exhibit index, a signature page, and the certifications required to be filed as exhibits hereto.</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553"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 Exhibits, Financial Statement Schedules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(a)(1) Financial Statements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7"/>
          <w:szCs w:val="17"/>
          <w:color w:val="auto"/>
        </w:rPr>
        <w:t>The following consolidated financial statements of Clearway Energy, Inc. and related notes thereto, together with the reports thereon of</w:t>
      </w:r>
    </w:p>
    <w:p>
      <w:pPr>
        <w:spacing w:after="0" w:line="35" w:lineRule="exact"/>
        <w:rPr>
          <w:sz w:val="20"/>
          <w:szCs w:val="20"/>
          <w:color w:val="auto"/>
        </w:rPr>
      </w:pPr>
    </w:p>
    <w:p>
      <w:pPr>
        <w:ind w:left="980"/>
        <w:spacing w:after="0"/>
        <w:rPr>
          <w:sz w:val="20"/>
          <w:szCs w:val="20"/>
          <w:color w:val="auto"/>
        </w:rPr>
      </w:pPr>
      <w:r>
        <w:rPr>
          <w:rFonts w:ascii="Arial" w:cs="Arial" w:eastAsia="Arial" w:hAnsi="Arial"/>
          <w:sz w:val="18"/>
          <w:szCs w:val="18"/>
          <w:color w:val="auto"/>
        </w:rPr>
        <w:t>KPMG LLP, were included in Item 15 of Clearway Energy LLC's Annual Report on Form 10-K filed on March 2, 2020:</w:t>
      </w:r>
    </w:p>
    <w:p>
      <w:pPr>
        <w:spacing w:after="0" w:line="157"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Operations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Comprehensive (Loss) Income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Balance Sheets — As of December 31, 2019 and 2018</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Cash Flows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Consolidated Statements of Members' Equity — Years ended December 31, 2019, 2018 and 2017</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8"/>
          <w:szCs w:val="18"/>
          <w:color w:val="auto"/>
        </w:rPr>
        <w:t>Notes to Consolidated Financial Statements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(a)(2) Not applicable</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(a)(3) Exhibits: See Exhibit Index submitted as a separate section of this report</w:t>
      </w:r>
    </w:p>
    <w:p>
      <w:pPr>
        <w:spacing w:after="0" w:line="171" w:lineRule="exact"/>
        <w:rPr>
          <w:sz w:val="20"/>
          <w:szCs w:val="20"/>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Exhibits</w:t>
      </w:r>
    </w:p>
    <w:p>
      <w:pPr>
        <w:spacing w:after="0" w:line="171" w:lineRule="exact"/>
        <w:rPr>
          <w:rFonts w:ascii="Arial" w:cs="Arial" w:eastAsia="Arial" w:hAnsi="Arial"/>
          <w:sz w:val="18"/>
          <w:szCs w:val="18"/>
          <w:color w:val="auto"/>
        </w:rPr>
      </w:pPr>
    </w:p>
    <w:p>
      <w:pPr>
        <w:ind w:left="740"/>
        <w:spacing w:after="0"/>
        <w:rPr>
          <w:rFonts w:ascii="Arial" w:cs="Arial" w:eastAsia="Arial" w:hAnsi="Arial"/>
          <w:sz w:val="18"/>
          <w:szCs w:val="18"/>
          <w:color w:val="auto"/>
        </w:rPr>
      </w:pPr>
      <w:r>
        <w:rPr>
          <w:rFonts w:ascii="Arial" w:cs="Arial" w:eastAsia="Arial" w:hAnsi="Arial"/>
          <w:sz w:val="18"/>
          <w:szCs w:val="18"/>
          <w:color w:val="auto"/>
        </w:rPr>
        <w:t>See Exhibit Index submitted as a separate section of this report</w:t>
      </w:r>
    </w:p>
    <w:p>
      <w:pPr>
        <w:spacing w:after="0" w:line="171" w:lineRule="exact"/>
        <w:rPr>
          <w:rFonts w:ascii="Arial" w:cs="Arial" w:eastAsia="Arial" w:hAnsi="Arial"/>
          <w:sz w:val="18"/>
          <w:szCs w:val="18"/>
          <w:color w:val="auto"/>
        </w:rPr>
      </w:pPr>
    </w:p>
    <w:p>
      <w:pPr>
        <w:ind w:left="740" w:hanging="246"/>
        <w:spacing w:after="0"/>
        <w:tabs>
          <w:tab w:leader="none" w:pos="7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Separate financial statements of subsidiaries not consolidated and fifty percent or less owned persons</w:t>
      </w:r>
    </w:p>
    <w:p>
      <w:pPr>
        <w:spacing w:after="0" w:line="171" w:lineRule="exact"/>
        <w:rPr>
          <w:sz w:val="20"/>
          <w:szCs w:val="20"/>
          <w:color w:val="auto"/>
        </w:rPr>
      </w:pPr>
    </w:p>
    <w:p>
      <w:pPr>
        <w:ind w:left="740"/>
        <w:spacing w:after="0"/>
        <w:rPr>
          <w:sz w:val="20"/>
          <w:szCs w:val="20"/>
          <w:color w:val="auto"/>
        </w:rPr>
      </w:pPr>
      <w:r>
        <w:rPr>
          <w:rFonts w:ascii="Arial" w:cs="Arial" w:eastAsia="Arial" w:hAnsi="Arial"/>
          <w:sz w:val="16"/>
          <w:szCs w:val="16"/>
          <w:color w:val="auto"/>
        </w:rPr>
        <w:t>The following financial statements of DGPV Holdco 3 LLC are required under Rule 3-09 of Regulation S-X and are incorporated by reference to</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Item 15 of this report. They should be read in conjunction with the Consolidated Financial Statements:</w:t>
      </w:r>
    </w:p>
    <w:p>
      <w:pPr>
        <w:spacing w:after="0" w:line="157" w:lineRule="exact"/>
        <w:rPr>
          <w:sz w:val="20"/>
          <w:szCs w:val="20"/>
          <w:color w:val="auto"/>
        </w:rPr>
      </w:pPr>
    </w:p>
    <w:p>
      <w:pPr>
        <w:ind w:left="980" w:right="260"/>
        <w:spacing w:after="0" w:line="277" w:lineRule="auto"/>
        <w:rPr>
          <w:sz w:val="20"/>
          <w:szCs w:val="20"/>
          <w:color w:val="auto"/>
        </w:rPr>
      </w:pPr>
      <w:r>
        <w:rPr>
          <w:rFonts w:ascii="Arial" w:cs="Arial" w:eastAsia="Arial" w:hAnsi="Arial"/>
          <w:sz w:val="18"/>
          <w:szCs w:val="18"/>
          <w:color w:val="auto"/>
        </w:rPr>
        <w:t>DGPV Holdco 3 LLC Consolidated Financial Statements for the years ended December 31, 2019 and 2018 are included as Exhibit 99.1 to Amendment No. 1 to Clearway Energy, Inc.'s Annual Report on Form 10-K</w:t>
      </w: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00"/>
          </w:cols>
          <w:pgMar w:left="320" w:top="553" w:right="37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10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40" w:type="dxa"/>
            <w:vAlign w:val="bottom"/>
            <w:gridSpan w:val="8"/>
          </w:tcPr>
          <w:p>
            <w:pPr>
              <w:ind w:left="340"/>
              <w:spacing w:after="0"/>
              <w:rPr>
                <w:sz w:val="20"/>
                <w:szCs w:val="20"/>
                <w:color w:val="auto"/>
              </w:rPr>
            </w:pPr>
            <w:r>
              <w:rPr>
                <w:rFonts w:ascii="Arial" w:cs="Arial" w:eastAsia="Arial" w:hAnsi="Arial"/>
                <w:sz w:val="18"/>
                <w:szCs w:val="18"/>
                <w:b w:val="1"/>
                <w:bCs w:val="1"/>
                <w:color w:val="auto"/>
              </w:rPr>
              <w:t>EXHIBIT INDEX</w:t>
            </w:r>
          </w:p>
        </w:tc>
      </w:tr>
      <w:tr>
        <w:trPr>
          <w:trHeight w:val="426"/>
        </w:trPr>
        <w:tc>
          <w:tcPr>
            <w:tcW w:w="1020" w:type="dxa"/>
            <w:vAlign w:val="bottom"/>
          </w:tcPr>
          <w:p>
            <w:pPr>
              <w:spacing w:after="0"/>
              <w:rPr>
                <w:sz w:val="20"/>
                <w:szCs w:val="20"/>
                <w:color w:val="auto"/>
              </w:rPr>
            </w:pPr>
            <w:r>
              <w:rPr>
                <w:rFonts w:ascii="Arial" w:cs="Arial" w:eastAsia="Arial" w:hAnsi="Arial"/>
                <w:sz w:val="16"/>
                <w:szCs w:val="16"/>
                <w:b w:val="1"/>
                <w:bCs w:val="1"/>
                <w:color w:val="auto"/>
              </w:rPr>
              <w:t>Number</w:t>
            </w:r>
          </w:p>
        </w:tc>
        <w:tc>
          <w:tcPr>
            <w:tcW w:w="5760" w:type="dxa"/>
            <w:vAlign w:val="bottom"/>
            <w:gridSpan w:val="12"/>
          </w:tcPr>
          <w:p>
            <w:pPr>
              <w:spacing w:after="0"/>
              <w:rPr>
                <w:sz w:val="20"/>
                <w:szCs w:val="20"/>
                <w:color w:val="auto"/>
              </w:rPr>
            </w:pPr>
            <w:r>
              <w:rPr>
                <w:rFonts w:ascii="Arial" w:cs="Arial" w:eastAsia="Arial" w:hAnsi="Arial"/>
                <w:sz w:val="16"/>
                <w:szCs w:val="16"/>
                <w:b w:val="1"/>
                <w:bCs w:val="1"/>
                <w:color w:val="auto"/>
              </w:rPr>
              <w:t>Description</w:t>
            </w:r>
          </w:p>
        </w:tc>
      </w:tr>
      <w:tr>
        <w:trPr>
          <w:trHeight w:val="222"/>
        </w:trPr>
        <w:tc>
          <w:tcPr>
            <w:tcW w:w="1020" w:type="dxa"/>
            <w:vAlign w:val="bottom"/>
          </w:tcPr>
          <w:p>
            <w:pPr>
              <w:spacing w:after="0"/>
              <w:rPr>
                <w:sz w:val="20"/>
                <w:szCs w:val="20"/>
                <w:color w:val="auto"/>
              </w:rPr>
            </w:pPr>
            <w:r>
              <w:rPr>
                <w:rFonts w:ascii="Arial" w:cs="Arial" w:eastAsia="Arial" w:hAnsi="Arial"/>
                <w:sz w:val="16"/>
                <w:szCs w:val="16"/>
                <w:color w:val="auto"/>
              </w:rPr>
              <w:t>2.1</w:t>
            </w:r>
          </w:p>
        </w:tc>
        <w:tc>
          <w:tcPr>
            <w:tcW w:w="5360" w:type="dxa"/>
            <w:vAlign w:val="bottom"/>
            <w:tcBorders>
              <w:bottom w:val="single" w:sz="8" w:color="0000FF"/>
            </w:tcBorders>
            <w:gridSpan w:val="7"/>
          </w:tcPr>
          <w:p>
            <w:pPr>
              <w:spacing w:after="0"/>
              <w:rPr>
                <w:rFonts w:ascii="Arial" w:cs="Arial" w:eastAsia="Arial" w:hAnsi="Arial"/>
                <w:sz w:val="16"/>
                <w:szCs w:val="16"/>
                <w:color w:val="0000FF"/>
                <w:w w:val="89"/>
              </w:rPr>
            </w:pPr>
            <w:hyperlink r:id="rId12">
              <w:r>
                <w:rPr>
                  <w:rFonts w:ascii="Arial" w:cs="Arial" w:eastAsia="Arial" w:hAnsi="Arial"/>
                  <w:sz w:val="16"/>
                  <w:szCs w:val="16"/>
                  <w:color w:val="0000FF"/>
                  <w:w w:val="89"/>
                </w:rPr>
                <w:t>Purchase and Sale Agreement, dated as of May 5, 2014, by and between NRG Gas</w:t>
              </w:r>
            </w:hyperlink>
          </w:p>
        </w:tc>
        <w:tc>
          <w:tcPr>
            <w:tcW w:w="400" w:type="dxa"/>
            <w:vAlign w:val="bottom"/>
            <w:gridSpan w:val="5"/>
          </w:tcPr>
          <w:p>
            <w:pPr>
              <w:spacing w:after="0"/>
              <w:rPr>
                <w:sz w:val="19"/>
                <w:szCs w:val="19"/>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2">
              <w:r>
                <w:rPr>
                  <w:rFonts w:ascii="Arial" w:cs="Arial" w:eastAsia="Arial" w:hAnsi="Arial"/>
                  <w:sz w:val="16"/>
                  <w:szCs w:val="16"/>
                  <w:color w:val="0000FF"/>
                </w:rPr>
                <w:t>Development Company, LLC and NRG Yield Operating LLC.</w:t>
              </w:r>
            </w:hyperlink>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2.2</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3">
              <w:r>
                <w:rPr>
                  <w:rFonts w:ascii="Arial" w:cs="Arial" w:eastAsia="Arial" w:hAnsi="Arial"/>
                  <w:sz w:val="16"/>
                  <w:szCs w:val="16"/>
                  <w:color w:val="0000FF"/>
                  <w:w w:val="90"/>
                </w:rPr>
                <w:t>Purchase and Sale Agreement, dated as of May 5, 2014, by and between NRG Solar PV</w:t>
              </w:r>
            </w:hyperlink>
          </w:p>
        </w:tc>
        <w:tc>
          <w:tcPr>
            <w:tcW w:w="6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2440" w:type="dxa"/>
            <w:vAlign w:val="bottom"/>
            <w:tcBorders>
              <w:bottom w:val="single" w:sz="8" w:color="0000FF"/>
            </w:tcBorders>
            <w:gridSpan w:val="2"/>
          </w:tcPr>
          <w:p>
            <w:pPr>
              <w:spacing w:after="0" w:line="183" w:lineRule="exact"/>
              <w:rPr>
                <w:rFonts w:ascii="Arial" w:cs="Arial" w:eastAsia="Arial" w:hAnsi="Arial"/>
                <w:sz w:val="16"/>
                <w:szCs w:val="16"/>
                <w:color w:val="0000FF"/>
                <w:w w:val="95"/>
              </w:rPr>
            </w:pPr>
            <w:hyperlink r:id="rId13">
              <w:r>
                <w:rPr>
                  <w:rFonts w:ascii="Arial" w:cs="Arial" w:eastAsia="Arial" w:hAnsi="Arial"/>
                  <w:sz w:val="16"/>
                  <w:szCs w:val="16"/>
                  <w:color w:val="0000FF"/>
                  <w:w w:val="95"/>
                </w:rPr>
                <w:t>LLC and NRG Yield Operating LLC.</w:t>
              </w:r>
            </w:hyperlink>
          </w:p>
        </w:tc>
        <w:tc>
          <w:tcPr>
            <w:tcW w:w="3320" w:type="dxa"/>
            <w:vAlign w:val="bottom"/>
            <w:gridSpan w:val="10"/>
          </w:tcPr>
          <w:p>
            <w:pPr>
              <w:spacing w:after="0"/>
              <w:rPr>
                <w:sz w:val="15"/>
                <w:szCs w:val="15"/>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2.3</w:t>
            </w:r>
          </w:p>
        </w:tc>
        <w:tc>
          <w:tcPr>
            <w:tcW w:w="5700" w:type="dxa"/>
            <w:vAlign w:val="bottom"/>
            <w:tcBorders>
              <w:bottom w:val="single" w:sz="8" w:color="0000FF"/>
            </w:tcBorders>
            <w:gridSpan w:val="10"/>
          </w:tcPr>
          <w:p>
            <w:pPr>
              <w:spacing w:after="0"/>
              <w:rPr>
                <w:rFonts w:ascii="Arial" w:cs="Arial" w:eastAsia="Arial" w:hAnsi="Arial"/>
                <w:sz w:val="16"/>
                <w:szCs w:val="16"/>
                <w:color w:val="0000FF"/>
                <w:w w:val="90"/>
              </w:rPr>
            </w:pPr>
            <w:hyperlink r:id="rId14">
              <w:r>
                <w:rPr>
                  <w:rFonts w:ascii="Arial" w:cs="Arial" w:eastAsia="Arial" w:hAnsi="Arial"/>
                  <w:sz w:val="16"/>
                  <w:szCs w:val="16"/>
                  <w:color w:val="0000FF"/>
                  <w:w w:val="90"/>
                </w:rPr>
                <w:t>Purchase and Sale Agreement, dated as of May 5, 2014, by and between NRG Solar PV</w:t>
              </w:r>
            </w:hyperlink>
          </w:p>
        </w:tc>
        <w:tc>
          <w:tcPr>
            <w:tcW w:w="60" w:type="dxa"/>
            <w:vAlign w:val="bottom"/>
            <w:gridSpan w:val="2"/>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2440" w:type="dxa"/>
            <w:vAlign w:val="bottom"/>
            <w:tcBorders>
              <w:bottom w:val="single" w:sz="8" w:color="0000FF"/>
            </w:tcBorders>
            <w:gridSpan w:val="2"/>
          </w:tcPr>
          <w:p>
            <w:pPr>
              <w:spacing w:after="0" w:line="183" w:lineRule="exact"/>
              <w:rPr>
                <w:rFonts w:ascii="Arial" w:cs="Arial" w:eastAsia="Arial" w:hAnsi="Arial"/>
                <w:sz w:val="16"/>
                <w:szCs w:val="16"/>
                <w:color w:val="0000FF"/>
                <w:w w:val="95"/>
              </w:rPr>
            </w:pPr>
            <w:hyperlink r:id="rId14">
              <w:r>
                <w:rPr>
                  <w:rFonts w:ascii="Arial" w:cs="Arial" w:eastAsia="Arial" w:hAnsi="Arial"/>
                  <w:sz w:val="16"/>
                  <w:szCs w:val="16"/>
                  <w:color w:val="0000FF"/>
                  <w:w w:val="95"/>
                </w:rPr>
                <w:t>LLC and NRG Yield Operating LLC.</w:t>
              </w:r>
            </w:hyperlink>
          </w:p>
        </w:tc>
        <w:tc>
          <w:tcPr>
            <w:tcW w:w="3320" w:type="dxa"/>
            <w:vAlign w:val="bottom"/>
            <w:gridSpan w:val="10"/>
          </w:tcPr>
          <w:p>
            <w:pPr>
              <w:spacing w:after="0"/>
              <w:rPr>
                <w:sz w:val="15"/>
                <w:szCs w:val="15"/>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2.4</w:t>
            </w:r>
          </w:p>
        </w:tc>
        <w:tc>
          <w:tcPr>
            <w:tcW w:w="5760" w:type="dxa"/>
            <w:vAlign w:val="bottom"/>
            <w:tcBorders>
              <w:bottom w:val="single" w:sz="8" w:color="0000FF"/>
            </w:tcBorders>
            <w:gridSpan w:val="12"/>
          </w:tcPr>
          <w:p>
            <w:pPr>
              <w:spacing w:after="0"/>
              <w:rPr>
                <w:rFonts w:ascii="Arial" w:cs="Arial" w:eastAsia="Arial" w:hAnsi="Arial"/>
                <w:sz w:val="16"/>
                <w:szCs w:val="16"/>
                <w:color w:val="0000FF"/>
                <w:w w:val="90"/>
              </w:rPr>
            </w:pPr>
            <w:hyperlink r:id="rId15">
              <w:r>
                <w:rPr>
                  <w:rFonts w:ascii="Arial" w:cs="Arial" w:eastAsia="Arial" w:hAnsi="Arial"/>
                  <w:sz w:val="16"/>
                  <w:szCs w:val="16"/>
                  <w:color w:val="0000FF"/>
                  <w:w w:val="90"/>
                </w:rPr>
                <w:t>Purchase and Sale Agreement, dated June 3, 2014, by and among NRG Yield, Inc., NRG</w:t>
              </w:r>
            </w:hyperlink>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w w:val="94"/>
              </w:rPr>
            </w:pPr>
            <w:hyperlink r:id="rId15">
              <w:r>
                <w:rPr>
                  <w:rFonts w:ascii="Arial" w:cs="Arial" w:eastAsia="Arial" w:hAnsi="Arial"/>
                  <w:sz w:val="16"/>
                  <w:szCs w:val="16"/>
                  <w:color w:val="0000FF"/>
                  <w:w w:val="94"/>
                </w:rPr>
                <w:t>Yield Operating LLC, Terra-Gen Finance Company, LLC, NTD AWAM Holdings, LLC,</w:t>
              </w:r>
            </w:hyperlink>
          </w:p>
        </w:tc>
      </w:tr>
      <w:tr>
        <w:trPr>
          <w:trHeight w:val="183"/>
        </w:trPr>
        <w:tc>
          <w:tcPr>
            <w:tcW w:w="1020" w:type="dxa"/>
            <w:vAlign w:val="bottom"/>
          </w:tcPr>
          <w:p>
            <w:pPr>
              <w:spacing w:after="0"/>
              <w:rPr>
                <w:sz w:val="15"/>
                <w:szCs w:val="15"/>
                <w:color w:val="auto"/>
              </w:rPr>
            </w:pPr>
          </w:p>
        </w:tc>
        <w:tc>
          <w:tcPr>
            <w:tcW w:w="522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5"/>
              </w:rPr>
            </w:pPr>
            <w:hyperlink r:id="rId15">
              <w:r>
                <w:rPr>
                  <w:rFonts w:ascii="Arial" w:cs="Arial" w:eastAsia="Arial" w:hAnsi="Arial"/>
                  <w:sz w:val="16"/>
                  <w:szCs w:val="16"/>
                  <w:color w:val="0000FF"/>
                  <w:w w:val="95"/>
                </w:rPr>
                <w:t>CHIPS Alta Wind X Holding Company, LLC and CHIPS Alta Wind XI Holding</w:t>
              </w:r>
            </w:hyperlink>
          </w:p>
        </w:tc>
        <w:tc>
          <w:tcPr>
            <w:tcW w:w="520" w:type="dxa"/>
            <w:vAlign w:val="bottom"/>
            <w:tcBorders>
              <w:top w:val="single" w:sz="8" w:color="0000FF"/>
            </w:tcBorders>
            <w:gridSpan w:val="5"/>
          </w:tcPr>
          <w:p>
            <w:pPr>
              <w:spacing w:after="0"/>
              <w:rPr>
                <w:sz w:val="15"/>
                <w:szCs w:val="15"/>
                <w:color w:val="auto"/>
              </w:rPr>
            </w:pPr>
          </w:p>
        </w:tc>
        <w:tc>
          <w:tcPr>
            <w:tcW w:w="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5">
              <w:r>
                <w:rPr>
                  <w:rFonts w:ascii="Arial" w:cs="Arial" w:eastAsia="Arial" w:hAnsi="Arial"/>
                  <w:sz w:val="16"/>
                  <w:szCs w:val="16"/>
                  <w:color w:val="0000FF"/>
                </w:rPr>
                <w:t>Company, LLC.</w:t>
              </w:r>
            </w:hyperlink>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9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236"/>
        </w:trPr>
        <w:tc>
          <w:tcPr>
            <w:tcW w:w="1020" w:type="dxa"/>
            <w:vAlign w:val="bottom"/>
          </w:tcPr>
          <w:p>
            <w:pPr>
              <w:spacing w:after="0"/>
              <w:rPr>
                <w:sz w:val="20"/>
                <w:szCs w:val="20"/>
                <w:color w:val="auto"/>
              </w:rPr>
            </w:pPr>
            <w:r>
              <w:rPr>
                <w:rFonts w:ascii="Arial" w:cs="Arial" w:eastAsia="Arial" w:hAnsi="Arial"/>
                <w:sz w:val="16"/>
                <w:szCs w:val="16"/>
                <w:color w:val="auto"/>
              </w:rPr>
              <w:t>2.5</w:t>
            </w:r>
          </w:p>
        </w:tc>
        <w:tc>
          <w:tcPr>
            <w:tcW w:w="5460" w:type="dxa"/>
            <w:vAlign w:val="bottom"/>
            <w:tcBorders>
              <w:bottom w:val="single" w:sz="8" w:color="0000FF"/>
            </w:tcBorders>
            <w:gridSpan w:val="8"/>
          </w:tcPr>
          <w:p>
            <w:pPr>
              <w:spacing w:after="0"/>
              <w:rPr>
                <w:rFonts w:ascii="Arial" w:cs="Arial" w:eastAsia="Arial" w:hAnsi="Arial"/>
                <w:sz w:val="16"/>
                <w:szCs w:val="16"/>
                <w:color w:val="0000FF"/>
                <w:w w:val="90"/>
              </w:rPr>
            </w:pPr>
            <w:hyperlink r:id="rId16">
              <w:r>
                <w:rPr>
                  <w:rFonts w:ascii="Arial" w:cs="Arial" w:eastAsia="Arial" w:hAnsi="Arial"/>
                  <w:sz w:val="16"/>
                  <w:szCs w:val="16"/>
                  <w:color w:val="0000FF"/>
                  <w:w w:val="90"/>
                </w:rPr>
                <w:t>Purchase and Sale Agreement, dated as of November 4, 2014, by and between NRG</w:t>
              </w:r>
            </w:hyperlink>
          </w:p>
        </w:tc>
        <w:tc>
          <w:tcPr>
            <w:tcW w:w="300" w:type="dxa"/>
            <w:vAlign w:val="bottom"/>
            <w:gridSpan w:val="4"/>
          </w:tcPr>
          <w:p>
            <w:pPr>
              <w:spacing w:after="0"/>
              <w:rPr>
                <w:sz w:val="20"/>
                <w:szCs w:val="20"/>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2"/>
          </w:tcPr>
          <w:p>
            <w:pPr>
              <w:spacing w:after="0" w:line="183" w:lineRule="exact"/>
              <w:rPr>
                <w:rFonts w:ascii="Arial" w:cs="Arial" w:eastAsia="Arial" w:hAnsi="Arial"/>
                <w:sz w:val="16"/>
                <w:szCs w:val="16"/>
                <w:color w:val="0000FF"/>
              </w:rPr>
            </w:pPr>
            <w:hyperlink r:id="rId16">
              <w:r>
                <w:rPr>
                  <w:rFonts w:ascii="Arial" w:cs="Arial" w:eastAsia="Arial" w:hAnsi="Arial"/>
                  <w:sz w:val="16"/>
                  <w:szCs w:val="16"/>
                  <w:color w:val="0000FF"/>
                </w:rPr>
                <w:t>Wind LLC and NRG Yield Operating LLC.</w:t>
              </w:r>
            </w:hyperlink>
          </w:p>
        </w:tc>
      </w:tr>
      <w:tr>
        <w:trPr>
          <w:trHeight w:val="20"/>
        </w:trPr>
        <w:tc>
          <w:tcPr>
            <w:tcW w:w="1020" w:type="dxa"/>
            <w:vAlign w:val="bottom"/>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2.6</w:t>
            </w:r>
          </w:p>
        </w:tc>
        <w:tc>
          <w:tcPr>
            <w:tcW w:w="5460" w:type="dxa"/>
            <w:vAlign w:val="bottom"/>
            <w:tcBorders>
              <w:bottom w:val="single" w:sz="8" w:color="0000FF"/>
            </w:tcBorders>
            <w:gridSpan w:val="8"/>
          </w:tcPr>
          <w:p>
            <w:pPr>
              <w:spacing w:after="0"/>
              <w:rPr>
                <w:rFonts w:ascii="Arial" w:cs="Arial" w:eastAsia="Arial" w:hAnsi="Arial"/>
                <w:sz w:val="16"/>
                <w:szCs w:val="16"/>
                <w:color w:val="0000FF"/>
                <w:w w:val="90"/>
              </w:rPr>
            </w:pPr>
            <w:hyperlink r:id="rId17">
              <w:r>
                <w:rPr>
                  <w:rFonts w:ascii="Arial" w:cs="Arial" w:eastAsia="Arial" w:hAnsi="Arial"/>
                  <w:sz w:val="16"/>
                  <w:szCs w:val="16"/>
                  <w:color w:val="0000FF"/>
                  <w:w w:val="90"/>
                </w:rPr>
                <w:t>Purchase and Sale Agreement, dated as of November 4, 2014, by and between NRG</w:t>
              </w:r>
            </w:hyperlink>
          </w:p>
        </w:tc>
        <w:tc>
          <w:tcPr>
            <w:tcW w:w="300" w:type="dxa"/>
            <w:vAlign w:val="bottom"/>
            <w:gridSpan w:val="4"/>
          </w:tcPr>
          <w:p>
            <w:pPr>
              <w:spacing w:after="0"/>
              <w:rPr>
                <w:sz w:val="24"/>
                <w:szCs w:val="24"/>
                <w:color w:val="auto"/>
              </w:rPr>
            </w:pPr>
          </w:p>
        </w:tc>
      </w:tr>
      <w:tr>
        <w:trPr>
          <w:trHeight w:val="183"/>
        </w:trPr>
        <w:tc>
          <w:tcPr>
            <w:tcW w:w="1020" w:type="dxa"/>
            <w:vAlign w:val="bottom"/>
          </w:tcPr>
          <w:p>
            <w:pPr>
              <w:spacing w:after="0"/>
              <w:rPr>
                <w:sz w:val="15"/>
                <w:szCs w:val="15"/>
                <w:color w:val="auto"/>
              </w:rPr>
            </w:pPr>
          </w:p>
        </w:tc>
        <w:tc>
          <w:tcPr>
            <w:tcW w:w="3520" w:type="dxa"/>
            <w:vAlign w:val="bottom"/>
            <w:tcBorders>
              <w:bottom w:val="single" w:sz="8" w:color="0000FF"/>
            </w:tcBorders>
            <w:gridSpan w:val="4"/>
          </w:tcPr>
          <w:p>
            <w:pPr>
              <w:spacing w:after="0" w:line="183" w:lineRule="exact"/>
              <w:rPr>
                <w:rFonts w:ascii="Arial" w:cs="Arial" w:eastAsia="Arial" w:hAnsi="Arial"/>
                <w:sz w:val="16"/>
                <w:szCs w:val="16"/>
                <w:color w:val="0000FF"/>
                <w:w w:val="95"/>
              </w:rPr>
            </w:pPr>
            <w:hyperlink r:id="rId17">
              <w:r>
                <w:rPr>
                  <w:rFonts w:ascii="Arial" w:cs="Arial" w:eastAsia="Arial" w:hAnsi="Arial"/>
                  <w:sz w:val="16"/>
                  <w:szCs w:val="16"/>
                  <w:color w:val="0000FF"/>
                  <w:w w:val="95"/>
                </w:rPr>
                <w:t>Arroyo Nogales LLC and NRG Yield Operating LLC.</w:t>
              </w:r>
            </w:hyperlink>
          </w:p>
        </w:tc>
        <w:tc>
          <w:tcPr>
            <w:tcW w:w="2240" w:type="dxa"/>
            <w:vAlign w:val="bottom"/>
            <w:gridSpan w:val="8"/>
          </w:tcPr>
          <w:p>
            <w:pPr>
              <w:spacing w:after="0"/>
              <w:rPr>
                <w:sz w:val="15"/>
                <w:szCs w:val="15"/>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2.7*^</w:t>
            </w:r>
          </w:p>
        </w:tc>
        <w:tc>
          <w:tcPr>
            <w:tcW w:w="5760" w:type="dxa"/>
            <w:vAlign w:val="bottom"/>
            <w:gridSpan w:val="12"/>
          </w:tcPr>
          <w:p>
            <w:pPr>
              <w:spacing w:after="0"/>
              <w:rPr>
                <w:rFonts w:ascii="Arial" w:cs="Arial" w:eastAsia="Arial" w:hAnsi="Arial"/>
                <w:sz w:val="16"/>
                <w:szCs w:val="16"/>
                <w:color w:val="0000FF"/>
                <w:w w:val="92"/>
              </w:rPr>
            </w:pPr>
            <w:hyperlink r:id="rId18">
              <w:r>
                <w:rPr>
                  <w:rFonts w:ascii="Arial" w:cs="Arial" w:eastAsia="Arial" w:hAnsi="Arial"/>
                  <w:sz w:val="16"/>
                  <w:szCs w:val="16"/>
                  <w:color w:val="0000FF"/>
                  <w:w w:val="92"/>
                </w:rPr>
                <w:t>Purchase and Sale Agreement, dated as of June 17, 2015, by and between EFS Desert</w:t>
              </w:r>
            </w:hyperlink>
          </w:p>
        </w:tc>
      </w:tr>
      <w:tr>
        <w:trPr>
          <w:trHeight w:val="183"/>
        </w:trPr>
        <w:tc>
          <w:tcPr>
            <w:tcW w:w="1020" w:type="dxa"/>
            <w:vAlign w:val="bottom"/>
          </w:tcPr>
          <w:p>
            <w:pPr>
              <w:spacing w:after="0"/>
              <w:rPr>
                <w:sz w:val="15"/>
                <w:szCs w:val="15"/>
                <w:color w:val="auto"/>
              </w:rPr>
            </w:pPr>
          </w:p>
        </w:tc>
        <w:tc>
          <w:tcPr>
            <w:tcW w:w="5540" w:type="dxa"/>
            <w:vAlign w:val="bottom"/>
            <w:tcBorders>
              <w:top w:val="single" w:sz="8" w:color="0000FF"/>
            </w:tcBorders>
            <w:gridSpan w:val="9"/>
          </w:tcPr>
          <w:p>
            <w:pPr>
              <w:spacing w:after="0" w:line="183" w:lineRule="exact"/>
              <w:rPr>
                <w:rFonts w:ascii="Arial" w:cs="Arial" w:eastAsia="Arial" w:hAnsi="Arial"/>
                <w:sz w:val="16"/>
                <w:szCs w:val="16"/>
                <w:color w:val="0000FF"/>
              </w:rPr>
            </w:pPr>
            <w:hyperlink r:id="rId18">
              <w:r>
                <w:rPr>
                  <w:rFonts w:ascii="Arial" w:cs="Arial" w:eastAsia="Arial" w:hAnsi="Arial"/>
                  <w:sz w:val="16"/>
                  <w:szCs w:val="16"/>
                  <w:color w:val="0000FF"/>
                </w:rPr>
                <w:t>Sun, LLC and NRG Yield Operating LLC.</w:t>
              </w:r>
            </w:hyperlink>
          </w:p>
        </w:tc>
        <w:tc>
          <w:tcPr>
            <w:tcW w:w="220" w:type="dxa"/>
            <w:vAlign w:val="bottom"/>
            <w:gridSpan w:val="3"/>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2.8</w:t>
            </w:r>
          </w:p>
        </w:tc>
        <w:tc>
          <w:tcPr>
            <w:tcW w:w="5600" w:type="dxa"/>
            <w:vAlign w:val="bottom"/>
            <w:gridSpan w:val="4"/>
            <w:vMerge w:val="restart"/>
          </w:tcPr>
          <w:p>
            <w:pPr>
              <w:spacing w:after="0"/>
              <w:rPr>
                <w:rFonts w:ascii="Arial" w:cs="Arial" w:eastAsia="Arial" w:hAnsi="Arial"/>
                <w:sz w:val="16"/>
                <w:szCs w:val="16"/>
                <w:color w:val="0000FF"/>
                <w:w w:val="90"/>
              </w:rPr>
            </w:pPr>
            <w:hyperlink r:id="rId19">
              <w:r>
                <w:rPr>
                  <w:rFonts w:ascii="Arial" w:cs="Arial" w:eastAsia="Arial" w:hAnsi="Arial"/>
                  <w:sz w:val="16"/>
                  <w:szCs w:val="16"/>
                  <w:color w:val="0000FF"/>
                  <w:w w:val="90"/>
                </w:rPr>
                <w:t>Purchase and Sale Agreement, dated as of September 17, 2015, by and between NRG</w:t>
              </w:r>
            </w:hyperlink>
          </w:p>
        </w:tc>
        <w:tc>
          <w:tcPr>
            <w:tcW w:w="0" w:type="dxa"/>
            <w:vAlign w:val="bottom"/>
          </w:tcPr>
          <w:p>
            <w:pPr>
              <w:spacing w:after="0"/>
              <w:rPr>
                <w:sz w:val="1"/>
                <w:szCs w:val="1"/>
                <w:color w:val="auto"/>
              </w:rPr>
            </w:pPr>
          </w:p>
        </w:tc>
      </w:tr>
      <w:tr>
        <w:trPr>
          <w:trHeight w:val="47"/>
        </w:trPr>
        <w:tc>
          <w:tcPr>
            <w:tcW w:w="1020" w:type="dxa"/>
            <w:vAlign w:val="bottom"/>
          </w:tcPr>
          <w:p>
            <w:pPr>
              <w:spacing w:after="0"/>
              <w:rPr>
                <w:sz w:val="4"/>
                <w:szCs w:val="4"/>
                <w:color w:val="auto"/>
              </w:rPr>
            </w:pPr>
          </w:p>
        </w:tc>
        <w:tc>
          <w:tcPr>
            <w:tcW w:w="560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4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19">
              <w:r>
                <w:rPr>
                  <w:rFonts w:ascii="Arial" w:cs="Arial" w:eastAsia="Arial" w:hAnsi="Arial"/>
                  <w:sz w:val="16"/>
                  <w:szCs w:val="16"/>
                  <w:color w:val="0000FF"/>
                </w:rPr>
                <w:t>Energy Gas &amp; Wind Holdings, Inc. and NRG Yield Operating LLC.</w:t>
              </w:r>
            </w:hyperlink>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jc w:val="right"/>
              <w:ind w:right="739"/>
              <w:spacing w:after="0"/>
              <w:rPr>
                <w:sz w:val="20"/>
                <w:szCs w:val="20"/>
                <w:color w:val="auto"/>
              </w:rPr>
            </w:pPr>
            <w:r>
              <w:rPr>
                <w:rFonts w:ascii="Arial" w:cs="Arial" w:eastAsia="Arial" w:hAnsi="Arial"/>
                <w:sz w:val="16"/>
                <w:szCs w:val="16"/>
                <w:color w:val="auto"/>
                <w:w w:val="80"/>
              </w:rPr>
              <w:t>2.9</w:t>
            </w:r>
          </w:p>
        </w:tc>
        <w:tc>
          <w:tcPr>
            <w:tcW w:w="318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1020" w:type="dxa"/>
            <w:vAlign w:val="bottom"/>
            <w:vMerge w:val="continue"/>
          </w:tcPr>
          <w:p>
            <w:pPr>
              <w:spacing w:after="0"/>
              <w:rPr>
                <w:sz w:val="24"/>
                <w:szCs w:val="24"/>
                <w:color w:val="auto"/>
              </w:rPr>
            </w:pPr>
          </w:p>
        </w:tc>
        <w:tc>
          <w:tcPr>
            <w:tcW w:w="5600" w:type="dxa"/>
            <w:vAlign w:val="bottom"/>
            <w:gridSpan w:val="4"/>
            <w:vMerge w:val="restart"/>
          </w:tcPr>
          <w:p>
            <w:pPr>
              <w:spacing w:after="0"/>
              <w:rPr>
                <w:rFonts w:ascii="Arial" w:cs="Arial" w:eastAsia="Arial" w:hAnsi="Arial"/>
                <w:sz w:val="16"/>
                <w:szCs w:val="16"/>
                <w:color w:val="0000FF"/>
                <w:w w:val="90"/>
              </w:rPr>
            </w:pPr>
            <w:hyperlink r:id="rId20">
              <w:r>
                <w:rPr>
                  <w:rFonts w:ascii="Arial" w:cs="Arial" w:eastAsia="Arial" w:hAnsi="Arial"/>
                  <w:sz w:val="16"/>
                  <w:szCs w:val="16"/>
                  <w:color w:val="0000FF"/>
                  <w:w w:val="90"/>
                </w:rPr>
                <w:t>Purchase and Sale Agreement, dated as of August 8, 2016, between NRG Solar CVSR</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600" w:type="dxa"/>
            <w:vAlign w:val="bottom"/>
            <w:tcBorders>
              <w:bottom w:val="single" w:sz="8" w:color="0000FF"/>
            </w:tcBorders>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00" w:type="dxa"/>
            <w:vAlign w:val="bottom"/>
            <w:gridSpan w:val="4"/>
          </w:tcPr>
          <w:p>
            <w:pPr>
              <w:spacing w:after="0" w:line="183" w:lineRule="exact"/>
              <w:rPr>
                <w:rFonts w:ascii="Arial" w:cs="Arial" w:eastAsia="Arial" w:hAnsi="Arial"/>
                <w:sz w:val="16"/>
                <w:szCs w:val="16"/>
                <w:color w:val="0000FF"/>
              </w:rPr>
            </w:pPr>
            <w:hyperlink r:id="rId20">
              <w:r>
                <w:rPr>
                  <w:rFonts w:ascii="Arial" w:cs="Arial" w:eastAsia="Arial" w:hAnsi="Arial"/>
                  <w:sz w:val="16"/>
                  <w:szCs w:val="16"/>
                  <w:color w:val="0000FF"/>
                </w:rPr>
                <w:t>Holdings 2 LLC and NRG Yield Operating LLC.</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Method of Filing</w:t>
      </w:r>
    </w:p>
    <w:p>
      <w:pPr>
        <w:spacing w:after="0" w:line="77"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May 9, 2014.</w:t>
      </w:r>
    </w:p>
    <w:p>
      <w:pPr>
        <w:spacing w:after="0" w:line="22"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Incorporated herein by reference to Exhibit 2.2 to Clearway Energy, Inc.’s Current Report on Form 8-K filed on May 9, 2014.</w:t>
      </w:r>
    </w:p>
    <w:p>
      <w:pPr>
        <w:spacing w:after="0" w:line="22" w:lineRule="exact"/>
        <w:rPr>
          <w:sz w:val="20"/>
          <w:szCs w:val="20"/>
          <w:color w:val="auto"/>
        </w:rPr>
      </w:pPr>
    </w:p>
    <w:p>
      <w:pPr>
        <w:jc w:val="both"/>
        <w:ind w:right="340"/>
        <w:spacing w:after="0" w:line="278" w:lineRule="auto"/>
        <w:rPr>
          <w:sz w:val="20"/>
          <w:szCs w:val="20"/>
          <w:color w:val="auto"/>
        </w:rPr>
      </w:pPr>
      <w:r>
        <w:rPr>
          <w:rFonts w:ascii="Arial" w:cs="Arial" w:eastAsia="Arial" w:hAnsi="Arial"/>
          <w:sz w:val="16"/>
          <w:szCs w:val="16"/>
          <w:color w:val="auto"/>
        </w:rPr>
        <w:t>Incorporated herein by reference to Exhibit 2.3 to Clearway Energy, Inc.’s Current Report on Form 8-K filed on May 9, 2014.</w:t>
      </w:r>
    </w:p>
    <w:p>
      <w:pPr>
        <w:spacing w:after="0" w:line="22" w:lineRule="exact"/>
        <w:rPr>
          <w:sz w:val="20"/>
          <w:szCs w:val="20"/>
          <w:color w:val="auto"/>
        </w:rPr>
      </w:pPr>
    </w:p>
    <w:p>
      <w:pPr>
        <w:ind w:right="26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June 9, 2014.</w:t>
      </w:r>
    </w:p>
    <w:p>
      <w:pPr>
        <w:spacing w:after="0" w:line="225"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November 7, 2014.</w:t>
      </w:r>
    </w:p>
    <w:p>
      <w:pPr>
        <w:spacing w:after="0" w:line="2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2.2 to Clearway Energy, Inc.’s Current Report on Form 8-K filed on November 7, 2014.</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2.1 to Clearway Energy, Inc.’s Quarterly Report on Form 10-Q filed on August 4, 2015.</w:t>
      </w:r>
    </w:p>
    <w:p>
      <w:pPr>
        <w:spacing w:after="0" w:line="22"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September 21, 2015.</w:t>
      </w:r>
    </w:p>
    <w:p>
      <w:pPr>
        <w:spacing w:after="0" w:line="265" w:lineRule="exact"/>
        <w:rPr>
          <w:sz w:val="20"/>
          <w:szCs w:val="20"/>
          <w:color w:val="auto"/>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2.1 to Clearway Energy, Inc.'s Current Report on Form 8-K filed on August 9, 2016.</w:t>
      </w:r>
    </w:p>
    <w:p>
      <w:pPr>
        <w:spacing w:after="0" w:line="91" w:lineRule="exact"/>
        <w:rPr>
          <w:sz w:val="20"/>
          <w:szCs w:val="20"/>
          <w:color w:val="auto"/>
        </w:rPr>
      </w:pPr>
    </w:p>
    <w:p>
      <w:pPr>
        <w:sectPr>
          <w:pgSz w:w="11900" w:h="16838" w:orient="portrait"/>
          <w:cols w:equalWidth="0" w:num="2">
            <w:col w:w="6780" w:space="180"/>
            <w:col w:w="4220"/>
          </w:cols>
          <w:pgMar w:left="360" w:top="553" w:right="359" w:bottom="1440" w:gutter="0" w:footer="0" w:header="0"/>
        </w:sect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579"/>
              <w:spacing w:after="0"/>
              <w:rPr>
                <w:sz w:val="20"/>
                <w:szCs w:val="20"/>
                <w:color w:val="auto"/>
              </w:rPr>
            </w:pPr>
            <w:r>
              <w:rPr>
                <w:rFonts w:ascii="Arial" w:cs="Arial" w:eastAsia="Arial" w:hAnsi="Arial"/>
                <w:sz w:val="16"/>
                <w:szCs w:val="16"/>
                <w:color w:val="auto"/>
                <w:w w:val="90"/>
              </w:rPr>
              <w:t>2.10*</w:t>
            </w:r>
          </w:p>
        </w:tc>
        <w:tc>
          <w:tcPr>
            <w:tcW w:w="5640" w:type="dxa"/>
            <w:vAlign w:val="bottom"/>
            <w:tcBorders>
              <w:bottom w:val="single" w:sz="8" w:color="0000FF"/>
            </w:tcBorders>
            <w:gridSpan w:val="2"/>
          </w:tcPr>
          <w:p>
            <w:pPr>
              <w:spacing w:after="0"/>
              <w:rPr>
                <w:rFonts w:ascii="Arial" w:cs="Arial" w:eastAsia="Arial" w:hAnsi="Arial"/>
                <w:sz w:val="16"/>
                <w:szCs w:val="16"/>
                <w:color w:val="0000FF"/>
                <w:w w:val="89"/>
              </w:rPr>
            </w:pPr>
            <w:hyperlink r:id="rId21">
              <w:r>
                <w:rPr>
                  <w:rFonts w:ascii="Arial" w:cs="Arial" w:eastAsia="Arial" w:hAnsi="Arial"/>
                  <w:sz w:val="16"/>
                  <w:szCs w:val="16"/>
                  <w:color w:val="0000FF"/>
                  <w:w w:val="89"/>
                </w:rPr>
                <w:t>Purchase and Sale Agreement, dated as of February 6, 2018, by and between NRG Gas</w:t>
              </w:r>
            </w:hyperlink>
          </w:p>
        </w:tc>
      </w:tr>
      <w:tr>
        <w:trPr>
          <w:trHeight w:val="183"/>
        </w:trPr>
        <w:tc>
          <w:tcPr>
            <w:tcW w:w="1020" w:type="dxa"/>
            <w:vAlign w:val="bottom"/>
          </w:tcPr>
          <w:p>
            <w:pPr>
              <w:spacing w:after="0"/>
              <w:rPr>
                <w:sz w:val="15"/>
                <w:szCs w:val="15"/>
                <w:color w:val="auto"/>
              </w:rPr>
            </w:pPr>
          </w:p>
        </w:tc>
        <w:tc>
          <w:tcPr>
            <w:tcW w:w="5640" w:type="dxa"/>
            <w:vAlign w:val="bottom"/>
            <w:gridSpan w:val="2"/>
          </w:tcPr>
          <w:p>
            <w:pPr>
              <w:spacing w:after="0" w:line="183" w:lineRule="exact"/>
              <w:rPr>
                <w:rFonts w:ascii="Arial" w:cs="Arial" w:eastAsia="Arial" w:hAnsi="Arial"/>
                <w:sz w:val="16"/>
                <w:szCs w:val="16"/>
                <w:color w:val="0000FF"/>
              </w:rPr>
            </w:pPr>
            <w:hyperlink r:id="rId21">
              <w:r>
                <w:rPr>
                  <w:rFonts w:ascii="Arial" w:cs="Arial" w:eastAsia="Arial" w:hAnsi="Arial"/>
                  <w:sz w:val="16"/>
                  <w:szCs w:val="16"/>
                  <w:color w:val="0000FF"/>
                </w:rPr>
                <w:t>Development Company, LLC and NRG Yield Operating LLC.</w:t>
              </w:r>
            </w:hyperlink>
          </w:p>
        </w:tc>
      </w:tr>
      <w:tr>
        <w:trPr>
          <w:trHeight w:val="20"/>
        </w:trPr>
        <w:tc>
          <w:tcPr>
            <w:tcW w:w="1020" w:type="dxa"/>
            <w:vAlign w:val="bottom"/>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jc w:val="both"/>
        <w:ind w:right="220"/>
        <w:spacing w:after="0" w:line="278" w:lineRule="auto"/>
        <w:rPr>
          <w:sz w:val="20"/>
          <w:szCs w:val="20"/>
          <w:color w:val="auto"/>
        </w:rPr>
      </w:pPr>
      <w:r>
        <w:rPr>
          <w:rFonts w:ascii="Arial" w:cs="Arial" w:eastAsia="Arial" w:hAnsi="Arial"/>
          <w:sz w:val="16"/>
          <w:szCs w:val="16"/>
          <w:color w:val="auto"/>
        </w:rPr>
        <w:t>Incorporated herein by reference to Exhibit 2.10 to Clearway Energy, Inc.'s Annual Report on Form 10-K filed on March 1, 2018.</w:t>
      </w:r>
    </w:p>
    <w:p>
      <w:pPr>
        <w:spacing w:after="0" w:line="103" w:lineRule="exact"/>
        <w:rPr>
          <w:sz w:val="20"/>
          <w:szCs w:val="20"/>
          <w:color w:val="auto"/>
        </w:rPr>
      </w:pPr>
    </w:p>
    <w:p>
      <w:pPr>
        <w:sectPr>
          <w:pgSz w:w="11900" w:h="16838" w:orient="portrait"/>
          <w:cols w:equalWidth="0" w:num="2">
            <w:col w:w="6660" w:space="300"/>
            <w:col w:w="4220"/>
          </w:cols>
          <w:pgMar w:left="360" w:top="553" w:right="359" w:bottom="1440" w:gutter="0" w:footer="0" w:header="0"/>
          <w:type w:val="continuous"/>
        </w:sectPr>
      </w:pPr>
    </w:p>
    <w:p>
      <w:pPr>
        <w:spacing w:after="0"/>
        <w:rPr>
          <w:sz w:val="20"/>
          <w:szCs w:val="20"/>
          <w:color w:val="auto"/>
        </w:rPr>
      </w:pPr>
      <w:r>
        <w:rPr>
          <w:rFonts w:ascii="Arial" w:cs="Arial" w:eastAsia="Arial" w:hAnsi="Arial"/>
          <w:sz w:val="15"/>
          <w:szCs w:val="15"/>
          <w:color w:val="auto"/>
        </w:rPr>
        <w:t>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6"/>
          <w:szCs w:val="16"/>
          <w:color w:val="auto"/>
        </w:rPr>
        <w:t>3.1</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br w:type="column"/>
      </w:r>
    </w:p>
    <w:p>
      <w:pPr>
        <w:spacing w:after="0" w:line="293" w:lineRule="auto"/>
        <w:rPr>
          <w:rFonts w:ascii="Arial" w:cs="Arial" w:eastAsia="Arial" w:hAnsi="Arial"/>
          <w:sz w:val="16"/>
          <w:szCs w:val="16"/>
          <w:u w:val="single" w:color="auto"/>
          <w:color w:val="0000FF"/>
        </w:rPr>
      </w:pPr>
      <w:hyperlink r:id="rId22">
        <w:r>
          <w:rPr>
            <w:rFonts w:ascii="Arial" w:cs="Arial" w:eastAsia="Arial" w:hAnsi="Arial"/>
            <w:sz w:val="16"/>
            <w:szCs w:val="16"/>
            <w:u w:val="single" w:color="auto"/>
            <w:color w:val="0000FF"/>
          </w:rPr>
          <w:t>Purchase and Sale Agreement, dated as of December 6, 2019, by and between Clearway</w:t>
        </w:r>
      </w:hyperlink>
      <w:r>
        <w:rPr>
          <w:rFonts w:ascii="Arial" w:cs="Arial" w:eastAsia="Arial" w:hAnsi="Arial"/>
          <w:sz w:val="16"/>
          <w:szCs w:val="16"/>
          <w:u w:val="single" w:color="auto"/>
          <w:color w:val="0000FF"/>
        </w:rPr>
        <w:t xml:space="preserve"> </w:t>
      </w:r>
      <w:hyperlink r:id="rId22">
        <w:r>
          <w:rPr>
            <w:rFonts w:ascii="Arial" w:cs="Arial" w:eastAsia="Arial" w:hAnsi="Arial"/>
            <w:sz w:val="16"/>
            <w:szCs w:val="16"/>
            <w:u w:val="single" w:color="auto"/>
            <w:color w:val="0000FF"/>
          </w:rPr>
          <w:t>Energy Operating LLC and GIP III Zephyr Carlsbad Holdings, LLC.</w:t>
        </w:r>
      </w:hyperlink>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rFonts w:ascii="Arial" w:cs="Arial" w:eastAsia="Arial" w:hAnsi="Arial"/>
          <w:sz w:val="16"/>
          <w:szCs w:val="16"/>
          <w:u w:val="single" w:color="auto"/>
          <w:color w:val="0000FF"/>
        </w:rPr>
      </w:pPr>
      <w:hyperlink r:id="rId23">
        <w:r>
          <w:rPr>
            <w:rFonts w:ascii="Arial" w:cs="Arial" w:eastAsia="Arial" w:hAnsi="Arial"/>
            <w:sz w:val="16"/>
            <w:szCs w:val="16"/>
            <w:u w:val="single" w:color="auto"/>
            <w:color w:val="0000FF"/>
          </w:rPr>
          <w:t>Certificate of Formation of NRG Yield Operating LLC.</w:t>
        </w:r>
      </w:hyperlink>
    </w:p>
    <w:p>
      <w:pPr>
        <w:spacing w:after="0" w:line="200" w:lineRule="exact"/>
        <w:rPr>
          <w:sz w:val="20"/>
          <w:szCs w:val="20"/>
          <w:color w:val="auto"/>
        </w:rPr>
      </w:pPr>
    </w:p>
    <w:p>
      <w:pPr>
        <w:spacing w:after="0" w:line="359" w:lineRule="exact"/>
        <w:rPr>
          <w:sz w:val="20"/>
          <w:szCs w:val="20"/>
          <w:color w:val="auto"/>
        </w:rPr>
      </w:pPr>
    </w:p>
    <w:p>
      <w:pPr>
        <w:spacing w:after="0"/>
        <w:rPr>
          <w:rFonts w:ascii="Arial" w:cs="Arial" w:eastAsia="Arial" w:hAnsi="Arial"/>
          <w:sz w:val="15"/>
          <w:szCs w:val="15"/>
          <w:u w:val="single" w:color="auto"/>
          <w:color w:val="0000FF"/>
        </w:rPr>
      </w:pPr>
      <w:hyperlink r:id="rId24">
        <w:r>
          <w:rPr>
            <w:rFonts w:ascii="Arial" w:cs="Arial" w:eastAsia="Arial" w:hAnsi="Arial"/>
            <w:sz w:val="15"/>
            <w:szCs w:val="15"/>
            <w:u w:val="single" w:color="auto"/>
            <w:color w:val="0000FF"/>
          </w:rPr>
          <w:t>Certificate of Amendment of Certificate of Formation of NRG Yield Operating LLC.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2.1 to the Registrant's Current Report on Form 8-K, filed on December 9, 2019.</w:t>
      </w:r>
    </w:p>
    <w:p>
      <w:pPr>
        <w:spacing w:after="0" w:line="200" w:lineRule="exact"/>
        <w:rPr>
          <w:sz w:val="20"/>
          <w:szCs w:val="20"/>
          <w:color w:val="auto"/>
        </w:rPr>
      </w:pPr>
    </w:p>
    <w:p>
      <w:pPr>
        <w:spacing w:after="0" w:line="268"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3.01(a) to the Company's Registration Statement on Form S-4 filed on April 13, 2015.</w:t>
      </w:r>
    </w:p>
    <w:p>
      <w:pPr>
        <w:spacing w:after="0" w:line="103" w:lineRule="exact"/>
        <w:rPr>
          <w:sz w:val="20"/>
          <w:szCs w:val="20"/>
          <w:color w:val="auto"/>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3.01(b) to the Company's Registration Statement on Form S-4 filed on April 13, 2015.</w:t>
      </w:r>
    </w:p>
    <w:p>
      <w:pPr>
        <w:spacing w:after="0" w:line="91" w:lineRule="exact"/>
        <w:rPr>
          <w:sz w:val="20"/>
          <w:szCs w:val="20"/>
          <w:color w:val="auto"/>
        </w:rPr>
      </w:pPr>
    </w:p>
    <w:p>
      <w:pPr>
        <w:sectPr>
          <w:pgSz w:w="11900" w:h="16838" w:orient="portrait"/>
          <w:cols w:equalWidth="0" w:num="3">
            <w:col w:w="360" w:space="660"/>
            <w:col w:w="5720" w:space="220"/>
            <w:col w:w="4220"/>
          </w:cols>
          <w:pgMar w:left="360" w:top="553" w:right="359" w:bottom="1440" w:gutter="0" w:footer="0" w:header="0"/>
          <w:type w:val="continuous"/>
        </w:sect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3.3</w:t>
            </w:r>
          </w:p>
        </w:tc>
        <w:tc>
          <w:tcPr>
            <w:tcW w:w="5640" w:type="dxa"/>
            <w:vAlign w:val="bottom"/>
            <w:gridSpan w:val="4"/>
          </w:tcPr>
          <w:p>
            <w:pPr>
              <w:spacing w:after="0"/>
              <w:rPr>
                <w:rFonts w:ascii="Arial" w:cs="Arial" w:eastAsia="Arial" w:hAnsi="Arial"/>
                <w:sz w:val="16"/>
                <w:szCs w:val="16"/>
                <w:color w:val="0000FF"/>
                <w:w w:val="99"/>
              </w:rPr>
            </w:pPr>
            <w:hyperlink r:id="rId25">
              <w:r>
                <w:rPr>
                  <w:rFonts w:ascii="Arial" w:cs="Arial" w:eastAsia="Arial" w:hAnsi="Arial"/>
                  <w:sz w:val="16"/>
                  <w:szCs w:val="16"/>
                  <w:color w:val="0000FF"/>
                  <w:w w:val="99"/>
                </w:rPr>
                <w:t>Third Amended and Restated Limited Liability Company Agreement of Clearway</w:t>
              </w:r>
            </w:hyperlink>
          </w:p>
        </w:tc>
        <w:tc>
          <w:tcPr>
            <w:tcW w:w="4400" w:type="dxa"/>
            <w:vAlign w:val="bottom"/>
            <w:vMerge w:val="restart"/>
          </w:tcPr>
          <w:p>
            <w:pPr>
              <w:ind w:left="300"/>
              <w:spacing w:after="0"/>
              <w:rPr>
                <w:sz w:val="20"/>
                <w:szCs w:val="20"/>
                <w:color w:val="auto"/>
              </w:rPr>
            </w:pPr>
            <w:r>
              <w:rPr>
                <w:rFonts w:ascii="Arial" w:cs="Arial" w:eastAsia="Arial" w:hAnsi="Arial"/>
                <w:sz w:val="16"/>
                <w:szCs w:val="16"/>
                <w:color w:val="auto"/>
              </w:rPr>
              <w:t>Incorporated herein by reference to Exhibit 3.3. to the</w:t>
            </w:r>
          </w:p>
        </w:tc>
        <w:tc>
          <w:tcPr>
            <w:tcW w:w="0" w:type="dxa"/>
            <w:vAlign w:val="bottom"/>
          </w:tcPr>
          <w:p>
            <w:pPr>
              <w:spacing w:after="0"/>
              <w:rPr>
                <w:sz w:val="1"/>
                <w:szCs w:val="1"/>
                <w:color w:val="auto"/>
              </w:rPr>
            </w:pPr>
          </w:p>
        </w:tc>
      </w:tr>
      <w:tr>
        <w:trPr>
          <w:trHeight w:val="92"/>
        </w:trPr>
        <w:tc>
          <w:tcPr>
            <w:tcW w:w="1020" w:type="dxa"/>
            <w:vAlign w:val="bottom"/>
          </w:tcPr>
          <w:p>
            <w:pPr>
              <w:spacing w:after="0"/>
              <w:rPr>
                <w:sz w:val="7"/>
                <w:szCs w:val="7"/>
                <w:color w:val="auto"/>
              </w:rPr>
            </w:pPr>
          </w:p>
        </w:tc>
        <w:tc>
          <w:tcPr>
            <w:tcW w:w="5320" w:type="dxa"/>
            <w:vAlign w:val="bottom"/>
            <w:tcBorders>
              <w:top w:val="single" w:sz="8" w:color="0000FF"/>
            </w:tcBorders>
            <w:gridSpan w:val="3"/>
            <w:vMerge w:val="restart"/>
          </w:tcPr>
          <w:p>
            <w:pPr>
              <w:spacing w:after="0" w:line="183" w:lineRule="exact"/>
              <w:rPr>
                <w:rFonts w:ascii="Arial" w:cs="Arial" w:eastAsia="Arial" w:hAnsi="Arial"/>
                <w:sz w:val="16"/>
                <w:szCs w:val="16"/>
                <w:color w:val="0000FF"/>
              </w:rPr>
            </w:pPr>
            <w:hyperlink r:id="rId25">
              <w:r>
                <w:rPr>
                  <w:rFonts w:ascii="Arial" w:cs="Arial" w:eastAsia="Arial" w:hAnsi="Arial"/>
                  <w:sz w:val="16"/>
                  <w:szCs w:val="16"/>
                  <w:color w:val="0000FF"/>
                </w:rPr>
                <w:t>Energy Operating LLC.</w:t>
              </w:r>
            </w:hyperlink>
          </w:p>
        </w:tc>
        <w:tc>
          <w:tcPr>
            <w:tcW w:w="320" w:type="dxa"/>
            <w:vAlign w:val="bottom"/>
            <w:vMerge w:val="restart"/>
          </w:tcPr>
          <w:p>
            <w:pPr>
              <w:spacing w:after="0"/>
              <w:rPr>
                <w:sz w:val="7"/>
                <w:szCs w:val="7"/>
                <w:color w:val="auto"/>
              </w:rPr>
            </w:pP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1020" w:type="dxa"/>
            <w:vAlign w:val="bottom"/>
          </w:tcPr>
          <w:p>
            <w:pPr>
              <w:spacing w:after="0"/>
              <w:rPr>
                <w:sz w:val="7"/>
                <w:szCs w:val="7"/>
                <w:color w:val="auto"/>
              </w:rPr>
            </w:pPr>
          </w:p>
        </w:tc>
        <w:tc>
          <w:tcPr>
            <w:tcW w:w="5320" w:type="dxa"/>
            <w:vAlign w:val="bottom"/>
            <w:gridSpan w:val="3"/>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4400" w:type="dxa"/>
            <w:vAlign w:val="bottom"/>
            <w:vMerge w:val="restart"/>
          </w:tcPr>
          <w:p>
            <w:pPr>
              <w:ind w:left="300"/>
              <w:spacing w:after="0"/>
              <w:rPr>
                <w:sz w:val="20"/>
                <w:szCs w:val="20"/>
                <w:color w:val="auto"/>
              </w:rPr>
            </w:pPr>
            <w:r>
              <w:rPr>
                <w:rFonts w:ascii="Arial" w:cs="Arial" w:eastAsia="Arial" w:hAnsi="Arial"/>
                <w:sz w:val="16"/>
                <w:szCs w:val="16"/>
                <w:color w:val="auto"/>
                <w:w w:val="92"/>
              </w:rPr>
              <w:t>Company's Annual Report on Form 10-K filed on February 28,</w:t>
            </w:r>
          </w:p>
        </w:tc>
        <w:tc>
          <w:tcPr>
            <w:tcW w:w="0" w:type="dxa"/>
            <w:vAlign w:val="bottom"/>
          </w:tcPr>
          <w:p>
            <w:pPr>
              <w:spacing w:after="0"/>
              <w:rPr>
                <w:sz w:val="1"/>
                <w:szCs w:val="1"/>
                <w:color w:val="auto"/>
              </w:rPr>
            </w:pPr>
          </w:p>
        </w:tc>
      </w:tr>
      <w:tr>
        <w:trPr>
          <w:trHeight w:val="92"/>
        </w:trPr>
        <w:tc>
          <w:tcPr>
            <w:tcW w:w="1020" w:type="dxa"/>
            <w:vAlign w:val="bottom"/>
          </w:tcPr>
          <w:p>
            <w:pPr>
              <w:spacing w:after="0"/>
              <w:rPr>
                <w:sz w:val="7"/>
                <w:szCs w:val="7"/>
                <w:color w:val="auto"/>
              </w:rPr>
            </w:pPr>
          </w:p>
        </w:tc>
        <w:tc>
          <w:tcPr>
            <w:tcW w:w="1540" w:type="dxa"/>
            <w:vAlign w:val="bottom"/>
            <w:tcBorders>
              <w:top w:val="single" w:sz="8" w:color="0000FF"/>
            </w:tcBorders>
          </w:tcPr>
          <w:p>
            <w:pPr>
              <w:spacing w:after="0"/>
              <w:rPr>
                <w:sz w:val="7"/>
                <w:szCs w:val="7"/>
                <w:color w:val="auto"/>
              </w:rPr>
            </w:pPr>
          </w:p>
        </w:tc>
        <w:tc>
          <w:tcPr>
            <w:tcW w:w="1380" w:type="dxa"/>
            <w:vAlign w:val="bottom"/>
          </w:tcPr>
          <w:p>
            <w:pPr>
              <w:spacing w:after="0"/>
              <w:rPr>
                <w:sz w:val="7"/>
                <w:szCs w:val="7"/>
                <w:color w:val="auto"/>
              </w:rPr>
            </w:pPr>
          </w:p>
        </w:tc>
        <w:tc>
          <w:tcPr>
            <w:tcW w:w="2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2019.</w:t>
            </w:r>
          </w:p>
        </w:tc>
        <w:tc>
          <w:tcPr>
            <w:tcW w:w="0" w:type="dxa"/>
            <w:vAlign w:val="bottom"/>
          </w:tcPr>
          <w:p>
            <w:pPr>
              <w:spacing w:after="0"/>
              <w:rPr>
                <w:sz w:val="1"/>
                <w:szCs w:val="1"/>
                <w:color w:val="auto"/>
              </w:rPr>
            </w:pPr>
          </w:p>
        </w:tc>
      </w:tr>
      <w:tr>
        <w:trPr>
          <w:trHeight w:val="303"/>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3.4</w:t>
            </w:r>
          </w:p>
        </w:tc>
        <w:tc>
          <w:tcPr>
            <w:tcW w:w="5640" w:type="dxa"/>
            <w:vAlign w:val="bottom"/>
            <w:gridSpan w:val="4"/>
          </w:tcPr>
          <w:p>
            <w:pPr>
              <w:spacing w:after="0"/>
              <w:rPr>
                <w:rFonts w:ascii="Arial" w:cs="Arial" w:eastAsia="Arial" w:hAnsi="Arial"/>
                <w:sz w:val="16"/>
                <w:szCs w:val="16"/>
                <w:color w:val="0000FF"/>
              </w:rPr>
            </w:pPr>
            <w:hyperlink r:id="rId26">
              <w:r>
                <w:rPr>
                  <w:rFonts w:ascii="Arial" w:cs="Arial" w:eastAsia="Arial" w:hAnsi="Arial"/>
                  <w:sz w:val="16"/>
                  <w:szCs w:val="16"/>
                  <w:color w:val="0000FF"/>
                </w:rPr>
                <w:t>Certificate of Formation of NRG Yield LLC.</w:t>
              </w:r>
            </w:hyperlink>
          </w:p>
        </w:tc>
        <w:tc>
          <w:tcPr>
            <w:tcW w:w="4400" w:type="dxa"/>
            <w:vAlign w:val="bottom"/>
            <w:vMerge w:val="restart"/>
          </w:tcPr>
          <w:p>
            <w:pPr>
              <w:ind w:left="300"/>
              <w:spacing w:after="0"/>
              <w:rPr>
                <w:sz w:val="20"/>
                <w:szCs w:val="20"/>
                <w:color w:val="auto"/>
              </w:rPr>
            </w:pPr>
            <w:r>
              <w:rPr>
                <w:rFonts w:ascii="Arial" w:cs="Arial" w:eastAsia="Arial" w:hAnsi="Arial"/>
                <w:sz w:val="16"/>
                <w:szCs w:val="16"/>
                <w:color w:val="auto"/>
              </w:rPr>
              <w:t>Incorporated herein by reference to Exhibit 3.03(a) to the</w:t>
            </w:r>
          </w:p>
        </w:tc>
        <w:tc>
          <w:tcPr>
            <w:tcW w:w="0" w:type="dxa"/>
            <w:vAlign w:val="bottom"/>
          </w:tcPr>
          <w:p>
            <w:pPr>
              <w:spacing w:after="0"/>
              <w:rPr>
                <w:sz w:val="1"/>
                <w:szCs w:val="1"/>
                <w:color w:val="auto"/>
              </w:rPr>
            </w:pPr>
          </w:p>
        </w:tc>
      </w:tr>
      <w:tr>
        <w:trPr>
          <w:trHeight w:val="92"/>
        </w:trPr>
        <w:tc>
          <w:tcPr>
            <w:tcW w:w="1020" w:type="dxa"/>
            <w:vAlign w:val="bottom"/>
          </w:tcPr>
          <w:p>
            <w:pPr>
              <w:spacing w:after="0"/>
              <w:rPr>
                <w:sz w:val="7"/>
                <w:szCs w:val="7"/>
                <w:color w:val="auto"/>
              </w:rPr>
            </w:pPr>
          </w:p>
        </w:tc>
        <w:tc>
          <w:tcPr>
            <w:tcW w:w="1540" w:type="dxa"/>
            <w:vAlign w:val="bottom"/>
            <w:tcBorders>
              <w:top w:val="single" w:sz="8" w:color="0000FF"/>
            </w:tcBorders>
          </w:tcPr>
          <w:p>
            <w:pPr>
              <w:spacing w:after="0"/>
              <w:rPr>
                <w:sz w:val="7"/>
                <w:szCs w:val="7"/>
                <w:color w:val="auto"/>
              </w:rPr>
            </w:pPr>
          </w:p>
        </w:tc>
        <w:tc>
          <w:tcPr>
            <w:tcW w:w="1380" w:type="dxa"/>
            <w:vAlign w:val="bottom"/>
            <w:tcBorders>
              <w:top w:val="single" w:sz="8" w:color="0000FF"/>
            </w:tcBorders>
          </w:tcPr>
          <w:p>
            <w:pPr>
              <w:spacing w:after="0"/>
              <w:rPr>
                <w:sz w:val="7"/>
                <w:szCs w:val="7"/>
                <w:color w:val="auto"/>
              </w:rPr>
            </w:pPr>
          </w:p>
        </w:tc>
        <w:tc>
          <w:tcPr>
            <w:tcW w:w="2400" w:type="dxa"/>
            <w:vAlign w:val="bottom"/>
          </w:tcPr>
          <w:p>
            <w:pPr>
              <w:spacing w:after="0"/>
              <w:rPr>
                <w:sz w:val="7"/>
                <w:szCs w:val="7"/>
                <w:color w:val="auto"/>
              </w:rPr>
            </w:pPr>
          </w:p>
        </w:tc>
        <w:tc>
          <w:tcPr>
            <w:tcW w:w="320" w:type="dxa"/>
            <w:vAlign w:val="bottom"/>
          </w:tcPr>
          <w:p>
            <w:pPr>
              <w:spacing w:after="0"/>
              <w:rPr>
                <w:sz w:val="7"/>
                <w:szCs w:val="7"/>
                <w:color w:val="auto"/>
              </w:rPr>
            </w:pPr>
          </w:p>
        </w:tc>
        <w:tc>
          <w:tcPr>
            <w:tcW w:w="44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03"/>
        </w:trPr>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w w:val="94"/>
              </w:rPr>
              <w:t>Company's Registration Statement on Form S-4 filed on April</w:t>
            </w:r>
          </w:p>
        </w:tc>
        <w:tc>
          <w:tcPr>
            <w:tcW w:w="0" w:type="dxa"/>
            <w:vAlign w:val="bottom"/>
          </w:tcPr>
          <w:p>
            <w:pPr>
              <w:spacing w:after="0"/>
              <w:rPr>
                <w:sz w:val="1"/>
                <w:szCs w:val="1"/>
                <w:color w:val="auto"/>
              </w:rPr>
            </w:pPr>
          </w:p>
        </w:tc>
      </w:tr>
      <w:tr>
        <w:trPr>
          <w:trHeight w:val="206"/>
        </w:trPr>
        <w:tc>
          <w:tcPr>
            <w:tcW w:w="10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400" w:type="dxa"/>
            <w:vAlign w:val="bottom"/>
          </w:tcPr>
          <w:p>
            <w:pPr>
              <w:ind w:left="300"/>
              <w:spacing w:after="0"/>
              <w:rPr>
                <w:sz w:val="20"/>
                <w:szCs w:val="20"/>
                <w:color w:val="auto"/>
              </w:rPr>
            </w:pPr>
            <w:r>
              <w:rPr>
                <w:rFonts w:ascii="Arial" w:cs="Arial" w:eastAsia="Arial" w:hAnsi="Arial"/>
                <w:sz w:val="16"/>
                <w:szCs w:val="16"/>
                <w:color w:val="auto"/>
              </w:rPr>
              <w:t>13, 2015.</w:t>
            </w:r>
          </w:p>
        </w:tc>
        <w:tc>
          <w:tcPr>
            <w:tcW w:w="0" w:type="dxa"/>
            <w:vAlign w:val="bottom"/>
          </w:tcPr>
          <w:p>
            <w:pPr>
              <w:spacing w:after="0"/>
              <w:rPr>
                <w:sz w:val="1"/>
                <w:szCs w:val="1"/>
                <w:color w:val="auto"/>
              </w:rPr>
            </w:pPr>
          </w:p>
        </w:tc>
      </w:tr>
      <w:tr>
        <w:trPr>
          <w:trHeight w:val="226"/>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3.5</w:t>
            </w:r>
          </w:p>
        </w:tc>
        <w:tc>
          <w:tcPr>
            <w:tcW w:w="5640" w:type="dxa"/>
            <w:vAlign w:val="bottom"/>
            <w:gridSpan w:val="4"/>
          </w:tcPr>
          <w:p>
            <w:pPr>
              <w:spacing w:after="0"/>
              <w:rPr>
                <w:sz w:val="20"/>
                <w:szCs w:val="20"/>
                <w:color w:val="auto"/>
              </w:rPr>
            </w:pPr>
            <w:r>
              <w:rPr>
                <w:rFonts w:ascii="Arial" w:cs="Arial" w:eastAsia="Arial" w:hAnsi="Arial"/>
                <w:sz w:val="16"/>
                <w:szCs w:val="16"/>
                <w:u w:val="single" w:color="auto"/>
                <w:color w:val="0000FF"/>
              </w:rPr>
              <w:t>Certificate of Amendment of Certificate of Formation of NRG Yield LLC.</w:t>
            </w:r>
          </w:p>
        </w:tc>
        <w:tc>
          <w:tcPr>
            <w:tcW w:w="4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6960"/>
        <w:spacing w:after="0"/>
        <w:rPr>
          <w:sz w:val="20"/>
          <w:szCs w:val="20"/>
          <w:color w:val="auto"/>
        </w:rPr>
      </w:pPr>
      <w:r>
        <w:rPr>
          <w:rFonts w:ascii="Arial" w:cs="Arial" w:eastAsia="Arial" w:hAnsi="Arial"/>
          <w:sz w:val="16"/>
          <w:szCs w:val="16"/>
          <w:color w:val="auto"/>
        </w:rPr>
        <w:t>Incorporated herein by reference to Exhibit 3.03(b) to the</w:t>
      </w:r>
    </w:p>
    <w:p>
      <w:pPr>
        <w:spacing w:after="0" w:line="8" w:lineRule="exact"/>
        <w:rPr>
          <w:sz w:val="20"/>
          <w:szCs w:val="20"/>
          <w:color w:val="auto"/>
        </w:rPr>
      </w:pPr>
    </w:p>
    <w:p>
      <w:pPr>
        <w:ind w:left="6960"/>
        <w:spacing w:after="0"/>
        <w:rPr>
          <w:sz w:val="20"/>
          <w:szCs w:val="20"/>
          <w:color w:val="auto"/>
        </w:rPr>
      </w:pPr>
      <w:r>
        <w:rPr>
          <w:rFonts w:ascii="Arial" w:cs="Arial" w:eastAsia="Arial" w:hAnsi="Arial"/>
          <w:sz w:val="15"/>
          <w:szCs w:val="15"/>
          <w:color w:val="auto"/>
        </w:rPr>
        <w:t>Company's Registration Statement on Form S-4 filed on April</w:t>
      </w:r>
    </w:p>
    <w:p>
      <w:pPr>
        <w:spacing w:after="0" w:line="30" w:lineRule="exact"/>
        <w:rPr>
          <w:sz w:val="20"/>
          <w:szCs w:val="20"/>
          <w:color w:val="auto"/>
        </w:rPr>
      </w:pPr>
    </w:p>
    <w:p>
      <w:pPr>
        <w:ind w:left="6960"/>
        <w:spacing w:after="0"/>
        <w:rPr>
          <w:sz w:val="20"/>
          <w:szCs w:val="20"/>
          <w:color w:val="auto"/>
        </w:rPr>
      </w:pPr>
      <w:r>
        <w:rPr>
          <w:rFonts w:ascii="Arial" w:cs="Arial" w:eastAsia="Arial" w:hAnsi="Arial"/>
          <w:sz w:val="16"/>
          <w:szCs w:val="16"/>
          <w:color w:val="auto"/>
        </w:rPr>
        <w:t>13, 2015.</w:t>
      </w:r>
    </w:p>
    <w:p>
      <w:pPr>
        <w:sectPr>
          <w:pgSz w:w="11900" w:h="16838" w:orient="portrait"/>
          <w:cols w:equalWidth="0" w:num="1">
            <w:col w:w="11180"/>
          </w:cols>
          <w:pgMar w:left="360" w:top="553" w:right="359" w:bottom="1440" w:gutter="0" w:footer="0" w:header="0"/>
          <w:type w:val="continuous"/>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jc w:val="right"/>
              <w:ind w:right="739"/>
              <w:spacing w:after="0"/>
              <w:rPr>
                <w:sz w:val="20"/>
                <w:szCs w:val="20"/>
                <w:color w:val="auto"/>
              </w:rPr>
            </w:pPr>
            <w:r>
              <w:rPr>
                <w:rFonts w:ascii="Arial" w:cs="Arial" w:eastAsia="Arial" w:hAnsi="Arial"/>
                <w:sz w:val="16"/>
                <w:szCs w:val="16"/>
                <w:color w:val="auto"/>
                <w:w w:val="80"/>
              </w:rPr>
              <w:t>3.6</w:t>
            </w:r>
          </w:p>
        </w:tc>
        <w:tc>
          <w:tcPr>
            <w:tcW w:w="5500" w:type="dxa"/>
            <w:vAlign w:val="bottom"/>
            <w:gridSpan w:val="3"/>
            <w:vMerge w:val="restart"/>
          </w:tcPr>
          <w:p>
            <w:pPr>
              <w:spacing w:after="0"/>
              <w:rPr>
                <w:rFonts w:ascii="Arial" w:cs="Arial" w:eastAsia="Arial" w:hAnsi="Arial"/>
                <w:sz w:val="16"/>
                <w:szCs w:val="16"/>
                <w:color w:val="0000FF"/>
                <w:w w:val="93"/>
              </w:rPr>
            </w:pPr>
            <w:hyperlink r:id="rId27">
              <w:r>
                <w:rPr>
                  <w:rFonts w:ascii="Arial" w:cs="Arial" w:eastAsia="Arial" w:hAnsi="Arial"/>
                  <w:sz w:val="16"/>
                  <w:szCs w:val="16"/>
                  <w:color w:val="0000FF"/>
                  <w:w w:val="93"/>
                </w:rPr>
                <w:t>Fourth Amended and Restated Limited Liability Company Agreement of NRG Yield</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500" w:type="dxa"/>
            <w:vAlign w:val="bottom"/>
            <w:tcBorders>
              <w:bottom w:val="single" w:sz="8" w:color="0000FF"/>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00" w:type="dxa"/>
            <w:vAlign w:val="bottom"/>
            <w:gridSpan w:val="3"/>
          </w:tcPr>
          <w:p>
            <w:pPr>
              <w:spacing w:after="0" w:line="183" w:lineRule="exact"/>
              <w:rPr>
                <w:rFonts w:ascii="Arial" w:cs="Arial" w:eastAsia="Arial" w:hAnsi="Arial"/>
                <w:sz w:val="16"/>
                <w:szCs w:val="16"/>
                <w:color w:val="0000FF"/>
                <w:w w:val="97"/>
              </w:rPr>
            </w:pPr>
            <w:hyperlink r:id="rId27">
              <w:r>
                <w:rPr>
                  <w:rFonts w:ascii="Arial" w:cs="Arial" w:eastAsia="Arial" w:hAnsi="Arial"/>
                  <w:sz w:val="16"/>
                  <w:szCs w:val="16"/>
                  <w:color w:val="0000FF"/>
                  <w:w w:val="97"/>
                </w:rPr>
                <w:t>LLC, dated as of August 31, 2018, by and between NRG Yield, Inc. and Zephyr</w:t>
              </w:r>
            </w:hyperlink>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118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91"/>
              </w:rPr>
            </w:pPr>
            <w:hyperlink r:id="rId27">
              <w:r>
                <w:rPr>
                  <w:rFonts w:ascii="Arial" w:cs="Arial" w:eastAsia="Arial" w:hAnsi="Arial"/>
                  <w:sz w:val="16"/>
                  <w:szCs w:val="16"/>
                  <w:color w:val="0000FF"/>
                  <w:w w:val="91"/>
                </w:rPr>
                <w:t>Renewables LLC.</w:t>
              </w:r>
            </w:hyperlink>
          </w:p>
        </w:tc>
        <w:tc>
          <w:tcPr>
            <w:tcW w:w="4000" w:type="dxa"/>
            <w:vAlign w:val="bottom"/>
            <w:tcBorders>
              <w:top w:val="single" w:sz="8" w:color="0000FF"/>
            </w:tcBorders>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10.6 to Clearway Energy, Inc.'s Current Report on Form 8-K filed on September 5, 2018.</w:t>
      </w:r>
    </w:p>
    <w:p>
      <w:pPr>
        <w:spacing w:after="0" w:line="200" w:lineRule="exact"/>
        <w:rPr>
          <w:sz w:val="20"/>
          <w:szCs w:val="20"/>
          <w:color w:val="auto"/>
        </w:rPr>
      </w:pPr>
    </w:p>
    <w:p>
      <w:pPr>
        <w:sectPr>
          <w:pgSz w:w="11900" w:h="16838" w:orient="portrait"/>
          <w:cols w:equalWidth="0" w:num="2">
            <w:col w:w="6520" w:space="440"/>
            <w:col w:w="4220"/>
          </w:cols>
          <w:pgMar w:left="360" w:top="553" w:right="359" w:bottom="1440" w:gutter="0" w:footer="0" w:header="0"/>
          <w:type w:val="continuous"/>
        </w:sectPr>
      </w:pPr>
    </w:p>
    <w:p>
      <w:pPr>
        <w:spacing w:after="0" w:line="88"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11180"/>
          </w:cols>
          <w:pgMar w:left="360" w:top="553"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4"/>
          <w:szCs w:val="14"/>
          <w:color w:val="auto"/>
        </w:rPr>
        <w:t>4.1</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4.2</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4.4</w:t>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br w:type="column"/>
      </w:r>
    </w:p>
    <w:p>
      <w:pPr>
        <w:ind w:right="160"/>
        <w:spacing w:after="0" w:line="293" w:lineRule="auto"/>
        <w:rPr>
          <w:rFonts w:ascii="Arial" w:cs="Arial" w:eastAsia="Arial" w:hAnsi="Arial"/>
          <w:sz w:val="16"/>
          <w:szCs w:val="16"/>
          <w:u w:val="single" w:color="auto"/>
          <w:color w:val="0000FF"/>
        </w:rPr>
      </w:pPr>
      <w:hyperlink r:id="rId28">
        <w:r>
          <w:rPr>
            <w:rFonts w:ascii="Arial" w:cs="Arial" w:eastAsia="Arial" w:hAnsi="Arial"/>
            <w:sz w:val="16"/>
            <w:szCs w:val="16"/>
            <w:u w:val="single" w:color="auto"/>
            <w:color w:val="0000FF"/>
          </w:rPr>
          <w:t>Indenture, dated August 5, 2014, among NRG Yield Operating LLC, the guarantors</w:t>
        </w:r>
      </w:hyperlink>
      <w:r>
        <w:rPr>
          <w:rFonts w:ascii="Arial" w:cs="Arial" w:eastAsia="Arial" w:hAnsi="Arial"/>
          <w:sz w:val="16"/>
          <w:szCs w:val="16"/>
          <w:u w:val="single" w:color="auto"/>
          <w:color w:val="0000FF"/>
        </w:rPr>
        <w:t xml:space="preserve"> </w:t>
      </w:r>
      <w:hyperlink r:id="rId28">
        <w:r>
          <w:rPr>
            <w:rFonts w:ascii="Arial" w:cs="Arial" w:eastAsia="Arial" w:hAnsi="Arial"/>
            <w:sz w:val="16"/>
            <w:szCs w:val="16"/>
            <w:u w:val="single" w:color="auto"/>
            <w:color w:val="0000FF"/>
          </w:rPr>
          <w:t>named therein and Law Debenture Trust Company of New York.</w:t>
        </w:r>
      </w:hyperlink>
    </w:p>
    <w:p>
      <w:pPr>
        <w:spacing w:after="0" w:line="212" w:lineRule="exact"/>
        <w:rPr>
          <w:sz w:val="20"/>
          <w:szCs w:val="20"/>
          <w:color w:val="auto"/>
        </w:rPr>
      </w:pPr>
    </w:p>
    <w:p>
      <w:pPr>
        <w:spacing w:after="0"/>
        <w:rPr>
          <w:rFonts w:ascii="Arial" w:cs="Arial" w:eastAsia="Arial" w:hAnsi="Arial"/>
          <w:sz w:val="16"/>
          <w:szCs w:val="16"/>
          <w:u w:val="single" w:color="auto"/>
          <w:color w:val="0000FF"/>
        </w:rPr>
      </w:pPr>
      <w:hyperlink r:id="rId28">
        <w:r>
          <w:rPr>
            <w:rFonts w:ascii="Arial" w:cs="Arial" w:eastAsia="Arial" w:hAnsi="Arial"/>
            <w:sz w:val="16"/>
            <w:szCs w:val="16"/>
            <w:u w:val="single" w:color="auto"/>
            <w:color w:val="0000FF"/>
          </w:rPr>
          <w:t>Form of 5.375% Senior Note due 2024.</w:t>
        </w:r>
      </w:hyperlink>
    </w:p>
    <w:p>
      <w:pPr>
        <w:spacing w:after="0" w:line="200" w:lineRule="exact"/>
        <w:rPr>
          <w:sz w:val="20"/>
          <w:szCs w:val="20"/>
          <w:color w:val="auto"/>
        </w:rPr>
      </w:pPr>
    </w:p>
    <w:p>
      <w:pPr>
        <w:spacing w:after="0" w:line="359" w:lineRule="exact"/>
        <w:rPr>
          <w:sz w:val="20"/>
          <w:szCs w:val="20"/>
          <w:color w:val="auto"/>
        </w:rPr>
      </w:pPr>
    </w:p>
    <w:p>
      <w:pPr>
        <w:jc w:val="both"/>
        <w:ind w:right="300"/>
        <w:spacing w:after="0" w:line="278" w:lineRule="auto"/>
        <w:rPr>
          <w:rFonts w:ascii="Arial" w:cs="Arial" w:eastAsia="Arial" w:hAnsi="Arial"/>
          <w:sz w:val="16"/>
          <w:szCs w:val="16"/>
          <w:u w:val="single" w:color="auto"/>
          <w:color w:val="0000FF"/>
        </w:rPr>
      </w:pPr>
      <w:hyperlink r:id="rId29">
        <w:r>
          <w:rPr>
            <w:rFonts w:ascii="Arial" w:cs="Arial" w:eastAsia="Arial" w:hAnsi="Arial"/>
            <w:sz w:val="16"/>
            <w:szCs w:val="16"/>
            <w:u w:val="single" w:color="auto"/>
            <w:color w:val="0000FF"/>
          </w:rPr>
          <w:t>Registration Rights Agreement, dated October 1, 2018, among Clearway Energy</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Operating LLC, the guarantors named therein and RBC Capital Markets, LLC, as</w:t>
        </w:r>
      </w:hyperlink>
      <w:r>
        <w:rPr>
          <w:rFonts w:ascii="Arial" w:cs="Arial" w:eastAsia="Arial" w:hAnsi="Arial"/>
          <w:sz w:val="16"/>
          <w:szCs w:val="16"/>
          <w:u w:val="single" w:color="auto"/>
          <w:color w:val="0000FF"/>
        </w:rPr>
        <w:t xml:space="preserve"> </w:t>
      </w:r>
      <w:hyperlink r:id="rId29">
        <w:r>
          <w:rPr>
            <w:rFonts w:ascii="Arial" w:cs="Arial" w:eastAsia="Arial" w:hAnsi="Arial"/>
            <w:sz w:val="16"/>
            <w:szCs w:val="16"/>
            <w:u w:val="single" w:color="auto"/>
            <w:color w:val="0000FF"/>
          </w:rPr>
          <w:t>representative of the initial purchasers.</w:t>
        </w:r>
      </w:hyperlink>
    </w:p>
    <w:p>
      <w:pPr>
        <w:spacing w:after="0" w:line="306" w:lineRule="exact"/>
        <w:rPr>
          <w:rFonts w:ascii="Arial" w:cs="Arial" w:eastAsia="Arial" w:hAnsi="Arial"/>
          <w:sz w:val="16"/>
          <w:szCs w:val="16"/>
          <w:u w:val="single" w:color="auto"/>
          <w:color w:val="0000FF"/>
        </w:rPr>
      </w:pPr>
    </w:p>
    <w:p>
      <w:pPr>
        <w:jc w:val="both"/>
        <w:spacing w:after="0" w:line="369" w:lineRule="auto"/>
        <w:rPr>
          <w:rFonts w:ascii="Arial" w:cs="Arial" w:eastAsia="Arial" w:hAnsi="Arial"/>
          <w:sz w:val="14"/>
          <w:szCs w:val="14"/>
          <w:u w:val="single" w:color="auto"/>
          <w:color w:val="0000FF"/>
        </w:rPr>
      </w:pPr>
      <w:hyperlink r:id="rId30">
        <w:r>
          <w:rPr>
            <w:rFonts w:ascii="Arial" w:cs="Arial" w:eastAsia="Arial" w:hAnsi="Arial"/>
            <w:sz w:val="14"/>
            <w:szCs w:val="14"/>
            <w:u w:val="single" w:color="auto"/>
            <w:color w:val="0000FF"/>
          </w:rPr>
          <w:t>Supplemental Indenture, dated as of November 7, 2014, among NRG Yield Operating</w:t>
        </w:r>
      </w:hyperlink>
      <w:r>
        <w:rPr>
          <w:rFonts w:ascii="Arial" w:cs="Arial" w:eastAsia="Arial" w:hAnsi="Arial"/>
          <w:sz w:val="14"/>
          <w:szCs w:val="14"/>
          <w:u w:val="single" w:color="auto"/>
          <w:color w:val="0000FF"/>
        </w:rPr>
        <w:t xml:space="preserve"> </w:t>
      </w:r>
      <w:hyperlink r:id="rId30">
        <w:r>
          <w:rPr>
            <w:rFonts w:ascii="Arial" w:cs="Arial" w:eastAsia="Arial" w:hAnsi="Arial"/>
            <w:sz w:val="14"/>
            <w:szCs w:val="14"/>
            <w:u w:val="single" w:color="auto"/>
            <w:color w:val="0000FF"/>
          </w:rPr>
          <w:t>LLC, the guarantors named therein and Law Debenture Trust Company of New York.</w:t>
        </w:r>
      </w:hyperlink>
    </w:p>
    <w:p>
      <w:pPr>
        <w:spacing w:after="0" w:line="166" w:lineRule="exact"/>
        <w:rPr>
          <w:sz w:val="20"/>
          <w:szCs w:val="20"/>
          <w:color w:val="auto"/>
        </w:rPr>
      </w:pPr>
    </w:p>
    <w:p>
      <w:pPr>
        <w:jc w:val="both"/>
        <w:ind w:right="20"/>
        <w:spacing w:after="0" w:line="369" w:lineRule="auto"/>
        <w:rPr>
          <w:rFonts w:ascii="Arial" w:cs="Arial" w:eastAsia="Arial" w:hAnsi="Arial"/>
          <w:sz w:val="14"/>
          <w:szCs w:val="14"/>
          <w:u w:val="single" w:color="auto"/>
          <w:color w:val="0000FF"/>
        </w:rPr>
      </w:pPr>
      <w:hyperlink r:id="rId31">
        <w:r>
          <w:rPr>
            <w:rFonts w:ascii="Arial" w:cs="Arial" w:eastAsia="Arial" w:hAnsi="Arial"/>
            <w:sz w:val="14"/>
            <w:szCs w:val="14"/>
            <w:u w:val="single" w:color="auto"/>
            <w:color w:val="0000FF"/>
          </w:rPr>
          <w:t>Supplemental Indenture, dated as of February 25, 2015, among NRG Yield Operating</w:t>
        </w:r>
      </w:hyperlink>
      <w:r>
        <w:rPr>
          <w:rFonts w:ascii="Arial" w:cs="Arial" w:eastAsia="Arial" w:hAnsi="Arial"/>
          <w:sz w:val="14"/>
          <w:szCs w:val="14"/>
          <w:u w:val="single" w:color="auto"/>
          <w:color w:val="0000FF"/>
        </w:rPr>
        <w:t xml:space="preserve"> </w:t>
      </w:r>
      <w:hyperlink r:id="rId31">
        <w:r>
          <w:rPr>
            <w:rFonts w:ascii="Arial" w:cs="Arial" w:eastAsia="Arial" w:hAnsi="Arial"/>
            <w:sz w:val="14"/>
            <w:szCs w:val="14"/>
            <w:u w:val="single" w:color="auto"/>
            <w:color w:val="0000FF"/>
          </w:rPr>
          <w:t>LLC, the guarantors named therein and Law Debenture Trust Company of New York.</w:t>
        </w:r>
      </w:hyperlink>
    </w:p>
    <w:p>
      <w:pPr>
        <w:spacing w:after="0" w:line="20" w:lineRule="exact"/>
        <w:rPr>
          <w:sz w:val="20"/>
          <w:szCs w:val="20"/>
          <w:color w:val="auto"/>
        </w:rPr>
      </w:pPr>
      <w:r>
        <w:rPr>
          <w:sz w:val="20"/>
          <w:szCs w:val="20"/>
          <w:color w:val="auto"/>
        </w:rPr>
        <w:br w:type="column"/>
      </w:r>
    </w:p>
    <w:p>
      <w:pPr>
        <w:ind w:right="22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August 5, 2014.</w:t>
      </w:r>
    </w:p>
    <w:p>
      <w:pPr>
        <w:spacing w:after="0" w:line="22" w:lineRule="exact"/>
        <w:rPr>
          <w:sz w:val="20"/>
          <w:szCs w:val="20"/>
          <w:color w:val="auto"/>
        </w:rPr>
      </w:pPr>
    </w:p>
    <w:p>
      <w:pPr>
        <w:ind w:right="220"/>
        <w:spacing w:after="0" w:line="278" w:lineRule="auto"/>
        <w:rPr>
          <w:sz w:val="20"/>
          <w:szCs w:val="20"/>
          <w:color w:val="auto"/>
        </w:rPr>
      </w:pPr>
      <w:r>
        <w:rPr>
          <w:rFonts w:ascii="Arial" w:cs="Arial" w:eastAsia="Arial" w:hAnsi="Arial"/>
          <w:sz w:val="16"/>
          <w:szCs w:val="16"/>
          <w:color w:val="auto"/>
        </w:rPr>
        <w:t>Incorporated herein by reference to Exhibit 4.2 to Clearway Energy, Inc.'s Current Report on Form 8-K filed on August 5, 2014.</w:t>
      </w:r>
    </w:p>
    <w:p>
      <w:pPr>
        <w:spacing w:after="0" w:line="103" w:lineRule="exact"/>
        <w:rPr>
          <w:sz w:val="20"/>
          <w:szCs w:val="20"/>
          <w:color w:val="auto"/>
        </w:rPr>
      </w:pPr>
    </w:p>
    <w:p>
      <w:pPr>
        <w:ind w:right="30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October 2, 2018.</w:t>
      </w:r>
    </w:p>
    <w:p>
      <w:pPr>
        <w:spacing w:after="0" w:line="306" w:lineRule="exact"/>
        <w:rPr>
          <w:sz w:val="20"/>
          <w:szCs w:val="20"/>
          <w:color w:val="auto"/>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November 13, 2014.</w:t>
      </w:r>
    </w:p>
    <w:p>
      <w:pPr>
        <w:spacing w:after="0" w:line="103"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February 27, 2015.</w:t>
      </w:r>
    </w:p>
    <w:p>
      <w:pPr>
        <w:spacing w:after="0" w:line="103" w:lineRule="exact"/>
        <w:rPr>
          <w:sz w:val="20"/>
          <w:szCs w:val="20"/>
          <w:color w:val="auto"/>
        </w:rPr>
      </w:pPr>
    </w:p>
    <w:p>
      <w:pPr>
        <w:sectPr>
          <w:pgSz w:w="11900" w:h="16838" w:orient="portrait"/>
          <w:cols w:equalWidth="0" w:num="3">
            <w:col w:w="300" w:space="720"/>
            <w:col w:w="5580" w:space="360"/>
            <w:col w:w="4200"/>
          </w:cols>
          <w:pgMar w:left="360" w:top="724" w:right="379" w:bottom="406" w:gutter="0" w:footer="0" w:header="0"/>
        </w:sectPr>
      </w:pPr>
    </w:p>
    <w:p>
      <w:pPr>
        <w:spacing w:after="0"/>
        <w:rPr>
          <w:sz w:val="20"/>
          <w:szCs w:val="20"/>
          <w:color w:val="auto"/>
        </w:rPr>
      </w:pPr>
      <w:r>
        <w:rPr>
          <w:rFonts w:ascii="Arial" w:cs="Arial" w:eastAsia="Arial" w:hAnsi="Arial"/>
          <w:sz w:val="14"/>
          <w:szCs w:val="14"/>
          <w:color w:val="auto"/>
        </w:rPr>
        <w:t>4.6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20"/>
        <w:spacing w:after="0" w:line="278" w:lineRule="auto"/>
        <w:rPr>
          <w:rFonts w:ascii="Arial" w:cs="Arial" w:eastAsia="Arial" w:hAnsi="Arial"/>
          <w:sz w:val="16"/>
          <w:szCs w:val="16"/>
          <w:u w:val="single" w:color="auto"/>
          <w:color w:val="0000FF"/>
        </w:rPr>
      </w:pPr>
      <w:hyperlink r:id="rId32">
        <w:r>
          <w:rPr>
            <w:rFonts w:ascii="Arial" w:cs="Arial" w:eastAsia="Arial" w:hAnsi="Arial"/>
            <w:sz w:val="16"/>
            <w:szCs w:val="16"/>
            <w:u w:val="single" w:color="auto"/>
            <w:color w:val="0000FF"/>
          </w:rPr>
          <w:t>Third Supplemental Indenture, dated as of April 10, 2015, among NRG Yield Operating</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LLC, NRG Yield LLC, the other guarantors named therein and Law Debenture Trust</w:t>
        </w:r>
      </w:hyperlink>
      <w:r>
        <w:rPr>
          <w:rFonts w:ascii="Arial" w:cs="Arial" w:eastAsia="Arial" w:hAnsi="Arial"/>
          <w:sz w:val="16"/>
          <w:szCs w:val="16"/>
          <w:u w:val="single" w:color="auto"/>
          <w:color w:val="0000FF"/>
        </w:rPr>
        <w:t xml:space="preserve"> </w:t>
      </w:r>
      <w:hyperlink r:id="rId32">
        <w:r>
          <w:rPr>
            <w:rFonts w:ascii="Arial" w:cs="Arial" w:eastAsia="Arial" w:hAnsi="Arial"/>
            <w:sz w:val="16"/>
            <w:szCs w:val="16"/>
            <w:u w:val="single" w:color="auto"/>
            <w:color w:val="0000FF"/>
          </w:rPr>
          <w:t>Company of New York.</w:t>
        </w:r>
      </w:hyperlink>
    </w:p>
    <w:p>
      <w:pPr>
        <w:spacing w:after="0" w:line="184" w:lineRule="exact"/>
        <w:rPr>
          <w:rFonts w:ascii="Arial" w:cs="Arial" w:eastAsia="Arial" w:hAnsi="Arial"/>
          <w:sz w:val="16"/>
          <w:szCs w:val="16"/>
          <w:u w:val="single" w:color="auto"/>
          <w:color w:val="0000FF"/>
        </w:rPr>
      </w:pPr>
    </w:p>
    <w:p>
      <w:pPr>
        <w:ind w:right="80"/>
        <w:spacing w:after="0" w:line="369" w:lineRule="auto"/>
        <w:rPr>
          <w:rFonts w:ascii="Arial" w:cs="Arial" w:eastAsia="Arial" w:hAnsi="Arial"/>
          <w:sz w:val="14"/>
          <w:szCs w:val="14"/>
          <w:u w:val="single" w:color="auto"/>
          <w:color w:val="0000FF"/>
        </w:rPr>
      </w:pPr>
      <w:hyperlink r:id="rId33">
        <w:r>
          <w:rPr>
            <w:rFonts w:ascii="Arial" w:cs="Arial" w:eastAsia="Arial" w:hAnsi="Arial"/>
            <w:sz w:val="14"/>
            <w:szCs w:val="14"/>
            <w:u w:val="single" w:color="auto"/>
            <w:color w:val="0000FF"/>
          </w:rPr>
          <w:t>Fourth Supplemental Indenture, dated as of May 8, 2015, among NRG Yield Operating</w:t>
        </w:r>
      </w:hyperlink>
      <w:r>
        <w:rPr>
          <w:rFonts w:ascii="Arial" w:cs="Arial" w:eastAsia="Arial" w:hAnsi="Arial"/>
          <w:sz w:val="14"/>
          <w:szCs w:val="14"/>
          <w:u w:val="single" w:color="auto"/>
          <w:color w:val="0000FF"/>
        </w:rPr>
        <w:t xml:space="preserve"> </w:t>
      </w:r>
      <w:hyperlink r:id="rId33">
        <w:r>
          <w:rPr>
            <w:rFonts w:ascii="Arial" w:cs="Arial" w:eastAsia="Arial" w:hAnsi="Arial"/>
            <w:sz w:val="14"/>
            <w:szCs w:val="14"/>
            <w:u w:val="single" w:color="auto"/>
            <w:color w:val="0000FF"/>
          </w:rPr>
          <w:t>LLC, the guarantors named therein and Law Debenture Trust Company of New York.</w:t>
        </w:r>
      </w:hyperlink>
    </w:p>
    <w:p>
      <w:pPr>
        <w:spacing w:after="0" w:line="328" w:lineRule="exact"/>
        <w:rPr>
          <w:sz w:val="20"/>
          <w:szCs w:val="20"/>
          <w:color w:val="auto"/>
        </w:rPr>
      </w:pPr>
    </w:p>
    <w:p>
      <w:pPr>
        <w:spacing w:after="0" w:line="278" w:lineRule="auto"/>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Indenture, dated June 29, 2015, among NRG Yield, Inc., NRG Yield Operating LLC and</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NRG Yield LLC, as Guarantors, and Wilmington Trust, National Association, as</w:t>
        </w:r>
      </w:hyperlink>
      <w:r>
        <w:rPr>
          <w:rFonts w:ascii="Arial" w:cs="Arial" w:eastAsia="Arial" w:hAnsi="Arial"/>
          <w:sz w:val="16"/>
          <w:szCs w:val="16"/>
          <w:u w:val="single" w:color="auto"/>
          <w:color w:val="0000FF"/>
        </w:rPr>
        <w:t xml:space="preserve"> </w:t>
      </w:r>
      <w:hyperlink r:id="rId34">
        <w:r>
          <w:rPr>
            <w:rFonts w:ascii="Arial" w:cs="Arial" w:eastAsia="Arial" w:hAnsi="Arial"/>
            <w:sz w:val="16"/>
            <w:szCs w:val="16"/>
            <w:u w:val="single" w:color="auto"/>
            <w:color w:val="0000FF"/>
          </w:rPr>
          <w:t>Trustee.</w:t>
        </w:r>
      </w:hyperlink>
    </w:p>
    <w:p>
      <w:pPr>
        <w:spacing w:after="0" w:line="184" w:lineRule="exact"/>
        <w:rPr>
          <w:rFonts w:ascii="Arial" w:cs="Arial" w:eastAsia="Arial" w:hAnsi="Arial"/>
          <w:sz w:val="16"/>
          <w:szCs w:val="16"/>
          <w:u w:val="single" w:color="auto"/>
          <w:color w:val="0000FF"/>
        </w:rPr>
      </w:pPr>
    </w:p>
    <w:p>
      <w:pPr>
        <w:spacing w:after="0"/>
        <w:rPr>
          <w:rFonts w:ascii="Arial" w:cs="Arial" w:eastAsia="Arial" w:hAnsi="Arial"/>
          <w:sz w:val="16"/>
          <w:szCs w:val="16"/>
          <w:u w:val="single" w:color="auto"/>
          <w:color w:val="0000FF"/>
        </w:rPr>
      </w:pPr>
      <w:hyperlink r:id="rId34">
        <w:r>
          <w:rPr>
            <w:rFonts w:ascii="Arial" w:cs="Arial" w:eastAsia="Arial" w:hAnsi="Arial"/>
            <w:sz w:val="16"/>
            <w:szCs w:val="16"/>
            <w:u w:val="single" w:color="auto"/>
            <w:color w:val="0000FF"/>
          </w:rPr>
          <w:t>Form of 3.25% Convertible Senior Note due 2020.</w:t>
        </w:r>
      </w:hyperlink>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61" w:lineRule="exact"/>
        <w:rPr>
          <w:rFonts w:ascii="Arial" w:cs="Arial" w:eastAsia="Arial" w:hAnsi="Arial"/>
          <w:sz w:val="16"/>
          <w:szCs w:val="16"/>
          <w:u w:val="single" w:color="auto"/>
          <w:color w:val="0000FF"/>
        </w:rPr>
      </w:pPr>
    </w:p>
    <w:p>
      <w:pPr>
        <w:ind w:right="180"/>
        <w:spacing w:after="0" w:line="278" w:lineRule="auto"/>
        <w:rPr>
          <w:sz w:val="20"/>
          <w:szCs w:val="20"/>
          <w:color w:val="auto"/>
        </w:rPr>
      </w:pPr>
      <w:r>
        <w:rPr>
          <w:rFonts w:ascii="Arial" w:cs="Arial" w:eastAsia="Arial" w:hAnsi="Arial"/>
          <w:sz w:val="16"/>
          <w:szCs w:val="16"/>
          <w:color w:val="auto"/>
        </w:rPr>
        <w:t>Incorporated herein by reference to Exhibit 4.07 to the Company's Registration Statement on Form S-4 filed on April 13, 2015.</w:t>
      </w:r>
    </w:p>
    <w:p>
      <w:pPr>
        <w:spacing w:after="0" w:line="184" w:lineRule="exact"/>
        <w:rPr>
          <w:rFonts w:ascii="Arial" w:cs="Arial" w:eastAsia="Arial" w:hAnsi="Arial"/>
          <w:sz w:val="16"/>
          <w:szCs w:val="16"/>
          <w:u w:val="single" w:color="auto"/>
          <w:color w:val="0000FF"/>
        </w:rPr>
      </w:pPr>
    </w:p>
    <w:p>
      <w:pPr>
        <w:jc w:val="both"/>
        <w:ind w:right="32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May 8, 2015.</w:t>
      </w:r>
    </w:p>
    <w:p>
      <w:pPr>
        <w:spacing w:after="0" w:line="184" w:lineRule="exact"/>
        <w:rPr>
          <w:rFonts w:ascii="Arial" w:cs="Arial" w:eastAsia="Arial" w:hAnsi="Arial"/>
          <w:sz w:val="16"/>
          <w:szCs w:val="16"/>
          <w:u w:val="single" w:color="auto"/>
          <w:color w:val="0000FF"/>
        </w:rPr>
      </w:pPr>
    </w:p>
    <w:p>
      <w:pPr>
        <w:jc w:val="both"/>
        <w:ind w:right="300"/>
        <w:spacing w:after="0" w:line="278" w:lineRule="auto"/>
        <w:rPr>
          <w:sz w:val="20"/>
          <w:szCs w:val="20"/>
          <w:color w:val="auto"/>
        </w:rPr>
      </w:pPr>
      <w:r>
        <w:rPr>
          <w:rFonts w:ascii="Arial" w:cs="Arial" w:eastAsia="Arial" w:hAnsi="Arial"/>
          <w:sz w:val="16"/>
          <w:szCs w:val="16"/>
          <w:color w:val="auto"/>
        </w:rPr>
        <w:t>Incorporated herein by reference to Exhibit 4.1 to Clearway Energy, Inc.'s Current Report on Form 8-K filed on June 29, 2015.</w:t>
      </w:r>
    </w:p>
    <w:p>
      <w:pPr>
        <w:spacing w:after="0" w:line="180" w:lineRule="exact"/>
        <w:rPr>
          <w:rFonts w:ascii="Arial" w:cs="Arial" w:eastAsia="Arial" w:hAnsi="Arial"/>
          <w:sz w:val="16"/>
          <w:szCs w:val="16"/>
          <w:u w:val="single" w:color="auto"/>
          <w:color w:val="0000FF"/>
        </w:rPr>
      </w:pPr>
    </w:p>
    <w:p>
      <w:pPr>
        <w:spacing w:after="0" w:line="263" w:lineRule="auto"/>
        <w:rPr>
          <w:sz w:val="20"/>
          <w:szCs w:val="20"/>
          <w:color w:val="auto"/>
        </w:rPr>
      </w:pPr>
      <w:r>
        <w:rPr>
          <w:rFonts w:ascii="Arial" w:cs="Arial" w:eastAsia="Arial" w:hAnsi="Arial"/>
          <w:sz w:val="18"/>
          <w:szCs w:val="18"/>
          <w:color w:val="auto"/>
        </w:rPr>
        <w:t>Incorporated herein by reference to Exhibit 4.2 to Clearway Energy, Inc.'s Current Report on Form 8-K filed on June 29, 2015.</w:t>
      </w:r>
    </w:p>
    <w:p>
      <w:pPr>
        <w:spacing w:after="0" w:line="107" w:lineRule="exact"/>
        <w:rPr>
          <w:rFonts w:ascii="Arial" w:cs="Arial" w:eastAsia="Arial" w:hAnsi="Arial"/>
          <w:sz w:val="16"/>
          <w:szCs w:val="16"/>
          <w:u w:val="single" w:color="auto"/>
          <w:color w:val="0000FF"/>
        </w:rPr>
      </w:pPr>
    </w:p>
    <w:p>
      <w:pPr>
        <w:sectPr>
          <w:pgSz w:w="11900" w:h="16838" w:orient="portrait"/>
          <w:cols w:equalWidth="0" w:num="3">
            <w:col w:w="300" w:space="720"/>
            <w:col w:w="5740" w:space="200"/>
            <w:col w:w="4200"/>
          </w:cols>
          <w:pgMar w:left="360" w:top="724" w:right="379" w:bottom="406" w:gutter="0" w:footer="0" w:header="0"/>
          <w:type w:val="continuous"/>
        </w:sectPr>
      </w:pPr>
    </w:p>
    <w:p>
      <w:pPr>
        <w:spacing w:after="0"/>
        <w:rPr>
          <w:sz w:val="20"/>
          <w:szCs w:val="20"/>
          <w:color w:val="auto"/>
        </w:rPr>
      </w:pPr>
      <w:r>
        <w:rPr>
          <w:rFonts w:ascii="Arial" w:cs="Arial" w:eastAsia="Arial" w:hAnsi="Arial"/>
          <w:sz w:val="14"/>
          <w:szCs w:val="14"/>
          <w:color w:val="auto"/>
        </w:rPr>
        <w:t>4.10</w:t>
      </w:r>
    </w:p>
    <w:p>
      <w:pPr>
        <w:spacing w:after="0" w:line="200" w:lineRule="exact"/>
        <w:rPr>
          <w:rFonts w:ascii="Arial" w:cs="Arial" w:eastAsia="Arial" w:hAnsi="Arial"/>
          <w:sz w:val="16"/>
          <w:szCs w:val="16"/>
          <w:u w:val="single" w:color="auto"/>
          <w:color w:val="0000FF"/>
        </w:rPr>
      </w:pPr>
    </w:p>
    <w:p>
      <w:pPr>
        <w:spacing w:after="0" w:line="200" w:lineRule="exact"/>
        <w:rPr>
          <w:rFonts w:ascii="Arial" w:cs="Arial" w:eastAsia="Arial" w:hAnsi="Arial"/>
          <w:sz w:val="16"/>
          <w:szCs w:val="16"/>
          <w:u w:val="single" w:color="auto"/>
          <w:color w:val="0000FF"/>
        </w:rPr>
      </w:pPr>
    </w:p>
    <w:p>
      <w:pPr>
        <w:spacing w:after="0" w:line="263" w:lineRule="exact"/>
        <w:rPr>
          <w:rFonts w:ascii="Arial" w:cs="Arial" w:eastAsia="Arial" w:hAnsi="Arial"/>
          <w:sz w:val="16"/>
          <w:szCs w:val="16"/>
          <w:u w:val="single" w:color="auto"/>
          <w:color w:val="0000FF"/>
        </w:rPr>
      </w:pPr>
    </w:p>
    <w:p>
      <w:pPr>
        <w:spacing w:after="0"/>
        <w:rPr>
          <w:sz w:val="20"/>
          <w:szCs w:val="20"/>
          <w:color w:val="auto"/>
        </w:rPr>
      </w:pPr>
      <w:r>
        <w:rPr>
          <w:rFonts w:ascii="Arial" w:cs="Arial" w:eastAsia="Arial" w:hAnsi="Arial"/>
          <w:sz w:val="14"/>
          <w:szCs w:val="14"/>
          <w:color w:val="auto"/>
        </w:rPr>
        <w:t>4.11</w:t>
      </w:r>
    </w:p>
    <w:p>
      <w:pPr>
        <w:spacing w:after="0" w:line="20" w:lineRule="exact"/>
        <w:rPr>
          <w:rFonts w:ascii="Arial" w:cs="Arial" w:eastAsia="Arial" w:hAnsi="Arial"/>
          <w:sz w:val="16"/>
          <w:szCs w:val="16"/>
          <w:u w:val="single" w:color="auto"/>
          <w:color w:val="0000FF"/>
        </w:rPr>
      </w:pPr>
      <w:r>
        <w:rPr>
          <w:rFonts w:ascii="Arial" w:cs="Arial" w:eastAsia="Arial" w:hAnsi="Arial"/>
          <w:sz w:val="16"/>
          <w:szCs w:val="16"/>
          <w:u w:val="single" w:color="auto"/>
          <w:color w:val="0000FF"/>
        </w:rPr>
        <w:br w:type="column"/>
      </w:r>
    </w:p>
    <w:p>
      <w:pPr>
        <w:spacing w:after="0" w:line="49" w:lineRule="exact"/>
        <w:rPr>
          <w:rFonts w:ascii="Arial" w:cs="Arial" w:eastAsia="Arial" w:hAnsi="Arial"/>
          <w:sz w:val="16"/>
          <w:szCs w:val="16"/>
          <w:u w:val="single" w:color="auto"/>
          <w:color w:val="0000FF"/>
        </w:rPr>
      </w:pPr>
    </w:p>
    <w:p>
      <w:pPr>
        <w:spacing w:after="0" w:line="1" w:lineRule="exact"/>
        <w:rPr>
          <w:rFonts w:ascii="Arial" w:cs="Arial" w:eastAsia="Arial" w:hAnsi="Arial"/>
          <w:sz w:val="1"/>
          <w:szCs w:val="1"/>
          <w:u w:val="single" w:color="auto"/>
          <w:color w:val="0000FF"/>
        </w:rPr>
      </w:pPr>
    </w:p>
    <w:tbl>
      <w:tblPr>
        <w:tblLayout w:type="fixed"/>
        <w:tblInd w:w="0" w:type="dxa"/>
        <w:tblCellMar>
          <w:top w:w="0" w:type="dxa"/>
          <w:left w:w="0" w:type="dxa"/>
          <w:bottom w:w="0" w:type="dxa"/>
          <w:right w:w="0" w:type="dxa"/>
        </w:tblCellMar>
      </w:tblPr>
      <w:tr>
        <w:trPr>
          <w:trHeight w:val="184"/>
        </w:trPr>
        <w:tc>
          <w:tcPr>
            <w:tcW w:w="5720" w:type="dxa"/>
            <w:vAlign w:val="bottom"/>
            <w:gridSpan w:val="4"/>
          </w:tcPr>
          <w:p>
            <w:pPr>
              <w:spacing w:after="0"/>
              <w:rPr>
                <w:rFonts w:ascii="Arial" w:cs="Arial" w:eastAsia="Arial" w:hAnsi="Arial"/>
                <w:sz w:val="16"/>
                <w:szCs w:val="16"/>
                <w:color w:val="0000FF"/>
                <w:w w:val="95"/>
              </w:rPr>
            </w:pPr>
            <w:hyperlink r:id="rId35">
              <w:r>
                <w:rPr>
                  <w:rFonts w:ascii="Arial" w:cs="Arial" w:eastAsia="Arial" w:hAnsi="Arial"/>
                  <w:sz w:val="16"/>
                  <w:szCs w:val="16"/>
                  <w:color w:val="0000FF"/>
                  <w:w w:val="95"/>
                </w:rPr>
                <w:t>Indenture, dated August 18, 2016, among NRG Yield Operating LLC, the guarantors</w:t>
              </w:r>
            </w:hyperlink>
          </w:p>
        </w:tc>
        <w:tc>
          <w:tcPr>
            <w:tcW w:w="4220" w:type="dxa"/>
            <w:vAlign w:val="bottom"/>
          </w:tcPr>
          <w:p>
            <w:pPr>
              <w:ind w:left="220"/>
              <w:spacing w:after="0"/>
              <w:rPr>
                <w:sz w:val="20"/>
                <w:szCs w:val="20"/>
                <w:color w:val="auto"/>
              </w:rPr>
            </w:pPr>
            <w:r>
              <w:rPr>
                <w:rFonts w:ascii="Arial" w:cs="Arial" w:eastAsia="Arial" w:hAnsi="Arial"/>
                <w:sz w:val="16"/>
                <w:szCs w:val="16"/>
                <w:color w:val="auto"/>
              </w:rPr>
              <w:t>Incorporated herein by reference to Exhibit 4.1 to the</w:t>
            </w:r>
          </w:p>
        </w:tc>
      </w:tr>
      <w:tr>
        <w:trPr>
          <w:trHeight w:val="183"/>
        </w:trPr>
        <w:tc>
          <w:tcPr>
            <w:tcW w:w="5500" w:type="dxa"/>
            <w:vAlign w:val="bottom"/>
            <w:tcBorders>
              <w:top w:val="single" w:sz="8" w:color="0000FF"/>
            </w:tcBorders>
            <w:gridSpan w:val="3"/>
          </w:tcPr>
          <w:p>
            <w:pPr>
              <w:spacing w:after="0" w:line="183" w:lineRule="exact"/>
              <w:rPr>
                <w:rFonts w:ascii="Arial" w:cs="Arial" w:eastAsia="Arial" w:hAnsi="Arial"/>
                <w:sz w:val="16"/>
                <w:szCs w:val="16"/>
                <w:color w:val="0000FF"/>
              </w:rPr>
            </w:pPr>
            <w:hyperlink r:id="rId35">
              <w:r>
                <w:rPr>
                  <w:rFonts w:ascii="Arial" w:cs="Arial" w:eastAsia="Arial" w:hAnsi="Arial"/>
                  <w:sz w:val="16"/>
                  <w:szCs w:val="16"/>
                  <w:color w:val="0000FF"/>
                </w:rPr>
                <w:t>named therein and Law Debenture Trust Company of New York.</w:t>
              </w:r>
            </w:hyperlink>
          </w:p>
        </w:tc>
        <w:tc>
          <w:tcPr>
            <w:tcW w:w="220" w:type="dxa"/>
            <w:vAlign w:val="bottom"/>
          </w:tcPr>
          <w:p>
            <w:pPr>
              <w:spacing w:after="0"/>
              <w:rPr>
                <w:sz w:val="15"/>
                <w:szCs w:val="15"/>
                <w:color w:val="auto"/>
              </w:rPr>
            </w:pPr>
          </w:p>
        </w:tc>
        <w:tc>
          <w:tcPr>
            <w:tcW w:w="4220" w:type="dxa"/>
            <w:vAlign w:val="bottom"/>
          </w:tcPr>
          <w:p>
            <w:pPr>
              <w:ind w:left="220"/>
              <w:spacing w:after="0" w:line="183" w:lineRule="exact"/>
              <w:rPr>
                <w:sz w:val="20"/>
                <w:szCs w:val="20"/>
                <w:color w:val="auto"/>
              </w:rPr>
            </w:pPr>
            <w:r>
              <w:rPr>
                <w:rFonts w:ascii="Arial" w:cs="Arial" w:eastAsia="Arial" w:hAnsi="Arial"/>
                <w:sz w:val="16"/>
                <w:szCs w:val="16"/>
                <w:color w:val="auto"/>
                <w:w w:val="92"/>
              </w:rPr>
              <w:t>Registrant's Current Report on Form 8-K, filed on August 18,</w:t>
            </w:r>
          </w:p>
        </w:tc>
      </w:tr>
      <w:tr>
        <w:trPr>
          <w:trHeight w:val="217"/>
        </w:trPr>
        <w:tc>
          <w:tcPr>
            <w:tcW w:w="2560" w:type="dxa"/>
            <w:vAlign w:val="bottom"/>
            <w:tcBorders>
              <w:top w:val="single" w:sz="8" w:color="0000FF"/>
            </w:tcBorders>
          </w:tcPr>
          <w:p>
            <w:pPr>
              <w:spacing w:after="0"/>
              <w:rPr>
                <w:sz w:val="18"/>
                <w:szCs w:val="18"/>
                <w:color w:val="auto"/>
              </w:rPr>
            </w:pPr>
          </w:p>
        </w:tc>
        <w:tc>
          <w:tcPr>
            <w:tcW w:w="1640" w:type="dxa"/>
            <w:vAlign w:val="bottom"/>
            <w:tcBorders>
              <w:top w:val="single" w:sz="8" w:color="0000FF"/>
            </w:tcBorders>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6"/>
                <w:szCs w:val="16"/>
                <w:color w:val="auto"/>
              </w:rPr>
              <w:t>2016.</w:t>
            </w:r>
          </w:p>
        </w:tc>
      </w:tr>
      <w:tr>
        <w:trPr>
          <w:trHeight w:val="384"/>
        </w:trPr>
        <w:tc>
          <w:tcPr>
            <w:tcW w:w="5720" w:type="dxa"/>
            <w:vAlign w:val="bottom"/>
            <w:gridSpan w:val="4"/>
          </w:tcPr>
          <w:p>
            <w:pPr>
              <w:spacing w:after="0"/>
              <w:rPr>
                <w:rFonts w:ascii="Arial" w:cs="Arial" w:eastAsia="Arial" w:hAnsi="Arial"/>
                <w:sz w:val="16"/>
                <w:szCs w:val="16"/>
                <w:color w:val="0000FF"/>
              </w:rPr>
            </w:pPr>
            <w:hyperlink r:id="rId35">
              <w:r>
                <w:rPr>
                  <w:rFonts w:ascii="Arial" w:cs="Arial" w:eastAsia="Arial" w:hAnsi="Arial"/>
                  <w:sz w:val="16"/>
                  <w:szCs w:val="16"/>
                  <w:color w:val="0000FF"/>
                </w:rPr>
                <w:t>Form of 5.000% Senior Note due 2026.</w:t>
              </w:r>
            </w:hyperlink>
          </w:p>
        </w:tc>
        <w:tc>
          <w:tcPr>
            <w:tcW w:w="4220" w:type="dxa"/>
            <w:vAlign w:val="bottom"/>
          </w:tcPr>
          <w:p>
            <w:pPr>
              <w:ind w:left="220"/>
              <w:spacing w:after="0"/>
              <w:rPr>
                <w:sz w:val="20"/>
                <w:szCs w:val="20"/>
                <w:color w:val="auto"/>
              </w:rPr>
            </w:pPr>
            <w:r>
              <w:rPr>
                <w:rFonts w:ascii="Arial" w:cs="Arial" w:eastAsia="Arial" w:hAnsi="Arial"/>
                <w:sz w:val="16"/>
                <w:szCs w:val="16"/>
                <w:color w:val="auto"/>
              </w:rPr>
              <w:t>Incorporated herein by reference to Exhibit 4.2 to the</w:t>
            </w:r>
          </w:p>
        </w:tc>
      </w:tr>
      <w:tr>
        <w:trPr>
          <w:trHeight w:val="213"/>
        </w:trPr>
        <w:tc>
          <w:tcPr>
            <w:tcW w:w="2560" w:type="dxa"/>
            <w:vAlign w:val="bottom"/>
            <w:tcBorders>
              <w:top w:val="single" w:sz="8" w:color="0000FF"/>
            </w:tcBorders>
          </w:tcPr>
          <w:p>
            <w:pPr>
              <w:spacing w:after="0"/>
              <w:rPr>
                <w:sz w:val="18"/>
                <w:szCs w:val="18"/>
                <w:color w:val="auto"/>
              </w:rPr>
            </w:pPr>
          </w:p>
        </w:tc>
        <w:tc>
          <w:tcPr>
            <w:tcW w:w="16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20" w:type="dxa"/>
            <w:vAlign w:val="bottom"/>
          </w:tcPr>
          <w:p>
            <w:pPr>
              <w:ind w:left="220"/>
              <w:spacing w:after="0"/>
              <w:rPr>
                <w:sz w:val="20"/>
                <w:szCs w:val="20"/>
                <w:color w:val="auto"/>
              </w:rPr>
            </w:pPr>
            <w:r>
              <w:rPr>
                <w:rFonts w:ascii="Arial" w:cs="Arial" w:eastAsia="Arial" w:hAnsi="Arial"/>
                <w:sz w:val="16"/>
                <w:szCs w:val="16"/>
                <w:color w:val="auto"/>
                <w:w w:val="92"/>
              </w:rPr>
              <w:t>Registrant's Current Report on Form 8-K, filed on August 18,</w:t>
            </w:r>
          </w:p>
        </w:tc>
      </w:tr>
      <w:tr>
        <w:trPr>
          <w:trHeight w:val="206"/>
        </w:trPr>
        <w:tc>
          <w:tcPr>
            <w:tcW w:w="25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20" w:type="dxa"/>
            <w:vAlign w:val="bottom"/>
          </w:tcPr>
          <w:p>
            <w:pPr>
              <w:ind w:left="220"/>
              <w:spacing w:after="0"/>
              <w:rPr>
                <w:sz w:val="20"/>
                <w:szCs w:val="20"/>
                <w:color w:val="auto"/>
              </w:rPr>
            </w:pPr>
            <w:r>
              <w:rPr>
                <w:rFonts w:ascii="Arial" w:cs="Arial" w:eastAsia="Arial" w:hAnsi="Arial"/>
                <w:sz w:val="16"/>
                <w:szCs w:val="16"/>
                <w:color w:val="auto"/>
              </w:rPr>
              <w:t>2016.</w:t>
            </w:r>
          </w:p>
        </w:tc>
      </w:tr>
    </w:tbl>
    <w:p>
      <w:pPr>
        <w:spacing w:after="0" w:line="131" w:lineRule="exact"/>
        <w:rPr>
          <w:sz w:val="20"/>
          <w:szCs w:val="20"/>
          <w:color w:val="auto"/>
        </w:rPr>
      </w:pPr>
    </w:p>
    <w:p>
      <w:pPr>
        <w:sectPr>
          <w:pgSz w:w="11900" w:h="16838" w:orient="portrait"/>
          <w:cols w:equalWidth="0" w:num="2">
            <w:col w:w="300" w:space="720"/>
            <w:col w:w="10140"/>
          </w:cols>
          <w:pgMar w:left="360" w:top="724" w:right="379" w:bottom="406" w:gutter="0" w:footer="0" w:header="0"/>
          <w:type w:val="continuous"/>
        </w:sectPr>
      </w:pPr>
    </w:p>
    <w:p>
      <w:pPr>
        <w:spacing w:after="0"/>
        <w:rPr>
          <w:sz w:val="20"/>
          <w:szCs w:val="20"/>
          <w:color w:val="auto"/>
        </w:rPr>
      </w:pPr>
      <w:r>
        <w:rPr>
          <w:rFonts w:ascii="Arial" w:cs="Arial" w:eastAsia="Arial" w:hAnsi="Arial"/>
          <w:sz w:val="14"/>
          <w:szCs w:val="14"/>
          <w:color w:val="auto"/>
        </w:rPr>
        <w:t>4.12</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4.13</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4"/>
          <w:szCs w:val="14"/>
          <w:color w:val="auto"/>
        </w:rPr>
        <w:t>4.17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line="278" w:lineRule="auto"/>
        <w:rPr>
          <w:rFonts w:ascii="Arial" w:cs="Arial" w:eastAsia="Arial" w:hAnsi="Arial"/>
          <w:sz w:val="16"/>
          <w:szCs w:val="16"/>
          <w:u w:val="single" w:color="auto"/>
          <w:color w:val="0000FF"/>
        </w:rPr>
      </w:pPr>
      <w:hyperlink r:id="rId36">
        <w:r>
          <w:rPr>
            <w:rFonts w:ascii="Arial" w:cs="Arial" w:eastAsia="Arial" w:hAnsi="Arial"/>
            <w:sz w:val="16"/>
            <w:szCs w:val="16"/>
            <w:u w:val="single" w:color="auto"/>
            <w:color w:val="0000FF"/>
          </w:rPr>
          <w:t>Registration Rights Agreement, dated August 18, 2016, among NRG Yield Operating</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LLC, the guarantors named therein and J.P. Morgan Securities LLC, as representative of</w:t>
        </w:r>
      </w:hyperlink>
      <w:r>
        <w:rPr>
          <w:rFonts w:ascii="Arial" w:cs="Arial" w:eastAsia="Arial" w:hAnsi="Arial"/>
          <w:sz w:val="16"/>
          <w:szCs w:val="16"/>
          <w:u w:val="single" w:color="auto"/>
          <w:color w:val="0000FF"/>
        </w:rPr>
        <w:t xml:space="preserve"> </w:t>
      </w:r>
      <w:hyperlink r:id="rId36">
        <w:r>
          <w:rPr>
            <w:rFonts w:ascii="Arial" w:cs="Arial" w:eastAsia="Arial" w:hAnsi="Arial"/>
            <w:sz w:val="16"/>
            <w:szCs w:val="16"/>
            <w:u w:val="single" w:color="auto"/>
            <w:color w:val="0000FF"/>
          </w:rPr>
          <w:t>the initial purchasers.</w:t>
        </w:r>
      </w:hyperlink>
    </w:p>
    <w:p>
      <w:pPr>
        <w:spacing w:after="0" w:line="184" w:lineRule="exact"/>
        <w:rPr>
          <w:rFonts w:ascii="Arial" w:cs="Arial" w:eastAsia="Arial" w:hAnsi="Arial"/>
          <w:sz w:val="16"/>
          <w:szCs w:val="16"/>
          <w:u w:val="single" w:color="auto"/>
          <w:color w:val="0000FF"/>
        </w:rPr>
      </w:pPr>
    </w:p>
    <w:p>
      <w:pPr>
        <w:jc w:val="both"/>
        <w:ind w:right="540"/>
        <w:spacing w:after="0" w:line="335" w:lineRule="auto"/>
        <w:rPr>
          <w:rFonts w:ascii="Arial" w:cs="Arial" w:eastAsia="Arial" w:hAnsi="Arial"/>
          <w:sz w:val="14"/>
          <w:szCs w:val="14"/>
          <w:u w:val="single" w:color="auto"/>
          <w:color w:val="0000FF"/>
        </w:rPr>
      </w:pPr>
      <w:hyperlink r:id="rId37">
        <w:r>
          <w:rPr>
            <w:rFonts w:ascii="Arial" w:cs="Arial" w:eastAsia="Arial" w:hAnsi="Arial"/>
            <w:sz w:val="14"/>
            <w:szCs w:val="14"/>
            <w:u w:val="single" w:color="auto"/>
            <w:color w:val="0000FF"/>
          </w:rPr>
          <w:t>Fifth Supplemental Indenture, dated as of January 29, 2018, among NRG Yield</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37">
        <w:r>
          <w:rPr>
            <w:rFonts w:ascii="Arial" w:cs="Arial" w:eastAsia="Arial" w:hAnsi="Arial"/>
            <w:sz w:val="14"/>
            <w:szCs w:val="14"/>
            <w:u w:val="single" w:color="auto"/>
            <w:color w:val="0000FF"/>
          </w:rPr>
          <w:t>successor in interest to Law Debenture Trust Company of New York).</w:t>
        </w:r>
      </w:hyperlink>
    </w:p>
    <w:p>
      <w:pPr>
        <w:spacing w:after="0" w:line="149" w:lineRule="exact"/>
        <w:rPr>
          <w:rFonts w:ascii="Arial" w:cs="Arial" w:eastAsia="Arial" w:hAnsi="Arial"/>
          <w:sz w:val="14"/>
          <w:szCs w:val="14"/>
          <w:u w:val="single" w:color="auto"/>
          <w:color w:val="0000FF"/>
        </w:rPr>
      </w:pPr>
    </w:p>
    <w:p>
      <w:pPr>
        <w:ind w:right="80"/>
        <w:spacing w:after="0" w:line="278" w:lineRule="auto"/>
        <w:rPr>
          <w:rFonts w:ascii="Arial" w:cs="Arial" w:eastAsia="Arial" w:hAnsi="Arial"/>
          <w:sz w:val="16"/>
          <w:szCs w:val="16"/>
          <w:u w:val="single" w:color="auto"/>
          <w:color w:val="0000FF"/>
        </w:rPr>
      </w:pPr>
      <w:hyperlink r:id="rId38">
        <w:r>
          <w:rPr>
            <w:rFonts w:ascii="Arial" w:cs="Arial" w:eastAsia="Arial" w:hAnsi="Arial"/>
            <w:sz w:val="16"/>
            <w:szCs w:val="16"/>
            <w:u w:val="single" w:color="auto"/>
            <w:color w:val="0000FF"/>
          </w:rPr>
          <w:t>Sixth Supplemental Indenture, dated as of June 12, 2018, among NRG Yield Operating</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LLC, the guarantors named therein and Delaware Trust Company (as successor in</w:t>
        </w:r>
      </w:hyperlink>
      <w:r>
        <w:rPr>
          <w:rFonts w:ascii="Arial" w:cs="Arial" w:eastAsia="Arial" w:hAnsi="Arial"/>
          <w:sz w:val="16"/>
          <w:szCs w:val="16"/>
          <w:u w:val="single" w:color="auto"/>
          <w:color w:val="0000FF"/>
        </w:rPr>
        <w:t xml:space="preserve"> </w:t>
      </w:r>
      <w:hyperlink r:id="rId38">
        <w:r>
          <w:rPr>
            <w:rFonts w:ascii="Arial" w:cs="Arial" w:eastAsia="Arial" w:hAnsi="Arial"/>
            <w:sz w:val="16"/>
            <w:szCs w:val="16"/>
            <w:u w:val="single" w:color="auto"/>
            <w:color w:val="0000FF"/>
          </w:rPr>
          <w:t>interest to Law Debenture Trust Company of New York).</w:t>
        </w:r>
      </w:hyperlink>
    </w:p>
    <w:p>
      <w:pPr>
        <w:spacing w:after="0" w:line="346" w:lineRule="exact"/>
        <w:rPr>
          <w:rFonts w:ascii="Arial" w:cs="Arial" w:eastAsia="Arial" w:hAnsi="Arial"/>
          <w:sz w:val="16"/>
          <w:szCs w:val="16"/>
          <w:u w:val="single" w:color="auto"/>
          <w:color w:val="0000FF"/>
        </w:rPr>
      </w:pPr>
    </w:p>
    <w:p>
      <w:pPr>
        <w:jc w:val="both"/>
        <w:ind w:right="160"/>
        <w:spacing w:after="0" w:line="305" w:lineRule="auto"/>
        <w:rPr>
          <w:rFonts w:ascii="Arial" w:cs="Arial" w:eastAsia="Arial" w:hAnsi="Arial"/>
          <w:sz w:val="15"/>
          <w:szCs w:val="15"/>
          <w:u w:val="single" w:color="auto"/>
          <w:color w:val="0000FF"/>
        </w:rPr>
      </w:pPr>
      <w:hyperlink r:id="rId39">
        <w:r>
          <w:rPr>
            <w:rFonts w:ascii="Arial" w:cs="Arial" w:eastAsia="Arial" w:hAnsi="Arial"/>
            <w:sz w:val="15"/>
            <w:szCs w:val="15"/>
            <w:u w:val="single" w:color="auto"/>
            <w:color w:val="0000FF"/>
          </w:rPr>
          <w:t>Supplemental Indenture, dated as of January 29, 2018, among NRG Yield Operating</w:t>
        </w:r>
      </w:hyperlink>
      <w:r>
        <w:rPr>
          <w:rFonts w:ascii="Arial" w:cs="Arial" w:eastAsia="Arial" w:hAnsi="Arial"/>
          <w:sz w:val="15"/>
          <w:szCs w:val="15"/>
          <w:u w:val="single" w:color="auto"/>
          <w:color w:val="0000FF"/>
        </w:rPr>
        <w:t xml:space="preserve"> </w:t>
      </w:r>
      <w:hyperlink r:id="rId39">
        <w:r>
          <w:rPr>
            <w:rFonts w:ascii="Arial" w:cs="Arial" w:eastAsia="Arial" w:hAnsi="Arial"/>
            <w:sz w:val="15"/>
            <w:szCs w:val="15"/>
            <w:u w:val="single" w:color="auto"/>
            <w:color w:val="0000FF"/>
          </w:rPr>
          <w:t>LLC, the guarantors named therein and the Delaware Trust Company (as successor in</w:t>
        </w:r>
      </w:hyperlink>
      <w:r>
        <w:rPr>
          <w:rFonts w:ascii="Arial" w:cs="Arial" w:eastAsia="Arial" w:hAnsi="Arial"/>
          <w:sz w:val="15"/>
          <w:szCs w:val="15"/>
          <w:u w:val="single" w:color="auto"/>
          <w:color w:val="0000FF"/>
        </w:rPr>
        <w:t xml:space="preserve"> </w:t>
      </w:r>
      <w:hyperlink r:id="rId39">
        <w:r>
          <w:rPr>
            <w:rFonts w:ascii="Arial" w:cs="Arial" w:eastAsia="Arial" w:hAnsi="Arial"/>
            <w:sz w:val="15"/>
            <w:szCs w:val="15"/>
            <w:u w:val="single" w:color="auto"/>
            <w:color w:val="0000FF"/>
          </w:rPr>
          <w:t>interest to Law Debenture Trust Company of New York).</w:t>
        </w:r>
      </w:hyperlink>
    </w:p>
    <w:p>
      <w:pPr>
        <w:spacing w:after="0" w:line="200" w:lineRule="exact"/>
        <w:rPr>
          <w:rFonts w:ascii="Arial" w:cs="Arial" w:eastAsia="Arial" w:hAnsi="Arial"/>
          <w:sz w:val="15"/>
          <w:szCs w:val="15"/>
          <w:u w:val="single" w:color="auto"/>
          <w:color w:val="0000FF"/>
        </w:rPr>
      </w:pPr>
    </w:p>
    <w:p>
      <w:pPr>
        <w:spacing w:after="0" w:line="330" w:lineRule="exact"/>
        <w:rPr>
          <w:rFonts w:ascii="Arial" w:cs="Arial" w:eastAsia="Arial" w:hAnsi="Arial"/>
          <w:sz w:val="15"/>
          <w:szCs w:val="15"/>
          <w:u w:val="single" w:color="auto"/>
          <w:color w:val="0000FF"/>
        </w:rPr>
      </w:pPr>
    </w:p>
    <w:p>
      <w:pPr>
        <w:jc w:val="both"/>
        <w:ind w:right="540"/>
        <w:spacing w:after="0" w:line="335" w:lineRule="auto"/>
        <w:rPr>
          <w:rFonts w:ascii="Arial" w:cs="Arial" w:eastAsia="Arial" w:hAnsi="Arial"/>
          <w:sz w:val="14"/>
          <w:szCs w:val="14"/>
          <w:u w:val="single" w:color="auto"/>
          <w:color w:val="0000FF"/>
        </w:rPr>
      </w:pPr>
      <w:hyperlink r:id="rId40">
        <w:r>
          <w:rPr>
            <w:rFonts w:ascii="Arial" w:cs="Arial" w:eastAsia="Arial" w:hAnsi="Arial"/>
            <w:sz w:val="14"/>
            <w:szCs w:val="14"/>
            <w:u w:val="single" w:color="auto"/>
            <w:color w:val="0000FF"/>
          </w:rPr>
          <w:t>Second Supplemental Indenture, dated as of June 12, 2018, among NRG Yield</w:t>
        </w:r>
      </w:hyperlink>
      <w:r>
        <w:rPr>
          <w:rFonts w:ascii="Arial" w:cs="Arial" w:eastAsia="Arial" w:hAnsi="Arial"/>
          <w:sz w:val="14"/>
          <w:szCs w:val="14"/>
          <w:u w:val="single" w:color="auto"/>
          <w:color w:val="0000FF"/>
        </w:rPr>
        <w:t xml:space="preserve"> </w:t>
      </w:r>
      <w:hyperlink r:id="rId40">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0">
        <w:r>
          <w:rPr>
            <w:rFonts w:ascii="Arial" w:cs="Arial" w:eastAsia="Arial" w:hAnsi="Arial"/>
            <w:sz w:val="14"/>
            <w:szCs w:val="14"/>
            <w:u w:val="single" w:color="auto"/>
            <w:color w:val="0000FF"/>
          </w:rPr>
          <w:t>successor in interest to Law Debenture Trust Company of New York).</w:t>
        </w:r>
      </w:hyperlink>
    </w:p>
    <w:p>
      <w:pPr>
        <w:spacing w:after="0" w:line="311" w:lineRule="exact"/>
        <w:rPr>
          <w:rFonts w:ascii="Arial" w:cs="Arial" w:eastAsia="Arial" w:hAnsi="Arial"/>
          <w:sz w:val="14"/>
          <w:szCs w:val="14"/>
          <w:u w:val="single" w:color="auto"/>
          <w:color w:val="0000FF"/>
        </w:rPr>
      </w:pPr>
    </w:p>
    <w:p>
      <w:pPr>
        <w:jc w:val="both"/>
        <w:ind w:right="540"/>
        <w:spacing w:after="0" w:line="335" w:lineRule="auto"/>
        <w:rPr>
          <w:sz w:val="20"/>
          <w:szCs w:val="20"/>
          <w:color w:val="auto"/>
        </w:rPr>
      </w:pPr>
      <w:r>
        <w:rPr>
          <w:rFonts w:ascii="Arial" w:cs="Arial" w:eastAsia="Arial" w:hAnsi="Arial"/>
          <w:sz w:val="14"/>
          <w:szCs w:val="14"/>
          <w:u w:val="single" w:color="auto"/>
          <w:color w:val="0000FF"/>
        </w:rPr>
        <w:t>Seventh Supplemental Indenture, dated as of July 17, 2018, among NRG Yield Operating LLC, the guarantors named therein and Delaware Trust Company (as successor in interest to Law Debenture Trust Company of New York).</w:t>
      </w:r>
    </w:p>
    <w:p>
      <w:pPr>
        <w:spacing w:after="0" w:line="20" w:lineRule="exact"/>
        <w:rPr>
          <w:rFonts w:ascii="Arial" w:cs="Arial" w:eastAsia="Arial" w:hAnsi="Arial"/>
          <w:sz w:val="14"/>
          <w:szCs w:val="14"/>
          <w:u w:val="single" w:color="auto"/>
          <w:color w:val="0000FF"/>
        </w:rPr>
      </w:pPr>
      <w:r>
        <w:rPr>
          <w:rFonts w:ascii="Arial" w:cs="Arial" w:eastAsia="Arial" w:hAnsi="Arial"/>
          <w:sz w:val="14"/>
          <w:szCs w:val="14"/>
          <w:u w:val="single" w:color="auto"/>
          <w:color w:val="0000FF"/>
        </w:rPr>
        <w:br w:type="column"/>
      </w:r>
    </w:p>
    <w:p>
      <w:pPr>
        <w:spacing w:after="0" w:line="61" w:lineRule="exact"/>
        <w:rPr>
          <w:rFonts w:ascii="Arial" w:cs="Arial" w:eastAsia="Arial" w:hAnsi="Arial"/>
          <w:sz w:val="14"/>
          <w:szCs w:val="14"/>
          <w:u w:val="single" w:color="auto"/>
          <w:color w:val="0000FF"/>
        </w:rPr>
      </w:pPr>
    </w:p>
    <w:p>
      <w:pPr>
        <w:ind w:right="200"/>
        <w:spacing w:after="0" w:line="278" w:lineRule="auto"/>
        <w:rPr>
          <w:sz w:val="20"/>
          <w:szCs w:val="20"/>
          <w:color w:val="auto"/>
        </w:rPr>
      </w:pPr>
      <w:r>
        <w:rPr>
          <w:rFonts w:ascii="Arial" w:cs="Arial" w:eastAsia="Arial" w:hAnsi="Arial"/>
          <w:sz w:val="16"/>
          <w:szCs w:val="16"/>
          <w:color w:val="auto"/>
        </w:rPr>
        <w:t>Incorporated herein by reference to Exhibit 4.3 to the Registrant's Current Report on Form 8-K, filed on August 18, 2016.</w:t>
      </w:r>
    </w:p>
    <w:p>
      <w:pPr>
        <w:spacing w:after="0" w:line="184" w:lineRule="exact"/>
        <w:rPr>
          <w:rFonts w:ascii="Arial" w:cs="Arial" w:eastAsia="Arial" w:hAnsi="Arial"/>
          <w:sz w:val="14"/>
          <w:szCs w:val="14"/>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4.1 to the Registrant's Current Report on Form 8-K, filed on January 31, 2018.</w:t>
      </w:r>
    </w:p>
    <w:p>
      <w:pPr>
        <w:spacing w:after="0" w:line="184" w:lineRule="exact"/>
        <w:rPr>
          <w:rFonts w:ascii="Arial" w:cs="Arial" w:eastAsia="Arial" w:hAnsi="Arial"/>
          <w:sz w:val="14"/>
          <w:szCs w:val="14"/>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4.1 to the Company's Current Report on Form 8-K filed on June 12, 2018.</w:t>
      </w:r>
    </w:p>
    <w:p>
      <w:pPr>
        <w:spacing w:after="0" w:line="200" w:lineRule="exact"/>
        <w:rPr>
          <w:rFonts w:ascii="Arial" w:cs="Arial" w:eastAsia="Arial" w:hAnsi="Arial"/>
          <w:sz w:val="14"/>
          <w:szCs w:val="14"/>
          <w:u w:val="single" w:color="auto"/>
          <w:color w:val="0000FF"/>
        </w:rPr>
      </w:pPr>
    </w:p>
    <w:p>
      <w:pPr>
        <w:spacing w:after="0" w:line="290" w:lineRule="exact"/>
        <w:rPr>
          <w:rFonts w:ascii="Arial" w:cs="Arial" w:eastAsia="Arial" w:hAnsi="Arial"/>
          <w:sz w:val="14"/>
          <w:szCs w:val="14"/>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4.2 to the Registrant's Current Report on Form 8-K, filed on January 31, 2018.</w:t>
      </w:r>
    </w:p>
    <w:p>
      <w:pPr>
        <w:spacing w:after="0" w:line="200" w:lineRule="exact"/>
        <w:rPr>
          <w:rFonts w:ascii="Arial" w:cs="Arial" w:eastAsia="Arial" w:hAnsi="Arial"/>
          <w:sz w:val="14"/>
          <w:szCs w:val="14"/>
          <w:u w:val="single" w:color="auto"/>
          <w:color w:val="0000FF"/>
        </w:rPr>
      </w:pPr>
    </w:p>
    <w:p>
      <w:pPr>
        <w:spacing w:after="0" w:line="349" w:lineRule="exact"/>
        <w:rPr>
          <w:rFonts w:ascii="Arial" w:cs="Arial" w:eastAsia="Arial" w:hAnsi="Arial"/>
          <w:sz w:val="14"/>
          <w:szCs w:val="14"/>
          <w:u w:val="single" w:color="auto"/>
          <w:color w:val="0000FF"/>
        </w:rPr>
      </w:pPr>
    </w:p>
    <w:p>
      <w:pPr>
        <w:ind w:right="40"/>
        <w:spacing w:after="0" w:line="369" w:lineRule="auto"/>
        <w:rPr>
          <w:sz w:val="20"/>
          <w:szCs w:val="20"/>
          <w:color w:val="auto"/>
        </w:rPr>
      </w:pPr>
      <w:r>
        <w:rPr>
          <w:rFonts w:ascii="Arial" w:cs="Arial" w:eastAsia="Arial" w:hAnsi="Arial"/>
          <w:sz w:val="14"/>
          <w:szCs w:val="14"/>
          <w:color w:val="auto"/>
        </w:rPr>
        <w:t>Incorporated herein by reference to Exhibit 4.2 to the Company's Current Report on Form 8-K filed on June 12, 2018.</w:t>
      </w:r>
    </w:p>
    <w:p>
      <w:pPr>
        <w:spacing w:after="0" w:line="200" w:lineRule="exact"/>
        <w:rPr>
          <w:rFonts w:ascii="Arial" w:cs="Arial" w:eastAsia="Arial" w:hAnsi="Arial"/>
          <w:sz w:val="14"/>
          <w:szCs w:val="14"/>
          <w:u w:val="single" w:color="auto"/>
          <w:color w:val="0000FF"/>
        </w:rPr>
      </w:pPr>
    </w:p>
    <w:p>
      <w:pPr>
        <w:spacing w:after="0" w:line="290" w:lineRule="exact"/>
        <w:rPr>
          <w:rFonts w:ascii="Arial" w:cs="Arial" w:eastAsia="Arial" w:hAnsi="Arial"/>
          <w:sz w:val="14"/>
          <w:szCs w:val="14"/>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4.3 to the Company's Quarterly Report on Form 10-Q filed on August 2, 2018.</w:t>
      </w:r>
    </w:p>
    <w:p>
      <w:pPr>
        <w:spacing w:after="0" w:line="234" w:lineRule="exact"/>
        <w:rPr>
          <w:rFonts w:ascii="Arial" w:cs="Arial" w:eastAsia="Arial" w:hAnsi="Arial"/>
          <w:sz w:val="14"/>
          <w:szCs w:val="14"/>
          <w:u w:val="single" w:color="auto"/>
          <w:color w:val="0000FF"/>
        </w:rPr>
      </w:pPr>
    </w:p>
    <w:p>
      <w:pPr>
        <w:sectPr>
          <w:pgSz w:w="11900" w:h="16838" w:orient="portrait"/>
          <w:cols w:equalWidth="0" w:num="3">
            <w:col w:w="300" w:space="720"/>
            <w:col w:w="5720" w:space="220"/>
            <w:col w:w="4200"/>
          </w:cols>
          <w:pgMar w:left="360" w:top="724" w:right="379" w:bottom="406" w:gutter="0" w:footer="0" w:header="0"/>
          <w:type w:val="continuous"/>
        </w:sectPr>
      </w:pPr>
    </w:p>
    <w:p>
      <w:pPr>
        <w:spacing w:after="0" w:line="200" w:lineRule="exact"/>
        <w:rPr>
          <w:rFonts w:ascii="Arial" w:cs="Arial" w:eastAsia="Arial" w:hAnsi="Arial"/>
          <w:sz w:val="14"/>
          <w:szCs w:val="14"/>
          <w:u w:val="single" w:color="auto"/>
          <w:color w:val="0000FF"/>
        </w:rPr>
      </w:pPr>
    </w:p>
    <w:p>
      <w:pPr>
        <w:spacing w:after="0" w:line="217" w:lineRule="exact"/>
        <w:rPr>
          <w:rFonts w:ascii="Arial" w:cs="Arial" w:eastAsia="Arial" w:hAnsi="Arial"/>
          <w:sz w:val="14"/>
          <w:szCs w:val="14"/>
          <w:u w:val="single" w:color="auto"/>
          <w:color w:val="0000FF"/>
        </w:rPr>
      </w:pPr>
    </w:p>
    <w:p>
      <w:pPr>
        <w:jc w:val="center"/>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11160"/>
          </w:cols>
          <w:pgMar w:left="360" w:top="724" w:right="379" w:bottom="406" w:gutter="0" w:footer="0" w:header="0"/>
          <w:type w:val="continuous"/>
        </w:sectPr>
      </w:pPr>
    </w:p>
    <w:bookmarkStart w:id="5" w:name="page6"/>
    <w:bookmarkEnd w:id="5"/>
    <w:p>
      <w:pPr>
        <w:spacing w:after="0"/>
        <w:rPr>
          <w:sz w:val="20"/>
          <w:szCs w:val="20"/>
          <w:color w:val="auto"/>
        </w:rPr>
      </w:pPr>
      <w:r>
        <w:rPr>
          <w:rFonts w:ascii="Arial" w:cs="Arial" w:eastAsia="Arial" w:hAnsi="Arial"/>
          <w:sz w:val="14"/>
          <w:szCs w:val="14"/>
          <w:color w:val="auto"/>
        </w:rPr>
        <w:t>4.18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4.26</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4.27</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4.28</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4.29</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4.30</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4.31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4.32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140"/>
        <w:spacing w:after="0" w:line="278" w:lineRule="auto"/>
        <w:rPr>
          <w:rFonts w:ascii="Arial" w:cs="Arial" w:eastAsia="Arial" w:hAnsi="Arial"/>
          <w:sz w:val="16"/>
          <w:szCs w:val="16"/>
          <w:u w:val="single" w:color="auto"/>
          <w:color w:val="0000FF"/>
        </w:rPr>
      </w:pPr>
      <w:hyperlink r:id="rId41">
        <w:r>
          <w:rPr>
            <w:rFonts w:ascii="Arial" w:cs="Arial" w:eastAsia="Arial" w:hAnsi="Arial"/>
            <w:sz w:val="16"/>
            <w:szCs w:val="16"/>
            <w:u w:val="single" w:color="auto"/>
            <w:color w:val="0000FF"/>
          </w:rPr>
          <w:t>Third Supplemental Indenture, dated as of July 17, 2018, among NRG Yield Operating</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LLC, the guarantors named therein and Delaware Trust Company (as successor in</w:t>
        </w:r>
      </w:hyperlink>
      <w:r>
        <w:rPr>
          <w:rFonts w:ascii="Arial" w:cs="Arial" w:eastAsia="Arial" w:hAnsi="Arial"/>
          <w:sz w:val="16"/>
          <w:szCs w:val="16"/>
          <w:u w:val="single" w:color="auto"/>
          <w:color w:val="0000FF"/>
        </w:rPr>
        <w:t xml:space="preserve"> </w:t>
      </w:r>
      <w:hyperlink r:id="rId41">
        <w:r>
          <w:rPr>
            <w:rFonts w:ascii="Arial" w:cs="Arial" w:eastAsia="Arial" w:hAnsi="Arial"/>
            <w:sz w:val="16"/>
            <w:szCs w:val="16"/>
            <w:u w:val="single" w:color="auto"/>
            <w:color w:val="0000FF"/>
          </w:rPr>
          <w:t>interest to Law Debenture Trust Company of New York).</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jc w:val="both"/>
        <w:ind w:right="560"/>
        <w:spacing w:after="0" w:line="335" w:lineRule="auto"/>
        <w:rPr>
          <w:rFonts w:ascii="Arial" w:cs="Arial" w:eastAsia="Arial" w:hAnsi="Arial"/>
          <w:sz w:val="14"/>
          <w:szCs w:val="14"/>
          <w:u w:val="single" w:color="auto"/>
          <w:color w:val="0000FF"/>
        </w:rPr>
      </w:pPr>
      <w:hyperlink r:id="rId42">
        <w:r>
          <w:rPr>
            <w:rFonts w:ascii="Arial" w:cs="Arial" w:eastAsia="Arial" w:hAnsi="Arial"/>
            <w:sz w:val="14"/>
            <w:szCs w:val="14"/>
            <w:u w:val="single" w:color="auto"/>
            <w:color w:val="0000FF"/>
          </w:rPr>
          <w:t>Eighth Supplemental Indenture, dated as of August 30, 2018, among NRG Yield</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2">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jc w:val="both"/>
        <w:ind w:right="560"/>
        <w:spacing w:after="0" w:line="335" w:lineRule="auto"/>
        <w:rPr>
          <w:rFonts w:ascii="Arial" w:cs="Arial" w:eastAsia="Arial" w:hAnsi="Arial"/>
          <w:sz w:val="14"/>
          <w:szCs w:val="14"/>
          <w:u w:val="single" w:color="auto"/>
          <w:color w:val="0000FF"/>
        </w:rPr>
      </w:pPr>
      <w:hyperlink r:id="rId43">
        <w:r>
          <w:rPr>
            <w:rFonts w:ascii="Arial" w:cs="Arial" w:eastAsia="Arial" w:hAnsi="Arial"/>
            <w:sz w:val="14"/>
            <w:szCs w:val="14"/>
            <w:u w:val="single" w:color="auto"/>
            <w:color w:val="0000FF"/>
          </w:rPr>
          <w:t>Fourth Supplemental Indenture, dated as of August 30, 2018, among NRG Yield</w:t>
        </w:r>
      </w:hyperlink>
      <w:r>
        <w:rPr>
          <w:rFonts w:ascii="Arial" w:cs="Arial" w:eastAsia="Arial" w:hAnsi="Arial"/>
          <w:sz w:val="14"/>
          <w:szCs w:val="14"/>
          <w:u w:val="single" w:color="auto"/>
          <w:color w:val="0000FF"/>
        </w:rPr>
        <w:t xml:space="preserve"> </w:t>
      </w:r>
      <w:hyperlink r:id="rId43">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3">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ind w:right="640"/>
        <w:spacing w:after="0" w:line="328" w:lineRule="auto"/>
        <w:rPr>
          <w:rFonts w:ascii="Arial" w:cs="Arial" w:eastAsia="Arial" w:hAnsi="Arial"/>
          <w:sz w:val="15"/>
          <w:szCs w:val="15"/>
          <w:u w:val="single" w:color="auto"/>
          <w:color w:val="0000FF"/>
        </w:rPr>
      </w:pPr>
      <w:hyperlink r:id="rId44">
        <w:r>
          <w:rPr>
            <w:rFonts w:ascii="Arial" w:cs="Arial" w:eastAsia="Arial" w:hAnsi="Arial"/>
            <w:sz w:val="15"/>
            <w:szCs w:val="15"/>
            <w:u w:val="single" w:color="auto"/>
            <w:color w:val="0000FF"/>
          </w:rPr>
          <w:t>Indenture, dated October 1, 2018, among Clearway Energy Operating LLC, the</w:t>
        </w:r>
      </w:hyperlink>
      <w:r>
        <w:rPr>
          <w:rFonts w:ascii="Arial" w:cs="Arial" w:eastAsia="Arial" w:hAnsi="Arial"/>
          <w:sz w:val="15"/>
          <w:szCs w:val="15"/>
          <w:u w:val="single" w:color="auto"/>
          <w:color w:val="0000FF"/>
        </w:rPr>
        <w:t xml:space="preserve"> </w:t>
      </w:r>
      <w:hyperlink r:id="rId44">
        <w:r>
          <w:rPr>
            <w:rFonts w:ascii="Arial" w:cs="Arial" w:eastAsia="Arial" w:hAnsi="Arial"/>
            <w:sz w:val="15"/>
            <w:szCs w:val="15"/>
            <w:u w:val="single" w:color="auto"/>
            <w:color w:val="0000FF"/>
          </w:rPr>
          <w:t>guarantors named therein and Delaware Trust Company, as trustee.</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rFonts w:ascii="Arial" w:cs="Arial" w:eastAsia="Arial" w:hAnsi="Arial"/>
          <w:sz w:val="16"/>
          <w:szCs w:val="16"/>
          <w:u w:val="single" w:color="auto"/>
          <w:color w:val="0000FF"/>
        </w:rPr>
      </w:pPr>
      <w:hyperlink r:id="rId44">
        <w:r>
          <w:rPr>
            <w:rFonts w:ascii="Arial" w:cs="Arial" w:eastAsia="Arial" w:hAnsi="Arial"/>
            <w:sz w:val="16"/>
            <w:szCs w:val="16"/>
            <w:u w:val="single" w:color="auto"/>
            <w:color w:val="0000FF"/>
          </w:rPr>
          <w:t>Form of 5.750% Senior Notes due 2025</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right="180"/>
        <w:spacing w:after="0" w:line="305" w:lineRule="auto"/>
        <w:rPr>
          <w:rFonts w:ascii="Arial" w:cs="Arial" w:eastAsia="Arial" w:hAnsi="Arial"/>
          <w:sz w:val="15"/>
          <w:szCs w:val="15"/>
          <w:u w:val="single" w:color="auto"/>
          <w:color w:val="0000FF"/>
        </w:rPr>
      </w:pPr>
      <w:hyperlink r:id="rId45">
        <w:r>
          <w:rPr>
            <w:rFonts w:ascii="Arial" w:cs="Arial" w:eastAsia="Arial" w:hAnsi="Arial"/>
            <w:sz w:val="15"/>
            <w:szCs w:val="15"/>
            <w:u w:val="single" w:color="auto"/>
            <w:color w:val="0000FF"/>
          </w:rPr>
          <w:t>Ninth Supplemental Indenture, dated as of October 25, 2018, among Clearway Energy</w:t>
        </w:r>
      </w:hyperlink>
      <w:r>
        <w:rPr>
          <w:rFonts w:ascii="Arial" w:cs="Arial" w:eastAsia="Arial" w:hAnsi="Arial"/>
          <w:sz w:val="15"/>
          <w:szCs w:val="15"/>
          <w:u w:val="single" w:color="auto"/>
          <w:color w:val="0000FF"/>
        </w:rPr>
        <w:t xml:space="preserve"> </w:t>
      </w:r>
      <w:hyperlink r:id="rId45">
        <w:r>
          <w:rPr>
            <w:rFonts w:ascii="Arial" w:cs="Arial" w:eastAsia="Arial" w:hAnsi="Arial"/>
            <w:sz w:val="15"/>
            <w:szCs w:val="15"/>
            <w:u w:val="single" w:color="auto"/>
            <w:color w:val="0000FF"/>
          </w:rPr>
          <w:t>Operating LLC, the guarantors named therein and Delaware Trust Company (as</w:t>
        </w:r>
      </w:hyperlink>
      <w:r>
        <w:rPr>
          <w:rFonts w:ascii="Arial" w:cs="Arial" w:eastAsia="Arial" w:hAnsi="Arial"/>
          <w:sz w:val="15"/>
          <w:szCs w:val="15"/>
          <w:u w:val="single" w:color="auto"/>
          <w:color w:val="0000FF"/>
        </w:rPr>
        <w:t xml:space="preserve"> </w:t>
      </w:r>
      <w:hyperlink r:id="rId45">
        <w:r>
          <w:rPr>
            <w:rFonts w:ascii="Arial" w:cs="Arial" w:eastAsia="Arial" w:hAnsi="Arial"/>
            <w:sz w:val="15"/>
            <w:szCs w:val="15"/>
            <w:u w:val="single" w:color="auto"/>
            <w:color w:val="0000FF"/>
          </w:rPr>
          <w:t>successor in interest to Law Debenture Trust Company of New York).</w:t>
        </w:r>
      </w:hyperlink>
    </w:p>
    <w:p>
      <w:pPr>
        <w:spacing w:after="0" w:line="200" w:lineRule="exact"/>
        <w:rPr>
          <w:rFonts w:ascii="Arial" w:cs="Arial" w:eastAsia="Arial" w:hAnsi="Arial"/>
          <w:sz w:val="15"/>
          <w:szCs w:val="15"/>
          <w:u w:val="single" w:color="auto"/>
          <w:color w:val="0000FF"/>
        </w:rPr>
      </w:pPr>
    </w:p>
    <w:p>
      <w:pPr>
        <w:spacing w:after="0" w:line="330" w:lineRule="exact"/>
        <w:rPr>
          <w:rFonts w:ascii="Arial" w:cs="Arial" w:eastAsia="Arial" w:hAnsi="Arial"/>
          <w:sz w:val="15"/>
          <w:szCs w:val="15"/>
          <w:u w:val="single" w:color="auto"/>
          <w:color w:val="0000FF"/>
        </w:rPr>
      </w:pPr>
    </w:p>
    <w:p>
      <w:pPr>
        <w:ind w:right="240"/>
        <w:spacing w:after="0" w:line="335" w:lineRule="auto"/>
        <w:rPr>
          <w:rFonts w:ascii="Arial" w:cs="Arial" w:eastAsia="Arial" w:hAnsi="Arial"/>
          <w:sz w:val="14"/>
          <w:szCs w:val="14"/>
          <w:u w:val="single" w:color="auto"/>
          <w:color w:val="0000FF"/>
        </w:rPr>
      </w:pPr>
      <w:hyperlink r:id="rId46">
        <w:r>
          <w:rPr>
            <w:rFonts w:ascii="Arial" w:cs="Arial" w:eastAsia="Arial" w:hAnsi="Arial"/>
            <w:sz w:val="14"/>
            <w:szCs w:val="14"/>
            <w:u w:val="single" w:color="auto"/>
            <w:color w:val="0000FF"/>
          </w:rPr>
          <w:t>Fifth Supplemental Indenture, dated as of October 25, 2018, among Clearway Energy</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Operating LLC, the guarantors named therein and Delaware Trust Company (as</w:t>
        </w:r>
      </w:hyperlink>
      <w:r>
        <w:rPr>
          <w:rFonts w:ascii="Arial" w:cs="Arial" w:eastAsia="Arial" w:hAnsi="Arial"/>
          <w:sz w:val="14"/>
          <w:szCs w:val="14"/>
          <w:u w:val="single" w:color="auto"/>
          <w:color w:val="0000FF"/>
        </w:rPr>
        <w:t xml:space="preserve"> </w:t>
      </w:r>
      <w:hyperlink r:id="rId46">
        <w:r>
          <w:rPr>
            <w:rFonts w:ascii="Arial" w:cs="Arial" w:eastAsia="Arial" w:hAnsi="Arial"/>
            <w:sz w:val="14"/>
            <w:szCs w:val="14"/>
            <w:u w:val="single" w:color="auto"/>
            <w:color w:val="0000FF"/>
          </w:rPr>
          <w:t>successor in interest to Law Debenture Trust Company of New York).</w:t>
        </w:r>
      </w:hyperlink>
    </w:p>
    <w:p>
      <w:pPr>
        <w:spacing w:after="0" w:line="200" w:lineRule="exact"/>
        <w:rPr>
          <w:rFonts w:ascii="Arial" w:cs="Arial" w:eastAsia="Arial" w:hAnsi="Arial"/>
          <w:sz w:val="14"/>
          <w:szCs w:val="14"/>
          <w:u w:val="single" w:color="auto"/>
          <w:color w:val="0000FF"/>
        </w:rPr>
      </w:pPr>
    </w:p>
    <w:p>
      <w:pPr>
        <w:spacing w:after="0" w:line="314" w:lineRule="exact"/>
        <w:rPr>
          <w:rFonts w:ascii="Arial" w:cs="Arial" w:eastAsia="Arial" w:hAnsi="Arial"/>
          <w:sz w:val="14"/>
          <w:szCs w:val="14"/>
          <w:u w:val="single" w:color="auto"/>
          <w:color w:val="0000FF"/>
        </w:rPr>
      </w:pPr>
    </w:p>
    <w:p>
      <w:pPr>
        <w:ind w:right="240"/>
        <w:spacing w:after="0" w:line="369" w:lineRule="auto"/>
        <w:rPr>
          <w:rFonts w:ascii="Arial" w:cs="Arial" w:eastAsia="Arial" w:hAnsi="Arial"/>
          <w:sz w:val="14"/>
          <w:szCs w:val="14"/>
          <w:u w:val="single" w:color="auto"/>
          <w:color w:val="0000FF"/>
        </w:rPr>
      </w:pPr>
      <w:hyperlink r:id="rId47">
        <w:r>
          <w:rPr>
            <w:rFonts w:ascii="Arial" w:cs="Arial" w:eastAsia="Arial" w:hAnsi="Arial"/>
            <w:sz w:val="14"/>
            <w:szCs w:val="14"/>
            <w:u w:val="single" w:color="auto"/>
            <w:color w:val="0000FF"/>
          </w:rPr>
          <w:t>First Supplemental Indenture, dated as of October 25, 2018, among Clearway Energy</w:t>
        </w:r>
      </w:hyperlink>
      <w:r>
        <w:rPr>
          <w:rFonts w:ascii="Arial" w:cs="Arial" w:eastAsia="Arial" w:hAnsi="Arial"/>
          <w:sz w:val="14"/>
          <w:szCs w:val="14"/>
          <w:u w:val="single" w:color="auto"/>
          <w:color w:val="0000FF"/>
        </w:rPr>
        <w:t xml:space="preserve"> </w:t>
      </w:r>
      <w:hyperlink r:id="rId47">
        <w:r>
          <w:rPr>
            <w:rFonts w:ascii="Arial" w:cs="Arial" w:eastAsia="Arial" w:hAnsi="Arial"/>
            <w:sz w:val="14"/>
            <w:szCs w:val="14"/>
            <w:u w:val="single" w:color="auto"/>
            <w:color w:val="0000FF"/>
          </w:rPr>
          <w:t>Operating LLC, the guarantors named therein and Delaware Trust Company.</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120"/>
        <w:spacing w:after="0" w:line="305" w:lineRule="auto"/>
        <w:rPr>
          <w:rFonts w:ascii="Arial" w:cs="Arial" w:eastAsia="Arial" w:hAnsi="Arial"/>
          <w:sz w:val="15"/>
          <w:szCs w:val="15"/>
          <w:u w:val="single" w:color="auto"/>
          <w:color w:val="0000FF"/>
        </w:rPr>
      </w:pPr>
      <w:hyperlink r:id="rId48">
        <w:r>
          <w:rPr>
            <w:rFonts w:ascii="Arial" w:cs="Arial" w:eastAsia="Arial" w:hAnsi="Arial"/>
            <w:sz w:val="15"/>
            <w:szCs w:val="15"/>
            <w:u w:val="single" w:color="auto"/>
            <w:color w:val="0000FF"/>
          </w:rPr>
          <w:t>Tenth Supplemental Indenture, dated as of December 7, 2018, among Clearway Energy</w:t>
        </w:r>
      </w:hyperlink>
      <w:r>
        <w:rPr>
          <w:rFonts w:ascii="Arial" w:cs="Arial" w:eastAsia="Arial" w:hAnsi="Arial"/>
          <w:sz w:val="15"/>
          <w:szCs w:val="15"/>
          <w:u w:val="single" w:color="auto"/>
          <w:color w:val="0000FF"/>
        </w:rPr>
        <w:t xml:space="preserve"> </w:t>
      </w:r>
      <w:hyperlink r:id="rId48">
        <w:r>
          <w:rPr>
            <w:rFonts w:ascii="Arial" w:cs="Arial" w:eastAsia="Arial" w:hAnsi="Arial"/>
            <w:sz w:val="15"/>
            <w:szCs w:val="15"/>
            <w:u w:val="single" w:color="auto"/>
            <w:color w:val="0000FF"/>
          </w:rPr>
          <w:t>Operating LLC, the guarantors named therein and Delaware Trust Company (as</w:t>
        </w:r>
      </w:hyperlink>
      <w:r>
        <w:rPr>
          <w:rFonts w:ascii="Arial" w:cs="Arial" w:eastAsia="Arial" w:hAnsi="Arial"/>
          <w:sz w:val="15"/>
          <w:szCs w:val="15"/>
          <w:u w:val="single" w:color="auto"/>
          <w:color w:val="0000FF"/>
        </w:rPr>
        <w:t xml:space="preserve"> </w:t>
      </w:r>
      <w:hyperlink r:id="rId48">
        <w:r>
          <w:rPr>
            <w:rFonts w:ascii="Arial" w:cs="Arial" w:eastAsia="Arial" w:hAnsi="Arial"/>
            <w:sz w:val="15"/>
            <w:szCs w:val="15"/>
            <w:u w:val="single" w:color="auto"/>
            <w:color w:val="0000FF"/>
          </w:rPr>
          <w:t>successor in interest to Law Debenture Trust Company of New York).</w:t>
        </w:r>
      </w:hyperlink>
    </w:p>
    <w:p>
      <w:pPr>
        <w:spacing w:after="0" w:line="166" w:lineRule="exact"/>
        <w:rPr>
          <w:rFonts w:ascii="Arial" w:cs="Arial" w:eastAsia="Arial" w:hAnsi="Arial"/>
          <w:sz w:val="15"/>
          <w:szCs w:val="15"/>
          <w:u w:val="single" w:color="auto"/>
          <w:color w:val="0000FF"/>
        </w:rPr>
      </w:pPr>
    </w:p>
    <w:p>
      <w:pPr>
        <w:ind w:right="140"/>
        <w:spacing w:after="0" w:line="305" w:lineRule="auto"/>
        <w:rPr>
          <w:rFonts w:ascii="Arial" w:cs="Arial" w:eastAsia="Arial" w:hAnsi="Arial"/>
          <w:sz w:val="15"/>
          <w:szCs w:val="15"/>
          <w:u w:val="single" w:color="auto"/>
          <w:color w:val="0000FF"/>
        </w:rPr>
      </w:pPr>
      <w:hyperlink r:id="rId49">
        <w:r>
          <w:rPr>
            <w:rFonts w:ascii="Arial" w:cs="Arial" w:eastAsia="Arial" w:hAnsi="Arial"/>
            <w:sz w:val="15"/>
            <w:szCs w:val="15"/>
            <w:u w:val="single" w:color="auto"/>
            <w:color w:val="0000FF"/>
          </w:rPr>
          <w:t>Sixth Supplemental Indenture, dated as of December 7, 2018, among Clearway Energy</w:t>
        </w:r>
      </w:hyperlink>
      <w:r>
        <w:rPr>
          <w:rFonts w:ascii="Arial" w:cs="Arial" w:eastAsia="Arial" w:hAnsi="Arial"/>
          <w:sz w:val="15"/>
          <w:szCs w:val="15"/>
          <w:u w:val="single" w:color="auto"/>
          <w:color w:val="0000FF"/>
        </w:rPr>
        <w:t xml:space="preserve"> </w:t>
      </w:r>
      <w:hyperlink r:id="rId49">
        <w:r>
          <w:rPr>
            <w:rFonts w:ascii="Arial" w:cs="Arial" w:eastAsia="Arial" w:hAnsi="Arial"/>
            <w:sz w:val="15"/>
            <w:szCs w:val="15"/>
            <w:u w:val="single" w:color="auto"/>
            <w:color w:val="0000FF"/>
          </w:rPr>
          <w:t>Operating LLC, the guarantors named therein and Delaware Trust Company (as</w:t>
        </w:r>
      </w:hyperlink>
      <w:r>
        <w:rPr>
          <w:rFonts w:ascii="Arial" w:cs="Arial" w:eastAsia="Arial" w:hAnsi="Arial"/>
          <w:sz w:val="15"/>
          <w:szCs w:val="15"/>
          <w:u w:val="single" w:color="auto"/>
          <w:color w:val="0000FF"/>
        </w:rPr>
        <w:t xml:space="preserve"> </w:t>
      </w:r>
      <w:hyperlink r:id="rId49">
        <w:r>
          <w:rPr>
            <w:rFonts w:ascii="Arial" w:cs="Arial" w:eastAsia="Arial" w:hAnsi="Arial"/>
            <w:sz w:val="15"/>
            <w:szCs w:val="15"/>
            <w:u w:val="single" w:color="auto"/>
            <w:color w:val="0000FF"/>
          </w:rPr>
          <w:t>successor in interest to Law Debenture Trust Company of New York).</w:t>
        </w:r>
      </w:hyperlink>
    </w:p>
    <w:p>
      <w:pPr>
        <w:spacing w:after="0" w:line="166" w:lineRule="exact"/>
        <w:rPr>
          <w:rFonts w:ascii="Arial" w:cs="Arial" w:eastAsia="Arial" w:hAnsi="Arial"/>
          <w:sz w:val="15"/>
          <w:szCs w:val="15"/>
          <w:u w:val="single" w:color="auto"/>
          <w:color w:val="0000FF"/>
        </w:rPr>
      </w:pPr>
    </w:p>
    <w:p>
      <w:pPr>
        <w:spacing w:after="0" w:line="328" w:lineRule="auto"/>
        <w:rPr>
          <w:rFonts w:ascii="Arial" w:cs="Arial" w:eastAsia="Arial" w:hAnsi="Arial"/>
          <w:sz w:val="15"/>
          <w:szCs w:val="15"/>
          <w:u w:val="single" w:color="auto"/>
          <w:color w:val="0000FF"/>
        </w:rPr>
      </w:pPr>
      <w:hyperlink r:id="rId50">
        <w:r>
          <w:rPr>
            <w:rFonts w:ascii="Arial" w:cs="Arial" w:eastAsia="Arial" w:hAnsi="Arial"/>
            <w:sz w:val="15"/>
            <w:szCs w:val="15"/>
            <w:u w:val="single" w:color="auto"/>
            <w:color w:val="0000FF"/>
          </w:rPr>
          <w:t>Second Supplemental Indenture, dated as of December 7, 2018, among Clearway Energy</w:t>
        </w:r>
      </w:hyperlink>
      <w:r>
        <w:rPr>
          <w:rFonts w:ascii="Arial" w:cs="Arial" w:eastAsia="Arial" w:hAnsi="Arial"/>
          <w:sz w:val="15"/>
          <w:szCs w:val="15"/>
          <w:u w:val="single" w:color="auto"/>
          <w:color w:val="0000FF"/>
        </w:rPr>
        <w:t xml:space="preserve"> </w:t>
      </w:r>
      <w:hyperlink r:id="rId50">
        <w:r>
          <w:rPr>
            <w:rFonts w:ascii="Arial" w:cs="Arial" w:eastAsia="Arial" w:hAnsi="Arial"/>
            <w:sz w:val="15"/>
            <w:szCs w:val="15"/>
            <w:u w:val="single" w:color="auto"/>
            <w:color w:val="0000FF"/>
          </w:rPr>
          <w:t>Operating LLC, the guarantors named therein and Delaware Trust Company.</w:t>
        </w:r>
      </w:hyperlink>
    </w:p>
    <w:p>
      <w:pPr>
        <w:spacing w:after="0" w:line="352" w:lineRule="exact"/>
        <w:rPr>
          <w:sz w:val="20"/>
          <w:szCs w:val="20"/>
          <w:color w:val="auto"/>
        </w:rPr>
      </w:pPr>
    </w:p>
    <w:p>
      <w:pPr>
        <w:ind w:right="100"/>
        <w:spacing w:after="0" w:line="305" w:lineRule="auto"/>
        <w:rPr>
          <w:rFonts w:ascii="Arial" w:cs="Arial" w:eastAsia="Arial" w:hAnsi="Arial"/>
          <w:sz w:val="15"/>
          <w:szCs w:val="15"/>
          <w:u w:val="single" w:color="auto"/>
          <w:color w:val="0000FF"/>
        </w:rPr>
      </w:pPr>
      <w:hyperlink r:id="rId51">
        <w:r>
          <w:rPr>
            <w:rFonts w:ascii="Arial" w:cs="Arial" w:eastAsia="Arial" w:hAnsi="Arial"/>
            <w:sz w:val="15"/>
            <w:szCs w:val="15"/>
            <w:u w:val="single" w:color="auto"/>
            <w:color w:val="0000FF"/>
          </w:rPr>
          <w:t>Eleventh Supplement Indenture, dated as of September 6, 2019, among Clearway</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Energy Operating LLC, the guarantors named therein and Delaware Trust Company (as</w:t>
        </w:r>
      </w:hyperlink>
      <w:r>
        <w:rPr>
          <w:rFonts w:ascii="Arial" w:cs="Arial" w:eastAsia="Arial" w:hAnsi="Arial"/>
          <w:sz w:val="15"/>
          <w:szCs w:val="15"/>
          <w:u w:val="single" w:color="auto"/>
          <w:color w:val="0000FF"/>
        </w:rPr>
        <w:t xml:space="preserve"> </w:t>
      </w:r>
      <w:hyperlink r:id="rId51">
        <w:r>
          <w:rPr>
            <w:rFonts w:ascii="Arial" w:cs="Arial" w:eastAsia="Arial" w:hAnsi="Arial"/>
            <w:sz w:val="15"/>
            <w:szCs w:val="15"/>
            <w:u w:val="single" w:color="auto"/>
            <w:color w:val="0000FF"/>
          </w:rPr>
          <w:t>successor in interest to Law Debenture Trust Company of New York).</w:t>
        </w:r>
      </w:hyperlink>
    </w:p>
    <w:p>
      <w:pPr>
        <w:spacing w:after="0" w:line="166" w:lineRule="exact"/>
        <w:rPr>
          <w:rFonts w:ascii="Arial" w:cs="Arial" w:eastAsia="Arial" w:hAnsi="Arial"/>
          <w:sz w:val="15"/>
          <w:szCs w:val="15"/>
          <w:u w:val="single" w:color="auto"/>
          <w:color w:val="0000FF"/>
        </w:rPr>
      </w:pPr>
    </w:p>
    <w:p>
      <w:pPr>
        <w:ind w:right="100"/>
        <w:spacing w:after="0" w:line="305" w:lineRule="auto"/>
        <w:rPr>
          <w:rFonts w:ascii="Arial" w:cs="Arial" w:eastAsia="Arial" w:hAnsi="Arial"/>
          <w:sz w:val="15"/>
          <w:szCs w:val="15"/>
          <w:u w:val="single" w:color="auto"/>
          <w:color w:val="0000FF"/>
        </w:rPr>
      </w:pPr>
      <w:hyperlink r:id="rId52">
        <w:r>
          <w:rPr>
            <w:rFonts w:ascii="Arial" w:cs="Arial" w:eastAsia="Arial" w:hAnsi="Arial"/>
            <w:sz w:val="15"/>
            <w:szCs w:val="15"/>
            <w:u w:val="single" w:color="auto"/>
            <w:color w:val="0000FF"/>
          </w:rPr>
          <w:t>Seventh Supplemental Indenture, dated as of September 6, 2019, among Clearway</w:t>
        </w:r>
      </w:hyperlink>
      <w:r>
        <w:rPr>
          <w:rFonts w:ascii="Arial" w:cs="Arial" w:eastAsia="Arial" w:hAnsi="Arial"/>
          <w:sz w:val="15"/>
          <w:szCs w:val="15"/>
          <w:u w:val="single" w:color="auto"/>
          <w:color w:val="0000FF"/>
        </w:rPr>
        <w:t xml:space="preserve"> </w:t>
      </w:r>
      <w:hyperlink r:id="rId52">
        <w:r>
          <w:rPr>
            <w:rFonts w:ascii="Arial" w:cs="Arial" w:eastAsia="Arial" w:hAnsi="Arial"/>
            <w:sz w:val="15"/>
            <w:szCs w:val="15"/>
            <w:u w:val="single" w:color="auto"/>
            <w:color w:val="0000FF"/>
          </w:rPr>
          <w:t>Energy Operating LLC, the guarantors named therein and Delaware Trust Company (as</w:t>
        </w:r>
      </w:hyperlink>
      <w:r>
        <w:rPr>
          <w:rFonts w:ascii="Arial" w:cs="Arial" w:eastAsia="Arial" w:hAnsi="Arial"/>
          <w:sz w:val="15"/>
          <w:szCs w:val="15"/>
          <w:u w:val="single" w:color="auto"/>
          <w:color w:val="0000FF"/>
        </w:rPr>
        <w:t xml:space="preserve"> </w:t>
      </w:r>
      <w:hyperlink r:id="rId52">
        <w:r>
          <w:rPr>
            <w:rFonts w:ascii="Arial" w:cs="Arial" w:eastAsia="Arial" w:hAnsi="Arial"/>
            <w:sz w:val="15"/>
            <w:szCs w:val="15"/>
            <w:u w:val="single" w:color="auto"/>
            <w:color w:val="0000FF"/>
          </w:rPr>
          <w:t>successor in interest to Law Debenture Trust Company of New York).</w:t>
        </w:r>
      </w:hyperlink>
    </w:p>
    <w:p>
      <w:pPr>
        <w:spacing w:after="0" w:line="166" w:lineRule="exact"/>
        <w:rPr>
          <w:rFonts w:ascii="Arial" w:cs="Arial" w:eastAsia="Arial" w:hAnsi="Arial"/>
          <w:sz w:val="15"/>
          <w:szCs w:val="15"/>
          <w:u w:val="single" w:color="auto"/>
          <w:color w:val="0000FF"/>
        </w:rPr>
      </w:pPr>
    </w:p>
    <w:p>
      <w:pPr>
        <w:ind w:right="100"/>
        <w:spacing w:after="0" w:line="328" w:lineRule="auto"/>
        <w:rPr>
          <w:rFonts w:ascii="Arial" w:cs="Arial" w:eastAsia="Arial" w:hAnsi="Arial"/>
          <w:sz w:val="15"/>
          <w:szCs w:val="15"/>
          <w:u w:val="single" w:color="auto"/>
          <w:color w:val="0000FF"/>
        </w:rPr>
      </w:pPr>
      <w:hyperlink r:id="rId53">
        <w:r>
          <w:rPr>
            <w:rFonts w:ascii="Arial" w:cs="Arial" w:eastAsia="Arial" w:hAnsi="Arial"/>
            <w:sz w:val="15"/>
            <w:szCs w:val="15"/>
            <w:u w:val="single" w:color="auto"/>
            <w:color w:val="0000FF"/>
          </w:rPr>
          <w:t>Third Supplemental Indenture, dated as of September 6, 2019, among Clearway Energy</w:t>
        </w:r>
      </w:hyperlink>
      <w:r>
        <w:rPr>
          <w:rFonts w:ascii="Arial" w:cs="Arial" w:eastAsia="Arial" w:hAnsi="Arial"/>
          <w:sz w:val="15"/>
          <w:szCs w:val="15"/>
          <w:u w:val="single" w:color="auto"/>
          <w:color w:val="0000FF"/>
        </w:rPr>
        <w:t xml:space="preserve"> </w:t>
      </w:r>
      <w:hyperlink r:id="rId53">
        <w:r>
          <w:rPr>
            <w:rFonts w:ascii="Arial" w:cs="Arial" w:eastAsia="Arial" w:hAnsi="Arial"/>
            <w:sz w:val="15"/>
            <w:szCs w:val="15"/>
            <w:u w:val="single" w:color="auto"/>
            <w:color w:val="0000FF"/>
          </w:rPr>
          <w:t>Operating LLC, the guarantors named therein and Delaware Trust Company.</w:t>
        </w:r>
      </w:hyperlink>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right="100"/>
        <w:spacing w:after="0" w:line="305" w:lineRule="auto"/>
        <w:rPr>
          <w:rFonts w:ascii="Arial" w:cs="Arial" w:eastAsia="Arial" w:hAnsi="Arial"/>
          <w:sz w:val="15"/>
          <w:szCs w:val="15"/>
          <w:u w:val="single" w:color="auto"/>
          <w:color w:val="0000FF"/>
        </w:rPr>
      </w:pPr>
      <w:hyperlink r:id="rId54">
        <w:r>
          <w:rPr>
            <w:rFonts w:ascii="Arial" w:cs="Arial" w:eastAsia="Arial" w:hAnsi="Arial"/>
            <w:sz w:val="15"/>
            <w:szCs w:val="15"/>
            <w:u w:val="single" w:color="auto"/>
            <w:color w:val="0000FF"/>
          </w:rPr>
          <w:t>Twelfth Supplemental Indenture, dated as of November 21, 2019, among Clearway</w:t>
        </w:r>
      </w:hyperlink>
      <w:r>
        <w:rPr>
          <w:rFonts w:ascii="Arial" w:cs="Arial" w:eastAsia="Arial" w:hAnsi="Arial"/>
          <w:sz w:val="15"/>
          <w:szCs w:val="15"/>
          <w:u w:val="single" w:color="auto"/>
          <w:color w:val="0000FF"/>
        </w:rPr>
        <w:t xml:space="preserve"> </w:t>
      </w:r>
      <w:hyperlink r:id="rId54">
        <w:r>
          <w:rPr>
            <w:rFonts w:ascii="Arial" w:cs="Arial" w:eastAsia="Arial" w:hAnsi="Arial"/>
            <w:sz w:val="15"/>
            <w:szCs w:val="15"/>
            <w:u w:val="single" w:color="auto"/>
            <w:color w:val="0000FF"/>
          </w:rPr>
          <w:t>Energy Operating LLC, the guarantors named therein and Delaware Trust Company (as</w:t>
        </w:r>
      </w:hyperlink>
      <w:r>
        <w:rPr>
          <w:rFonts w:ascii="Arial" w:cs="Arial" w:eastAsia="Arial" w:hAnsi="Arial"/>
          <w:sz w:val="15"/>
          <w:szCs w:val="15"/>
          <w:u w:val="single" w:color="auto"/>
          <w:color w:val="0000FF"/>
        </w:rPr>
        <w:t xml:space="preserve"> </w:t>
      </w:r>
      <w:hyperlink r:id="rId54">
        <w:r>
          <w:rPr>
            <w:rFonts w:ascii="Arial" w:cs="Arial" w:eastAsia="Arial" w:hAnsi="Arial"/>
            <w:sz w:val="15"/>
            <w:szCs w:val="15"/>
            <w:u w:val="single" w:color="auto"/>
            <w:color w:val="0000FF"/>
          </w:rPr>
          <w:t>successor in interest to Law Debenture Trust Company of New York).</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61" w:lineRule="exact"/>
        <w:rPr>
          <w:rFonts w:ascii="Arial" w:cs="Arial" w:eastAsia="Arial" w:hAnsi="Arial"/>
          <w:sz w:val="15"/>
          <w:szCs w:val="15"/>
          <w:u w:val="single" w:color="auto"/>
          <w:color w:val="0000FF"/>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4.4 to the Company's Quarterly Report on Form 10-Q filed on August 2,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6,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6,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2,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24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2,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October 31,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October 31,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4.3 to the Registrant's Current Report on Form 8-K filed on October 31, 2018.</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2018.</w:t>
      </w:r>
    </w:p>
    <w:p>
      <w:pPr>
        <w:spacing w:after="0" w:line="184" w:lineRule="exact"/>
        <w:rPr>
          <w:rFonts w:ascii="Arial" w:cs="Arial" w:eastAsia="Arial" w:hAnsi="Arial"/>
          <w:sz w:val="15"/>
          <w:szCs w:val="15"/>
          <w:u w:val="single" w:color="auto"/>
          <w:color w:val="0000FF"/>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December 12, 2018.</w:t>
      </w:r>
    </w:p>
    <w:p>
      <w:pPr>
        <w:spacing w:after="0" w:line="184" w:lineRule="exact"/>
        <w:rPr>
          <w:rFonts w:ascii="Arial" w:cs="Arial" w:eastAsia="Arial" w:hAnsi="Arial"/>
          <w:sz w:val="15"/>
          <w:szCs w:val="15"/>
          <w:u w:val="single" w:color="auto"/>
          <w:color w:val="0000FF"/>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December 12, 2018.</w:t>
      </w:r>
    </w:p>
    <w:p>
      <w:pPr>
        <w:spacing w:after="0" w:line="184" w:lineRule="exact"/>
        <w:rPr>
          <w:rFonts w:ascii="Arial" w:cs="Arial" w:eastAsia="Arial" w:hAnsi="Arial"/>
          <w:sz w:val="15"/>
          <w:szCs w:val="15"/>
          <w:u w:val="single" w:color="auto"/>
          <w:color w:val="0000FF"/>
        </w:rPr>
      </w:pPr>
    </w:p>
    <w:p>
      <w:pPr>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September 12, 2019.</w:t>
      </w:r>
    </w:p>
    <w:p>
      <w:pPr>
        <w:spacing w:after="0" w:line="184" w:lineRule="exact"/>
        <w:rPr>
          <w:rFonts w:ascii="Arial" w:cs="Arial" w:eastAsia="Arial" w:hAnsi="Arial"/>
          <w:sz w:val="15"/>
          <w:szCs w:val="15"/>
          <w:u w:val="single" w:color="auto"/>
          <w:color w:val="0000FF"/>
        </w:rPr>
      </w:pPr>
    </w:p>
    <w:p>
      <w:pPr>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September 12, 2019.</w:t>
      </w:r>
    </w:p>
    <w:p>
      <w:pPr>
        <w:spacing w:after="0" w:line="184" w:lineRule="exact"/>
        <w:rPr>
          <w:rFonts w:ascii="Arial" w:cs="Arial" w:eastAsia="Arial" w:hAnsi="Arial"/>
          <w:sz w:val="15"/>
          <w:szCs w:val="15"/>
          <w:u w:val="single" w:color="auto"/>
          <w:color w:val="0000FF"/>
        </w:rPr>
      </w:pPr>
    </w:p>
    <w:p>
      <w:pPr>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September 12, 2019.</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November 22, 2019.</w:t>
      </w:r>
    </w:p>
    <w:p>
      <w:pPr>
        <w:sectPr>
          <w:pgSz w:w="11900" w:h="16838" w:orient="portrait"/>
          <w:cols w:equalWidth="0" w:num="3">
            <w:col w:w="300" w:space="720"/>
            <w:col w:w="5780" w:space="160"/>
            <w:col w:w="4140"/>
          </w:cols>
          <w:pgMar w:left="360" w:top="724" w:right="439" w:bottom="2" w:gutter="0" w:footer="0" w:header="0"/>
        </w:sectPr>
      </w:pPr>
    </w:p>
    <w:bookmarkStart w:id="6" w:name="page7"/>
    <w:bookmarkEnd w:id="6"/>
    <w:p>
      <w:pPr>
        <w:jc w:val="center"/>
        <w:ind w:right="1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019"/>
          </w:cols>
          <w:pgMar w:left="1440" w:top="125" w:right="1440" w:bottom="1440" w:gutter="0" w:footer="0" w:header="0"/>
        </w:sectPr>
      </w:pPr>
    </w:p>
    <w:bookmarkStart w:id="7" w:name="page8"/>
    <w:bookmarkEnd w:id="7"/>
    <w:p>
      <w:pPr>
        <w:spacing w:after="0"/>
        <w:rPr>
          <w:sz w:val="20"/>
          <w:szCs w:val="20"/>
          <w:color w:val="auto"/>
        </w:rPr>
      </w:pPr>
      <w:r>
        <w:rPr>
          <w:rFonts w:ascii="Arial" w:cs="Arial" w:eastAsia="Arial" w:hAnsi="Arial"/>
          <w:sz w:val="16"/>
          <w:szCs w:val="16"/>
          <w:color w:val="auto"/>
        </w:rPr>
        <w:t>4.33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4.35</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4.36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color w:val="auto"/>
        </w:rPr>
        <w:t>4.37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6"/>
          <w:szCs w:val="16"/>
          <w:color w:val="auto"/>
        </w:rPr>
        <w:t>10.1</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4"/>
          <w:szCs w:val="14"/>
          <w:color w:val="auto"/>
        </w:rPr>
        <w:t>10.2.1</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10.2.2</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305" w:lineRule="auto"/>
        <w:rPr>
          <w:rFonts w:ascii="Arial" w:cs="Arial" w:eastAsia="Arial" w:hAnsi="Arial"/>
          <w:sz w:val="15"/>
          <w:szCs w:val="15"/>
          <w:u w:val="single" w:color="auto"/>
          <w:color w:val="0000FF"/>
        </w:rPr>
      </w:pPr>
      <w:hyperlink r:id="rId55">
        <w:r>
          <w:rPr>
            <w:rFonts w:ascii="Arial" w:cs="Arial" w:eastAsia="Arial" w:hAnsi="Arial"/>
            <w:sz w:val="15"/>
            <w:szCs w:val="15"/>
            <w:u w:val="single" w:color="auto"/>
            <w:color w:val="0000FF"/>
          </w:rPr>
          <w:t>Eighth Supplemental Indenture, dated as of November 21, 2019, among Clearway</w:t>
        </w:r>
      </w:hyperlink>
      <w:r>
        <w:rPr>
          <w:rFonts w:ascii="Arial" w:cs="Arial" w:eastAsia="Arial" w:hAnsi="Arial"/>
          <w:sz w:val="15"/>
          <w:szCs w:val="15"/>
          <w:u w:val="single" w:color="auto"/>
          <w:color w:val="0000FF"/>
        </w:rPr>
        <w:t xml:space="preserve"> </w:t>
      </w:r>
      <w:hyperlink r:id="rId55">
        <w:r>
          <w:rPr>
            <w:rFonts w:ascii="Arial" w:cs="Arial" w:eastAsia="Arial" w:hAnsi="Arial"/>
            <w:sz w:val="15"/>
            <w:szCs w:val="15"/>
            <w:u w:val="single" w:color="auto"/>
            <w:color w:val="0000FF"/>
          </w:rPr>
          <w:t>Energy Operating LLC, the guarantors named therein and Delaware Trust Company (as</w:t>
        </w:r>
      </w:hyperlink>
      <w:r>
        <w:rPr>
          <w:rFonts w:ascii="Arial" w:cs="Arial" w:eastAsia="Arial" w:hAnsi="Arial"/>
          <w:sz w:val="15"/>
          <w:szCs w:val="15"/>
          <w:u w:val="single" w:color="auto"/>
          <w:color w:val="0000FF"/>
        </w:rPr>
        <w:t xml:space="preserve"> </w:t>
      </w:r>
      <w:hyperlink r:id="rId55">
        <w:r>
          <w:rPr>
            <w:rFonts w:ascii="Arial" w:cs="Arial" w:eastAsia="Arial" w:hAnsi="Arial"/>
            <w:sz w:val="15"/>
            <w:szCs w:val="15"/>
            <w:u w:val="single" w:color="auto"/>
            <w:color w:val="0000FF"/>
          </w:rPr>
          <w:t>successor in interest to Law Debenture Trust Company of New York).</w:t>
        </w:r>
      </w:hyperlink>
    </w:p>
    <w:p>
      <w:pPr>
        <w:spacing w:after="0" w:line="200" w:lineRule="exact"/>
        <w:rPr>
          <w:rFonts w:ascii="Arial" w:cs="Arial" w:eastAsia="Arial" w:hAnsi="Arial"/>
          <w:sz w:val="15"/>
          <w:szCs w:val="15"/>
          <w:u w:val="single" w:color="auto"/>
          <w:color w:val="0000FF"/>
        </w:rPr>
      </w:pPr>
    </w:p>
    <w:p>
      <w:pPr>
        <w:spacing w:after="0" w:line="330" w:lineRule="exact"/>
        <w:rPr>
          <w:rFonts w:ascii="Arial" w:cs="Arial" w:eastAsia="Arial" w:hAnsi="Arial"/>
          <w:sz w:val="15"/>
          <w:szCs w:val="15"/>
          <w:u w:val="single" w:color="auto"/>
          <w:color w:val="0000FF"/>
        </w:rPr>
      </w:pPr>
    </w:p>
    <w:p>
      <w:pPr>
        <w:ind w:right="260"/>
        <w:spacing w:after="0" w:line="369" w:lineRule="auto"/>
        <w:rPr>
          <w:rFonts w:ascii="Arial" w:cs="Arial" w:eastAsia="Arial" w:hAnsi="Arial"/>
          <w:sz w:val="14"/>
          <w:szCs w:val="14"/>
          <w:u w:val="single" w:color="auto"/>
          <w:color w:val="0000FF"/>
        </w:rPr>
      </w:pPr>
      <w:hyperlink r:id="rId56">
        <w:r>
          <w:rPr>
            <w:rFonts w:ascii="Arial" w:cs="Arial" w:eastAsia="Arial" w:hAnsi="Arial"/>
            <w:sz w:val="14"/>
            <w:szCs w:val="14"/>
            <w:u w:val="single" w:color="auto"/>
            <w:color w:val="0000FF"/>
          </w:rPr>
          <w:t>Fourth Supplemental Indenture, dated as of November 21, 2019, among Clearway</w:t>
        </w:r>
      </w:hyperlink>
      <w:r>
        <w:rPr>
          <w:rFonts w:ascii="Arial" w:cs="Arial" w:eastAsia="Arial" w:hAnsi="Arial"/>
          <w:sz w:val="14"/>
          <w:szCs w:val="14"/>
          <w:u w:val="single" w:color="auto"/>
          <w:color w:val="0000FF"/>
        </w:rPr>
        <w:t xml:space="preserve"> </w:t>
      </w:r>
      <w:hyperlink r:id="rId56">
        <w:r>
          <w:rPr>
            <w:rFonts w:ascii="Arial" w:cs="Arial" w:eastAsia="Arial" w:hAnsi="Arial"/>
            <w:sz w:val="14"/>
            <w:szCs w:val="14"/>
            <w:u w:val="single" w:color="auto"/>
            <w:color w:val="0000FF"/>
          </w:rPr>
          <w:t>Energy Operating LLC, the guarantors named therein and Delaware Trust Company.</w:t>
        </w:r>
      </w:hyperlink>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right="380"/>
        <w:spacing w:after="0" w:line="328" w:lineRule="auto"/>
        <w:rPr>
          <w:rFonts w:ascii="Arial" w:cs="Arial" w:eastAsia="Arial" w:hAnsi="Arial"/>
          <w:sz w:val="15"/>
          <w:szCs w:val="15"/>
          <w:u w:val="single" w:color="auto"/>
          <w:color w:val="0000FF"/>
        </w:rPr>
      </w:pPr>
      <w:hyperlink r:id="rId57">
        <w:r>
          <w:rPr>
            <w:rFonts w:ascii="Arial" w:cs="Arial" w:eastAsia="Arial" w:hAnsi="Arial"/>
            <w:sz w:val="15"/>
            <w:szCs w:val="15"/>
            <w:u w:val="single" w:color="auto"/>
            <w:color w:val="0000FF"/>
          </w:rPr>
          <w:t>Indenture, dated December 11, 2019, among Clearway Energy Operating LLC, the</w:t>
        </w:r>
      </w:hyperlink>
      <w:r>
        <w:rPr>
          <w:rFonts w:ascii="Arial" w:cs="Arial" w:eastAsia="Arial" w:hAnsi="Arial"/>
          <w:sz w:val="15"/>
          <w:szCs w:val="15"/>
          <w:u w:val="single" w:color="auto"/>
          <w:color w:val="0000FF"/>
        </w:rPr>
        <w:t xml:space="preserve"> </w:t>
      </w:r>
      <w:hyperlink r:id="rId57">
        <w:r>
          <w:rPr>
            <w:rFonts w:ascii="Arial" w:cs="Arial" w:eastAsia="Arial" w:hAnsi="Arial"/>
            <w:sz w:val="15"/>
            <w:szCs w:val="15"/>
            <w:u w:val="single" w:color="auto"/>
            <w:color w:val="0000FF"/>
          </w:rPr>
          <w:t>guarantors named therein and Delaware Trust Company, as trustee.</w:t>
        </w:r>
      </w:hyperlink>
    </w:p>
    <w:p>
      <w:pPr>
        <w:spacing w:after="0" w:line="352" w:lineRule="exact"/>
        <w:rPr>
          <w:sz w:val="20"/>
          <w:szCs w:val="20"/>
          <w:color w:val="auto"/>
        </w:rPr>
      </w:pPr>
    </w:p>
    <w:p>
      <w:pPr>
        <w:spacing w:after="0"/>
        <w:rPr>
          <w:rFonts w:ascii="Arial" w:cs="Arial" w:eastAsia="Arial" w:hAnsi="Arial"/>
          <w:sz w:val="16"/>
          <w:szCs w:val="16"/>
          <w:u w:val="single" w:color="auto"/>
          <w:color w:val="0000FF"/>
        </w:rPr>
      </w:pPr>
      <w:hyperlink r:id="rId57">
        <w:r>
          <w:rPr>
            <w:rFonts w:ascii="Arial" w:cs="Arial" w:eastAsia="Arial" w:hAnsi="Arial"/>
            <w:sz w:val="16"/>
            <w:szCs w:val="16"/>
            <w:u w:val="single" w:color="auto"/>
            <w:color w:val="0000FF"/>
          </w:rPr>
          <w:t>Form of 4.750% Senior Note due 2028.</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rFonts w:ascii="Arial" w:cs="Arial" w:eastAsia="Arial" w:hAnsi="Arial"/>
          <w:sz w:val="16"/>
          <w:szCs w:val="16"/>
          <w:u w:val="single" w:color="auto"/>
          <w:color w:val="0000FF"/>
        </w:rPr>
      </w:pPr>
      <w:hyperlink r:id="rId58">
        <w:r>
          <w:rPr>
            <w:rFonts w:ascii="Arial" w:cs="Arial" w:eastAsia="Arial" w:hAnsi="Arial"/>
            <w:sz w:val="16"/>
            <w:szCs w:val="16"/>
            <w:u w:val="single" w:color="auto"/>
            <w:color w:val="0000FF"/>
          </w:rPr>
          <w:t>Description of Securities.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right="240"/>
        <w:spacing w:after="0" w:line="293" w:lineRule="auto"/>
        <w:rPr>
          <w:rFonts w:ascii="Arial" w:cs="Arial" w:eastAsia="Arial" w:hAnsi="Arial"/>
          <w:sz w:val="16"/>
          <w:szCs w:val="16"/>
          <w:u w:val="single" w:color="auto"/>
          <w:color w:val="0000FF"/>
        </w:rPr>
      </w:pPr>
      <w:hyperlink r:id="rId59">
        <w:r>
          <w:rPr>
            <w:rFonts w:ascii="Arial" w:cs="Arial" w:eastAsia="Arial" w:hAnsi="Arial"/>
            <w:sz w:val="16"/>
            <w:szCs w:val="16"/>
            <w:u w:val="single" w:color="auto"/>
            <w:color w:val="0000FF"/>
          </w:rPr>
          <w:t>Third Amended and Restated Right of First Offer Agreement, dated as of August 31,</w:t>
        </w:r>
      </w:hyperlink>
      <w:r>
        <w:rPr>
          <w:rFonts w:ascii="Arial" w:cs="Arial" w:eastAsia="Arial" w:hAnsi="Arial"/>
          <w:sz w:val="16"/>
          <w:szCs w:val="16"/>
          <w:u w:val="single" w:color="auto"/>
          <w:color w:val="0000FF"/>
        </w:rPr>
        <w:t xml:space="preserve"> </w:t>
      </w:r>
      <w:hyperlink r:id="rId59">
        <w:r>
          <w:rPr>
            <w:rFonts w:ascii="Arial" w:cs="Arial" w:eastAsia="Arial" w:hAnsi="Arial"/>
            <w:sz w:val="16"/>
            <w:szCs w:val="16"/>
            <w:u w:val="single" w:color="auto"/>
            <w:color w:val="0000FF"/>
          </w:rPr>
          <w:t>2018, by and between NRG Yield, Inc. and NRG Energy, Inc.</w:t>
        </w:r>
      </w:hyperlink>
    </w:p>
    <w:p>
      <w:pPr>
        <w:spacing w:after="0" w:line="374" w:lineRule="exact"/>
        <w:rPr>
          <w:sz w:val="20"/>
          <w:szCs w:val="20"/>
          <w:color w:val="auto"/>
        </w:rPr>
      </w:pPr>
    </w:p>
    <w:p>
      <w:pPr>
        <w:spacing w:after="0" w:line="278" w:lineRule="auto"/>
        <w:rPr>
          <w:rFonts w:ascii="Arial" w:cs="Arial" w:eastAsia="Arial" w:hAnsi="Arial"/>
          <w:sz w:val="16"/>
          <w:szCs w:val="16"/>
          <w:u w:val="single" w:color="auto"/>
          <w:color w:val="0000FF"/>
        </w:rPr>
      </w:pPr>
      <w:hyperlink r:id="rId60">
        <w:r>
          <w:rPr>
            <w:rFonts w:ascii="Arial" w:cs="Arial" w:eastAsia="Arial" w:hAnsi="Arial"/>
            <w:sz w:val="16"/>
            <w:szCs w:val="16"/>
            <w:u w:val="single" w:color="auto"/>
            <w:color w:val="0000FF"/>
          </w:rPr>
          <w:t>Right of First Offer Agreement, dated as of August 31, 2018, by and among NRG Yield,</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Inc., Zephyr Renewables LLC and solely for purposes of Section 2.4, GIP III Zephyr</w:t>
        </w:r>
      </w:hyperlink>
      <w:r>
        <w:rPr>
          <w:rFonts w:ascii="Arial" w:cs="Arial" w:eastAsia="Arial" w:hAnsi="Arial"/>
          <w:sz w:val="16"/>
          <w:szCs w:val="16"/>
          <w:u w:val="single" w:color="auto"/>
          <w:color w:val="0000FF"/>
        </w:rPr>
        <w:t xml:space="preserve"> </w:t>
      </w:r>
      <w:hyperlink r:id="rId60">
        <w:r>
          <w:rPr>
            <w:rFonts w:ascii="Arial" w:cs="Arial" w:eastAsia="Arial" w:hAnsi="Arial"/>
            <w:sz w:val="16"/>
            <w:szCs w:val="16"/>
            <w:u w:val="single" w:color="auto"/>
            <w:color w:val="0000FF"/>
          </w:rPr>
          <w:t>Acquisition Partners, L.P.</w:t>
        </w:r>
      </w:hyperlink>
    </w:p>
    <w:p>
      <w:pPr>
        <w:spacing w:after="0" w:line="103" w:lineRule="exact"/>
        <w:rPr>
          <w:rFonts w:ascii="Arial" w:cs="Arial" w:eastAsia="Arial" w:hAnsi="Arial"/>
          <w:sz w:val="16"/>
          <w:szCs w:val="16"/>
          <w:u w:val="single" w:color="auto"/>
          <w:color w:val="0000FF"/>
        </w:rPr>
      </w:pPr>
    </w:p>
    <w:p>
      <w:pPr>
        <w:ind w:right="180"/>
        <w:spacing w:after="0" w:line="293" w:lineRule="auto"/>
        <w:rPr>
          <w:rFonts w:ascii="Arial" w:cs="Arial" w:eastAsia="Arial" w:hAnsi="Arial"/>
          <w:sz w:val="16"/>
          <w:szCs w:val="16"/>
          <w:u w:val="single" w:color="auto"/>
          <w:color w:val="0000FF"/>
        </w:rPr>
      </w:pPr>
      <w:hyperlink r:id="rId61">
        <w:r>
          <w:rPr>
            <w:rFonts w:ascii="Arial" w:cs="Arial" w:eastAsia="Arial" w:hAnsi="Arial"/>
            <w:sz w:val="16"/>
            <w:szCs w:val="16"/>
            <w:u w:val="single" w:color="auto"/>
            <w:color w:val="0000FF"/>
          </w:rPr>
          <w:t>First Amendment to Right of First Offer Agreement, dated February 14, 2019, by and</w:t>
        </w:r>
      </w:hyperlink>
      <w:r>
        <w:rPr>
          <w:rFonts w:ascii="Arial" w:cs="Arial" w:eastAsia="Arial" w:hAnsi="Arial"/>
          <w:sz w:val="16"/>
          <w:szCs w:val="16"/>
          <w:u w:val="single" w:color="auto"/>
          <w:color w:val="0000FF"/>
        </w:rPr>
        <w:t xml:space="preserve"> </w:t>
      </w:r>
      <w:hyperlink r:id="rId61">
        <w:r>
          <w:rPr>
            <w:rFonts w:ascii="Arial" w:cs="Arial" w:eastAsia="Arial" w:hAnsi="Arial"/>
            <w:sz w:val="16"/>
            <w:szCs w:val="16"/>
            <w:u w:val="single" w:color="auto"/>
            <w:color w:val="0000FF"/>
          </w:rPr>
          <w:t>between Clearway Energy Group LLC and Clearway Energy, Inc.</w:t>
        </w:r>
      </w:hyperlink>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4.2 to the Company's Current Report on Form 8-K filed on November 22, 2019.</w:t>
      </w:r>
    </w:p>
    <w:p>
      <w:pPr>
        <w:spacing w:after="0" w:line="200" w:lineRule="exact"/>
        <w:rPr>
          <w:sz w:val="20"/>
          <w:szCs w:val="20"/>
          <w:color w:val="auto"/>
        </w:rPr>
      </w:pPr>
    </w:p>
    <w:p>
      <w:pPr>
        <w:spacing w:after="0" w:line="349" w:lineRule="exact"/>
        <w:rPr>
          <w:sz w:val="20"/>
          <w:szCs w:val="20"/>
          <w:color w:val="auto"/>
        </w:rPr>
      </w:pPr>
    </w:p>
    <w:p>
      <w:pPr>
        <w:ind w:right="60"/>
        <w:spacing w:after="0" w:line="278" w:lineRule="auto"/>
        <w:rPr>
          <w:sz w:val="20"/>
          <w:szCs w:val="20"/>
          <w:color w:val="auto"/>
        </w:rPr>
      </w:pPr>
      <w:r>
        <w:rPr>
          <w:rFonts w:ascii="Arial" w:cs="Arial" w:eastAsia="Arial" w:hAnsi="Arial"/>
          <w:sz w:val="16"/>
          <w:szCs w:val="16"/>
          <w:color w:val="auto"/>
        </w:rPr>
        <w:t>Incorporated herein by reference to Exhibit 4.3 to the Company's Current Report on Form 8-K filed on November 22, 2019.</w:t>
      </w:r>
    </w:p>
    <w:p>
      <w:pPr>
        <w:spacing w:after="0" w:line="200" w:lineRule="exact"/>
        <w:rPr>
          <w:sz w:val="20"/>
          <w:szCs w:val="20"/>
          <w:color w:val="auto"/>
        </w:rPr>
      </w:pPr>
    </w:p>
    <w:p>
      <w:pPr>
        <w:spacing w:after="0" w:line="349"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184"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4.1 to the Company's Current Report on Form 8-K filed on December 12, 2019.</w:t>
      </w:r>
    </w:p>
    <w:p>
      <w:pPr>
        <w:spacing w:after="0" w:line="200" w:lineRule="exact"/>
        <w:rPr>
          <w:sz w:val="20"/>
          <w:szCs w:val="20"/>
          <w:color w:val="auto"/>
        </w:rPr>
      </w:pPr>
    </w:p>
    <w:p>
      <w:pPr>
        <w:spacing w:after="0" w:line="268"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Incorporated herein by reference to Exhibit 4.37 to the Company's Annual Report on Form 10-K filed on March 2, 2020.</w:t>
      </w:r>
    </w:p>
    <w:p>
      <w:pPr>
        <w:spacing w:after="0" w:line="200" w:lineRule="exact"/>
        <w:rPr>
          <w:sz w:val="20"/>
          <w:szCs w:val="20"/>
          <w:color w:val="auto"/>
        </w:rPr>
      </w:pPr>
    </w:p>
    <w:p>
      <w:pPr>
        <w:spacing w:after="0" w:line="268"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10.5 to Clearway Energy, Inc.'s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Current Report on Form 8-K filed on September 5, 2018.</w:t>
      </w:r>
    </w:p>
    <w:p>
      <w:pPr>
        <w:spacing w:after="0" w:line="184" w:lineRule="exact"/>
        <w:rPr>
          <w:sz w:val="20"/>
          <w:szCs w:val="20"/>
          <w:color w:val="auto"/>
        </w:rPr>
      </w:pPr>
    </w:p>
    <w:p>
      <w:pPr>
        <w:ind w:right="2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February 14, 2019.</w:t>
      </w:r>
    </w:p>
    <w:p>
      <w:pPr>
        <w:spacing w:after="0" w:line="103" w:lineRule="exact"/>
        <w:rPr>
          <w:sz w:val="20"/>
          <w:szCs w:val="20"/>
          <w:color w:val="auto"/>
        </w:rPr>
      </w:pPr>
    </w:p>
    <w:p>
      <w:pPr>
        <w:sectPr>
          <w:pgSz w:w="11900" w:h="16838" w:orient="portrait"/>
          <w:cols w:equalWidth="0" w:num="3">
            <w:col w:w="400" w:space="620"/>
            <w:col w:w="5740" w:space="200"/>
            <w:col w:w="4200"/>
          </w:cols>
          <w:pgMar w:left="360" w:top="724" w:right="379" w:bottom="0" w:gutter="0" w:footer="0" w:header="0"/>
        </w:sectPr>
      </w:pPr>
    </w:p>
    <w:p>
      <w:pPr>
        <w:spacing w:after="0"/>
        <w:rPr>
          <w:sz w:val="20"/>
          <w:szCs w:val="20"/>
          <w:color w:val="auto"/>
        </w:rPr>
      </w:pPr>
      <w:r>
        <w:rPr>
          <w:rFonts w:ascii="Arial" w:cs="Arial" w:eastAsia="Arial" w:hAnsi="Arial"/>
          <w:sz w:val="14"/>
          <w:szCs w:val="14"/>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4"/>
          <w:szCs w:val="14"/>
          <w:color w:val="auto"/>
        </w:rPr>
        <w:t>10.2.4</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6"/>
          <w:szCs w:val="16"/>
          <w:color w:val="auto"/>
        </w:rPr>
        <w:t>10.3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br w:type="column"/>
      </w:r>
    </w:p>
    <w:p>
      <w:pPr>
        <w:ind w:right="140"/>
        <w:spacing w:after="0" w:line="293" w:lineRule="auto"/>
        <w:rPr>
          <w:rFonts w:ascii="Arial" w:cs="Arial" w:eastAsia="Arial" w:hAnsi="Arial"/>
          <w:sz w:val="16"/>
          <w:szCs w:val="16"/>
          <w:u w:val="single" w:color="auto"/>
          <w:color w:val="0000FF"/>
        </w:rPr>
      </w:pPr>
      <w:hyperlink r:id="rId62">
        <w:r>
          <w:rPr>
            <w:rFonts w:ascii="Arial" w:cs="Arial" w:eastAsia="Arial" w:hAnsi="Arial"/>
            <w:sz w:val="16"/>
            <w:szCs w:val="16"/>
            <w:u w:val="single" w:color="auto"/>
            <w:color w:val="0000FF"/>
          </w:rPr>
          <w:t>Second Amendment to Right of First Offer Agreement, dated August 1, 2019, by and</w:t>
        </w:r>
      </w:hyperlink>
      <w:r>
        <w:rPr>
          <w:rFonts w:ascii="Arial" w:cs="Arial" w:eastAsia="Arial" w:hAnsi="Arial"/>
          <w:sz w:val="16"/>
          <w:szCs w:val="16"/>
          <w:u w:val="single" w:color="auto"/>
          <w:color w:val="0000FF"/>
        </w:rPr>
        <w:t xml:space="preserve"> </w:t>
      </w:r>
      <w:hyperlink r:id="rId62">
        <w:r>
          <w:rPr>
            <w:rFonts w:ascii="Arial" w:cs="Arial" w:eastAsia="Arial" w:hAnsi="Arial"/>
            <w:sz w:val="16"/>
            <w:szCs w:val="16"/>
            <w:u w:val="single" w:color="auto"/>
            <w:color w:val="0000FF"/>
          </w:rPr>
          <w:t>between Clearway Energy Group LLC and Clearway Energy, Inc.</w:t>
        </w:r>
      </w:hyperlink>
    </w:p>
    <w:p>
      <w:pPr>
        <w:spacing w:after="0" w:line="200" w:lineRule="exact"/>
        <w:rPr>
          <w:sz w:val="20"/>
          <w:szCs w:val="20"/>
          <w:color w:val="auto"/>
        </w:rPr>
      </w:pPr>
    </w:p>
    <w:p>
      <w:pPr>
        <w:spacing w:after="0" w:line="377" w:lineRule="exact"/>
        <w:rPr>
          <w:sz w:val="20"/>
          <w:szCs w:val="20"/>
          <w:color w:val="auto"/>
        </w:rPr>
      </w:pPr>
    </w:p>
    <w:p>
      <w:pPr>
        <w:spacing w:after="0" w:line="278" w:lineRule="auto"/>
        <w:rPr>
          <w:rFonts w:ascii="Arial" w:cs="Arial" w:eastAsia="Arial" w:hAnsi="Arial"/>
          <w:sz w:val="16"/>
          <w:szCs w:val="16"/>
          <w:u w:val="single" w:color="auto"/>
          <w:color w:val="0000FF"/>
        </w:rPr>
      </w:pPr>
      <w:hyperlink r:id="rId63">
        <w:r>
          <w:rPr>
            <w:rFonts w:ascii="Arial" w:cs="Arial" w:eastAsia="Arial" w:hAnsi="Arial"/>
            <w:sz w:val="16"/>
            <w:szCs w:val="16"/>
            <w:u w:val="single" w:color="auto"/>
            <w:color w:val="0000FF"/>
          </w:rPr>
          <w:t>Third Amendment to Right of First Offer Agreement, dated as of December 6, 2019, by</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and between Clearway Energy Group LLC, Clearway Energy, Inc. and GIP III Zephyr</w:t>
        </w:r>
      </w:hyperlink>
      <w:r>
        <w:rPr>
          <w:rFonts w:ascii="Arial" w:cs="Arial" w:eastAsia="Arial" w:hAnsi="Arial"/>
          <w:sz w:val="16"/>
          <w:szCs w:val="16"/>
          <w:u w:val="single" w:color="auto"/>
          <w:color w:val="0000FF"/>
        </w:rPr>
        <w:t xml:space="preserve"> </w:t>
      </w:r>
      <w:hyperlink r:id="rId63">
        <w:r>
          <w:rPr>
            <w:rFonts w:ascii="Arial" w:cs="Arial" w:eastAsia="Arial" w:hAnsi="Arial"/>
            <w:sz w:val="16"/>
            <w:szCs w:val="16"/>
            <w:u w:val="single" w:color="auto"/>
            <w:color w:val="0000FF"/>
          </w:rPr>
          <w:t>Acquisition Partners, L.P.</w:t>
        </w:r>
      </w:hyperlink>
    </w:p>
    <w:p>
      <w:pPr>
        <w:spacing w:after="0" w:line="306" w:lineRule="exact"/>
        <w:rPr>
          <w:rFonts w:ascii="Arial" w:cs="Arial" w:eastAsia="Arial" w:hAnsi="Arial"/>
          <w:sz w:val="16"/>
          <w:szCs w:val="16"/>
          <w:u w:val="single" w:color="auto"/>
          <w:color w:val="0000FF"/>
        </w:rPr>
      </w:pPr>
    </w:p>
    <w:p>
      <w:pPr>
        <w:ind w:right="160"/>
        <w:spacing w:after="0" w:line="369" w:lineRule="auto"/>
        <w:rPr>
          <w:rFonts w:ascii="Arial" w:cs="Arial" w:eastAsia="Arial" w:hAnsi="Arial"/>
          <w:sz w:val="14"/>
          <w:szCs w:val="14"/>
          <w:u w:val="single" w:color="auto"/>
          <w:color w:val="0000FF"/>
        </w:rPr>
      </w:pPr>
      <w:hyperlink r:id="rId64">
        <w:r>
          <w:rPr>
            <w:rFonts w:ascii="Arial" w:cs="Arial" w:eastAsia="Arial" w:hAnsi="Arial"/>
            <w:sz w:val="14"/>
            <w:szCs w:val="14"/>
            <w:u w:val="single" w:color="auto"/>
            <w:color w:val="0000FF"/>
          </w:rPr>
          <w:t>Master Services Agreement, dated as of August 31, 2018, by and among NRG Yield,</w:t>
        </w:r>
      </w:hyperlink>
      <w:r>
        <w:rPr>
          <w:rFonts w:ascii="Arial" w:cs="Arial" w:eastAsia="Arial" w:hAnsi="Arial"/>
          <w:sz w:val="14"/>
          <w:szCs w:val="14"/>
          <w:u w:val="single" w:color="auto"/>
          <w:color w:val="0000FF"/>
        </w:rPr>
        <w:t xml:space="preserve"> </w:t>
      </w:r>
      <w:hyperlink r:id="rId64">
        <w:r>
          <w:rPr>
            <w:rFonts w:ascii="Arial" w:cs="Arial" w:eastAsia="Arial" w:hAnsi="Arial"/>
            <w:sz w:val="14"/>
            <w:szCs w:val="14"/>
            <w:u w:val="single" w:color="auto"/>
            <w:color w:val="0000FF"/>
          </w:rPr>
          <w:t>Inc., NRG Yield LLC, NRG Yield Operating LLC and Zephyr Renewables LLC.</w:t>
        </w:r>
      </w:hyperlink>
    </w:p>
    <w:p>
      <w:pPr>
        <w:spacing w:after="0" w:line="328" w:lineRule="exact"/>
        <w:rPr>
          <w:sz w:val="20"/>
          <w:szCs w:val="20"/>
          <w:color w:val="auto"/>
        </w:rPr>
      </w:pPr>
    </w:p>
    <w:p>
      <w:pPr>
        <w:ind w:right="80"/>
        <w:spacing w:after="0" w:line="328" w:lineRule="auto"/>
        <w:rPr>
          <w:rFonts w:ascii="Arial" w:cs="Arial" w:eastAsia="Arial" w:hAnsi="Arial"/>
          <w:sz w:val="15"/>
          <w:szCs w:val="15"/>
          <w:u w:val="single" w:color="auto"/>
          <w:color w:val="0000FF"/>
        </w:rPr>
      </w:pPr>
      <w:hyperlink r:id="rId65">
        <w:r>
          <w:rPr>
            <w:rFonts w:ascii="Arial" w:cs="Arial" w:eastAsia="Arial" w:hAnsi="Arial"/>
            <w:sz w:val="15"/>
            <w:szCs w:val="15"/>
            <w:u w:val="single" w:color="auto"/>
            <w:color w:val="0000FF"/>
          </w:rPr>
          <w:t>Master Services Agreement, dated as of August 31, 2018, by and among Zephyr</w:t>
        </w:r>
      </w:hyperlink>
      <w:r>
        <w:rPr>
          <w:rFonts w:ascii="Arial" w:cs="Arial" w:eastAsia="Arial" w:hAnsi="Arial"/>
          <w:sz w:val="15"/>
          <w:szCs w:val="15"/>
          <w:u w:val="single" w:color="auto"/>
          <w:color w:val="0000FF"/>
        </w:rPr>
        <w:t xml:space="preserve"> </w:t>
      </w:r>
      <w:hyperlink r:id="rId65">
        <w:r>
          <w:rPr>
            <w:rFonts w:ascii="Arial" w:cs="Arial" w:eastAsia="Arial" w:hAnsi="Arial"/>
            <w:sz w:val="15"/>
            <w:szCs w:val="15"/>
            <w:u w:val="single" w:color="auto"/>
            <w:color w:val="0000FF"/>
          </w:rPr>
          <w:t>Renewables LLC, NRG Yield, Inc., NRG Yield LLC, and NRG Yield Operating LLC.</w:t>
        </w:r>
      </w:hyperlink>
    </w:p>
    <w:p>
      <w:pPr>
        <w:spacing w:after="0" w:line="352" w:lineRule="exact"/>
        <w:rPr>
          <w:sz w:val="20"/>
          <w:szCs w:val="20"/>
          <w:color w:val="auto"/>
        </w:rPr>
      </w:pPr>
    </w:p>
    <w:p>
      <w:pPr>
        <w:ind w:right="80"/>
        <w:spacing w:after="0" w:line="293" w:lineRule="auto"/>
        <w:rPr>
          <w:rFonts w:ascii="Arial" w:cs="Arial" w:eastAsia="Arial" w:hAnsi="Arial"/>
          <w:sz w:val="16"/>
          <w:szCs w:val="16"/>
          <w:u w:val="single" w:color="auto"/>
          <w:color w:val="0000FF"/>
        </w:rPr>
      </w:pPr>
      <w:hyperlink r:id="rId66">
        <w:r>
          <w:rPr>
            <w:rFonts w:ascii="Arial" w:cs="Arial" w:eastAsia="Arial" w:hAnsi="Arial"/>
            <w:sz w:val="16"/>
            <w:szCs w:val="16"/>
            <w:u w:val="single" w:color="auto"/>
            <w:color w:val="0000FF"/>
          </w:rPr>
          <w:t>Termination Agreement, dated as of August 31, 2018, by and among NRG Yield, Inc.,</w:t>
        </w:r>
      </w:hyperlink>
      <w:r>
        <w:rPr>
          <w:rFonts w:ascii="Arial" w:cs="Arial" w:eastAsia="Arial" w:hAnsi="Arial"/>
          <w:sz w:val="16"/>
          <w:szCs w:val="16"/>
          <w:u w:val="single" w:color="auto"/>
          <w:color w:val="0000FF"/>
        </w:rPr>
        <w:t xml:space="preserve"> </w:t>
      </w:r>
      <w:hyperlink r:id="rId66">
        <w:r>
          <w:rPr>
            <w:rFonts w:ascii="Arial" w:cs="Arial" w:eastAsia="Arial" w:hAnsi="Arial"/>
            <w:sz w:val="16"/>
            <w:szCs w:val="16"/>
            <w:u w:val="single" w:color="auto"/>
            <w:color w:val="0000FF"/>
          </w:rPr>
          <w:t>NRG Yield LLC, NRG Yield Operating LLC and NRG Energy, Inc.</w:t>
        </w:r>
      </w:hyperlink>
    </w:p>
    <w:p>
      <w:pPr>
        <w:spacing w:after="0" w:line="20" w:lineRule="exact"/>
        <w:rPr>
          <w:sz w:val="20"/>
          <w:szCs w:val="20"/>
          <w:color w:val="auto"/>
        </w:rPr>
      </w:pPr>
      <w:r>
        <w:rPr>
          <w:sz w:val="20"/>
          <w:szCs w:val="20"/>
          <w:color w:val="auto"/>
        </w:rPr>
        <w:br w:type="column"/>
      </w: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August 6, 2019.</w:t>
      </w:r>
    </w:p>
    <w:p>
      <w:pPr>
        <w:spacing w:after="0" w:line="387"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9, 2019.</w:t>
      </w:r>
    </w:p>
    <w:p>
      <w:pPr>
        <w:spacing w:after="0" w:line="306"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Current Report on Form 8-K filed on September 5, 2018.</w:t>
      </w:r>
    </w:p>
    <w:p>
      <w:pPr>
        <w:spacing w:after="0" w:line="184" w:lineRule="exact"/>
        <w:rPr>
          <w:sz w:val="20"/>
          <w:szCs w:val="20"/>
          <w:color w:val="auto"/>
        </w:rPr>
      </w:pPr>
    </w:p>
    <w:p>
      <w:pPr>
        <w:ind w:right="140"/>
        <w:spacing w:after="0" w:line="278" w:lineRule="auto"/>
        <w:rPr>
          <w:sz w:val="20"/>
          <w:szCs w:val="20"/>
          <w:color w:val="auto"/>
        </w:rPr>
      </w:pPr>
      <w:r>
        <w:rPr>
          <w:rFonts w:ascii="Arial" w:cs="Arial" w:eastAsia="Arial" w:hAnsi="Arial"/>
          <w:sz w:val="16"/>
          <w:szCs w:val="16"/>
          <w:color w:val="auto"/>
        </w:rPr>
        <w:t>Incorporated herein by reference to Exhibit 10.9 to Clearway Energy, Inc.'s Current Report on Form 8-K filed on September 5, 2018.</w:t>
      </w:r>
    </w:p>
    <w:p>
      <w:pPr>
        <w:spacing w:after="0" w:line="103" w:lineRule="exact"/>
        <w:rPr>
          <w:sz w:val="20"/>
          <w:szCs w:val="20"/>
          <w:color w:val="auto"/>
        </w:rPr>
      </w:pPr>
    </w:p>
    <w:p>
      <w:pPr>
        <w:sectPr>
          <w:pgSz w:w="11900" w:h="16838" w:orient="portrait"/>
          <w:cols w:equalWidth="0" w:num="3">
            <w:col w:w="400" w:space="620"/>
            <w:col w:w="5680" w:space="260"/>
            <w:col w:w="4200"/>
          </w:cols>
          <w:pgMar w:left="360" w:top="724" w:right="379" w:bottom="0" w:gutter="0" w:footer="0" w:header="0"/>
          <w:type w:val="continuous"/>
        </w:sectPr>
      </w:pPr>
    </w:p>
    <w:p>
      <w:pPr>
        <w:spacing w:after="0"/>
        <w:rPr>
          <w:sz w:val="20"/>
          <w:szCs w:val="20"/>
          <w:color w:val="auto"/>
        </w:rPr>
      </w:pPr>
      <w:r>
        <w:rPr>
          <w:rFonts w:ascii="Arial" w:cs="Arial" w:eastAsia="Arial" w:hAnsi="Arial"/>
          <w:sz w:val="14"/>
          <w:szCs w:val="14"/>
          <w:color w:val="auto"/>
        </w:rPr>
        <w:t>10.6.1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auto"/>
        </w:rPr>
        <w:t>10.6.2</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10.6.3</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color w:val="auto"/>
        </w:rPr>
        <w:t>10.6.4</w:t>
      </w:r>
    </w:p>
    <w:p>
      <w:pPr>
        <w:spacing w:after="0" w:line="20" w:lineRule="exact"/>
        <w:rPr>
          <w:sz w:val="20"/>
          <w:szCs w:val="20"/>
          <w:color w:val="auto"/>
        </w:rPr>
      </w:pPr>
      <w:r>
        <w:rPr>
          <w:sz w:val="20"/>
          <w:szCs w:val="20"/>
          <w:color w:val="auto"/>
        </w:rPr>
        <w:br w:type="column"/>
      </w:r>
    </w:p>
    <w:p>
      <w:pPr>
        <w:ind w:right="40"/>
        <w:spacing w:after="0" w:line="271" w:lineRule="auto"/>
        <w:rPr>
          <w:rFonts w:ascii="Arial" w:cs="Arial" w:eastAsia="Arial" w:hAnsi="Arial"/>
          <w:sz w:val="16"/>
          <w:szCs w:val="16"/>
          <w:u w:val="single" w:color="auto"/>
          <w:color w:val="0000FF"/>
        </w:rPr>
      </w:pPr>
      <w:hyperlink r:id="rId67">
        <w:r>
          <w:rPr>
            <w:rFonts w:ascii="Arial" w:cs="Arial" w:eastAsia="Arial" w:hAnsi="Arial"/>
            <w:sz w:val="16"/>
            <w:szCs w:val="16"/>
            <w:u w:val="single" w:color="auto"/>
            <w:color w:val="0000FF"/>
          </w:rPr>
          <w:t>Amended and Restated Credit Agreement, dated April 25, 2014, by and among NRG</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Yield Operating LLC, NRG Yield LLC, Royal Bank of Canada, as Administrative</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Agent, the lenders party thereto, Royal Bank of Canada, Goldman Sachs Bank USA and</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Bank of America, N.A., as L/C Issuers and RBC Capital Markets as Sole Left Lead</w:t>
        </w:r>
      </w:hyperlink>
      <w:r>
        <w:rPr>
          <w:rFonts w:ascii="Arial" w:cs="Arial" w:eastAsia="Arial" w:hAnsi="Arial"/>
          <w:sz w:val="16"/>
          <w:szCs w:val="16"/>
          <w:u w:val="single" w:color="auto"/>
          <w:color w:val="0000FF"/>
        </w:rPr>
        <w:t xml:space="preserve"> </w:t>
      </w:r>
      <w:hyperlink r:id="rId67">
        <w:r>
          <w:rPr>
            <w:rFonts w:ascii="Arial" w:cs="Arial" w:eastAsia="Arial" w:hAnsi="Arial"/>
            <w:sz w:val="16"/>
            <w:szCs w:val="16"/>
            <w:u w:val="single" w:color="auto"/>
            <w:color w:val="0000FF"/>
          </w:rPr>
          <w:t>Arranger and Sole Left Lead Book Runner.</w:t>
        </w:r>
      </w:hyperlink>
    </w:p>
    <w:p>
      <w:pPr>
        <w:spacing w:after="0" w:line="109" w:lineRule="exact"/>
        <w:rPr>
          <w:rFonts w:ascii="Arial" w:cs="Arial" w:eastAsia="Arial" w:hAnsi="Arial"/>
          <w:sz w:val="16"/>
          <w:szCs w:val="16"/>
          <w:u w:val="single" w:color="auto"/>
          <w:color w:val="0000FF"/>
        </w:rPr>
      </w:pPr>
    </w:p>
    <w:p>
      <w:pPr>
        <w:spacing w:after="0" w:line="278" w:lineRule="auto"/>
        <w:rPr>
          <w:rFonts w:ascii="Arial" w:cs="Arial" w:eastAsia="Arial" w:hAnsi="Arial"/>
          <w:sz w:val="16"/>
          <w:szCs w:val="16"/>
          <w:u w:val="single" w:color="auto"/>
          <w:color w:val="0000FF"/>
        </w:rPr>
      </w:pPr>
      <w:hyperlink r:id="rId68">
        <w:r>
          <w:rPr>
            <w:rFonts w:ascii="Arial" w:cs="Arial" w:eastAsia="Arial" w:hAnsi="Arial"/>
            <w:sz w:val="16"/>
            <w:szCs w:val="16"/>
            <w:u w:val="single" w:color="auto"/>
            <w:color w:val="0000FF"/>
          </w:rPr>
          <w:t>First Amendment to Amended &amp; Restated Credit Agreement, dated June 26, 2015, by</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and among NRG Yield Operating LLC, NRG Yield LLC, Royal Bank of Canada and the</w:t>
        </w:r>
      </w:hyperlink>
      <w:r>
        <w:rPr>
          <w:rFonts w:ascii="Arial" w:cs="Arial" w:eastAsia="Arial" w:hAnsi="Arial"/>
          <w:sz w:val="16"/>
          <w:szCs w:val="16"/>
          <w:u w:val="single" w:color="auto"/>
          <w:color w:val="0000FF"/>
        </w:rPr>
        <w:t xml:space="preserve"> </w:t>
      </w:r>
      <w:hyperlink r:id="rId68">
        <w:r>
          <w:rPr>
            <w:rFonts w:ascii="Arial" w:cs="Arial" w:eastAsia="Arial" w:hAnsi="Arial"/>
            <w:sz w:val="16"/>
            <w:szCs w:val="16"/>
            <w:u w:val="single" w:color="auto"/>
            <w:color w:val="0000FF"/>
          </w:rPr>
          <w:t>Lenders party thereto.</w:t>
        </w:r>
      </w:hyperlink>
    </w:p>
    <w:p>
      <w:pPr>
        <w:spacing w:after="0" w:line="144" w:lineRule="exact"/>
        <w:rPr>
          <w:rFonts w:ascii="Arial" w:cs="Arial" w:eastAsia="Arial" w:hAnsi="Arial"/>
          <w:sz w:val="16"/>
          <w:szCs w:val="16"/>
          <w:u w:val="single" w:color="auto"/>
          <w:color w:val="0000FF"/>
        </w:rPr>
      </w:pPr>
    </w:p>
    <w:p>
      <w:pPr>
        <w:spacing w:after="0" w:line="305" w:lineRule="auto"/>
        <w:rPr>
          <w:rFonts w:ascii="Arial" w:cs="Arial" w:eastAsia="Arial" w:hAnsi="Arial"/>
          <w:sz w:val="15"/>
          <w:szCs w:val="15"/>
          <w:u w:val="single" w:color="auto"/>
          <w:color w:val="0000FF"/>
        </w:rPr>
      </w:pPr>
      <w:hyperlink r:id="rId69">
        <w:r>
          <w:rPr>
            <w:rFonts w:ascii="Arial" w:cs="Arial" w:eastAsia="Arial" w:hAnsi="Arial"/>
            <w:sz w:val="15"/>
            <w:szCs w:val="15"/>
            <w:u w:val="single" w:color="auto"/>
            <w:color w:val="0000FF"/>
          </w:rPr>
          <w:t>Second Amendment to Amended &amp; Restated Credit Agreement, dated February 6, 2018,</w:t>
        </w:r>
      </w:hyperlink>
      <w:r>
        <w:rPr>
          <w:rFonts w:ascii="Arial" w:cs="Arial" w:eastAsia="Arial" w:hAnsi="Arial"/>
          <w:sz w:val="15"/>
          <w:szCs w:val="15"/>
          <w:u w:val="single" w:color="auto"/>
          <w:color w:val="0000FF"/>
        </w:rPr>
        <w:t xml:space="preserve"> </w:t>
      </w:r>
      <w:hyperlink r:id="rId69">
        <w:r>
          <w:rPr>
            <w:rFonts w:ascii="Arial" w:cs="Arial" w:eastAsia="Arial" w:hAnsi="Arial"/>
            <w:sz w:val="15"/>
            <w:szCs w:val="15"/>
            <w:u w:val="single" w:color="auto"/>
            <w:color w:val="0000FF"/>
          </w:rPr>
          <w:t>by and among NRG Yield Operating LLC, NRG Yield LLC, the guarantors party</w:t>
        </w:r>
      </w:hyperlink>
      <w:r>
        <w:rPr>
          <w:rFonts w:ascii="Arial" w:cs="Arial" w:eastAsia="Arial" w:hAnsi="Arial"/>
          <w:sz w:val="15"/>
          <w:szCs w:val="15"/>
          <w:u w:val="single" w:color="auto"/>
          <w:color w:val="0000FF"/>
        </w:rPr>
        <w:t xml:space="preserve"> </w:t>
      </w:r>
      <w:hyperlink r:id="rId69">
        <w:r>
          <w:rPr>
            <w:rFonts w:ascii="Arial" w:cs="Arial" w:eastAsia="Arial" w:hAnsi="Arial"/>
            <w:sz w:val="15"/>
            <w:szCs w:val="15"/>
            <w:u w:val="single" w:color="auto"/>
            <w:color w:val="0000FF"/>
          </w:rPr>
          <w:t>thereto, Royal Bank of Canada, as Administrative Agent, and the lenders party thereto.</w:t>
        </w:r>
      </w:hyperlink>
    </w:p>
    <w:p>
      <w:pPr>
        <w:spacing w:after="0" w:line="287" w:lineRule="exact"/>
        <w:rPr>
          <w:rFonts w:ascii="Arial" w:cs="Arial" w:eastAsia="Arial" w:hAnsi="Arial"/>
          <w:sz w:val="15"/>
          <w:szCs w:val="15"/>
          <w:u w:val="single" w:color="auto"/>
          <w:color w:val="0000FF"/>
        </w:rPr>
      </w:pPr>
    </w:p>
    <w:p>
      <w:pPr>
        <w:ind w:right="20"/>
        <w:spacing w:after="0" w:line="305" w:lineRule="auto"/>
        <w:rPr>
          <w:rFonts w:ascii="Arial" w:cs="Arial" w:eastAsia="Arial" w:hAnsi="Arial"/>
          <w:sz w:val="15"/>
          <w:szCs w:val="15"/>
          <w:u w:val="single" w:color="auto"/>
          <w:color w:val="0000FF"/>
        </w:rPr>
      </w:pPr>
      <w:hyperlink r:id="rId70">
        <w:r>
          <w:rPr>
            <w:rFonts w:ascii="Arial" w:cs="Arial" w:eastAsia="Arial" w:hAnsi="Arial"/>
            <w:sz w:val="15"/>
            <w:szCs w:val="15"/>
            <w:u w:val="single" w:color="auto"/>
            <w:color w:val="0000FF"/>
          </w:rPr>
          <w:t>Third Amendment to Amended and Restated Credit Agreement and Administrative</w:t>
        </w:r>
      </w:hyperlink>
      <w:r>
        <w:rPr>
          <w:rFonts w:ascii="Arial" w:cs="Arial" w:eastAsia="Arial" w:hAnsi="Arial"/>
          <w:sz w:val="15"/>
          <w:szCs w:val="15"/>
          <w:u w:val="single" w:color="auto"/>
          <w:color w:val="0000FF"/>
        </w:rPr>
        <w:t xml:space="preserve"> </w:t>
      </w:r>
      <w:hyperlink r:id="rId70">
        <w:r>
          <w:rPr>
            <w:rFonts w:ascii="Arial" w:cs="Arial" w:eastAsia="Arial" w:hAnsi="Arial"/>
            <w:sz w:val="15"/>
            <w:szCs w:val="15"/>
            <w:u w:val="single" w:color="auto"/>
            <w:color w:val="0000FF"/>
          </w:rPr>
          <w:t>Agent Resignation and Appointment Agreement, dated as of April 30, 2018, by and</w:t>
        </w:r>
      </w:hyperlink>
      <w:r>
        <w:rPr>
          <w:rFonts w:ascii="Arial" w:cs="Arial" w:eastAsia="Arial" w:hAnsi="Arial"/>
          <w:sz w:val="15"/>
          <w:szCs w:val="15"/>
          <w:u w:val="single" w:color="auto"/>
          <w:color w:val="0000FF"/>
        </w:rPr>
        <w:t xml:space="preserve"> </w:t>
      </w:r>
      <w:hyperlink r:id="rId70">
        <w:r>
          <w:rPr>
            <w:rFonts w:ascii="Arial" w:cs="Arial" w:eastAsia="Arial" w:hAnsi="Arial"/>
            <w:sz w:val="15"/>
            <w:szCs w:val="15"/>
            <w:u w:val="single" w:color="auto"/>
            <w:color w:val="0000FF"/>
          </w:rPr>
          <w:t>among NRG Yield Operating LLC, NRG Yield LLC, the guarantors party thereto, Royal</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ind w:right="160"/>
        <w:spacing w:after="0" w:line="369" w:lineRule="auto"/>
        <w:rPr>
          <w:sz w:val="20"/>
          <w:szCs w:val="20"/>
          <w:color w:val="auto"/>
        </w:rPr>
      </w:pPr>
      <w:r>
        <w:rPr>
          <w:rFonts w:ascii="Arial" w:cs="Arial" w:eastAsia="Arial" w:hAnsi="Arial"/>
          <w:sz w:val="14"/>
          <w:szCs w:val="14"/>
          <w:color w:val="auto"/>
        </w:rPr>
        <w:t>Incorporated by reference to Exhibit 10.1 to Clearway Energy, Inc.'s Current Report on Form 8-K filed on April 28, 2014.</w:t>
      </w:r>
    </w:p>
    <w:p>
      <w:pPr>
        <w:spacing w:after="0" w:line="200" w:lineRule="exact"/>
        <w:rPr>
          <w:rFonts w:ascii="Arial" w:cs="Arial" w:eastAsia="Arial" w:hAnsi="Arial"/>
          <w:sz w:val="15"/>
          <w:szCs w:val="15"/>
          <w:u w:val="single" w:color="auto"/>
          <w:color w:val="0000FF"/>
        </w:rPr>
      </w:pPr>
    </w:p>
    <w:p>
      <w:pPr>
        <w:spacing w:after="0" w:line="371" w:lineRule="exact"/>
        <w:rPr>
          <w:rFonts w:ascii="Arial" w:cs="Arial" w:eastAsia="Arial" w:hAnsi="Arial"/>
          <w:sz w:val="15"/>
          <w:szCs w:val="15"/>
          <w:u w:val="single" w:color="auto"/>
          <w:color w:val="0000FF"/>
        </w:rPr>
      </w:pPr>
    </w:p>
    <w:p>
      <w:pPr>
        <w:spacing w:after="0" w:line="278" w:lineRule="auto"/>
        <w:rPr>
          <w:sz w:val="20"/>
          <w:szCs w:val="20"/>
          <w:color w:val="auto"/>
        </w:rPr>
      </w:pPr>
      <w:r>
        <w:rPr>
          <w:rFonts w:ascii="Arial" w:cs="Arial" w:eastAsia="Arial" w:hAnsi="Arial"/>
          <w:sz w:val="16"/>
          <w:szCs w:val="16"/>
          <w:color w:val="auto"/>
        </w:rPr>
        <w:t>Incorporated herein by reference to Exhibit 10.9 to Clearway Energy, Inc.'s Quarterly Report on Form 10-Q filed on August 4, 2015.</w:t>
      </w:r>
    </w:p>
    <w:p>
      <w:pPr>
        <w:spacing w:after="0" w:line="225" w:lineRule="exact"/>
        <w:rPr>
          <w:rFonts w:ascii="Arial" w:cs="Arial" w:eastAsia="Arial" w:hAnsi="Arial"/>
          <w:sz w:val="15"/>
          <w:szCs w:val="15"/>
          <w:u w:val="single" w:color="auto"/>
          <w:color w:val="0000FF"/>
        </w:rPr>
      </w:pPr>
    </w:p>
    <w:p>
      <w:pPr>
        <w:ind w:right="1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February 12, 2018.</w:t>
      </w:r>
    </w:p>
    <w:p>
      <w:pPr>
        <w:spacing w:after="0" w:line="225" w:lineRule="exact"/>
        <w:rPr>
          <w:rFonts w:ascii="Arial" w:cs="Arial" w:eastAsia="Arial" w:hAnsi="Arial"/>
          <w:sz w:val="15"/>
          <w:szCs w:val="15"/>
          <w:u w:val="single" w:color="auto"/>
          <w:color w:val="0000FF"/>
        </w:rPr>
      </w:pPr>
    </w:p>
    <w:p>
      <w:pPr>
        <w:ind w:right="320"/>
        <w:spacing w:after="0" w:line="278" w:lineRule="auto"/>
        <w:rPr>
          <w:sz w:val="20"/>
          <w:szCs w:val="20"/>
          <w:color w:val="auto"/>
        </w:rPr>
      </w:pPr>
      <w:r>
        <w:rPr>
          <w:rFonts w:ascii="Arial" w:cs="Arial" w:eastAsia="Arial" w:hAnsi="Arial"/>
          <w:sz w:val="16"/>
          <w:szCs w:val="16"/>
          <w:color w:val="auto"/>
        </w:rPr>
        <w:t>Incorporated herein by reference to Exhibit 10.1 to the Company's Quarterly Report on Form 10-Q filed on May 3, 2018.</w:t>
      </w:r>
    </w:p>
    <w:p>
      <w:pPr>
        <w:sectPr>
          <w:pgSz w:w="11900" w:h="16838" w:orient="portrait"/>
          <w:cols w:equalWidth="0" w:num="3">
            <w:col w:w="400" w:space="620"/>
            <w:col w:w="5760" w:space="180"/>
            <w:col w:w="4200"/>
          </w:cols>
          <w:pgMar w:left="360" w:top="724" w:right="379" w:bottom="0" w:gutter="0" w:footer="0" w:header="0"/>
          <w:type w:val="continuous"/>
        </w:sectPr>
      </w:pPr>
    </w:p>
    <w:bookmarkStart w:id="8" w:name="page9"/>
    <w:bookmarkEnd w:id="8"/>
    <w:p>
      <w:pPr>
        <w:ind w:right="3499"/>
        <w:spacing w:after="0" w:line="293" w:lineRule="auto"/>
        <w:rPr>
          <w:rFonts w:ascii="Arial" w:cs="Arial" w:eastAsia="Arial" w:hAnsi="Arial"/>
          <w:sz w:val="16"/>
          <w:szCs w:val="16"/>
          <w:u w:val="single" w:color="auto"/>
          <w:color w:val="0000FF"/>
        </w:rPr>
      </w:pPr>
      <w:hyperlink r:id="rId70">
        <w:r>
          <w:rPr>
            <w:rFonts w:ascii="Arial" w:cs="Arial" w:eastAsia="Arial" w:hAnsi="Arial"/>
            <w:sz w:val="16"/>
            <w:szCs w:val="16"/>
            <w:u w:val="single" w:color="auto"/>
            <w:color w:val="0000FF"/>
          </w:rPr>
          <w:t>Bank of Canada, as Resigning Administrative Agent, JPMorgan Chase Bank, N.A., as</w:t>
        </w:r>
      </w:hyperlink>
      <w:r>
        <w:rPr>
          <w:rFonts w:ascii="Arial" w:cs="Arial" w:eastAsia="Arial" w:hAnsi="Arial"/>
          <w:sz w:val="16"/>
          <w:szCs w:val="16"/>
          <w:u w:val="single" w:color="auto"/>
          <w:color w:val="0000FF"/>
        </w:rPr>
        <w:t xml:space="preserve"> </w:t>
      </w:r>
      <w:hyperlink r:id="rId70">
        <w:r>
          <w:rPr>
            <w:rFonts w:ascii="Arial" w:cs="Arial" w:eastAsia="Arial" w:hAnsi="Arial"/>
            <w:sz w:val="16"/>
            <w:szCs w:val="16"/>
            <w:u w:val="single" w:color="auto"/>
            <w:color w:val="0000FF"/>
          </w:rPr>
          <w:t>Successor Administrative Agent, and the lenders party thereto.</w:t>
        </w:r>
      </w:hyperlink>
    </w:p>
    <w:p>
      <w:pPr>
        <w:spacing w:after="0" w:line="27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9079"/>
          </w:cols>
          <w:pgMar w:left="1380" w:top="130"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10.6.5</w:t>
            </w:r>
          </w:p>
        </w:tc>
        <w:tc>
          <w:tcPr>
            <w:tcW w:w="5700" w:type="dxa"/>
            <w:vAlign w:val="bottom"/>
            <w:tcBorders>
              <w:bottom w:val="single" w:sz="8" w:color="0000FF"/>
            </w:tcBorders>
            <w:gridSpan w:val="8"/>
          </w:tcPr>
          <w:p>
            <w:pPr>
              <w:spacing w:after="0"/>
              <w:rPr>
                <w:rFonts w:ascii="Arial" w:cs="Arial" w:eastAsia="Arial" w:hAnsi="Arial"/>
                <w:sz w:val="16"/>
                <w:szCs w:val="16"/>
                <w:color w:val="0000FF"/>
                <w:w w:val="91"/>
              </w:rPr>
            </w:pPr>
            <w:hyperlink r:id="rId71">
              <w:r>
                <w:rPr>
                  <w:rFonts w:ascii="Arial" w:cs="Arial" w:eastAsia="Arial" w:hAnsi="Arial"/>
                  <w:sz w:val="16"/>
                  <w:szCs w:val="16"/>
                  <w:color w:val="0000FF"/>
                  <w:w w:val="91"/>
                </w:rPr>
                <w:t>Fourth Amendment to Amended and Restated Credit Agreement, dated as of November</w:t>
              </w:r>
            </w:hyperlink>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9"/>
          </w:tcPr>
          <w:p>
            <w:pPr>
              <w:spacing w:after="0" w:line="183" w:lineRule="exact"/>
              <w:rPr>
                <w:rFonts w:ascii="Arial" w:cs="Arial" w:eastAsia="Arial" w:hAnsi="Arial"/>
                <w:sz w:val="16"/>
                <w:szCs w:val="16"/>
                <w:color w:val="0000FF"/>
                <w:w w:val="95"/>
              </w:rPr>
            </w:pPr>
            <w:hyperlink r:id="rId71">
              <w:r>
                <w:rPr>
                  <w:rFonts w:ascii="Arial" w:cs="Arial" w:eastAsia="Arial" w:hAnsi="Arial"/>
                  <w:sz w:val="16"/>
                  <w:szCs w:val="16"/>
                  <w:color w:val="0000FF"/>
                  <w:w w:val="95"/>
                </w:rPr>
                <w:t>30, 2018, by and among Clearway Energy Operating LLC, Clearway Energy LLC,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40" w:type="dxa"/>
            <w:vAlign w:val="bottom"/>
            <w:tcBorders>
              <w:bottom w:val="single" w:sz="8" w:color="0000FF"/>
            </w:tcBorders>
            <w:gridSpan w:val="6"/>
          </w:tcPr>
          <w:p>
            <w:pPr>
              <w:spacing w:after="0" w:line="183" w:lineRule="exact"/>
              <w:rPr>
                <w:rFonts w:ascii="Arial" w:cs="Arial" w:eastAsia="Arial" w:hAnsi="Arial"/>
                <w:sz w:val="16"/>
                <w:szCs w:val="16"/>
                <w:color w:val="0000FF"/>
                <w:w w:val="90"/>
              </w:rPr>
            </w:pPr>
            <w:hyperlink r:id="rId71">
              <w:r>
                <w:rPr>
                  <w:rFonts w:ascii="Arial" w:cs="Arial" w:eastAsia="Arial" w:hAnsi="Arial"/>
                  <w:sz w:val="16"/>
                  <w:szCs w:val="16"/>
                  <w:color w:val="0000FF"/>
                  <w:w w:val="90"/>
                </w:rPr>
                <w:t>guarantors party thereto, JPMorgan Chase Bank, N.A., as administrative agent, and the</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380" w:type="dxa"/>
            <w:vAlign w:val="bottom"/>
            <w:tcBorders>
              <w:bottom w:val="single" w:sz="8" w:color="0000FF"/>
            </w:tcBorders>
          </w:tcPr>
          <w:p>
            <w:pPr>
              <w:spacing w:after="0" w:line="183" w:lineRule="exact"/>
              <w:rPr>
                <w:rFonts w:ascii="Arial" w:cs="Arial" w:eastAsia="Arial" w:hAnsi="Arial"/>
                <w:sz w:val="16"/>
                <w:szCs w:val="16"/>
                <w:color w:val="0000FF"/>
                <w:w w:val="89"/>
              </w:rPr>
            </w:pPr>
            <w:hyperlink r:id="rId71">
              <w:r>
                <w:rPr>
                  <w:rFonts w:ascii="Arial" w:cs="Arial" w:eastAsia="Arial" w:hAnsi="Arial"/>
                  <w:sz w:val="16"/>
                  <w:szCs w:val="16"/>
                  <w:color w:val="0000FF"/>
                  <w:w w:val="89"/>
                </w:rPr>
                <w:t>lenders party thereto.</w:t>
              </w:r>
            </w:hyperlink>
          </w:p>
        </w:tc>
        <w:tc>
          <w:tcPr>
            <w:tcW w:w="43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1020" w:type="dxa"/>
            <w:vAlign w:val="bottom"/>
          </w:tcPr>
          <w:p>
            <w:pPr>
              <w:spacing w:after="0"/>
              <w:rPr>
                <w:sz w:val="20"/>
                <w:szCs w:val="20"/>
                <w:color w:val="auto"/>
              </w:rPr>
            </w:pPr>
            <w:r>
              <w:rPr>
                <w:rFonts w:ascii="Arial" w:cs="Arial" w:eastAsia="Arial" w:hAnsi="Arial"/>
                <w:sz w:val="16"/>
                <w:szCs w:val="16"/>
                <w:color w:val="auto"/>
              </w:rPr>
              <w:t>10.6.6</w:t>
            </w:r>
          </w:p>
        </w:tc>
        <w:tc>
          <w:tcPr>
            <w:tcW w:w="5760" w:type="dxa"/>
            <w:vAlign w:val="bottom"/>
            <w:gridSpan w:val="9"/>
          </w:tcPr>
          <w:p>
            <w:pPr>
              <w:spacing w:after="0"/>
              <w:rPr>
                <w:rFonts w:ascii="Arial" w:cs="Arial" w:eastAsia="Arial" w:hAnsi="Arial"/>
                <w:sz w:val="16"/>
                <w:szCs w:val="16"/>
                <w:color w:val="0000FF"/>
                <w:w w:val="94"/>
              </w:rPr>
            </w:pPr>
            <w:hyperlink r:id="rId72">
              <w:r>
                <w:rPr>
                  <w:rFonts w:ascii="Arial" w:cs="Arial" w:eastAsia="Arial" w:hAnsi="Arial"/>
                  <w:sz w:val="16"/>
                  <w:szCs w:val="16"/>
                  <w:color w:val="0000FF"/>
                  <w:w w:val="94"/>
                </w:rPr>
                <w:t>Fifth Amendment to Amended and Restated Credit Agreement, dated as of December</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9"/>
          </w:tcPr>
          <w:p>
            <w:pPr>
              <w:spacing w:after="0" w:line="183" w:lineRule="exact"/>
              <w:rPr>
                <w:rFonts w:ascii="Arial" w:cs="Arial" w:eastAsia="Arial" w:hAnsi="Arial"/>
                <w:sz w:val="16"/>
                <w:szCs w:val="16"/>
                <w:color w:val="0000FF"/>
                <w:w w:val="95"/>
              </w:rPr>
            </w:pPr>
            <w:hyperlink r:id="rId72">
              <w:r>
                <w:rPr>
                  <w:rFonts w:ascii="Arial" w:cs="Arial" w:eastAsia="Arial" w:hAnsi="Arial"/>
                  <w:sz w:val="16"/>
                  <w:szCs w:val="16"/>
                  <w:color w:val="0000FF"/>
                  <w:w w:val="95"/>
                </w:rPr>
                <w:t>20, 2019, by and among Clearway Energy Operating LLC, Clearway Energy LLC, the</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20" w:type="dxa"/>
            <w:vAlign w:val="bottom"/>
          </w:tcPr>
          <w:p>
            <w:pPr>
              <w:spacing w:after="0"/>
              <w:rPr>
                <w:sz w:val="15"/>
                <w:szCs w:val="15"/>
                <w:color w:val="auto"/>
              </w:rPr>
            </w:pPr>
          </w:p>
        </w:tc>
        <w:tc>
          <w:tcPr>
            <w:tcW w:w="5640" w:type="dxa"/>
            <w:vAlign w:val="bottom"/>
            <w:tcBorders>
              <w:bottom w:val="single" w:sz="8" w:color="0000FF"/>
            </w:tcBorders>
            <w:gridSpan w:val="6"/>
          </w:tcPr>
          <w:p>
            <w:pPr>
              <w:spacing w:after="0" w:line="183" w:lineRule="exact"/>
              <w:rPr>
                <w:rFonts w:ascii="Arial" w:cs="Arial" w:eastAsia="Arial" w:hAnsi="Arial"/>
                <w:sz w:val="16"/>
                <w:szCs w:val="16"/>
                <w:color w:val="0000FF"/>
                <w:w w:val="90"/>
              </w:rPr>
            </w:pPr>
            <w:hyperlink r:id="rId72">
              <w:r>
                <w:rPr>
                  <w:rFonts w:ascii="Arial" w:cs="Arial" w:eastAsia="Arial" w:hAnsi="Arial"/>
                  <w:sz w:val="16"/>
                  <w:szCs w:val="16"/>
                  <w:color w:val="0000FF"/>
                  <w:w w:val="90"/>
                </w:rPr>
                <w:t>guarantors party thereto, JPMorgan Chase Bank, N.A., as administrative agent, and the</w:t>
              </w:r>
            </w:hyperlink>
          </w:p>
        </w:tc>
        <w:tc>
          <w:tcPr>
            <w:tcW w:w="12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380" w:type="dxa"/>
            <w:vAlign w:val="bottom"/>
            <w:tcBorders>
              <w:bottom w:val="single" w:sz="8" w:color="0000FF"/>
            </w:tcBorders>
          </w:tcPr>
          <w:p>
            <w:pPr>
              <w:spacing w:after="0" w:line="183" w:lineRule="exact"/>
              <w:rPr>
                <w:rFonts w:ascii="Arial" w:cs="Arial" w:eastAsia="Arial" w:hAnsi="Arial"/>
                <w:sz w:val="16"/>
                <w:szCs w:val="16"/>
                <w:color w:val="0000FF"/>
                <w:w w:val="89"/>
              </w:rPr>
            </w:pPr>
            <w:hyperlink r:id="rId72">
              <w:r>
                <w:rPr>
                  <w:rFonts w:ascii="Arial" w:cs="Arial" w:eastAsia="Arial" w:hAnsi="Arial"/>
                  <w:sz w:val="16"/>
                  <w:szCs w:val="16"/>
                  <w:color w:val="0000FF"/>
                  <w:w w:val="89"/>
                </w:rPr>
                <w:t>lenders party thereto.</w:t>
              </w:r>
            </w:hyperlink>
          </w:p>
        </w:tc>
        <w:tc>
          <w:tcPr>
            <w:tcW w:w="4380" w:type="dxa"/>
            <w:vAlign w:val="bottom"/>
            <w:gridSpan w:val="8"/>
          </w:tcPr>
          <w:p>
            <w:pPr>
              <w:spacing w:after="0"/>
              <w:rPr>
                <w:sz w:val="15"/>
                <w:szCs w:val="15"/>
                <w:color w:val="auto"/>
              </w:rPr>
            </w:pPr>
          </w:p>
        </w:tc>
        <w:tc>
          <w:tcPr>
            <w:tcW w:w="0" w:type="dxa"/>
            <w:vAlign w:val="bottom"/>
          </w:tcPr>
          <w:p>
            <w:pPr>
              <w:spacing w:after="0"/>
              <w:rPr>
                <w:sz w:val="1"/>
                <w:szCs w:val="1"/>
                <w:color w:val="auto"/>
              </w:rPr>
            </w:pPr>
          </w:p>
        </w:tc>
      </w:tr>
      <w:tr>
        <w:trPr>
          <w:trHeight w:val="474"/>
        </w:trPr>
        <w:tc>
          <w:tcPr>
            <w:tcW w:w="1020" w:type="dxa"/>
            <w:vAlign w:val="bottom"/>
          </w:tcPr>
          <w:p>
            <w:pPr>
              <w:spacing w:after="0"/>
              <w:rPr>
                <w:sz w:val="20"/>
                <w:szCs w:val="20"/>
                <w:color w:val="auto"/>
              </w:rPr>
            </w:pPr>
            <w:r>
              <w:rPr>
                <w:rFonts w:ascii="Arial" w:cs="Arial" w:eastAsia="Arial" w:hAnsi="Arial"/>
                <w:sz w:val="16"/>
                <w:szCs w:val="16"/>
                <w:color w:val="auto"/>
              </w:rPr>
              <w:t>10.7^</w:t>
            </w:r>
          </w:p>
        </w:tc>
        <w:tc>
          <w:tcPr>
            <w:tcW w:w="5640" w:type="dxa"/>
            <w:vAlign w:val="bottom"/>
            <w:gridSpan w:val="6"/>
            <w:vMerge w:val="restart"/>
          </w:tcPr>
          <w:p>
            <w:pPr>
              <w:spacing w:after="0"/>
              <w:rPr>
                <w:rFonts w:ascii="Arial" w:cs="Arial" w:eastAsia="Arial" w:hAnsi="Arial"/>
                <w:sz w:val="16"/>
                <w:szCs w:val="16"/>
                <w:color w:val="0000FF"/>
                <w:w w:val="93"/>
              </w:rPr>
            </w:pPr>
            <w:hyperlink r:id="rId73">
              <w:r>
                <w:rPr>
                  <w:rFonts w:ascii="Arial" w:cs="Arial" w:eastAsia="Arial" w:hAnsi="Arial"/>
                  <w:sz w:val="16"/>
                  <w:szCs w:val="16"/>
                  <w:color w:val="0000FF"/>
                  <w:w w:val="93"/>
                </w:rPr>
                <w:t>Amended and Restated Limited Liability Company Agreement of NRG RPV Holdco 1</w:t>
              </w:r>
            </w:hyperlink>
          </w:p>
        </w:tc>
        <w:tc>
          <w:tcPr>
            <w:tcW w:w="12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640" w:type="dxa"/>
            <w:vAlign w:val="bottom"/>
            <w:tcBorders>
              <w:bottom w:val="single" w:sz="8" w:color="0000FF"/>
            </w:tcBorders>
            <w:gridSpan w:val="6"/>
            <w:vMerge w:val="continue"/>
          </w:tcPr>
          <w:p>
            <w:pPr>
              <w:spacing w:after="0"/>
              <w:rPr>
                <w:sz w:val="4"/>
                <w:szCs w:val="4"/>
                <w:color w:val="auto"/>
              </w:rPr>
            </w:pPr>
          </w:p>
        </w:tc>
        <w:tc>
          <w:tcPr>
            <w:tcW w:w="12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4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73">
              <w:r>
                <w:rPr>
                  <w:rFonts w:ascii="Arial" w:cs="Arial" w:eastAsia="Arial" w:hAnsi="Arial"/>
                  <w:sz w:val="16"/>
                  <w:szCs w:val="16"/>
                  <w:color w:val="0000FF"/>
                  <w:w w:val="93"/>
                </w:rPr>
                <w:t>LLC, dated as of April 9, 2015.</w:t>
              </w:r>
            </w:hyperlink>
          </w:p>
        </w:tc>
        <w:tc>
          <w:tcPr>
            <w:tcW w:w="37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393"/>
        </w:trPr>
        <w:tc>
          <w:tcPr>
            <w:tcW w:w="1020" w:type="dxa"/>
            <w:vAlign w:val="bottom"/>
          </w:tcPr>
          <w:p>
            <w:pPr>
              <w:spacing w:after="0"/>
              <w:rPr>
                <w:sz w:val="20"/>
                <w:szCs w:val="20"/>
                <w:color w:val="auto"/>
              </w:rPr>
            </w:pPr>
            <w:r>
              <w:rPr>
                <w:rFonts w:ascii="Arial" w:cs="Arial" w:eastAsia="Arial" w:hAnsi="Arial"/>
                <w:sz w:val="16"/>
                <w:szCs w:val="16"/>
                <w:color w:val="auto"/>
              </w:rPr>
              <w:t>10.8^</w:t>
            </w:r>
          </w:p>
        </w:tc>
        <w:tc>
          <w:tcPr>
            <w:tcW w:w="5760" w:type="dxa"/>
            <w:vAlign w:val="bottom"/>
            <w:gridSpan w:val="9"/>
            <w:vMerge w:val="restart"/>
          </w:tcPr>
          <w:p>
            <w:pPr>
              <w:spacing w:after="0"/>
              <w:rPr>
                <w:rFonts w:ascii="Arial" w:cs="Arial" w:eastAsia="Arial" w:hAnsi="Arial"/>
                <w:sz w:val="16"/>
                <w:szCs w:val="16"/>
                <w:color w:val="0000FF"/>
                <w:w w:val="93"/>
              </w:rPr>
            </w:pPr>
            <w:hyperlink r:id="rId74">
              <w:r>
                <w:rPr>
                  <w:rFonts w:ascii="Arial" w:cs="Arial" w:eastAsia="Arial" w:hAnsi="Arial"/>
                  <w:sz w:val="16"/>
                  <w:szCs w:val="16"/>
                  <w:color w:val="0000FF"/>
                  <w:w w:val="93"/>
                </w:rPr>
                <w:t>Amended and Restated Limited Liability Company Agreement of NRG DGPV Holdco 1</w:t>
              </w:r>
            </w:hyperlink>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760" w:type="dxa"/>
            <w:vAlign w:val="bottom"/>
            <w:tcBorders>
              <w:bottom w:val="single" w:sz="8" w:color="0000FF"/>
            </w:tcBorders>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2000" w:type="dxa"/>
            <w:vAlign w:val="bottom"/>
            <w:tcBorders>
              <w:bottom w:val="single" w:sz="8" w:color="0000FF"/>
            </w:tcBorders>
            <w:gridSpan w:val="2"/>
          </w:tcPr>
          <w:p>
            <w:pPr>
              <w:spacing w:after="0" w:line="183" w:lineRule="exact"/>
              <w:rPr>
                <w:rFonts w:ascii="Arial" w:cs="Arial" w:eastAsia="Arial" w:hAnsi="Arial"/>
                <w:sz w:val="16"/>
                <w:szCs w:val="16"/>
                <w:color w:val="0000FF"/>
                <w:w w:val="92"/>
              </w:rPr>
            </w:pPr>
            <w:hyperlink r:id="rId74">
              <w:r>
                <w:rPr>
                  <w:rFonts w:ascii="Arial" w:cs="Arial" w:eastAsia="Arial" w:hAnsi="Arial"/>
                  <w:sz w:val="16"/>
                  <w:szCs w:val="16"/>
                  <w:color w:val="0000FF"/>
                  <w:w w:val="92"/>
                </w:rPr>
                <w:t>LLC, dated as of May 8, 2015.</w:t>
              </w:r>
            </w:hyperlink>
          </w:p>
        </w:tc>
        <w:tc>
          <w:tcPr>
            <w:tcW w:w="3760" w:type="dxa"/>
            <w:vAlign w:val="bottom"/>
            <w:gridSpan w:val="7"/>
          </w:tcPr>
          <w:p>
            <w:pPr>
              <w:spacing w:after="0"/>
              <w:rPr>
                <w:sz w:val="15"/>
                <w:szCs w:val="15"/>
                <w:color w:val="auto"/>
              </w:rPr>
            </w:pPr>
          </w:p>
        </w:tc>
        <w:tc>
          <w:tcPr>
            <w:tcW w:w="0" w:type="dxa"/>
            <w:vAlign w:val="bottom"/>
          </w:tcPr>
          <w:p>
            <w:pPr>
              <w:spacing w:after="0"/>
              <w:rPr>
                <w:sz w:val="1"/>
                <w:szCs w:val="1"/>
                <w:color w:val="auto"/>
              </w:rPr>
            </w:pPr>
          </w:p>
        </w:tc>
      </w:tr>
      <w:tr>
        <w:trPr>
          <w:trHeight w:val="358"/>
        </w:trPr>
        <w:tc>
          <w:tcPr>
            <w:tcW w:w="1020" w:type="dxa"/>
            <w:vAlign w:val="bottom"/>
          </w:tcPr>
          <w:p>
            <w:pPr>
              <w:spacing w:after="0"/>
              <w:rPr>
                <w:sz w:val="20"/>
                <w:szCs w:val="20"/>
                <w:color w:val="auto"/>
              </w:rPr>
            </w:pPr>
            <w:r>
              <w:rPr>
                <w:rFonts w:ascii="Arial" w:cs="Arial" w:eastAsia="Arial" w:hAnsi="Arial"/>
                <w:sz w:val="16"/>
                <w:szCs w:val="16"/>
                <w:color w:val="auto"/>
              </w:rPr>
              <w:t>10.9^</w:t>
            </w:r>
          </w:p>
        </w:tc>
        <w:tc>
          <w:tcPr>
            <w:tcW w:w="5680" w:type="dxa"/>
            <w:vAlign w:val="bottom"/>
            <w:tcBorders>
              <w:bottom w:val="single" w:sz="8" w:color="0000FF"/>
            </w:tcBorders>
            <w:gridSpan w:val="7"/>
          </w:tcPr>
          <w:p>
            <w:pPr>
              <w:spacing w:after="0"/>
              <w:rPr>
                <w:rFonts w:ascii="Arial" w:cs="Arial" w:eastAsia="Arial" w:hAnsi="Arial"/>
                <w:sz w:val="16"/>
                <w:szCs w:val="16"/>
                <w:color w:val="0000FF"/>
                <w:w w:val="93"/>
              </w:rPr>
            </w:pPr>
            <w:hyperlink r:id="rId75">
              <w:r>
                <w:rPr>
                  <w:rFonts w:ascii="Arial" w:cs="Arial" w:eastAsia="Arial" w:hAnsi="Arial"/>
                  <w:sz w:val="16"/>
                  <w:szCs w:val="16"/>
                  <w:color w:val="0000FF"/>
                  <w:w w:val="93"/>
                </w:rPr>
                <w:t>Amendment No. 1 to Amended and Restated Limited Liability Company Agreement of</w:t>
              </w:r>
            </w:hyperlink>
          </w:p>
        </w:tc>
        <w:tc>
          <w:tcPr>
            <w:tcW w:w="8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9"/>
          </w:tcPr>
          <w:p>
            <w:pPr>
              <w:spacing w:after="0" w:line="183" w:lineRule="exact"/>
              <w:rPr>
                <w:rFonts w:ascii="Arial" w:cs="Arial" w:eastAsia="Arial" w:hAnsi="Arial"/>
                <w:sz w:val="16"/>
                <w:szCs w:val="16"/>
                <w:color w:val="0000FF"/>
                <w:w w:val="94"/>
              </w:rPr>
            </w:pPr>
            <w:hyperlink r:id="rId75">
              <w:r>
                <w:rPr>
                  <w:rFonts w:ascii="Arial" w:cs="Arial" w:eastAsia="Arial" w:hAnsi="Arial"/>
                  <w:sz w:val="16"/>
                  <w:szCs w:val="16"/>
                  <w:color w:val="0000FF"/>
                  <w:w w:val="94"/>
                </w:rPr>
                <w:t>NRG RPV Holdco 1 LLC, dated as of March 1, 2016, by and between NRG Yield RPV</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680" w:type="dxa"/>
            <w:vAlign w:val="bottom"/>
            <w:tcBorders>
              <w:top w:val="single" w:sz="8" w:color="0000FF"/>
            </w:tcBorders>
            <w:gridSpan w:val="7"/>
          </w:tcPr>
          <w:p>
            <w:pPr>
              <w:spacing w:after="0" w:line="183" w:lineRule="exact"/>
              <w:rPr>
                <w:rFonts w:ascii="Arial" w:cs="Arial" w:eastAsia="Arial" w:hAnsi="Arial"/>
                <w:sz w:val="16"/>
                <w:szCs w:val="16"/>
                <w:color w:val="0000FF"/>
              </w:rPr>
            </w:pPr>
            <w:hyperlink r:id="rId75">
              <w:r>
                <w:rPr>
                  <w:rFonts w:ascii="Arial" w:cs="Arial" w:eastAsia="Arial" w:hAnsi="Arial"/>
                  <w:sz w:val="16"/>
                  <w:szCs w:val="16"/>
                  <w:color w:val="0000FF"/>
                </w:rPr>
                <w:t>Holding LLC and NRG Residential Solar Solutions LLC.</w:t>
              </w:r>
            </w:hyperlink>
          </w:p>
        </w:tc>
        <w:tc>
          <w:tcPr>
            <w:tcW w:w="8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3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10.10^</w:t>
            </w:r>
          </w:p>
        </w:tc>
        <w:tc>
          <w:tcPr>
            <w:tcW w:w="5760" w:type="dxa"/>
            <w:vAlign w:val="bottom"/>
            <w:gridSpan w:val="11"/>
            <w:vMerge w:val="restart"/>
          </w:tcPr>
          <w:p>
            <w:pPr>
              <w:spacing w:after="0"/>
              <w:rPr>
                <w:rFonts w:ascii="Arial" w:cs="Arial" w:eastAsia="Arial" w:hAnsi="Arial"/>
                <w:sz w:val="16"/>
                <w:szCs w:val="16"/>
                <w:color w:val="0000FF"/>
                <w:w w:val="94"/>
              </w:rPr>
            </w:pPr>
            <w:hyperlink r:id="rId76">
              <w:r>
                <w:rPr>
                  <w:rFonts w:ascii="Arial" w:cs="Arial" w:eastAsia="Arial" w:hAnsi="Arial"/>
                  <w:sz w:val="16"/>
                  <w:szCs w:val="16"/>
                  <w:color w:val="0000FF"/>
                  <w:w w:val="94"/>
                </w:rPr>
                <w:t>Amendment No. 2 to Amended and Restated Limited Liability Company Agreement of</w:t>
              </w:r>
            </w:hyperlink>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576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360" w:type="dxa"/>
            <w:vAlign w:val="bottom"/>
            <w:tcBorders>
              <w:top w:val="single" w:sz="8" w:color="0000FF"/>
              <w:bottom w:val="single" w:sz="8" w:color="0000FF"/>
            </w:tcBorders>
            <w:gridSpan w:val="6"/>
          </w:tcPr>
          <w:p>
            <w:pPr>
              <w:spacing w:after="0" w:line="183" w:lineRule="exact"/>
              <w:rPr>
                <w:rFonts w:ascii="Arial" w:cs="Arial" w:eastAsia="Arial" w:hAnsi="Arial"/>
                <w:sz w:val="16"/>
                <w:szCs w:val="16"/>
                <w:color w:val="0000FF"/>
                <w:w w:val="93"/>
              </w:rPr>
            </w:pPr>
            <w:hyperlink r:id="rId76">
              <w:r>
                <w:rPr>
                  <w:rFonts w:ascii="Arial" w:cs="Arial" w:eastAsia="Arial" w:hAnsi="Arial"/>
                  <w:sz w:val="16"/>
                  <w:szCs w:val="16"/>
                  <w:color w:val="0000FF"/>
                  <w:w w:val="93"/>
                </w:rPr>
                <w:t>NRG DGPV Holdco 1 LLC, dated as of March 1, 2016, by and among NRG Yield</w:t>
              </w:r>
            </w:hyperlink>
          </w:p>
        </w:tc>
        <w:tc>
          <w:tcPr>
            <w:tcW w:w="300" w:type="dxa"/>
            <w:vAlign w:val="bottom"/>
            <w:tcBorders>
              <w:top w:val="single" w:sz="8" w:color="0000FF"/>
            </w:tcBorders>
          </w:tcPr>
          <w:p>
            <w:pPr>
              <w:spacing w:after="0"/>
              <w:rPr>
                <w:sz w:val="15"/>
                <w:szCs w:val="15"/>
                <w:color w:val="auto"/>
              </w:rPr>
            </w:pPr>
          </w:p>
        </w:tc>
        <w:tc>
          <w:tcPr>
            <w:tcW w:w="10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1"/>
          </w:tcPr>
          <w:p>
            <w:pPr>
              <w:spacing w:after="0" w:line="183" w:lineRule="exact"/>
              <w:rPr>
                <w:rFonts w:ascii="Arial" w:cs="Arial" w:eastAsia="Arial" w:hAnsi="Arial"/>
                <w:sz w:val="16"/>
                <w:szCs w:val="16"/>
                <w:color w:val="0000FF"/>
              </w:rPr>
            </w:pPr>
            <w:hyperlink r:id="rId76">
              <w:r>
                <w:rPr>
                  <w:rFonts w:ascii="Arial" w:cs="Arial" w:eastAsia="Arial" w:hAnsi="Arial"/>
                  <w:sz w:val="16"/>
                  <w:szCs w:val="16"/>
                  <w:color w:val="0000FF"/>
                </w:rPr>
                <w:t>DGPV Holding LLC, NRG Renew DG Holdings LLC and NRG Renew LLC.</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10.11^</w:t>
            </w:r>
          </w:p>
        </w:tc>
        <w:tc>
          <w:tcPr>
            <w:tcW w:w="1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20" w:type="dxa"/>
            <w:vAlign w:val="bottom"/>
            <w:vMerge w:val="continue"/>
          </w:tcPr>
          <w:p>
            <w:pPr>
              <w:spacing w:after="0"/>
              <w:rPr>
                <w:sz w:val="24"/>
                <w:szCs w:val="24"/>
                <w:color w:val="auto"/>
              </w:rPr>
            </w:pPr>
          </w:p>
        </w:tc>
        <w:tc>
          <w:tcPr>
            <w:tcW w:w="5760" w:type="dxa"/>
            <w:vAlign w:val="bottom"/>
            <w:gridSpan w:val="11"/>
            <w:vMerge w:val="restart"/>
          </w:tcPr>
          <w:p>
            <w:pPr>
              <w:spacing w:after="0"/>
              <w:rPr>
                <w:rFonts w:ascii="Arial" w:cs="Arial" w:eastAsia="Arial" w:hAnsi="Arial"/>
                <w:sz w:val="16"/>
                <w:szCs w:val="16"/>
                <w:color w:val="0000FF"/>
                <w:w w:val="93"/>
              </w:rPr>
            </w:pPr>
            <w:hyperlink r:id="rId77">
              <w:r>
                <w:rPr>
                  <w:rFonts w:ascii="Arial" w:cs="Arial" w:eastAsia="Arial" w:hAnsi="Arial"/>
                  <w:sz w:val="16"/>
                  <w:szCs w:val="16"/>
                  <w:color w:val="0000FF"/>
                  <w:w w:val="93"/>
                </w:rPr>
                <w:t>Amended and Restated Limited Liability Company Agreement of NRG DGPV Holdco 2</w:t>
              </w:r>
            </w:hyperlink>
          </w:p>
        </w:tc>
        <w:tc>
          <w:tcPr>
            <w:tcW w:w="0" w:type="dxa"/>
            <w:vAlign w:val="bottom"/>
          </w:tcPr>
          <w:p>
            <w:pPr>
              <w:spacing w:after="0"/>
              <w:rPr>
                <w:sz w:val="1"/>
                <w:szCs w:val="1"/>
                <w:color w:val="auto"/>
              </w:rPr>
            </w:pPr>
          </w:p>
        </w:tc>
      </w:tr>
      <w:tr>
        <w:trPr>
          <w:trHeight w:val="51"/>
        </w:trPr>
        <w:tc>
          <w:tcPr>
            <w:tcW w:w="1020" w:type="dxa"/>
            <w:vAlign w:val="bottom"/>
          </w:tcPr>
          <w:p>
            <w:pPr>
              <w:spacing w:after="0"/>
              <w:rPr>
                <w:sz w:val="4"/>
                <w:szCs w:val="4"/>
                <w:color w:val="auto"/>
              </w:rPr>
            </w:pPr>
          </w:p>
        </w:tc>
        <w:tc>
          <w:tcPr>
            <w:tcW w:w="5760" w:type="dxa"/>
            <w:vAlign w:val="bottom"/>
            <w:tcBorders>
              <w:bottom w:val="single" w:sz="8" w:color="0000FF"/>
            </w:tcBorders>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00" w:type="dxa"/>
            <w:vAlign w:val="bottom"/>
            <w:tcBorders>
              <w:bottom w:val="single" w:sz="8" w:color="0000FF"/>
            </w:tcBorders>
            <w:gridSpan w:val="9"/>
          </w:tcPr>
          <w:p>
            <w:pPr>
              <w:spacing w:after="0" w:line="183" w:lineRule="exact"/>
              <w:rPr>
                <w:rFonts w:ascii="Arial" w:cs="Arial" w:eastAsia="Arial" w:hAnsi="Arial"/>
                <w:sz w:val="16"/>
                <w:szCs w:val="16"/>
                <w:color w:val="0000FF"/>
                <w:w w:val="94"/>
              </w:rPr>
            </w:pPr>
            <w:hyperlink r:id="rId77">
              <w:r>
                <w:rPr>
                  <w:rFonts w:ascii="Arial" w:cs="Arial" w:eastAsia="Arial" w:hAnsi="Arial"/>
                  <w:sz w:val="16"/>
                  <w:szCs w:val="16"/>
                  <w:color w:val="0000FF"/>
                  <w:w w:val="94"/>
                </w:rPr>
                <w:t>LLC, dated as of March 1, 2016, by and among NRG Yield DGPV Holding LLC, NRG</w:t>
              </w:r>
            </w:hyperlink>
          </w:p>
        </w:tc>
        <w:tc>
          <w:tcPr>
            <w:tcW w:w="6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1"/>
          </w:tcPr>
          <w:p>
            <w:pPr>
              <w:spacing w:after="0" w:line="183" w:lineRule="exact"/>
              <w:rPr>
                <w:rFonts w:ascii="Arial" w:cs="Arial" w:eastAsia="Arial" w:hAnsi="Arial"/>
                <w:sz w:val="16"/>
                <w:szCs w:val="16"/>
                <w:color w:val="0000FF"/>
              </w:rPr>
            </w:pPr>
            <w:hyperlink r:id="rId77">
              <w:r>
                <w:rPr>
                  <w:rFonts w:ascii="Arial" w:cs="Arial" w:eastAsia="Arial" w:hAnsi="Arial"/>
                  <w:sz w:val="16"/>
                  <w:szCs w:val="16"/>
                  <w:color w:val="0000FF"/>
                </w:rPr>
                <w:t>Renew DG Holdings LLC, and NRG Renew LLC.</w:t>
              </w:r>
            </w:hyperlink>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10.12</w:t>
            </w:r>
          </w:p>
        </w:tc>
        <w:tc>
          <w:tcPr>
            <w:tcW w:w="1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1020" w:type="dxa"/>
            <w:vAlign w:val="bottom"/>
            <w:vMerge w:val="continue"/>
          </w:tcPr>
          <w:p>
            <w:pPr>
              <w:spacing w:after="0"/>
              <w:rPr>
                <w:sz w:val="24"/>
                <w:szCs w:val="24"/>
                <w:color w:val="auto"/>
              </w:rPr>
            </w:pPr>
          </w:p>
        </w:tc>
        <w:tc>
          <w:tcPr>
            <w:tcW w:w="5680" w:type="dxa"/>
            <w:vAlign w:val="bottom"/>
            <w:gridSpan w:val="8"/>
            <w:vMerge w:val="restart"/>
          </w:tcPr>
          <w:p>
            <w:pPr>
              <w:spacing w:after="0"/>
              <w:rPr>
                <w:rFonts w:ascii="Arial" w:cs="Arial" w:eastAsia="Arial" w:hAnsi="Arial"/>
                <w:sz w:val="16"/>
                <w:szCs w:val="16"/>
                <w:color w:val="0000FF"/>
                <w:w w:val="93"/>
              </w:rPr>
            </w:pPr>
            <w:hyperlink r:id="rId78">
              <w:r>
                <w:rPr>
                  <w:rFonts w:ascii="Arial" w:cs="Arial" w:eastAsia="Arial" w:hAnsi="Arial"/>
                  <w:sz w:val="16"/>
                  <w:szCs w:val="16"/>
                  <w:color w:val="0000FF"/>
                  <w:w w:val="93"/>
                </w:rPr>
                <w:t>Amendment No. 2 to Amended and Restated Limited Liability Company Agreement of</w:t>
              </w:r>
            </w:hyperlink>
          </w:p>
        </w:tc>
        <w:tc>
          <w:tcPr>
            <w:tcW w:w="80" w:type="dxa"/>
            <w:vAlign w:val="bottom"/>
            <w:gridSpan w:val="3"/>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680" w:type="dxa"/>
            <w:vAlign w:val="bottom"/>
            <w:tcBorders>
              <w:bottom w:val="single" w:sz="8" w:color="0000FF"/>
            </w:tcBorders>
            <w:gridSpan w:val="8"/>
            <w:vMerge w:val="continue"/>
          </w:tcPr>
          <w:p>
            <w:pPr>
              <w:spacing w:after="0"/>
              <w:rPr>
                <w:sz w:val="4"/>
                <w:szCs w:val="4"/>
                <w:color w:val="auto"/>
              </w:rPr>
            </w:pPr>
          </w:p>
        </w:tc>
        <w:tc>
          <w:tcPr>
            <w:tcW w:w="8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60" w:type="dxa"/>
            <w:vAlign w:val="bottom"/>
            <w:gridSpan w:val="11"/>
          </w:tcPr>
          <w:p>
            <w:pPr>
              <w:spacing w:after="0" w:line="183" w:lineRule="exact"/>
              <w:rPr>
                <w:rFonts w:ascii="Arial" w:cs="Arial" w:eastAsia="Arial" w:hAnsi="Arial"/>
                <w:sz w:val="16"/>
                <w:szCs w:val="16"/>
                <w:color w:val="0000FF"/>
                <w:w w:val="93"/>
              </w:rPr>
            </w:pPr>
            <w:hyperlink r:id="rId78">
              <w:r>
                <w:rPr>
                  <w:rFonts w:ascii="Arial" w:cs="Arial" w:eastAsia="Arial" w:hAnsi="Arial"/>
                  <w:sz w:val="16"/>
                  <w:szCs w:val="16"/>
                  <w:color w:val="0000FF"/>
                  <w:w w:val="93"/>
                </w:rPr>
                <w:t>NRG RPV Holdco 1 LLC, dated as of August 5, 2016, by and between NRG Yield RPV</w:t>
              </w:r>
            </w:hyperlink>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720" w:type="dxa"/>
            <w:vAlign w:val="bottom"/>
            <w:tcBorders>
              <w:top w:val="single" w:sz="8" w:color="0000FF"/>
            </w:tcBorders>
            <w:gridSpan w:val="10"/>
          </w:tcPr>
          <w:p>
            <w:pPr>
              <w:spacing w:after="0" w:line="183" w:lineRule="exact"/>
              <w:rPr>
                <w:rFonts w:ascii="Arial" w:cs="Arial" w:eastAsia="Arial" w:hAnsi="Arial"/>
                <w:sz w:val="16"/>
                <w:szCs w:val="16"/>
                <w:color w:val="0000FF"/>
              </w:rPr>
            </w:pPr>
            <w:hyperlink r:id="rId78">
              <w:r>
                <w:rPr>
                  <w:rFonts w:ascii="Arial" w:cs="Arial" w:eastAsia="Arial" w:hAnsi="Arial"/>
                  <w:sz w:val="16"/>
                  <w:szCs w:val="16"/>
                  <w:color w:val="0000FF"/>
                </w:rPr>
                <w:t>Holding LLC and NRG Residential Solar Solutions LLC.</w:t>
              </w:r>
            </w:hyperlink>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rPr>
                <w:sz w:val="20"/>
                <w:szCs w:val="20"/>
                <w:color w:val="auto"/>
              </w:rPr>
            </w:pPr>
            <w:r>
              <w:rPr>
                <w:rFonts w:ascii="Arial" w:cs="Arial" w:eastAsia="Arial" w:hAnsi="Arial"/>
                <w:sz w:val="16"/>
                <w:szCs w:val="16"/>
                <w:color w:val="auto"/>
              </w:rPr>
              <w:t>10.13†</w:t>
            </w:r>
          </w:p>
        </w:tc>
        <w:tc>
          <w:tcPr>
            <w:tcW w:w="1380" w:type="dxa"/>
            <w:vAlign w:val="bottom"/>
            <w:shd w:val="clear" w:color="auto" w:fill="0000FF"/>
          </w:tcPr>
          <w:p>
            <w:pPr>
              <w:spacing w:after="0" w:line="20" w:lineRule="exact"/>
              <w:rPr>
                <w:sz w:val="1"/>
                <w:szCs w:val="1"/>
                <w:color w:val="auto"/>
              </w:rPr>
            </w:pPr>
          </w:p>
        </w:tc>
        <w:tc>
          <w:tcPr>
            <w:tcW w:w="19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1020" w:type="dxa"/>
            <w:vAlign w:val="bottom"/>
            <w:vMerge w:val="continue"/>
          </w:tcPr>
          <w:p>
            <w:pPr>
              <w:spacing w:after="0"/>
              <w:rPr>
                <w:sz w:val="24"/>
                <w:szCs w:val="24"/>
                <w:color w:val="auto"/>
              </w:rPr>
            </w:pPr>
          </w:p>
        </w:tc>
        <w:tc>
          <w:tcPr>
            <w:tcW w:w="5760" w:type="dxa"/>
            <w:vAlign w:val="bottom"/>
            <w:gridSpan w:val="11"/>
            <w:vMerge w:val="restart"/>
          </w:tcPr>
          <w:p>
            <w:pPr>
              <w:spacing w:after="0"/>
              <w:rPr>
                <w:rFonts w:ascii="Arial" w:cs="Arial" w:eastAsia="Arial" w:hAnsi="Arial"/>
                <w:sz w:val="16"/>
                <w:szCs w:val="16"/>
                <w:color w:val="0000FF"/>
              </w:rPr>
            </w:pPr>
            <w:hyperlink r:id="rId79">
              <w:r>
                <w:rPr>
                  <w:rFonts w:ascii="Arial" w:cs="Arial" w:eastAsia="Arial" w:hAnsi="Arial"/>
                  <w:sz w:val="16"/>
                  <w:szCs w:val="16"/>
                  <w:color w:val="0000FF"/>
                </w:rPr>
                <w:t>Employment Agreement, dated as of May 6, 2016, between NRG Yield, Inc. and</w:t>
              </w:r>
            </w:hyperlink>
          </w:p>
        </w:tc>
        <w:tc>
          <w:tcPr>
            <w:tcW w:w="0" w:type="dxa"/>
            <w:vAlign w:val="bottom"/>
          </w:tcPr>
          <w:p>
            <w:pPr>
              <w:spacing w:after="0"/>
              <w:rPr>
                <w:sz w:val="1"/>
                <w:szCs w:val="1"/>
                <w:color w:val="auto"/>
              </w:rPr>
            </w:pPr>
          </w:p>
        </w:tc>
      </w:tr>
      <w:tr>
        <w:trPr>
          <w:trHeight w:val="46"/>
        </w:trPr>
        <w:tc>
          <w:tcPr>
            <w:tcW w:w="1020" w:type="dxa"/>
            <w:vAlign w:val="bottom"/>
          </w:tcPr>
          <w:p>
            <w:pPr>
              <w:spacing w:after="0"/>
              <w:rPr>
                <w:sz w:val="4"/>
                <w:szCs w:val="4"/>
                <w:color w:val="auto"/>
              </w:rPr>
            </w:pPr>
          </w:p>
        </w:tc>
        <w:tc>
          <w:tcPr>
            <w:tcW w:w="5760" w:type="dxa"/>
            <w:vAlign w:val="bottom"/>
            <w:gridSpan w:val="11"/>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138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9"/>
              </w:rPr>
            </w:pPr>
            <w:hyperlink r:id="rId79">
              <w:r>
                <w:rPr>
                  <w:rFonts w:ascii="Arial" w:cs="Arial" w:eastAsia="Arial" w:hAnsi="Arial"/>
                  <w:sz w:val="16"/>
                  <w:szCs w:val="16"/>
                  <w:color w:val="0000FF"/>
                  <w:w w:val="89"/>
                </w:rPr>
                <w:t>Christopher S. Sotos.</w:t>
              </w:r>
            </w:hyperlink>
          </w:p>
        </w:tc>
        <w:tc>
          <w:tcPr>
            <w:tcW w:w="3860" w:type="dxa"/>
            <w:vAlign w:val="bottom"/>
            <w:tcBorders>
              <w:top w:val="single" w:sz="8" w:color="0000FF"/>
            </w:tcBorders>
            <w:gridSpan w:val="4"/>
          </w:tcPr>
          <w:p>
            <w:pPr>
              <w:spacing w:after="0"/>
              <w:rPr>
                <w:sz w:val="15"/>
                <w:szCs w:val="15"/>
                <w:color w:val="auto"/>
              </w:rPr>
            </w:pPr>
          </w:p>
        </w:tc>
        <w:tc>
          <w:tcPr>
            <w:tcW w:w="52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right="16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6, 2018.</w:t>
      </w:r>
    </w:p>
    <w:p>
      <w:pPr>
        <w:spacing w:after="0" w:line="200" w:lineRule="exact"/>
        <w:rPr>
          <w:sz w:val="20"/>
          <w:szCs w:val="20"/>
          <w:color w:val="auto"/>
        </w:rPr>
      </w:pPr>
    </w:p>
    <w:p>
      <w:pPr>
        <w:spacing w:after="0" w:line="227" w:lineRule="exact"/>
        <w:rPr>
          <w:sz w:val="20"/>
          <w:szCs w:val="20"/>
          <w:color w:val="auto"/>
        </w:rPr>
      </w:pPr>
    </w:p>
    <w:p>
      <w:pPr>
        <w:ind w:right="80"/>
        <w:spacing w:after="0" w:line="278" w:lineRule="auto"/>
        <w:rPr>
          <w:sz w:val="20"/>
          <w:szCs w:val="20"/>
          <w:color w:val="auto"/>
        </w:rPr>
      </w:pPr>
      <w:r>
        <w:rPr>
          <w:rFonts w:ascii="Arial" w:cs="Arial" w:eastAsia="Arial" w:hAnsi="Arial"/>
          <w:sz w:val="16"/>
          <w:szCs w:val="16"/>
          <w:color w:val="auto"/>
        </w:rPr>
        <w:t>Incorporated herein by reference to Exhibit 10.1 to the Company's Current Report on Form 8-K filed on December 23, 2019.</w:t>
      </w:r>
    </w:p>
    <w:p>
      <w:pPr>
        <w:spacing w:after="0" w:line="200" w:lineRule="exact"/>
        <w:rPr>
          <w:sz w:val="20"/>
          <w:szCs w:val="20"/>
          <w:color w:val="auto"/>
        </w:rPr>
      </w:pPr>
    </w:p>
    <w:p>
      <w:pPr>
        <w:spacing w:after="0" w:line="22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4, 2015.</w:t>
      </w:r>
    </w:p>
    <w:p>
      <w:pPr>
        <w:spacing w:after="0" w:line="22"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August 4, 2015.</w:t>
      </w:r>
    </w:p>
    <w:p>
      <w:pPr>
        <w:spacing w:after="0" w:line="103"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May 5, 2016.</w:t>
      </w:r>
    </w:p>
    <w:p>
      <w:pPr>
        <w:spacing w:after="0" w:line="387"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Incorporated herein by reference to Exhibit 10.2 to Clearway Energy, Inc.'s Quarterly Report on Form 10-Q filed on May 5, 2016.</w:t>
      </w:r>
    </w:p>
    <w:p>
      <w:pPr>
        <w:spacing w:after="0" w:line="387" w:lineRule="exact"/>
        <w:rPr>
          <w:sz w:val="20"/>
          <w:szCs w:val="20"/>
          <w:color w:val="auto"/>
        </w:rPr>
      </w:pPr>
    </w:p>
    <w:p>
      <w:pPr>
        <w:jc w:val="both"/>
        <w:ind w:right="180"/>
        <w:spacing w:after="0" w:line="278" w:lineRule="auto"/>
        <w:rPr>
          <w:sz w:val="20"/>
          <w:szCs w:val="20"/>
          <w:color w:val="auto"/>
        </w:rPr>
      </w:pPr>
      <w:r>
        <w:rPr>
          <w:rFonts w:ascii="Arial" w:cs="Arial" w:eastAsia="Arial" w:hAnsi="Arial"/>
          <w:sz w:val="16"/>
          <w:szCs w:val="16"/>
          <w:color w:val="auto"/>
        </w:rPr>
        <w:t>Incorporated herein by reference to Exhibit 10.3 to Clearway Energy, Inc.'s Quarterly Report on Form 10-Q filed on May 5, 2016.</w:t>
      </w:r>
    </w:p>
    <w:p>
      <w:pPr>
        <w:spacing w:after="0" w:line="184" w:lineRule="exact"/>
        <w:rPr>
          <w:sz w:val="20"/>
          <w:szCs w:val="20"/>
          <w:color w:val="auto"/>
        </w:rPr>
      </w:pPr>
    </w:p>
    <w:p>
      <w:pPr>
        <w:ind w:right="12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Quarterly Report on Form 10-Q, filed on August 9, 2016.</w:t>
      </w:r>
    </w:p>
    <w:p>
      <w:pPr>
        <w:spacing w:after="0" w:line="387"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8-K/A, filed on August 9, 2016.</w:t>
      </w:r>
    </w:p>
    <w:p>
      <w:pPr>
        <w:spacing w:after="0" w:line="103" w:lineRule="exact"/>
        <w:rPr>
          <w:sz w:val="20"/>
          <w:szCs w:val="20"/>
          <w:color w:val="auto"/>
        </w:rPr>
      </w:pPr>
    </w:p>
    <w:p>
      <w:pPr>
        <w:sectPr>
          <w:pgSz w:w="11900" w:h="16838" w:orient="portrait"/>
          <w:cols w:equalWidth="0" w:num="2">
            <w:col w:w="6780" w:space="180"/>
            <w:col w:w="4200"/>
          </w:cols>
          <w:pgMar w:left="360" w:top="712" w:right="379" w:bottom="0" w:gutter="0" w:footer="0" w:header="0"/>
        </w:sectPr>
      </w:pPr>
    </w:p>
    <w:tbl>
      <w:tblPr>
        <w:tblLayout w:type="fixed"/>
        <w:tblInd w:w="0" w:type="dxa"/>
        <w:tblCellMar>
          <w:top w:w="0" w:type="dxa"/>
          <w:left w:w="0" w:type="dxa"/>
          <w:bottom w:w="0" w:type="dxa"/>
          <w:right w:w="0" w:type="dxa"/>
        </w:tblCellMar>
      </w:tblPr>
      <w:tr>
        <w:trPr>
          <w:trHeight w:val="206"/>
        </w:trPr>
        <w:tc>
          <w:tcPr>
            <w:tcW w:w="1020" w:type="dxa"/>
            <w:vAlign w:val="bottom"/>
          </w:tcPr>
          <w:p>
            <w:pPr>
              <w:spacing w:after="0"/>
              <w:rPr>
                <w:sz w:val="20"/>
                <w:szCs w:val="20"/>
                <w:color w:val="auto"/>
              </w:rPr>
            </w:pPr>
            <w:r>
              <w:rPr>
                <w:rFonts w:ascii="Arial" w:cs="Arial" w:eastAsia="Arial" w:hAnsi="Arial"/>
                <w:sz w:val="16"/>
                <w:szCs w:val="16"/>
                <w:color w:val="auto"/>
              </w:rPr>
              <w:t>10.14†</w:t>
            </w:r>
          </w:p>
        </w:tc>
        <w:tc>
          <w:tcPr>
            <w:tcW w:w="5500" w:type="dxa"/>
            <w:vAlign w:val="bottom"/>
            <w:gridSpan w:val="2"/>
            <w:vMerge w:val="restart"/>
          </w:tcPr>
          <w:p>
            <w:pPr>
              <w:spacing w:after="0"/>
              <w:rPr>
                <w:rFonts w:ascii="Arial" w:cs="Arial" w:eastAsia="Arial" w:hAnsi="Arial"/>
                <w:sz w:val="16"/>
                <w:szCs w:val="16"/>
                <w:color w:val="0000FF"/>
                <w:w w:val="91"/>
              </w:rPr>
            </w:pPr>
            <w:hyperlink r:id="rId80">
              <w:r>
                <w:rPr>
                  <w:rFonts w:ascii="Arial" w:cs="Arial" w:eastAsia="Arial" w:hAnsi="Arial"/>
                  <w:sz w:val="16"/>
                  <w:szCs w:val="16"/>
                  <w:color w:val="0000FF"/>
                  <w:w w:val="91"/>
                </w:rPr>
                <w:t>Amendment, dated January 1, 2018 to Employment Agreement between NRG Yield,</w:t>
              </w:r>
            </w:hyperlink>
          </w:p>
        </w:tc>
        <w:tc>
          <w:tcPr>
            <w:tcW w:w="0" w:type="dxa"/>
            <w:vAlign w:val="bottom"/>
          </w:tcPr>
          <w:p>
            <w:pPr>
              <w:spacing w:after="0"/>
              <w:rPr>
                <w:sz w:val="1"/>
                <w:szCs w:val="1"/>
                <w:color w:val="auto"/>
              </w:rPr>
            </w:pPr>
          </w:p>
        </w:tc>
      </w:tr>
      <w:tr>
        <w:trPr>
          <w:trHeight w:val="52"/>
        </w:trPr>
        <w:tc>
          <w:tcPr>
            <w:tcW w:w="1020" w:type="dxa"/>
            <w:vAlign w:val="bottom"/>
          </w:tcPr>
          <w:p>
            <w:pPr>
              <w:spacing w:after="0"/>
              <w:rPr>
                <w:sz w:val="4"/>
                <w:szCs w:val="4"/>
                <w:color w:val="auto"/>
              </w:rPr>
            </w:pPr>
          </w:p>
        </w:tc>
        <w:tc>
          <w:tcPr>
            <w:tcW w:w="5500" w:type="dxa"/>
            <w:vAlign w:val="bottom"/>
            <w:tcBorders>
              <w:bottom w:val="single" w:sz="8" w:color="0000FF"/>
            </w:tcBorders>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1020" w:type="dxa"/>
            <w:vAlign w:val="bottom"/>
          </w:tcPr>
          <w:p>
            <w:pPr>
              <w:spacing w:after="0"/>
              <w:rPr>
                <w:sz w:val="15"/>
                <w:szCs w:val="15"/>
                <w:color w:val="auto"/>
              </w:rPr>
            </w:pPr>
          </w:p>
        </w:tc>
        <w:tc>
          <w:tcPr>
            <w:tcW w:w="5500" w:type="dxa"/>
            <w:vAlign w:val="bottom"/>
            <w:gridSpan w:val="2"/>
          </w:tcPr>
          <w:p>
            <w:pPr>
              <w:spacing w:after="0" w:line="183" w:lineRule="exact"/>
              <w:rPr>
                <w:rFonts w:ascii="Arial" w:cs="Arial" w:eastAsia="Arial" w:hAnsi="Arial"/>
                <w:sz w:val="16"/>
                <w:szCs w:val="16"/>
                <w:color w:val="0000FF"/>
              </w:rPr>
            </w:pPr>
            <w:hyperlink r:id="rId80">
              <w:r>
                <w:rPr>
                  <w:rFonts w:ascii="Arial" w:cs="Arial" w:eastAsia="Arial" w:hAnsi="Arial"/>
                  <w:sz w:val="16"/>
                  <w:szCs w:val="16"/>
                  <w:color w:val="0000FF"/>
                </w:rPr>
                <w:t>Inc. and Christopher Sotos.</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jc w:val="both"/>
        <w:ind w:right="160"/>
        <w:spacing w:after="0" w:line="278" w:lineRule="auto"/>
        <w:rPr>
          <w:sz w:val="20"/>
          <w:szCs w:val="20"/>
          <w:color w:val="auto"/>
        </w:rPr>
      </w:pPr>
      <w:r>
        <w:rPr>
          <w:rFonts w:ascii="Arial" w:cs="Arial" w:eastAsia="Arial" w:hAnsi="Arial"/>
          <w:sz w:val="16"/>
          <w:szCs w:val="16"/>
          <w:color w:val="auto"/>
        </w:rPr>
        <w:t>Incorporated herein by reference to Exhibit 10.28 to Clearway Energy, Inc.'s Annual Report on Form 10-K, filed on March 1, 2018.</w:t>
      </w:r>
    </w:p>
    <w:p>
      <w:pPr>
        <w:spacing w:after="0" w:line="103" w:lineRule="exact"/>
        <w:rPr>
          <w:sz w:val="20"/>
          <w:szCs w:val="20"/>
          <w:color w:val="auto"/>
        </w:rPr>
      </w:pPr>
    </w:p>
    <w:p>
      <w:pPr>
        <w:sectPr>
          <w:pgSz w:w="11900" w:h="16838" w:orient="portrait"/>
          <w:cols w:equalWidth="0" w:num="2">
            <w:col w:w="6520" w:space="440"/>
            <w:col w:w="4200"/>
          </w:cols>
          <w:pgMar w:left="360" w:top="712" w:right="379" w:bottom="0" w:gutter="0" w:footer="0" w:header="0"/>
          <w:type w:val="continuous"/>
        </w:sectPr>
      </w:pPr>
    </w:p>
    <w:p>
      <w:pPr>
        <w:spacing w:after="0"/>
        <w:rPr>
          <w:sz w:val="20"/>
          <w:szCs w:val="20"/>
          <w:color w:val="auto"/>
        </w:rPr>
      </w:pPr>
      <w:r>
        <w:rPr>
          <w:rFonts w:ascii="Arial" w:cs="Arial" w:eastAsia="Arial" w:hAnsi="Arial"/>
          <w:sz w:val="16"/>
          <w:szCs w:val="16"/>
          <w:color w:val="auto"/>
        </w:rPr>
        <w:t>10.15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5"/>
          <w:szCs w:val="15"/>
          <w:color w:val="auto"/>
        </w:rPr>
        <w:t>10.16*+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10.17*+</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ind w:right="380"/>
        <w:spacing w:after="0" w:line="369" w:lineRule="auto"/>
        <w:rPr>
          <w:rFonts w:ascii="Arial" w:cs="Arial" w:eastAsia="Arial" w:hAnsi="Arial"/>
          <w:sz w:val="14"/>
          <w:szCs w:val="14"/>
          <w:u w:val="single" w:color="auto"/>
          <w:color w:val="0000FF"/>
        </w:rPr>
      </w:pPr>
      <w:hyperlink r:id="rId81">
        <w:r>
          <w:rPr>
            <w:rFonts w:ascii="Arial" w:cs="Arial" w:eastAsia="Arial" w:hAnsi="Arial"/>
            <w:sz w:val="14"/>
            <w:szCs w:val="14"/>
            <w:u w:val="single" w:color="auto"/>
            <w:color w:val="0000FF"/>
          </w:rPr>
          <w:t>Assignment and Assumption Agreement, effective as of February 26, 2019, among</w:t>
        </w:r>
      </w:hyperlink>
      <w:r>
        <w:rPr>
          <w:rFonts w:ascii="Arial" w:cs="Arial" w:eastAsia="Arial" w:hAnsi="Arial"/>
          <w:sz w:val="14"/>
          <w:szCs w:val="14"/>
          <w:u w:val="single" w:color="auto"/>
          <w:color w:val="0000FF"/>
        </w:rPr>
        <w:t xml:space="preserve"> </w:t>
      </w:r>
      <w:hyperlink r:id="rId81">
        <w:r>
          <w:rPr>
            <w:rFonts w:ascii="Arial" w:cs="Arial" w:eastAsia="Arial" w:hAnsi="Arial"/>
            <w:sz w:val="14"/>
            <w:szCs w:val="14"/>
            <w:u w:val="single" w:color="auto"/>
            <w:color w:val="0000FF"/>
          </w:rPr>
          <w:t>Clearway Energy Operating LLC and GIP III Zephyr Carlsbad Holdings, LLC.</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8" w:lineRule="auto"/>
        <w:rPr>
          <w:rFonts w:ascii="Arial" w:cs="Arial" w:eastAsia="Arial" w:hAnsi="Arial"/>
          <w:sz w:val="16"/>
          <w:szCs w:val="16"/>
          <w:u w:val="single" w:color="auto"/>
          <w:color w:val="0000FF"/>
        </w:rPr>
      </w:pPr>
      <w:hyperlink r:id="rId82">
        <w:r>
          <w:rPr>
            <w:rFonts w:ascii="Arial" w:cs="Arial" w:eastAsia="Arial" w:hAnsi="Arial"/>
            <w:sz w:val="16"/>
            <w:szCs w:val="16"/>
            <w:u w:val="single" w:color="auto"/>
            <w:color w:val="0000FF"/>
          </w:rPr>
          <w:t>Amended and Restated Limited Liability Company Agreement of NRG DGPV Holdco 3</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LLC, dated September 26, 2017 by and amount NRG Yield DGPV Holding LLC and</w:t>
        </w:r>
      </w:hyperlink>
      <w:r>
        <w:rPr>
          <w:rFonts w:ascii="Arial" w:cs="Arial" w:eastAsia="Arial" w:hAnsi="Arial"/>
          <w:sz w:val="16"/>
          <w:szCs w:val="16"/>
          <w:u w:val="single" w:color="auto"/>
          <w:color w:val="0000FF"/>
        </w:rPr>
        <w:t xml:space="preserve"> </w:t>
      </w:r>
      <w:hyperlink r:id="rId82">
        <w:r>
          <w:rPr>
            <w:rFonts w:ascii="Arial" w:cs="Arial" w:eastAsia="Arial" w:hAnsi="Arial"/>
            <w:sz w:val="16"/>
            <w:szCs w:val="16"/>
            <w:u w:val="single" w:color="auto"/>
            <w:color w:val="0000FF"/>
          </w:rPr>
          <w:t>NRG Renew DG Holdings LLC.</w:t>
        </w:r>
      </w:hyperlink>
    </w:p>
    <w:p>
      <w:pPr>
        <w:spacing w:after="0" w:line="200" w:lineRule="exact"/>
        <w:rPr>
          <w:rFonts w:ascii="Arial" w:cs="Arial" w:eastAsia="Arial" w:hAnsi="Arial"/>
          <w:sz w:val="16"/>
          <w:szCs w:val="16"/>
          <w:u w:val="single" w:color="auto"/>
          <w:color w:val="0000FF"/>
        </w:rPr>
      </w:pPr>
    </w:p>
    <w:p>
      <w:pPr>
        <w:spacing w:after="0" w:line="349" w:lineRule="exact"/>
        <w:rPr>
          <w:rFonts w:ascii="Arial" w:cs="Arial" w:eastAsia="Arial" w:hAnsi="Arial"/>
          <w:sz w:val="16"/>
          <w:szCs w:val="16"/>
          <w:u w:val="single" w:color="auto"/>
          <w:color w:val="0000FF"/>
        </w:rPr>
      </w:pPr>
    </w:p>
    <w:p>
      <w:pPr>
        <w:ind w:right="140"/>
        <w:spacing w:after="0" w:line="297" w:lineRule="auto"/>
        <w:rPr>
          <w:rFonts w:ascii="Arial" w:cs="Arial" w:eastAsia="Arial" w:hAnsi="Arial"/>
          <w:sz w:val="15"/>
          <w:szCs w:val="15"/>
          <w:u w:val="single" w:color="auto"/>
          <w:color w:val="0000FF"/>
        </w:rPr>
      </w:pPr>
      <w:hyperlink r:id="rId83">
        <w:r>
          <w:rPr>
            <w:rFonts w:ascii="Arial" w:cs="Arial" w:eastAsia="Arial" w:hAnsi="Arial"/>
            <w:sz w:val="15"/>
            <w:szCs w:val="15"/>
            <w:u w:val="single" w:color="auto"/>
            <w:color w:val="0000FF"/>
          </w:rPr>
          <w:t>First Amendment to Amended and Restated Limited Liability Company Agreement,</w:t>
        </w:r>
      </w:hyperlink>
      <w:r>
        <w:rPr>
          <w:rFonts w:ascii="Arial" w:cs="Arial" w:eastAsia="Arial" w:hAnsi="Arial"/>
          <w:sz w:val="15"/>
          <w:szCs w:val="15"/>
          <w:u w:val="single" w:color="auto"/>
          <w:color w:val="0000FF"/>
        </w:rPr>
        <w:t xml:space="preserve"> </w:t>
      </w:r>
      <w:hyperlink r:id="rId83">
        <w:r>
          <w:rPr>
            <w:rFonts w:ascii="Arial" w:cs="Arial" w:eastAsia="Arial" w:hAnsi="Arial"/>
            <w:sz w:val="15"/>
            <w:szCs w:val="15"/>
            <w:u w:val="single" w:color="auto"/>
            <w:color w:val="0000FF"/>
          </w:rPr>
          <w:t>dated as of December 26, 2018, by and among DGPV Holding LLC (f/k/a NRG Yield</w:t>
        </w:r>
      </w:hyperlink>
      <w:r>
        <w:rPr>
          <w:rFonts w:ascii="Arial" w:cs="Arial" w:eastAsia="Arial" w:hAnsi="Arial"/>
          <w:sz w:val="15"/>
          <w:szCs w:val="15"/>
          <w:u w:val="single" w:color="auto"/>
          <w:color w:val="0000FF"/>
        </w:rPr>
        <w:t xml:space="preserve"> </w:t>
      </w:r>
      <w:hyperlink r:id="rId83">
        <w:r>
          <w:rPr>
            <w:rFonts w:ascii="Arial" w:cs="Arial" w:eastAsia="Arial" w:hAnsi="Arial"/>
            <w:sz w:val="15"/>
            <w:szCs w:val="15"/>
            <w:u w:val="single" w:color="auto"/>
            <w:color w:val="0000FF"/>
          </w:rPr>
          <w:t>DGPV Holding LLC), a Delaware limited liability company, and Renew DG Holdings</w:t>
        </w:r>
      </w:hyperlink>
      <w:r>
        <w:rPr>
          <w:rFonts w:ascii="Arial" w:cs="Arial" w:eastAsia="Arial" w:hAnsi="Arial"/>
          <w:sz w:val="15"/>
          <w:szCs w:val="15"/>
          <w:u w:val="single" w:color="auto"/>
          <w:color w:val="0000FF"/>
        </w:rPr>
        <w:t xml:space="preserve"> </w:t>
      </w:r>
      <w:hyperlink r:id="rId83">
        <w:r>
          <w:rPr>
            <w:rFonts w:ascii="Arial" w:cs="Arial" w:eastAsia="Arial" w:hAnsi="Arial"/>
            <w:sz w:val="15"/>
            <w:szCs w:val="15"/>
            <w:u w:val="single" w:color="auto"/>
            <w:color w:val="0000FF"/>
          </w:rPr>
          <w:t>LLC (f/k/a NRG Renew DG Holdings LLC), a Delaware limited liability company.</w:t>
        </w:r>
      </w:hyperlink>
    </w:p>
    <w:p>
      <w:pPr>
        <w:spacing w:after="0" w:line="20" w:lineRule="exact"/>
        <w:rPr>
          <w:rFonts w:ascii="Arial" w:cs="Arial" w:eastAsia="Arial" w:hAnsi="Arial"/>
          <w:sz w:val="15"/>
          <w:szCs w:val="15"/>
          <w:u w:val="single" w:color="auto"/>
          <w:color w:val="0000FF"/>
        </w:rPr>
      </w:pPr>
      <w:r>
        <w:rPr>
          <w:rFonts w:ascii="Arial" w:cs="Arial" w:eastAsia="Arial" w:hAnsi="Arial"/>
          <w:sz w:val="15"/>
          <w:szCs w:val="15"/>
          <w:u w:val="single" w:color="auto"/>
          <w:color w:val="0000FF"/>
        </w:rPr>
        <w:br w:type="column"/>
      </w:r>
    </w:p>
    <w:p>
      <w:pPr>
        <w:spacing w:after="0" w:line="61" w:lineRule="exact"/>
        <w:rPr>
          <w:rFonts w:ascii="Arial" w:cs="Arial" w:eastAsia="Arial" w:hAnsi="Arial"/>
          <w:sz w:val="15"/>
          <w:szCs w:val="15"/>
          <w:u w:val="single" w:color="auto"/>
          <w:color w:val="0000FF"/>
        </w:rPr>
      </w:pPr>
    </w:p>
    <w:p>
      <w:pPr>
        <w:ind w:right="100"/>
        <w:spacing w:after="0" w:line="278" w:lineRule="auto"/>
        <w:rPr>
          <w:sz w:val="20"/>
          <w:szCs w:val="20"/>
          <w:color w:val="auto"/>
        </w:rPr>
      </w:pPr>
      <w:r>
        <w:rPr>
          <w:rFonts w:ascii="Arial" w:cs="Arial" w:eastAsia="Arial" w:hAnsi="Arial"/>
          <w:sz w:val="16"/>
          <w:szCs w:val="16"/>
          <w:color w:val="auto"/>
        </w:rPr>
        <w:t>Incorporated herein by reference to Exhibit 10.30 to the Company's Annual Report on Form 10-K filed on February 28, 2019.</w:t>
      </w: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00" w:lineRule="exact"/>
        <w:rPr>
          <w:rFonts w:ascii="Arial" w:cs="Arial" w:eastAsia="Arial" w:hAnsi="Arial"/>
          <w:sz w:val="15"/>
          <w:szCs w:val="15"/>
          <w:u w:val="single" w:color="auto"/>
          <w:color w:val="0000FF"/>
        </w:rPr>
      </w:pPr>
    </w:p>
    <w:p>
      <w:pPr>
        <w:spacing w:after="0" w:line="232" w:lineRule="exact"/>
        <w:rPr>
          <w:rFonts w:ascii="Arial" w:cs="Arial" w:eastAsia="Arial" w:hAnsi="Arial"/>
          <w:sz w:val="15"/>
          <w:szCs w:val="15"/>
          <w:u w:val="single" w:color="auto"/>
          <w:color w:val="0000FF"/>
        </w:rPr>
      </w:pPr>
    </w:p>
    <w:p>
      <w:pPr>
        <w:ind w:right="340"/>
        <w:spacing w:after="0" w:line="278" w:lineRule="auto"/>
        <w:rPr>
          <w:sz w:val="20"/>
          <w:szCs w:val="20"/>
          <w:color w:val="auto"/>
        </w:rPr>
      </w:pPr>
      <w:r>
        <w:rPr>
          <w:rFonts w:ascii="Arial" w:cs="Arial" w:eastAsia="Arial" w:hAnsi="Arial"/>
          <w:sz w:val="16"/>
          <w:szCs w:val="16"/>
          <w:color w:val="auto"/>
        </w:rPr>
        <w:t>Incorporated herein by reference to Exhibit 10.16 to the Company's Annual Report on Form 10-K filed on March 2, 2020.</w:t>
      </w:r>
    </w:p>
    <w:p>
      <w:pPr>
        <w:spacing w:after="0" w:line="200" w:lineRule="exact"/>
        <w:rPr>
          <w:rFonts w:ascii="Arial" w:cs="Arial" w:eastAsia="Arial" w:hAnsi="Arial"/>
          <w:sz w:val="15"/>
          <w:szCs w:val="15"/>
          <w:u w:val="single" w:color="auto"/>
          <w:color w:val="0000FF"/>
        </w:rPr>
      </w:pPr>
    </w:p>
    <w:p>
      <w:pPr>
        <w:spacing w:after="0" w:line="349" w:lineRule="exact"/>
        <w:rPr>
          <w:rFonts w:ascii="Arial" w:cs="Arial" w:eastAsia="Arial" w:hAnsi="Arial"/>
          <w:sz w:val="15"/>
          <w:szCs w:val="15"/>
          <w:u w:val="single" w:color="auto"/>
          <w:color w:val="0000FF"/>
        </w:rPr>
      </w:pPr>
    </w:p>
    <w:p>
      <w:pPr>
        <w:ind w:right="340"/>
        <w:spacing w:after="0" w:line="278" w:lineRule="auto"/>
        <w:rPr>
          <w:sz w:val="20"/>
          <w:szCs w:val="20"/>
          <w:color w:val="auto"/>
        </w:rPr>
      </w:pPr>
      <w:r>
        <w:rPr>
          <w:rFonts w:ascii="Arial" w:cs="Arial" w:eastAsia="Arial" w:hAnsi="Arial"/>
          <w:sz w:val="16"/>
          <w:szCs w:val="16"/>
          <w:color w:val="auto"/>
        </w:rPr>
        <w:t>Incorporated herein by reference to Exhibit 10.17 to the Company's Annual Report on Form 10-K filed on March 2, 2020.</w:t>
      </w:r>
    </w:p>
    <w:p>
      <w:pPr>
        <w:spacing w:after="0" w:line="495" w:lineRule="exact"/>
        <w:rPr>
          <w:rFonts w:ascii="Arial" w:cs="Arial" w:eastAsia="Arial" w:hAnsi="Arial"/>
          <w:sz w:val="15"/>
          <w:szCs w:val="15"/>
          <w:u w:val="single" w:color="auto"/>
          <w:color w:val="0000FF"/>
        </w:rPr>
      </w:pPr>
    </w:p>
    <w:p>
      <w:pPr>
        <w:sectPr>
          <w:pgSz w:w="11900" w:h="16838" w:orient="portrait"/>
          <w:cols w:equalWidth="0" w:num="3">
            <w:col w:w="540" w:space="480"/>
            <w:col w:w="5760" w:space="180"/>
            <w:col w:w="4200"/>
          </w:cols>
          <w:pgMar w:left="360" w:top="712" w:right="379" w:bottom="0" w:gutter="0" w:footer="0" w:header="0"/>
          <w:type w:val="continuous"/>
        </w:sectPr>
      </w:pPr>
    </w:p>
    <w:p>
      <w:pPr>
        <w:spacing w:after="0" w:line="244" w:lineRule="exact"/>
        <w:rPr>
          <w:rFonts w:ascii="Arial" w:cs="Arial" w:eastAsia="Arial" w:hAnsi="Arial"/>
          <w:sz w:val="15"/>
          <w:szCs w:val="15"/>
          <w:u w:val="single" w:color="auto"/>
          <w:color w:val="0000FF"/>
        </w:rPr>
      </w:pPr>
    </w:p>
    <w:tbl>
      <w:tblPr>
        <w:tblLayout w:type="fixed"/>
        <w:tblInd w:w="0" w:type="dxa"/>
        <w:tblCellMar>
          <w:top w:w="0" w:type="dxa"/>
          <w:left w:w="0" w:type="dxa"/>
          <w:bottom w:w="0" w:type="dxa"/>
          <w:right w:w="0" w:type="dxa"/>
        </w:tblCellMar>
      </w:tblPr>
      <w:tr>
        <w:trPr>
          <w:trHeight w:val="184"/>
        </w:trPr>
        <w:tc>
          <w:tcPr>
            <w:tcW w:w="1020" w:type="dxa"/>
            <w:vAlign w:val="bottom"/>
          </w:tcPr>
          <w:p>
            <w:pPr>
              <w:spacing w:after="0"/>
              <w:rPr>
                <w:sz w:val="20"/>
                <w:szCs w:val="20"/>
                <w:color w:val="auto"/>
              </w:rPr>
            </w:pPr>
            <w:r>
              <w:rPr>
                <w:rFonts w:ascii="Arial" w:cs="Arial" w:eastAsia="Arial" w:hAnsi="Arial"/>
                <w:sz w:val="16"/>
                <w:szCs w:val="16"/>
                <w:color w:val="auto"/>
              </w:rPr>
              <w:t>10.18</w:t>
            </w:r>
          </w:p>
        </w:tc>
        <w:tc>
          <w:tcPr>
            <w:tcW w:w="5660" w:type="dxa"/>
            <w:vAlign w:val="bottom"/>
            <w:tcBorders>
              <w:bottom w:val="single" w:sz="8" w:color="0000FF"/>
            </w:tcBorders>
            <w:gridSpan w:val="4"/>
          </w:tcPr>
          <w:p>
            <w:pPr>
              <w:spacing w:after="0"/>
              <w:rPr>
                <w:rFonts w:ascii="Arial" w:cs="Arial" w:eastAsia="Arial" w:hAnsi="Arial"/>
                <w:sz w:val="16"/>
                <w:szCs w:val="16"/>
                <w:color w:val="0000FF"/>
                <w:w w:val="90"/>
              </w:rPr>
            </w:pPr>
            <w:hyperlink r:id="rId84">
              <w:r>
                <w:rPr>
                  <w:rFonts w:ascii="Arial" w:cs="Arial" w:eastAsia="Arial" w:hAnsi="Arial"/>
                  <w:sz w:val="16"/>
                  <w:szCs w:val="16"/>
                  <w:color w:val="0000FF"/>
                  <w:w w:val="90"/>
                </w:rPr>
                <w:t>Amended and Restated Exchange Agreement, dated as of May 14, 2015, by and among</w:t>
              </w:r>
            </w:hyperlink>
          </w:p>
        </w:tc>
      </w:tr>
      <w:tr>
        <w:trPr>
          <w:trHeight w:val="183"/>
        </w:trPr>
        <w:tc>
          <w:tcPr>
            <w:tcW w:w="1020" w:type="dxa"/>
            <w:vAlign w:val="bottom"/>
          </w:tcPr>
          <w:p>
            <w:pPr>
              <w:spacing w:after="0"/>
              <w:rPr>
                <w:sz w:val="15"/>
                <w:szCs w:val="15"/>
                <w:color w:val="auto"/>
              </w:rPr>
            </w:pPr>
          </w:p>
        </w:tc>
        <w:tc>
          <w:tcPr>
            <w:tcW w:w="5440" w:type="dxa"/>
            <w:vAlign w:val="bottom"/>
            <w:tcBorders>
              <w:bottom w:val="single" w:sz="8" w:color="0000FF"/>
            </w:tcBorders>
            <w:gridSpan w:val="3"/>
          </w:tcPr>
          <w:p>
            <w:pPr>
              <w:spacing w:after="0" w:line="183" w:lineRule="exact"/>
              <w:rPr>
                <w:rFonts w:ascii="Arial" w:cs="Arial" w:eastAsia="Arial" w:hAnsi="Arial"/>
                <w:sz w:val="16"/>
                <w:szCs w:val="16"/>
                <w:color w:val="0000FF"/>
                <w:w w:val="93"/>
              </w:rPr>
            </w:pPr>
            <w:hyperlink r:id="rId84">
              <w:r>
                <w:rPr>
                  <w:rFonts w:ascii="Arial" w:cs="Arial" w:eastAsia="Arial" w:hAnsi="Arial"/>
                  <w:sz w:val="16"/>
                  <w:szCs w:val="16"/>
                  <w:color w:val="0000FF"/>
                  <w:w w:val="93"/>
                </w:rPr>
                <w:t>NRG Energy, Inc., NRG Yield, Inc., and NRG Yield LLC and, pursuant to a joinder</w:t>
              </w:r>
            </w:hyperlink>
          </w:p>
        </w:tc>
        <w:tc>
          <w:tcPr>
            <w:tcW w:w="220" w:type="dxa"/>
            <w:vAlign w:val="bottom"/>
          </w:tcPr>
          <w:p>
            <w:pPr>
              <w:spacing w:after="0"/>
              <w:rPr>
                <w:sz w:val="15"/>
                <w:szCs w:val="15"/>
                <w:color w:val="auto"/>
              </w:rPr>
            </w:pPr>
          </w:p>
        </w:tc>
      </w:tr>
      <w:tr>
        <w:trPr>
          <w:trHeight w:val="183"/>
        </w:trPr>
        <w:tc>
          <w:tcPr>
            <w:tcW w:w="1020" w:type="dxa"/>
            <w:vAlign w:val="bottom"/>
          </w:tcPr>
          <w:p>
            <w:pPr>
              <w:spacing w:after="0"/>
              <w:rPr>
                <w:sz w:val="15"/>
                <w:szCs w:val="15"/>
                <w:color w:val="auto"/>
              </w:rPr>
            </w:pPr>
          </w:p>
        </w:tc>
        <w:tc>
          <w:tcPr>
            <w:tcW w:w="5660" w:type="dxa"/>
            <w:vAlign w:val="bottom"/>
            <w:gridSpan w:val="4"/>
          </w:tcPr>
          <w:p>
            <w:pPr>
              <w:spacing w:after="0" w:line="183" w:lineRule="exact"/>
              <w:rPr>
                <w:rFonts w:ascii="Arial" w:cs="Arial" w:eastAsia="Arial" w:hAnsi="Arial"/>
                <w:sz w:val="16"/>
                <w:szCs w:val="16"/>
                <w:color w:val="0000FF"/>
              </w:rPr>
            </w:pPr>
            <w:hyperlink r:id="rId84">
              <w:r>
                <w:rPr>
                  <w:rFonts w:ascii="Arial" w:cs="Arial" w:eastAsia="Arial" w:hAnsi="Arial"/>
                  <w:sz w:val="16"/>
                  <w:szCs w:val="16"/>
                  <w:color w:val="0000FF"/>
                </w:rPr>
                <w:t>thereto, dated as of August 31, 2018, Zephyr Renewables LLC.</w:t>
              </w:r>
            </w:hyperlink>
          </w:p>
        </w:tc>
      </w:tr>
      <w:tr>
        <w:trPr>
          <w:trHeight w:val="601"/>
        </w:trPr>
        <w:tc>
          <w:tcPr>
            <w:tcW w:w="1020" w:type="dxa"/>
            <w:vAlign w:val="bottom"/>
          </w:tcPr>
          <w:p>
            <w:pPr>
              <w:spacing w:after="0"/>
              <w:rPr>
                <w:sz w:val="20"/>
                <w:szCs w:val="20"/>
                <w:color w:val="auto"/>
              </w:rPr>
            </w:pPr>
            <w:r>
              <w:rPr>
                <w:rFonts w:ascii="Arial" w:cs="Arial" w:eastAsia="Arial" w:hAnsi="Arial"/>
                <w:sz w:val="16"/>
                <w:szCs w:val="16"/>
                <w:color w:val="auto"/>
              </w:rPr>
              <w:t>21.1</w:t>
            </w:r>
          </w:p>
        </w:tc>
        <w:tc>
          <w:tcPr>
            <w:tcW w:w="4100" w:type="dxa"/>
            <w:vAlign w:val="bottom"/>
            <w:tcBorders>
              <w:top w:val="single" w:sz="8" w:color="0000FF"/>
            </w:tcBorders>
            <w:gridSpan w:val="2"/>
          </w:tcPr>
          <w:p>
            <w:pPr>
              <w:spacing w:after="0"/>
              <w:rPr>
                <w:rFonts w:ascii="Arial" w:cs="Arial" w:eastAsia="Arial" w:hAnsi="Arial"/>
                <w:sz w:val="16"/>
                <w:szCs w:val="16"/>
                <w:color w:val="0000FF"/>
              </w:rPr>
            </w:pPr>
            <w:hyperlink r:id="rId85">
              <w:r>
                <w:rPr>
                  <w:rFonts w:ascii="Arial" w:cs="Arial" w:eastAsia="Arial" w:hAnsi="Arial"/>
                  <w:sz w:val="16"/>
                  <w:szCs w:val="16"/>
                  <w:color w:val="0000FF"/>
                </w:rPr>
                <w:t>Subsidiaries of Clearway Energy LLC.</w:t>
              </w:r>
            </w:hyperlink>
          </w:p>
        </w:tc>
        <w:tc>
          <w:tcPr>
            <w:tcW w:w="1560" w:type="dxa"/>
            <w:vAlign w:val="bottom"/>
            <w:gridSpan w:val="2"/>
          </w:tcPr>
          <w:p>
            <w:pPr>
              <w:spacing w:after="0"/>
              <w:rPr>
                <w:sz w:val="24"/>
                <w:szCs w:val="24"/>
                <w:color w:val="auto"/>
              </w:rPr>
            </w:pPr>
          </w:p>
        </w:tc>
      </w:tr>
      <w:tr>
        <w:trPr>
          <w:trHeight w:val="20"/>
        </w:trPr>
        <w:tc>
          <w:tcPr>
            <w:tcW w:w="1020" w:type="dxa"/>
            <w:vAlign w:val="bottom"/>
          </w:tcPr>
          <w:p>
            <w:pPr>
              <w:spacing w:after="0" w:line="20" w:lineRule="exact"/>
              <w:rPr>
                <w:sz w:val="1"/>
                <w:szCs w:val="1"/>
                <w:color w:val="auto"/>
              </w:rPr>
            </w:pPr>
          </w:p>
        </w:tc>
        <w:tc>
          <w:tcPr>
            <w:tcW w:w="2520" w:type="dxa"/>
            <w:vAlign w:val="bottom"/>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both"/>
        <w:ind w:right="240"/>
        <w:spacing w:after="0" w:line="278" w:lineRule="auto"/>
        <w:rPr>
          <w:sz w:val="20"/>
          <w:szCs w:val="20"/>
          <w:color w:val="auto"/>
        </w:rPr>
      </w:pPr>
      <w:r>
        <w:rPr>
          <w:rFonts w:ascii="Arial" w:cs="Arial" w:eastAsia="Arial" w:hAnsi="Arial"/>
          <w:sz w:val="16"/>
          <w:szCs w:val="16"/>
          <w:color w:val="auto"/>
        </w:rPr>
        <w:t>Incorporated herein by reference to Exhibit 10.1 to Clearway Energy, Inc.'s Current Report on Form 8-K filed on May 15, 2015.</w:t>
      </w:r>
    </w:p>
    <w:p>
      <w:pPr>
        <w:spacing w:after="0" w:line="387" w:lineRule="exact"/>
        <w:rPr>
          <w:sz w:val="20"/>
          <w:szCs w:val="20"/>
          <w:color w:val="auto"/>
        </w:rPr>
      </w:pPr>
    </w:p>
    <w:p>
      <w:pPr>
        <w:ind w:right="340"/>
        <w:spacing w:after="0" w:line="278" w:lineRule="auto"/>
        <w:rPr>
          <w:sz w:val="20"/>
          <w:szCs w:val="20"/>
          <w:color w:val="auto"/>
        </w:rPr>
      </w:pPr>
      <w:r>
        <w:rPr>
          <w:rFonts w:ascii="Arial" w:cs="Arial" w:eastAsia="Arial" w:hAnsi="Arial"/>
          <w:sz w:val="16"/>
          <w:szCs w:val="16"/>
          <w:color w:val="auto"/>
        </w:rPr>
        <w:t>Incorporated herein by reference to Exhibit 21.1 to the Company's Annual Report on Form 10-K filed on March 2, 2020.</w:t>
      </w:r>
    </w:p>
    <w:p>
      <w:pPr>
        <w:spacing w:after="0" w:line="200" w:lineRule="exact"/>
        <w:rPr>
          <w:sz w:val="20"/>
          <w:szCs w:val="20"/>
          <w:color w:val="auto"/>
        </w:rPr>
      </w:pPr>
    </w:p>
    <w:p>
      <w:pPr>
        <w:sectPr>
          <w:pgSz w:w="11900" w:h="16838" w:orient="portrait"/>
          <w:cols w:equalWidth="0" w:num="2">
            <w:col w:w="6680" w:space="280"/>
            <w:col w:w="4200"/>
          </w:cols>
          <w:pgMar w:left="360" w:top="712" w:right="379" w:bottom="0" w:gutter="0" w:footer="0" w:header="0"/>
          <w:type w:val="continuous"/>
        </w:sectPr>
      </w:pP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31.1</w:t>
            </w:r>
          </w:p>
        </w:tc>
        <w:tc>
          <w:tcPr>
            <w:tcW w:w="4080" w:type="dxa"/>
            <w:vAlign w:val="bottom"/>
            <w:tcBorders>
              <w:bottom w:val="single" w:sz="8" w:color="0000FF"/>
            </w:tcBorders>
            <w:gridSpan w:val="3"/>
          </w:tcPr>
          <w:p>
            <w:pPr>
              <w:spacing w:after="0"/>
              <w:rPr>
                <w:rFonts w:ascii="Arial" w:cs="Arial" w:eastAsia="Arial" w:hAnsi="Arial"/>
                <w:sz w:val="16"/>
                <w:szCs w:val="16"/>
                <w:color w:val="0000FF"/>
                <w:w w:val="92"/>
              </w:rPr>
            </w:pPr>
            <w:hyperlink w:anchor="page14">
              <w:r>
                <w:rPr>
                  <w:rFonts w:ascii="Arial" w:cs="Arial" w:eastAsia="Arial" w:hAnsi="Arial"/>
                  <w:sz w:val="16"/>
                  <w:szCs w:val="16"/>
                  <w:color w:val="0000FF"/>
                  <w:w w:val="92"/>
                </w:rPr>
                <w:t>Rule 13a-14(a)/15d-14(a) certification of Christopher S. Sotos.</w:t>
              </w:r>
            </w:hyperlink>
          </w:p>
        </w:tc>
        <w:tc>
          <w:tcPr>
            <w:tcW w:w="920" w:type="dxa"/>
            <w:vAlign w:val="bottom"/>
          </w:tcPr>
          <w:p>
            <w:pPr>
              <w:spacing w:after="0"/>
              <w:rPr>
                <w:sz w:val="16"/>
                <w:szCs w:val="16"/>
                <w:color w:val="auto"/>
              </w:rPr>
            </w:pPr>
          </w:p>
        </w:tc>
        <w:tc>
          <w:tcPr>
            <w:tcW w:w="1920" w:type="dxa"/>
            <w:vAlign w:val="bottom"/>
          </w:tcPr>
          <w:p>
            <w:pPr>
              <w:ind w:left="940"/>
              <w:spacing w:after="0"/>
              <w:rPr>
                <w:sz w:val="20"/>
                <w:szCs w:val="20"/>
                <w:color w:val="auto"/>
              </w:rPr>
            </w:pPr>
            <w:r>
              <w:rPr>
                <w:rFonts w:ascii="Arial" w:cs="Arial" w:eastAsia="Arial" w:hAnsi="Arial"/>
                <w:sz w:val="16"/>
                <w:szCs w:val="16"/>
                <w:color w:val="auto"/>
                <w:w w:val="92"/>
              </w:rPr>
              <w:t>Filed herewith.</w:t>
            </w:r>
          </w:p>
        </w:tc>
      </w:tr>
      <w:tr>
        <w:trPr>
          <w:trHeight w:val="250"/>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31.2</w:t>
            </w:r>
          </w:p>
        </w:tc>
        <w:tc>
          <w:tcPr>
            <w:tcW w:w="3600" w:type="dxa"/>
            <w:vAlign w:val="bottom"/>
            <w:tcBorders>
              <w:bottom w:val="single" w:sz="8" w:color="0000FF"/>
            </w:tcBorders>
          </w:tcPr>
          <w:p>
            <w:pPr>
              <w:spacing w:after="0"/>
              <w:rPr>
                <w:rFonts w:ascii="Arial" w:cs="Arial" w:eastAsia="Arial" w:hAnsi="Arial"/>
                <w:sz w:val="16"/>
                <w:szCs w:val="16"/>
                <w:color w:val="0000FF"/>
                <w:w w:val="93"/>
              </w:rPr>
            </w:pPr>
            <w:hyperlink w:anchor="page15">
              <w:r>
                <w:rPr>
                  <w:rFonts w:ascii="Arial" w:cs="Arial" w:eastAsia="Arial" w:hAnsi="Arial"/>
                  <w:sz w:val="16"/>
                  <w:szCs w:val="16"/>
                  <w:color w:val="0000FF"/>
                  <w:w w:val="93"/>
                </w:rPr>
                <w:t>Rule 13a-14(a)/15d-14(a) certification of Chad Plotkin.</w:t>
              </w:r>
            </w:hyperlink>
          </w:p>
        </w:tc>
        <w:tc>
          <w:tcPr>
            <w:tcW w:w="1400" w:type="dxa"/>
            <w:vAlign w:val="bottom"/>
            <w:gridSpan w:val="3"/>
          </w:tcPr>
          <w:p>
            <w:pPr>
              <w:spacing w:after="0"/>
              <w:rPr>
                <w:sz w:val="21"/>
                <w:szCs w:val="21"/>
                <w:color w:val="auto"/>
              </w:rPr>
            </w:pPr>
          </w:p>
        </w:tc>
        <w:tc>
          <w:tcPr>
            <w:tcW w:w="1920" w:type="dxa"/>
            <w:vAlign w:val="bottom"/>
          </w:tcPr>
          <w:p>
            <w:pPr>
              <w:ind w:left="940"/>
              <w:spacing w:after="0"/>
              <w:rPr>
                <w:sz w:val="20"/>
                <w:szCs w:val="20"/>
                <w:color w:val="auto"/>
              </w:rPr>
            </w:pPr>
            <w:r>
              <w:rPr>
                <w:rFonts w:ascii="Arial" w:cs="Arial" w:eastAsia="Arial" w:hAnsi="Arial"/>
                <w:sz w:val="16"/>
                <w:szCs w:val="16"/>
                <w:color w:val="auto"/>
                <w:w w:val="92"/>
              </w:rPr>
              <w:t>Filed herewith.</w:t>
            </w:r>
          </w:p>
        </w:tc>
      </w:tr>
      <w:tr>
        <w:trPr>
          <w:trHeight w:val="250"/>
        </w:trPr>
        <w:tc>
          <w:tcPr>
            <w:tcW w:w="1020" w:type="dxa"/>
            <w:vAlign w:val="bottom"/>
          </w:tcPr>
          <w:p>
            <w:pPr>
              <w:jc w:val="right"/>
              <w:ind w:right="659"/>
              <w:spacing w:after="0"/>
              <w:rPr>
                <w:sz w:val="20"/>
                <w:szCs w:val="20"/>
                <w:color w:val="auto"/>
              </w:rPr>
            </w:pPr>
            <w:r>
              <w:rPr>
                <w:rFonts w:ascii="Arial" w:cs="Arial" w:eastAsia="Arial" w:hAnsi="Arial"/>
                <w:sz w:val="16"/>
                <w:szCs w:val="16"/>
                <w:color w:val="auto"/>
                <w:w w:val="83"/>
              </w:rPr>
              <w:t>31.3</w:t>
            </w:r>
          </w:p>
        </w:tc>
        <w:tc>
          <w:tcPr>
            <w:tcW w:w="3980" w:type="dxa"/>
            <w:vAlign w:val="bottom"/>
            <w:tcBorders>
              <w:bottom w:val="single" w:sz="8" w:color="0000FF"/>
            </w:tcBorders>
            <w:gridSpan w:val="2"/>
          </w:tcPr>
          <w:p>
            <w:pPr>
              <w:spacing w:after="0"/>
              <w:rPr>
                <w:rFonts w:ascii="Arial" w:cs="Arial" w:eastAsia="Arial" w:hAnsi="Arial"/>
                <w:sz w:val="16"/>
                <w:szCs w:val="16"/>
                <w:color w:val="0000FF"/>
                <w:w w:val="94"/>
              </w:rPr>
            </w:pPr>
            <w:hyperlink w:anchor="page16">
              <w:r>
                <w:rPr>
                  <w:rFonts w:ascii="Arial" w:cs="Arial" w:eastAsia="Arial" w:hAnsi="Arial"/>
                  <w:sz w:val="16"/>
                  <w:szCs w:val="16"/>
                  <w:color w:val="0000FF"/>
                  <w:w w:val="94"/>
                </w:rPr>
                <w:t>Rule 13a-14(a)/15d-14(a) certification of Mary-Lee Stillwell.</w:t>
              </w:r>
            </w:hyperlink>
          </w:p>
        </w:tc>
        <w:tc>
          <w:tcPr>
            <w:tcW w:w="1020" w:type="dxa"/>
            <w:vAlign w:val="bottom"/>
            <w:gridSpan w:val="2"/>
          </w:tcPr>
          <w:p>
            <w:pPr>
              <w:spacing w:after="0"/>
              <w:rPr>
                <w:sz w:val="21"/>
                <w:szCs w:val="21"/>
                <w:color w:val="auto"/>
              </w:rPr>
            </w:pPr>
          </w:p>
        </w:tc>
        <w:tc>
          <w:tcPr>
            <w:tcW w:w="1920" w:type="dxa"/>
            <w:vAlign w:val="bottom"/>
          </w:tcPr>
          <w:p>
            <w:pPr>
              <w:ind w:left="940"/>
              <w:spacing w:after="0"/>
              <w:rPr>
                <w:sz w:val="20"/>
                <w:szCs w:val="20"/>
                <w:color w:val="auto"/>
              </w:rPr>
            </w:pPr>
            <w:r>
              <w:rPr>
                <w:rFonts w:ascii="Arial" w:cs="Arial" w:eastAsia="Arial" w:hAnsi="Arial"/>
                <w:sz w:val="16"/>
                <w:szCs w:val="16"/>
                <w:color w:val="auto"/>
                <w:w w:val="92"/>
              </w:rPr>
              <w:t>Filed herewith.</w:t>
            </w:r>
          </w:p>
        </w:tc>
      </w:tr>
    </w:tbl>
    <w:p>
      <w:pPr>
        <w:sectPr>
          <w:pgSz w:w="11900" w:h="16838" w:orient="portrait"/>
          <w:cols w:equalWidth="0" w:num="1">
            <w:col w:w="11160"/>
          </w:cols>
          <w:pgMar w:left="360" w:top="712" w:right="379" w:bottom="0" w:gutter="0" w:footer="0" w:header="0"/>
          <w:type w:val="continuous"/>
        </w:sectPr>
      </w:pPr>
    </w:p>
    <w:bookmarkStart w:id="10" w:name="page11"/>
    <w:bookmarkEnd w:id="10"/>
    <w:p>
      <w:pPr>
        <w:spacing w:after="0"/>
        <w:tabs>
          <w:tab w:leader="none" w:pos="1000" w:val="left"/>
          <w:tab w:leader="none" w:pos="6940" w:val="left"/>
        </w:tabs>
        <w:rPr>
          <w:rFonts w:ascii="Arial" w:cs="Arial" w:eastAsia="Arial" w:hAnsi="Arial"/>
          <w:sz w:val="16"/>
          <w:szCs w:val="16"/>
          <w:color w:val="0000FF"/>
        </w:rPr>
      </w:pPr>
      <w:r>
        <w:rPr>
          <w:rFonts w:ascii="Arial" w:cs="Arial" w:eastAsia="Arial" w:hAnsi="Arial"/>
          <w:sz w:val="16"/>
          <w:szCs w:val="16"/>
          <w:color w:val="auto"/>
        </w:rPr>
        <w:t>32</w:t>
      </w:r>
      <w:r>
        <w:rPr>
          <w:sz w:val="20"/>
          <w:szCs w:val="20"/>
          <w:color w:val="auto"/>
        </w:rPr>
        <w:tab/>
      </w:r>
      <w:hyperlink w:anchor="page17">
        <w:r>
          <w:rPr>
            <w:rFonts w:ascii="Arial" w:cs="Arial" w:eastAsia="Arial" w:hAnsi="Arial"/>
            <w:sz w:val="16"/>
            <w:szCs w:val="16"/>
            <w:u w:val="single" w:color="auto"/>
            <w:color w:val="0000FF"/>
          </w:rPr>
          <w:t>Section 1350 Certification.</w:t>
        </w:r>
      </w:hyperlink>
      <w:r>
        <w:rPr>
          <w:rFonts w:ascii="Arial" w:cs="Arial" w:eastAsia="Arial" w:hAnsi="Arial"/>
          <w:sz w:val="16"/>
          <w:szCs w:val="16"/>
          <w:color w:val="0000FF"/>
        </w:rPr>
        <w:tab/>
      </w:r>
      <w:r>
        <w:rPr>
          <w:rFonts w:ascii="Arial" w:cs="Arial" w:eastAsia="Arial" w:hAnsi="Arial"/>
          <w:sz w:val="14"/>
          <w:szCs w:val="14"/>
          <w:color w:val="0000FF"/>
        </w:rPr>
        <w:t>Furnished herewith.</w:t>
      </w:r>
    </w:p>
    <w:p>
      <w:pPr>
        <w:sectPr>
          <w:pgSz w:w="11900" w:h="16838" w:orient="portrait"/>
          <w:cols w:equalWidth="0" w:num="1">
            <w:col w:w="10099"/>
          </w:cols>
          <w:pgMar w:left="360" w:top="130" w:right="1440" w:bottom="1440" w:gutter="0" w:footer="0" w:header="0"/>
        </w:sectPr>
      </w:pPr>
    </w:p>
    <w:p>
      <w:pPr>
        <w:spacing w:after="0" w:line="271" w:lineRule="exact"/>
        <w:rPr>
          <w:sz w:val="20"/>
          <w:szCs w:val="20"/>
          <w:color w:val="auto"/>
        </w:rPr>
      </w:pPr>
    </w:p>
    <w:p>
      <w:pPr>
        <w:ind w:left="5540"/>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10099"/>
          </w:cols>
          <w:pgMar w:left="360" w:top="130" w:right="1440" w:bottom="1440" w:gutter="0" w:footer="0" w:header="0"/>
          <w:type w:val="continuous"/>
        </w:sectPr>
      </w:pPr>
    </w:p>
    <w:bookmarkStart w:id="11" w:name="page12"/>
    <w:bookmarkEnd w:id="11"/>
    <w:tbl>
      <w:tblPr>
        <w:tblLayout w:type="fixed"/>
        <w:tblInd w:w="5" w:type="dxa"/>
        <w:tblCellMar>
          <w:top w:w="0" w:type="dxa"/>
          <w:left w:w="0" w:type="dxa"/>
          <w:bottom w:w="0" w:type="dxa"/>
          <w:right w:w="0" w:type="dxa"/>
        </w:tblCellMar>
      </w:tblPr>
      <w:tr>
        <w:trPr>
          <w:trHeight w:val="184"/>
        </w:trPr>
        <w:tc>
          <w:tcPr>
            <w:tcW w:w="280" w:type="dxa"/>
            <w:vAlign w:val="bottom"/>
          </w:tcPr>
          <w:p>
            <w:pPr>
              <w:spacing w:after="0"/>
              <w:rPr>
                <w:sz w:val="20"/>
                <w:szCs w:val="20"/>
                <w:color w:val="auto"/>
              </w:rPr>
            </w:pPr>
            <w:r>
              <w:rPr>
                <w:rFonts w:ascii="Arial" w:cs="Arial" w:eastAsia="Arial" w:hAnsi="Arial"/>
                <w:sz w:val="16"/>
                <w:szCs w:val="16"/>
                <w:color w:val="auto"/>
                <w:w w:val="83"/>
              </w:rPr>
              <w:t>99.1</w:t>
            </w:r>
          </w:p>
        </w:tc>
        <w:tc>
          <w:tcPr>
            <w:tcW w:w="740" w:type="dxa"/>
            <w:vAlign w:val="bottom"/>
          </w:tcPr>
          <w:p>
            <w:pPr>
              <w:spacing w:after="0"/>
              <w:rPr>
                <w:sz w:val="16"/>
                <w:szCs w:val="16"/>
                <w:color w:val="auto"/>
              </w:rPr>
            </w:pPr>
          </w:p>
        </w:tc>
        <w:tc>
          <w:tcPr>
            <w:tcW w:w="5660" w:type="dxa"/>
            <w:vAlign w:val="bottom"/>
            <w:gridSpan w:val="3"/>
          </w:tcPr>
          <w:p>
            <w:pPr>
              <w:spacing w:after="0"/>
              <w:rPr>
                <w:rFonts w:ascii="Arial" w:cs="Arial" w:eastAsia="Arial" w:hAnsi="Arial"/>
                <w:sz w:val="16"/>
                <w:szCs w:val="16"/>
                <w:color w:val="0000FF"/>
                <w:w w:val="96"/>
              </w:rPr>
            </w:pPr>
            <w:hyperlink w:anchor="page18">
              <w:r>
                <w:rPr>
                  <w:rFonts w:ascii="Arial" w:cs="Arial" w:eastAsia="Arial" w:hAnsi="Arial"/>
                  <w:sz w:val="16"/>
                  <w:szCs w:val="16"/>
                  <w:color w:val="0000FF"/>
                  <w:w w:val="96"/>
                </w:rPr>
                <w:t>Financial Statements of DGPV Holdco 3 LLC and Subsidiaries for the years ended</w:t>
              </w:r>
            </w:hyperlink>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183"/>
        </w:trPr>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60" w:type="dxa"/>
            <w:vAlign w:val="bottom"/>
            <w:tcBorders>
              <w:top w:val="single" w:sz="8" w:color="0000FF"/>
              <w:bottom w:val="single" w:sz="8" w:color="0000FF"/>
            </w:tcBorders>
          </w:tcPr>
          <w:p>
            <w:pPr>
              <w:spacing w:after="0" w:line="183" w:lineRule="exact"/>
              <w:rPr>
                <w:rFonts w:ascii="Arial" w:cs="Arial" w:eastAsia="Arial" w:hAnsi="Arial"/>
                <w:sz w:val="16"/>
                <w:szCs w:val="16"/>
                <w:color w:val="0000FF"/>
                <w:w w:val="89"/>
              </w:rPr>
            </w:pPr>
            <w:hyperlink w:anchor="page18">
              <w:r>
                <w:rPr>
                  <w:rFonts w:ascii="Arial" w:cs="Arial" w:eastAsia="Arial" w:hAnsi="Arial"/>
                  <w:sz w:val="16"/>
                  <w:szCs w:val="16"/>
                  <w:color w:val="0000FF"/>
                  <w:w w:val="89"/>
                </w:rPr>
                <w:t>December 31, 2019 and 2018.</w:t>
              </w:r>
            </w:hyperlink>
          </w:p>
        </w:tc>
        <w:tc>
          <w:tcPr>
            <w:tcW w:w="3420" w:type="dxa"/>
            <w:vAlign w:val="bottom"/>
            <w:tcBorders>
              <w:top w:val="single" w:sz="8" w:color="0000FF"/>
            </w:tcBorders>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71"/>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INS</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Instance Document.</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SCH</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Taxonomy Extension Schema.</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662"/>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CAL</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Taxonomy Extension Calculation Linkbase.</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DEF</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Taxonomy Extension Definition Linkbase.</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LAB</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Taxonomy Extension Label Linkbase.</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r>
        <w:trPr>
          <w:trHeight w:val="459"/>
        </w:trPr>
        <w:tc>
          <w:tcPr>
            <w:tcW w:w="280" w:type="dxa"/>
            <w:vAlign w:val="bottom"/>
          </w:tcPr>
          <w:p>
            <w:pPr>
              <w:spacing w:after="0"/>
              <w:rPr>
                <w:sz w:val="20"/>
                <w:szCs w:val="20"/>
                <w:color w:val="auto"/>
              </w:rPr>
            </w:pPr>
            <w:r>
              <w:rPr>
                <w:rFonts w:ascii="Arial" w:cs="Arial" w:eastAsia="Arial" w:hAnsi="Arial"/>
                <w:sz w:val="16"/>
                <w:szCs w:val="16"/>
                <w:color w:val="auto"/>
                <w:w w:val="97"/>
              </w:rPr>
              <w:t>101</w:t>
            </w:r>
          </w:p>
        </w:tc>
        <w:tc>
          <w:tcPr>
            <w:tcW w:w="740" w:type="dxa"/>
            <w:vAlign w:val="bottom"/>
          </w:tcPr>
          <w:p>
            <w:pPr>
              <w:spacing w:after="0"/>
              <w:rPr>
                <w:sz w:val="20"/>
                <w:szCs w:val="20"/>
                <w:color w:val="auto"/>
              </w:rPr>
            </w:pPr>
            <w:r>
              <w:rPr>
                <w:rFonts w:ascii="Arial" w:cs="Arial" w:eastAsia="Arial" w:hAnsi="Arial"/>
                <w:sz w:val="16"/>
                <w:szCs w:val="16"/>
                <w:color w:val="auto"/>
              </w:rPr>
              <w:t>PRE</w:t>
            </w:r>
          </w:p>
        </w:tc>
        <w:tc>
          <w:tcPr>
            <w:tcW w:w="5660" w:type="dxa"/>
            <w:vAlign w:val="bottom"/>
            <w:gridSpan w:val="3"/>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1260" w:type="dxa"/>
            <w:vAlign w:val="bottom"/>
          </w:tcPr>
          <w:p>
            <w:pPr>
              <w:ind w:left="280"/>
              <w:spacing w:after="0"/>
              <w:rPr>
                <w:sz w:val="20"/>
                <w:szCs w:val="20"/>
                <w:color w:val="auto"/>
              </w:rPr>
            </w:pPr>
            <w:r>
              <w:rPr>
                <w:rFonts w:ascii="Arial" w:cs="Arial" w:eastAsia="Arial" w:hAnsi="Arial"/>
                <w:sz w:val="16"/>
                <w:szCs w:val="16"/>
                <w:color w:val="auto"/>
                <w:w w:val="92"/>
              </w:rPr>
              <w:t>Filed herewith.</w:t>
            </w:r>
          </w:p>
        </w:tc>
      </w:tr>
    </w:tbl>
    <w:p>
      <w:pPr>
        <w:spacing w:after="0" w:line="253" w:lineRule="exact"/>
        <w:rPr>
          <w:sz w:val="20"/>
          <w:szCs w:val="20"/>
          <w:color w:val="auto"/>
        </w:rPr>
      </w:pPr>
    </w:p>
    <w:p>
      <w:pPr>
        <w:ind w:left="1025" w:right="3399" w:hanging="1025"/>
        <w:spacing w:after="0" w:line="278" w:lineRule="auto"/>
        <w:tabs>
          <w:tab w:leader="none" w:pos="1025" w:val="left"/>
        </w:tabs>
        <w:numPr>
          <w:ilvl w:val="0"/>
          <w:numId w:val="4"/>
        </w:numPr>
        <w:rPr>
          <w:rFonts w:ascii="Arial" w:cs="Arial" w:eastAsia="Arial" w:hAnsi="Arial"/>
          <w:sz w:val="16"/>
          <w:szCs w:val="16"/>
          <w:color w:val="auto"/>
        </w:rPr>
      </w:pPr>
      <w:r>
        <w:rPr>
          <w:rFonts w:ascii="Arial" w:cs="Arial" w:eastAsia="Arial" w:hAnsi="Arial"/>
          <w:sz w:val="16"/>
          <w:szCs w:val="16"/>
          <w:color w:val="auto"/>
        </w:rPr>
        <w:t>Cover Page Interactive Data File (</w:t>
      </w:r>
      <w:r>
        <w:rPr>
          <w:rFonts w:ascii="Arial" w:cs="Arial" w:eastAsia="Arial" w:hAnsi="Arial"/>
          <w:sz w:val="16"/>
          <w:szCs w:val="16"/>
          <w:color w:val="212529"/>
        </w:rPr>
        <w:t>the cover page interactive data file does not appear in</w:t>
      </w:r>
      <w:r>
        <w:rPr>
          <w:rFonts w:ascii="Arial" w:cs="Arial" w:eastAsia="Arial" w:hAnsi="Arial"/>
          <w:sz w:val="16"/>
          <w:szCs w:val="16"/>
          <w:color w:val="auto"/>
        </w:rPr>
        <w:t xml:space="preserve"> </w:t>
      </w:r>
      <w:r>
        <w:rPr>
          <w:rFonts w:ascii="Arial" w:cs="Arial" w:eastAsia="Arial" w:hAnsi="Arial"/>
          <w:sz w:val="16"/>
          <w:szCs w:val="16"/>
          <w:color w:val="212529"/>
        </w:rPr>
        <w:t>Exhibit 104 because its Inline XBRL tags are embedded within the Inline XBRL document)</w:t>
      </w:r>
    </w:p>
    <w:p>
      <w:pPr>
        <w:spacing w:after="0" w:line="200" w:lineRule="exact"/>
        <w:rPr>
          <w:sz w:val="20"/>
          <w:szCs w:val="20"/>
          <w:color w:val="auto"/>
        </w:rPr>
      </w:pPr>
    </w:p>
    <w:p>
      <w:pPr>
        <w:spacing w:after="0" w:line="376" w:lineRule="exact"/>
        <w:rPr>
          <w:sz w:val="20"/>
          <w:szCs w:val="20"/>
          <w:color w:val="auto"/>
        </w:rPr>
      </w:pPr>
    </w:p>
    <w:p>
      <w:pPr>
        <w:ind w:left="565" w:hanging="565"/>
        <w:spacing w:after="0"/>
        <w:tabs>
          <w:tab w:leader="none" w:pos="565" w:val="left"/>
        </w:tabs>
        <w:numPr>
          <w:ilvl w:val="0"/>
          <w:numId w:val="5"/>
        </w:numPr>
        <w:rPr>
          <w:rFonts w:ascii="Arial" w:cs="Arial" w:eastAsia="Arial" w:hAnsi="Arial"/>
          <w:sz w:val="16"/>
          <w:szCs w:val="16"/>
          <w:color w:val="auto"/>
        </w:rPr>
      </w:pPr>
      <w:r>
        <w:rPr>
          <w:rFonts w:ascii="Arial" w:cs="Arial" w:eastAsia="Arial" w:hAnsi="Arial"/>
          <w:sz w:val="16"/>
          <w:szCs w:val="16"/>
          <w:color w:val="auto"/>
        </w:rPr>
        <w:t>Indicates exhibits that constitute compensatory plans or arrangements.</w:t>
      </w:r>
    </w:p>
    <w:p>
      <w:pPr>
        <w:spacing w:after="0" w:line="86" w:lineRule="exact"/>
        <w:rPr>
          <w:sz w:val="20"/>
          <w:szCs w:val="20"/>
          <w:color w:val="auto"/>
        </w:rPr>
      </w:pPr>
    </w:p>
    <w:p>
      <w:pPr>
        <w:ind w:left="565" w:right="939" w:hanging="565"/>
        <w:spacing w:after="0" w:line="293" w:lineRule="auto"/>
        <w:tabs>
          <w:tab w:leader="none" w:pos="565" w:val="left"/>
        </w:tabs>
        <w:numPr>
          <w:ilvl w:val="0"/>
          <w:numId w:val="6"/>
        </w:numPr>
        <w:rPr>
          <w:rFonts w:ascii="Arial" w:cs="Arial" w:eastAsia="Arial" w:hAnsi="Arial"/>
          <w:sz w:val="16"/>
          <w:szCs w:val="16"/>
          <w:color w:val="auto"/>
        </w:rPr>
      </w:pPr>
      <w:r>
        <w:rPr>
          <w:rFonts w:ascii="Arial" w:cs="Arial" w:eastAsia="Arial" w:hAnsi="Arial"/>
          <w:sz w:val="16"/>
          <w:szCs w:val="16"/>
          <w:color w:val="auto"/>
        </w:rPr>
        <w:t>This filing excludes schedules pursuant to Item 601(b)(2) of Regulation S-K, which the registrant agrees to furnish supplementary to the Securities and Exchange Commission upon request by the Commission.</w:t>
      </w:r>
    </w:p>
    <w:p>
      <w:pPr>
        <w:spacing w:after="0" w:line="10" w:lineRule="exact"/>
        <w:rPr>
          <w:sz w:val="20"/>
          <w:szCs w:val="20"/>
          <w:color w:val="auto"/>
        </w:rPr>
      </w:pPr>
    </w:p>
    <w:p>
      <w:pPr>
        <w:ind w:left="565" w:right="939" w:hanging="565"/>
        <w:spacing w:after="0" w:line="328" w:lineRule="auto"/>
        <w:tabs>
          <w:tab w:leader="none" w:pos="565" w:val="left"/>
        </w:tabs>
        <w:numPr>
          <w:ilvl w:val="0"/>
          <w:numId w:val="7"/>
        </w:numPr>
        <w:rPr>
          <w:rFonts w:ascii="Arial" w:cs="Arial" w:eastAsia="Arial" w:hAnsi="Arial"/>
          <w:sz w:val="15"/>
          <w:szCs w:val="15"/>
          <w:color w:val="auto"/>
        </w:rPr>
      </w:pPr>
      <w:r>
        <w:rPr>
          <w:rFonts w:ascii="Arial" w:cs="Arial" w:eastAsia="Arial" w:hAnsi="Arial"/>
          <w:sz w:val="15"/>
          <w:szCs w:val="15"/>
          <w:color w:val="auto"/>
        </w:rPr>
        <w:t>Portions of this exhibit have been redacted and are subject to a confidential treatment request filed with the Secretary of the Securities and Exchange Commission pursuant to Rule 24b-2 under the Securities Exchange Act of 1934, as amended.</w:t>
      </w:r>
    </w:p>
    <w:p>
      <w:pPr>
        <w:spacing w:after="0" w:line="190" w:lineRule="exact"/>
        <w:rPr>
          <w:sz w:val="20"/>
          <w:szCs w:val="20"/>
          <w:color w:val="auto"/>
        </w:rPr>
      </w:pPr>
    </w:p>
    <w:p>
      <w:pPr>
        <w:ind w:left="565" w:right="939" w:hanging="565"/>
        <w:spacing w:after="0" w:line="328" w:lineRule="auto"/>
        <w:tabs>
          <w:tab w:leader="none" w:pos="565" w:val="left"/>
        </w:tabs>
        <w:numPr>
          <w:ilvl w:val="0"/>
          <w:numId w:val="8"/>
        </w:numPr>
        <w:rPr>
          <w:rFonts w:ascii="Arial" w:cs="Arial" w:eastAsia="Arial" w:hAnsi="Arial"/>
          <w:sz w:val="15"/>
          <w:szCs w:val="15"/>
          <w:color w:val="auto"/>
        </w:rPr>
      </w:pPr>
      <w:r>
        <w:rPr>
          <w:rFonts w:ascii="Arial" w:cs="Arial" w:eastAsia="Arial" w:hAnsi="Arial"/>
          <w:sz w:val="15"/>
          <w:szCs w:val="15"/>
          <w:color w:val="auto"/>
        </w:rPr>
        <w:t>Information in this exhibit identified by the mark “[***]” is confidential and has been excluded pursuant to Item 601(b)(10)(iv) of Regulation S-K because it (i) is not material and (ii) would likely cause competitive harm to the Registrant if disclosed.</w:t>
      </w:r>
    </w:p>
    <w:p>
      <w:pPr>
        <w:spacing w:after="0" w:line="200" w:lineRule="exact"/>
        <w:rPr>
          <w:sz w:val="20"/>
          <w:szCs w:val="20"/>
          <w:color w:val="auto"/>
        </w:rPr>
      </w:pPr>
    </w:p>
    <w:p>
      <w:pPr>
        <w:spacing w:after="0" w:line="391" w:lineRule="exact"/>
        <w:rPr>
          <w:sz w:val="20"/>
          <w:szCs w:val="20"/>
          <w:color w:val="auto"/>
        </w:rPr>
      </w:pPr>
    </w:p>
    <w:p>
      <w:pPr>
        <w:ind w:left="5545"/>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104"/>
          </w:cols>
          <w:pgMar w:left="355" w:top="712" w:right="1440" w:bottom="1440" w:gutter="0" w:footer="0" w:header="0"/>
        </w:sectPr>
      </w:pPr>
    </w:p>
    <w:bookmarkStart w:id="12" w:name="page13"/>
    <w:bookmarkEnd w:id="1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270"/>
        <w:spacing w:after="0" w:line="277" w:lineRule="auto"/>
        <w:rPr>
          <w:sz w:val="20"/>
          <w:szCs w:val="20"/>
          <w:color w:val="auto"/>
        </w:rPr>
      </w:pPr>
      <w:r>
        <w:rPr>
          <w:rFonts w:ascii="Arial" w:cs="Arial" w:eastAsia="Arial" w:hAnsi="Arial"/>
          <w:sz w:val="18"/>
          <w:szCs w:val="18"/>
          <w:color w:val="212529"/>
        </w:rPr>
        <w:t>Pursuant to the requirements of Section 13 or 15(d) of the Securities Exchange Act of 1934, the registrant has duly caused this report to be signed on its behalf by the undersigned thereunto duly authorized.</w:t>
      </w:r>
    </w:p>
    <w:p>
      <w:pPr>
        <w:spacing w:after="0" w:line="29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CLEARWAY ENERGY LLC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346"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31750</wp:posOffset>
            </wp:positionV>
            <wp:extent cx="25628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6">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i w:val="1"/>
          <w:iCs w:val="1"/>
          <w:color w:val="auto"/>
        </w:rPr>
        <w:t>(Principal Executive Officer)</w:t>
      </w:r>
    </w:p>
    <w:p>
      <w:pPr>
        <w:spacing w:after="0" w:line="319" w:lineRule="exact"/>
        <w:rPr>
          <w:sz w:val="20"/>
          <w:szCs w:val="20"/>
          <w:color w:val="auto"/>
        </w:rPr>
      </w:pPr>
    </w:p>
    <w:p>
      <w:pPr>
        <w:ind w:left="40"/>
        <w:spacing w:after="0"/>
        <w:tabs>
          <w:tab w:leader="none" w:pos="58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March 30, 2020</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553" w:right="359" w:bottom="1440" w:gutter="0" w:footer="0" w:header="0"/>
        </w:sectPr>
      </w:pPr>
    </w:p>
    <w:bookmarkStart w:id="13" w:name="page14"/>
    <w:bookmarkEnd w:id="13"/>
    <w:p>
      <w:pPr>
        <w:ind w:left="10120"/>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Christopher S. Sotos, certify that:</w:t>
      </w:r>
    </w:p>
    <w:p>
      <w:pPr>
        <w:spacing w:after="0" w:line="306" w:lineRule="exact"/>
        <w:rPr>
          <w:sz w:val="20"/>
          <w:szCs w:val="20"/>
          <w:color w:val="auto"/>
        </w:rPr>
      </w:pPr>
    </w:p>
    <w:p>
      <w:pPr>
        <w:ind w:left="660" w:hanging="652"/>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31750</wp:posOffset>
            </wp:positionV>
            <wp:extent cx="27774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7">
                      <a:extLst>
                        <a:ext uri="{28A0092B-C50C-407E-A947-70E740481C1C}"/>
                      </a:extLst>
                    </a:blip>
                    <a:srcRect/>
                    <a:stretch>
                      <a:fillRect/>
                    </a:stretch>
                  </pic:blipFill>
                  <pic:spPr bwMode="auto">
                    <a:xfrm>
                      <a:off x="0" y="0"/>
                      <a:ext cx="2777490"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Christopher S. Sotos</w:t>
      </w:r>
    </w:p>
    <w:p>
      <w:pPr>
        <w:spacing w:after="0" w:line="23"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Chief Executive Officer</w:t>
      </w:r>
    </w:p>
    <w:p>
      <w:pPr>
        <w:spacing w:after="0" w:line="9" w:lineRule="exact"/>
        <w:rPr>
          <w:sz w:val="20"/>
          <w:szCs w:val="20"/>
          <w:color w:val="auto"/>
        </w:rPr>
      </w:pPr>
    </w:p>
    <w:p>
      <w:pPr>
        <w:ind w:left="5600"/>
        <w:spacing w:after="0"/>
        <w:rPr>
          <w:sz w:val="20"/>
          <w:szCs w:val="20"/>
          <w:color w:val="auto"/>
        </w:rPr>
      </w:pPr>
      <w:r>
        <w:rPr>
          <w:rFonts w:ascii="Arial" w:cs="Arial" w:eastAsia="Arial" w:hAnsi="Arial"/>
          <w:sz w:val="18"/>
          <w:szCs w:val="18"/>
          <w:i w:val="1"/>
          <w:iCs w:val="1"/>
          <w:color w:val="auto"/>
        </w:rPr>
        <w:t>(Principal Executive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634" w:right="339" w:bottom="1440" w:gutter="0" w:footer="0" w:header="0"/>
        </w:sectPr>
      </w:pPr>
    </w:p>
    <w:bookmarkStart w:id="14" w:name="page15"/>
    <w:bookmarkEnd w:id="14"/>
    <w:p>
      <w:pPr>
        <w:ind w:left="10120"/>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Chad Plotkin, certify that:</w:t>
      </w:r>
    </w:p>
    <w:p>
      <w:pPr>
        <w:spacing w:after="0" w:line="306"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4839970</wp:posOffset>
            </wp:positionH>
            <wp:positionV relativeFrom="paragraph">
              <wp:posOffset>31750</wp:posOffset>
            </wp:positionV>
            <wp:extent cx="16198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8">
                      <a:extLst>
                        <a:ext uri="{28A0092B-C50C-407E-A947-70E740481C1C}"/>
                      </a:extLst>
                    </a:blip>
                    <a:srcRect/>
                    <a:stretch>
                      <a:fillRect/>
                    </a:stretch>
                  </pic:blipFill>
                  <pic:spPr bwMode="auto">
                    <a:xfrm>
                      <a:off x="0" y="0"/>
                      <a:ext cx="1619885" cy="8255"/>
                    </a:xfrm>
                    <a:prstGeom prst="rect">
                      <a:avLst/>
                    </a:prstGeom>
                    <a:noFill/>
                  </pic:spPr>
                </pic:pic>
              </a:graphicData>
            </a:graphic>
          </wp:anchor>
        </w:drawing>
      </w:r>
    </w:p>
    <w:p>
      <w:pPr>
        <w:spacing w:after="0" w:line="57" w:lineRule="exact"/>
        <w:rPr>
          <w:sz w:val="20"/>
          <w:szCs w:val="20"/>
          <w:color w:val="auto"/>
        </w:rPr>
      </w:pPr>
    </w:p>
    <w:p>
      <w:pPr>
        <w:ind w:left="7640"/>
        <w:spacing w:after="0"/>
        <w:rPr>
          <w:sz w:val="20"/>
          <w:szCs w:val="20"/>
          <w:color w:val="auto"/>
        </w:rPr>
      </w:pPr>
      <w:r>
        <w:rPr>
          <w:rFonts w:ascii="Arial" w:cs="Arial" w:eastAsia="Arial" w:hAnsi="Arial"/>
          <w:sz w:val="18"/>
          <w:szCs w:val="18"/>
          <w:color w:val="auto"/>
        </w:rPr>
        <w:t>Chad Plotkin</w:t>
      </w:r>
    </w:p>
    <w:p>
      <w:pPr>
        <w:spacing w:after="0" w:line="23"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ind w:left="7640"/>
        <w:spacing w:after="0"/>
        <w:rPr>
          <w:sz w:val="20"/>
          <w:szCs w:val="20"/>
          <w:color w:val="auto"/>
        </w:rPr>
      </w:pPr>
      <w:r>
        <w:rPr>
          <w:rFonts w:ascii="Arial" w:cs="Arial" w:eastAsia="Arial" w:hAnsi="Arial"/>
          <w:sz w:val="18"/>
          <w:szCs w:val="18"/>
          <w:i w:val="1"/>
          <w:iCs w:val="1"/>
          <w:color w:val="auto"/>
        </w:rPr>
        <w:t>(Principal Financial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634" w:right="339" w:bottom="1440" w:gutter="0" w:footer="0" w:header="0"/>
        </w:sectPr>
      </w:pPr>
    </w:p>
    <w:bookmarkStart w:id="15" w:name="page16"/>
    <w:bookmarkEnd w:id="15"/>
    <w:p>
      <w:pPr>
        <w:ind w:left="10120"/>
        <w:spacing w:after="0"/>
        <w:rPr>
          <w:sz w:val="20"/>
          <w:szCs w:val="20"/>
          <w:color w:val="auto"/>
        </w:rPr>
      </w:pPr>
      <w:r>
        <w:rPr>
          <w:rFonts w:ascii="Arial" w:cs="Arial" w:eastAsia="Arial" w:hAnsi="Arial"/>
          <w:sz w:val="18"/>
          <w:szCs w:val="18"/>
          <w:b w:val="1"/>
          <w:bCs w:val="1"/>
          <w:color w:val="auto"/>
        </w:rPr>
        <w:t>EXHIBIT 31.3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I, Mary-Lee Stillwell, certify that:</w:t>
      </w:r>
    </w:p>
    <w:p>
      <w:pPr>
        <w:spacing w:after="0" w:line="306"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annual report on Form 10-K/A of Clearway Energy LLC;</w:t>
      </w:r>
    </w:p>
    <w:p>
      <w:pPr>
        <w:spacing w:after="0" w:line="225" w:lineRule="exact"/>
        <w:rPr>
          <w:rFonts w:ascii="Arial" w:cs="Arial" w:eastAsia="Arial" w:hAnsi="Arial"/>
          <w:sz w:val="18"/>
          <w:szCs w:val="18"/>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660" w:hanging="652"/>
        <w:spacing w:after="0" w:line="263"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1300" w:right="20" w:hanging="644"/>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300" w:hanging="644"/>
        <w:spacing w:after="0" w:line="308" w:lineRule="auto"/>
        <w:tabs>
          <w:tab w:leader="none" w:pos="1300"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300" w:right="20" w:hanging="644"/>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31750</wp:posOffset>
            </wp:positionV>
            <wp:extent cx="18173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9">
                      <a:extLst>
                        <a:ext uri="{28A0092B-C50C-407E-A947-70E740481C1C}"/>
                      </a:extLst>
                    </a:blip>
                    <a:srcRect/>
                    <a:stretch>
                      <a:fillRect/>
                    </a:stretch>
                  </pic:blipFill>
                  <pic:spPr bwMode="auto">
                    <a:xfrm>
                      <a:off x="0" y="0"/>
                      <a:ext cx="1817370" cy="8890"/>
                    </a:xfrm>
                    <a:prstGeom prst="rect">
                      <a:avLst/>
                    </a:prstGeom>
                    <a:noFill/>
                  </pic:spPr>
                </pic:pic>
              </a:graphicData>
            </a:graphic>
          </wp:anchor>
        </w:drawing>
      </w:r>
    </w:p>
    <w:p>
      <w:pPr>
        <w:spacing w:after="0" w:line="57"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Mary-Lee Stillwell</w:t>
      </w:r>
    </w:p>
    <w:p>
      <w:pPr>
        <w:spacing w:after="0" w:line="23"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Chief Accounting Officer</w:t>
      </w:r>
    </w:p>
    <w:p>
      <w:pPr>
        <w:spacing w:after="0" w:line="9"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(Principal Accounting Officer)</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ectPr>
          <w:pgSz w:w="11900" w:h="16838" w:orient="portrait"/>
          <w:cols w:equalWidth="0" w:num="1">
            <w:col w:w="11240"/>
          </w:cols>
          <w:pgMar w:left="320" w:top="553" w:right="339" w:bottom="1440" w:gutter="0" w:footer="0" w:header="0"/>
        </w:sectPr>
      </w:pPr>
    </w:p>
    <w:bookmarkStart w:id="16" w:name="page17"/>
    <w:bookmarkEnd w:id="16"/>
    <w:p>
      <w:pPr>
        <w:jc w:val="right"/>
        <w:spacing w:after="0"/>
        <w:rPr>
          <w:sz w:val="20"/>
          <w:szCs w:val="20"/>
          <w:color w:val="auto"/>
        </w:rPr>
      </w:pPr>
      <w:r>
        <w:rPr>
          <w:rFonts w:ascii="Arial" w:cs="Arial" w:eastAsia="Arial" w:hAnsi="Arial"/>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In connection with the Annual Report of Clearway Energy LLC on Form 10-K/A for the year ended December 31, 2019, as filed with the Securities and Exchange Commission on the date hereof (the “Form 10-K/A”), each of the undersigned officers of the Company certifies, pursuant to 18 U.S.C. Section 1350, as adopted pursuant to Section 906 of the Sarbanes-Oxley Act of 2002, that, to such officer's knowledge:</w:t>
      </w:r>
    </w:p>
    <w:p>
      <w:pPr>
        <w:spacing w:after="0" w:line="3"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Form 10-K/A fully complies with the requirements of Section 13(a) or 15(d) of the Securities Exchange Act of 1934; and</w:t>
      </w:r>
    </w:p>
    <w:p>
      <w:pPr>
        <w:spacing w:after="0" w:line="6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Form 10-K/A fairly presents, in all material respects, the financial condition and results of operations of the Company as of the dates and for the periods expressed in the Form 10-K/A.</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 March 30, 2020</w:t>
      </w:r>
    </w:p>
    <w:p>
      <w:pPr>
        <w:spacing w:after="0" w:line="200" w:lineRule="exact"/>
        <w:rPr>
          <w:sz w:val="20"/>
          <w:szCs w:val="20"/>
          <w:color w:val="auto"/>
        </w:rPr>
      </w:pPr>
    </w:p>
    <w:p>
      <w:pPr>
        <w:spacing w:after="0" w:line="241"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Christopher S. Sotos</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3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9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Chad Plotkin</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89"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/s/ 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3716655</wp:posOffset>
            </wp:positionH>
            <wp:positionV relativeFrom="paragraph">
              <wp:posOffset>31750</wp:posOffset>
            </wp:positionV>
            <wp:extent cx="2425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2">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57"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Mary-Lee Stillwell</w:t>
      </w:r>
    </w:p>
    <w:p>
      <w:pPr>
        <w:spacing w:after="0" w:line="6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Chief Accounting Officer</w:t>
      </w:r>
    </w:p>
    <w:p>
      <w:pPr>
        <w:spacing w:after="0" w:line="23" w:lineRule="exact"/>
        <w:rPr>
          <w:sz w:val="20"/>
          <w:szCs w:val="20"/>
          <w:color w:val="auto"/>
        </w:rPr>
      </w:pPr>
    </w:p>
    <w:p>
      <w:pPr>
        <w:ind w:left="5880"/>
        <w:spacing w:after="0"/>
        <w:rPr>
          <w:sz w:val="20"/>
          <w:szCs w:val="20"/>
          <w:color w:val="auto"/>
        </w:rPr>
      </w:pP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10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this Form 10-K/A or as a separate disclosure document.</w:t>
      </w:r>
    </w:p>
    <w:p>
      <w:pPr>
        <w:spacing w:after="0" w:line="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LLC and will be retained by Clearway Energy LLC and furnished to the Securities and Exchange Commission or its staff upon request.</w:t>
      </w:r>
    </w:p>
    <w:p>
      <w:pPr>
        <w:sectPr>
          <w:pgSz w:w="11900" w:h="16838" w:orient="portrait"/>
          <w:cols w:equalWidth="0" w:num="1">
            <w:col w:w="11240"/>
          </w:cols>
          <w:pgMar w:left="320" w:top="553" w:right="339" w:bottom="1440" w:gutter="0" w:footer="0" w:header="0"/>
        </w:sectPr>
      </w:pPr>
    </w:p>
    <w:bookmarkStart w:id="17" w:name="page18"/>
    <w:bookmarkEnd w:id="17"/>
    <w:p>
      <w:pPr>
        <w:ind w:left="6660"/>
        <w:spacing w:after="0"/>
        <w:rPr>
          <w:sz w:val="20"/>
          <w:szCs w:val="20"/>
          <w:color w:val="auto"/>
        </w:rPr>
      </w:pPr>
      <w:r>
        <w:rPr>
          <w:rFonts w:ascii="Arial" w:cs="Arial" w:eastAsia="Arial" w:hAnsi="Arial"/>
          <w:sz w:val="18"/>
          <w:szCs w:val="18"/>
          <w:color w:val="auto"/>
        </w:rPr>
        <w:t>Exhibit 99.1</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DGPV HOLDCO 3 LLC AND SUBSIDIARIES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140" w:type="dxa"/>
        <w:tblCellMar>
          <w:top w:w="0" w:type="dxa"/>
          <w:left w:w="0" w:type="dxa"/>
          <w:bottom w:w="0" w:type="dxa"/>
          <w:right w:w="0" w:type="dxa"/>
        </w:tblCellMar>
      </w:tblPr>
      <w:tr>
        <w:trPr>
          <w:trHeight w:val="256"/>
        </w:trPr>
        <w:tc>
          <w:tcPr>
            <w:tcW w:w="8100" w:type="dxa"/>
            <w:vAlign w:val="bottom"/>
          </w:tcPr>
          <w:p>
            <w:pPr>
              <w:spacing w:after="0"/>
              <w:rPr>
                <w:sz w:val="22"/>
                <w:szCs w:val="22"/>
                <w:color w:val="auto"/>
              </w:rPr>
            </w:pPr>
          </w:p>
        </w:tc>
        <w:tc>
          <w:tcPr>
            <w:tcW w:w="520" w:type="dxa"/>
            <w:vAlign w:val="bottom"/>
          </w:tcPr>
          <w:p>
            <w:pPr>
              <w:jc w:val="center"/>
              <w:ind w:left="21"/>
              <w:spacing w:after="0"/>
              <w:rPr>
                <w:sz w:val="20"/>
                <w:szCs w:val="20"/>
                <w:color w:val="auto"/>
              </w:rPr>
            </w:pPr>
            <w:r>
              <w:rPr>
                <w:rFonts w:ascii="Arial" w:cs="Arial" w:eastAsia="Arial" w:hAnsi="Arial"/>
                <w:sz w:val="20"/>
                <w:szCs w:val="20"/>
                <w:b w:val="1"/>
                <w:bCs w:val="1"/>
                <w:color w:val="auto"/>
                <w:w w:val="83"/>
              </w:rPr>
              <w:t>Page</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Independent Auditors' Report</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1</w:t>
            </w:r>
          </w:p>
        </w:tc>
        <w:tc>
          <w:tcPr>
            <w:tcW w:w="0" w:type="dxa"/>
            <w:vAlign w:val="bottom"/>
          </w:tcPr>
          <w:p>
            <w:pPr>
              <w:spacing w:after="0"/>
              <w:rPr>
                <w:sz w:val="1"/>
                <w:szCs w:val="1"/>
                <w:color w:val="auto"/>
              </w:rPr>
            </w:pPr>
          </w:p>
        </w:tc>
      </w:tr>
      <w:tr>
        <w:trPr>
          <w:trHeight w:val="283"/>
        </w:trPr>
        <w:tc>
          <w:tcPr>
            <w:tcW w:w="8100" w:type="dxa"/>
            <w:vAlign w:val="bottom"/>
          </w:tcPr>
          <w:p>
            <w:pPr>
              <w:spacing w:after="0"/>
              <w:rPr>
                <w:sz w:val="20"/>
                <w:szCs w:val="20"/>
                <w:color w:val="auto"/>
              </w:rPr>
            </w:pPr>
            <w:r>
              <w:rPr>
                <w:rFonts w:ascii="Arial" w:cs="Arial" w:eastAsia="Arial" w:hAnsi="Arial"/>
                <w:sz w:val="20"/>
                <w:szCs w:val="20"/>
                <w:color w:val="auto"/>
              </w:rPr>
              <w:t>Consolidated Balance Sheets — December 31, 2019 and 2018</w:t>
            </w:r>
          </w:p>
        </w:tc>
        <w:tc>
          <w:tcPr>
            <w:tcW w:w="520" w:type="dxa"/>
            <w:vAlign w:val="bottom"/>
            <w:vMerge w:val="restart"/>
          </w:tcPr>
          <w:p>
            <w:pPr>
              <w:jc w:val="center"/>
              <w:ind w:left="1"/>
              <w:spacing w:after="0"/>
              <w:rPr>
                <w:sz w:val="20"/>
                <w:szCs w:val="20"/>
                <w:color w:val="auto"/>
              </w:rPr>
            </w:pPr>
            <w:r>
              <w:rPr>
                <w:rFonts w:ascii="Arial" w:cs="Arial" w:eastAsia="Arial" w:hAnsi="Arial"/>
                <w:sz w:val="20"/>
                <w:szCs w:val="20"/>
                <w:color w:val="auto"/>
                <w:w w:val="89"/>
              </w:rPr>
              <w:t>2</w:t>
            </w:r>
          </w:p>
        </w:tc>
        <w:tc>
          <w:tcPr>
            <w:tcW w:w="0" w:type="dxa"/>
            <w:vAlign w:val="bottom"/>
          </w:tcPr>
          <w:p>
            <w:pPr>
              <w:spacing w:after="0"/>
              <w:rPr>
                <w:sz w:val="1"/>
                <w:szCs w:val="1"/>
                <w:color w:val="auto"/>
              </w:rPr>
            </w:pPr>
          </w:p>
        </w:tc>
      </w:tr>
      <w:tr>
        <w:trPr>
          <w:trHeight w:val="176"/>
        </w:trPr>
        <w:tc>
          <w:tcPr>
            <w:tcW w:w="8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Consolidated Statements of Operations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3</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w w:val="90"/>
              </w:rPr>
              <w:t>Consolidated Statements of Member's Equity (Deficit)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4</w:t>
            </w:r>
          </w:p>
        </w:tc>
        <w:tc>
          <w:tcPr>
            <w:tcW w:w="0" w:type="dxa"/>
            <w:vAlign w:val="bottom"/>
          </w:tcPr>
          <w:p>
            <w:pPr>
              <w:spacing w:after="0"/>
              <w:rPr>
                <w:sz w:val="1"/>
                <w:szCs w:val="1"/>
                <w:color w:val="auto"/>
              </w:rPr>
            </w:pPr>
          </w:p>
        </w:tc>
      </w:tr>
      <w:tr>
        <w:trPr>
          <w:trHeight w:val="284"/>
        </w:trPr>
        <w:tc>
          <w:tcPr>
            <w:tcW w:w="8100" w:type="dxa"/>
            <w:vAlign w:val="bottom"/>
          </w:tcPr>
          <w:p>
            <w:pPr>
              <w:ind w:left="20"/>
              <w:spacing w:after="0"/>
              <w:rPr>
                <w:sz w:val="20"/>
                <w:szCs w:val="20"/>
                <w:color w:val="auto"/>
              </w:rPr>
            </w:pPr>
            <w:r>
              <w:rPr>
                <w:rFonts w:ascii="Arial" w:cs="Arial" w:eastAsia="Arial" w:hAnsi="Arial"/>
                <w:sz w:val="20"/>
                <w:szCs w:val="20"/>
                <w:color w:val="auto"/>
              </w:rPr>
              <w:t>Consolidated Statements of Cash Flows — Years ended December 31, 2019 and 2018</w:t>
            </w:r>
          </w:p>
        </w:tc>
        <w:tc>
          <w:tcPr>
            <w:tcW w:w="520" w:type="dxa"/>
            <w:vAlign w:val="bottom"/>
          </w:tcPr>
          <w:p>
            <w:pPr>
              <w:jc w:val="center"/>
              <w:ind w:left="1"/>
              <w:spacing w:after="0"/>
              <w:rPr>
                <w:sz w:val="20"/>
                <w:szCs w:val="20"/>
                <w:color w:val="auto"/>
              </w:rPr>
            </w:pPr>
            <w:r>
              <w:rPr>
                <w:rFonts w:ascii="Arial" w:cs="Arial" w:eastAsia="Arial" w:hAnsi="Arial"/>
                <w:sz w:val="20"/>
                <w:szCs w:val="20"/>
                <w:color w:val="auto"/>
                <w:w w:val="89"/>
              </w:rPr>
              <w:t>5</w:t>
            </w:r>
          </w:p>
        </w:tc>
        <w:tc>
          <w:tcPr>
            <w:tcW w:w="0" w:type="dxa"/>
            <w:vAlign w:val="bottom"/>
          </w:tcPr>
          <w:p>
            <w:pPr>
              <w:spacing w:after="0"/>
              <w:rPr>
                <w:sz w:val="1"/>
                <w:szCs w:val="1"/>
                <w:color w:val="auto"/>
              </w:rPr>
            </w:pPr>
          </w:p>
        </w:tc>
      </w:tr>
      <w:tr>
        <w:trPr>
          <w:trHeight w:val="283"/>
        </w:trPr>
        <w:tc>
          <w:tcPr>
            <w:tcW w:w="8100" w:type="dxa"/>
            <w:vAlign w:val="bottom"/>
          </w:tcPr>
          <w:p>
            <w:pPr>
              <w:ind w:left="20"/>
              <w:spacing w:after="0"/>
              <w:rPr>
                <w:sz w:val="20"/>
                <w:szCs w:val="20"/>
                <w:color w:val="auto"/>
              </w:rPr>
            </w:pPr>
            <w:r>
              <w:rPr>
                <w:rFonts w:ascii="Arial" w:cs="Arial" w:eastAsia="Arial" w:hAnsi="Arial"/>
                <w:sz w:val="20"/>
                <w:szCs w:val="20"/>
                <w:color w:val="auto"/>
              </w:rPr>
              <w:t>Notes to Consolidated Financial Statements</w:t>
            </w:r>
          </w:p>
        </w:tc>
        <w:tc>
          <w:tcPr>
            <w:tcW w:w="520" w:type="dxa"/>
            <w:vAlign w:val="bottom"/>
            <w:vMerge w:val="restart"/>
          </w:tcPr>
          <w:p>
            <w:pPr>
              <w:jc w:val="center"/>
              <w:ind w:left="1"/>
              <w:spacing w:after="0"/>
              <w:rPr>
                <w:sz w:val="20"/>
                <w:szCs w:val="20"/>
                <w:color w:val="auto"/>
              </w:rPr>
            </w:pPr>
            <w:r>
              <w:rPr>
                <w:rFonts w:ascii="Arial" w:cs="Arial" w:eastAsia="Arial" w:hAnsi="Arial"/>
                <w:sz w:val="20"/>
                <w:szCs w:val="20"/>
                <w:color w:val="auto"/>
                <w:w w:val="89"/>
              </w:rPr>
              <w:t>6</w:t>
            </w:r>
          </w:p>
        </w:tc>
        <w:tc>
          <w:tcPr>
            <w:tcW w:w="0" w:type="dxa"/>
            <w:vAlign w:val="bottom"/>
          </w:tcPr>
          <w:p>
            <w:pPr>
              <w:spacing w:after="0"/>
              <w:rPr>
                <w:sz w:val="1"/>
                <w:szCs w:val="1"/>
                <w:color w:val="auto"/>
              </w:rPr>
            </w:pPr>
          </w:p>
        </w:tc>
      </w:tr>
      <w:tr>
        <w:trPr>
          <w:trHeight w:val="175"/>
        </w:trPr>
        <w:tc>
          <w:tcPr>
            <w:tcW w:w="810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1440" w:gutter="0" w:footer="0" w:header="0"/>
        </w:sectPr>
      </w:pPr>
    </w:p>
    <w:bookmarkStart w:id="18" w:name="page19"/>
    <w:bookmarkEnd w:id="18"/>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Independent Auditor's Report</w:t>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Members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DGPV HoldCo 3 LLC:</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have audited the accompanying consolidated financial statements of DGPV HoldCo 3 LLC and its subsidiaries, which comprise the consolidated balance sheets as of December 31, 2019 and 2018, and the related consolidated statements of operations, members’ equity (deficit), and cash flows for the years then ended, and the related notes to the consolidated financial statements.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Responsibility for the Financial Statements</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Management is responsible for the preparation and fair presentation of these consolidated financial statements in accordance with U.S. generally accepted accounting principles; this includes the design, implementation, and maintenance of internal control relevant to the preparation and fair presentation of consolidated financial statements that are free from material misstatement, whether due to fraud or error.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Auditors’ Responsibility</w:t>
      </w:r>
    </w:p>
    <w:p>
      <w:pPr>
        <w:spacing w:after="0" w:line="90"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Our responsibility is to express an opinion on these consolidated financial statements based on our audits. We conducted our audits in accordance with auditing standards generally accepted in the United States of America. Those standards require that we plan and perform the audit to obtain reasonable assurance about whether the consolidated financial statements are free from material misstatement.</w:t>
      </w:r>
    </w:p>
    <w:p>
      <w:pPr>
        <w:spacing w:after="0" w:line="1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audit involves performing procedures to obtain audit evidence about the amounts and disclosures in the consolidated financial statements. The procedures selected depend on the auditors’ judgment, including the assessment of the risks of material misstatement of the consolidated financial statements, whether due to fraud or error. In making those risk assessments, the auditor considers internal control relevant to the entity’s preparation and fair presentation of the consolidated financial statements in order to design audit procedures that are appropriate in the circumstances, but not for the purpose of expressing an opinion on the effectiveness of the entity’s internal control. Accordingly, we express no such opinion. An audit also includes evaluating the appropriateness of accounting policies used and the reasonableness of significant accounting estimates made by management, as well as evaluating the overall presentation of the consolidated financial statements.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the audit evidence we have obtained is sufficient and appropriate to provide a basis for our audit opinion.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Opinion</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DGPV HoldCo 3 LLC and its subsidiaries as of December 31, 2019 and 2018, and the results of their operations and their cash flows for the years then ended in accordance with U.S. generally accepted accounting principles.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As discussed in Note 2(h) to the consolidated financial statements, DGPV HoldCo 3 LLC changed its method of accounting for leases as of January 1, 2019, due to the adoption of Accounting Standards Update 2016-02, Leases (Topic 842) and related amendments. Our opinion is not modified with respect to this matter.</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(signed) KPMG LLP</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30, 2020</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5" w:right="339" w:bottom="1440" w:gutter="0" w:footer="0" w:header="0"/>
        </w:sectPr>
      </w:pPr>
    </w:p>
    <w:bookmarkStart w:id="19" w:name="page20"/>
    <w:bookmarkEnd w:id="19"/>
    <w:p>
      <w:pPr>
        <w:ind w:left="698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7040" w:type="dxa"/>
            <w:vAlign w:val="bottom"/>
            <w:gridSpan w:val="2"/>
          </w:tcPr>
          <w:p>
            <w:pPr>
              <w:jc w:val="center"/>
              <w:ind w:left="2529"/>
              <w:spacing w:after="0"/>
              <w:rPr>
                <w:sz w:val="20"/>
                <w:szCs w:val="20"/>
                <w:color w:val="auto"/>
              </w:rPr>
            </w:pPr>
            <w:r>
              <w:rPr>
                <w:rFonts w:ascii="Arial" w:cs="Arial" w:eastAsia="Arial" w:hAnsi="Arial"/>
                <w:sz w:val="20"/>
                <w:szCs w:val="20"/>
                <w:b w:val="1"/>
                <w:bCs w:val="1"/>
                <w:color w:val="auto"/>
                <w:w w:val="98"/>
              </w:rPr>
              <w:t>DGPV HOLDCO 3 LLC AND SUBSIDIARIES</w:t>
            </w:r>
          </w:p>
        </w:tc>
        <w:tc>
          <w:tcPr>
            <w:tcW w:w="10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7"/>
              </w:rPr>
              <w:t>Consolidated Balance Sheets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8"/>
              </w:rPr>
              <w:t>December 31, 2019 and 2018</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jc w:val="center"/>
              <w:ind w:left="2829"/>
              <w:spacing w:after="0"/>
              <w:rPr>
                <w:sz w:val="20"/>
                <w:szCs w:val="20"/>
                <w:color w:val="auto"/>
              </w:rPr>
            </w:pPr>
            <w:r>
              <w:rPr>
                <w:rFonts w:ascii="Arial" w:cs="Arial" w:eastAsia="Arial" w:hAnsi="Arial"/>
                <w:sz w:val="20"/>
                <w:szCs w:val="20"/>
                <w:color w:val="auto"/>
                <w:w w:val="89"/>
              </w:rPr>
              <w:t>(In thousands)</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740" w:type="dxa"/>
            <w:vAlign w:val="bottom"/>
          </w:tcPr>
          <w:p>
            <w:pPr>
              <w:ind w:left="3040"/>
              <w:spacing w:after="0"/>
              <w:rPr>
                <w:sz w:val="20"/>
                <w:szCs w:val="20"/>
                <w:color w:val="auto"/>
              </w:rPr>
            </w:pPr>
            <w:r>
              <w:rPr>
                <w:rFonts w:ascii="Arial" w:cs="Arial" w:eastAsia="Arial" w:hAnsi="Arial"/>
                <w:sz w:val="20"/>
                <w:szCs w:val="20"/>
                <w:b w:val="1"/>
                <w:bCs w:val="1"/>
                <w:color w:val="auto"/>
              </w:rPr>
              <w:t>Assets</w:t>
            </w:r>
          </w:p>
        </w:tc>
        <w:tc>
          <w:tcPr>
            <w:tcW w:w="300" w:type="dxa"/>
            <w:vAlign w:val="bottom"/>
          </w:tcPr>
          <w:p>
            <w:pPr>
              <w:spacing w:after="0"/>
              <w:rPr>
                <w:sz w:val="24"/>
                <w:szCs w:val="24"/>
                <w:color w:val="auto"/>
              </w:rPr>
            </w:pPr>
          </w:p>
        </w:tc>
        <w:tc>
          <w:tcPr>
            <w:tcW w:w="1060" w:type="dxa"/>
            <w:vAlign w:val="bottom"/>
          </w:tcPr>
          <w:p>
            <w:pPr>
              <w:jc w:val="right"/>
              <w:ind w:right="390"/>
              <w:spacing w:after="0"/>
              <w:rPr>
                <w:sz w:val="20"/>
                <w:szCs w:val="20"/>
                <w:color w:val="auto"/>
              </w:rPr>
            </w:pPr>
            <w:r>
              <w:rPr>
                <w:rFonts w:ascii="Arial" w:cs="Arial" w:eastAsia="Arial" w:hAnsi="Arial"/>
                <w:sz w:val="20"/>
                <w:szCs w:val="20"/>
                <w:b w:val="1"/>
                <w:bCs w:val="1"/>
                <w:color w:val="auto"/>
              </w:rPr>
              <w:t>2019</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jc w:val="right"/>
              <w:ind w:right="410"/>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3"/>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Current assets:</w:t>
            </w: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Cash</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19,104</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6,862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receivable – trade,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Accounts receivable – affiliate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Prepayments and other 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3,153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38,597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29,941</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332,176</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247,759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Derivative instruments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2,599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409,816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280,926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60"/>
              <w:spacing w:after="0"/>
              <w:rPr>
                <w:sz w:val="20"/>
                <w:szCs w:val="20"/>
                <w:color w:val="auto"/>
              </w:rPr>
            </w:pPr>
            <w:r>
              <w:rPr>
                <w:rFonts w:ascii="Arial" w:cs="Arial" w:eastAsia="Arial" w:hAnsi="Arial"/>
                <w:sz w:val="18"/>
                <w:szCs w:val="18"/>
                <w:b w:val="1"/>
                <w:bCs w:val="1"/>
                <w:color w:val="auto"/>
              </w:rPr>
              <w:t>Liabilities and Member's Equity</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Short-term debt – affiliate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1,598</w:t>
            </w:r>
          </w:p>
        </w:tc>
        <w:tc>
          <w:tcPr>
            <w:tcW w:w="20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1,604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40,996</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27,050</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3,765</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13,342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Accounts payable – affiliate</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11,385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6,929</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Accrued interest expense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1,307</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1,141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Lease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Accrued liabilities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740" w:type="dxa"/>
            <w:vAlign w:val="bottom"/>
          </w:tcPr>
          <w:p>
            <w:pPr>
              <w:ind w:left="244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60,663</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50,145</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169,612</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133,277</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Derivative instruments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7,712</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Other non-current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153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Asset retirement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4,151</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43"/>
        </w:trPr>
        <w:tc>
          <w:tcPr>
            <w:tcW w:w="6740" w:type="dxa"/>
            <w:vAlign w:val="bottom"/>
          </w:tcPr>
          <w:p>
            <w:pPr>
              <w:ind w:left="320"/>
              <w:spacing w:after="0"/>
              <w:rPr>
                <w:sz w:val="20"/>
                <w:szCs w:val="20"/>
                <w:color w:val="auto"/>
              </w:rPr>
            </w:pPr>
            <w:r>
              <w:rPr>
                <w:rFonts w:ascii="Arial" w:cs="Arial" w:eastAsia="Arial" w:hAnsi="Arial"/>
                <w:sz w:val="18"/>
                <w:szCs w:val="18"/>
                <w:color w:val="auto"/>
              </w:rPr>
              <w:t>Long-term lease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34,703</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non-current liabilities</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216,331</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136,633</w:t>
            </w:r>
          </w:p>
        </w:tc>
        <w:tc>
          <w:tcPr>
            <w:tcW w:w="0" w:type="dxa"/>
            <w:vAlign w:val="bottom"/>
          </w:tcPr>
          <w:p>
            <w:pPr>
              <w:spacing w:after="0"/>
              <w:rPr>
                <w:sz w:val="1"/>
                <w:szCs w:val="1"/>
                <w:color w:val="auto"/>
              </w:rPr>
            </w:pPr>
          </w:p>
        </w:tc>
      </w:tr>
      <w:tr>
        <w:trPr>
          <w:trHeight w:val="237"/>
        </w:trPr>
        <w:tc>
          <w:tcPr>
            <w:tcW w:w="6740" w:type="dxa"/>
            <w:vAlign w:val="bottom"/>
          </w:tcPr>
          <w:p>
            <w:pPr>
              <w:ind w:left="2440"/>
              <w:spacing w:after="0"/>
              <w:rPr>
                <w:sz w:val="20"/>
                <w:szCs w:val="20"/>
                <w:color w:val="auto"/>
              </w:rPr>
            </w:pPr>
            <w:r>
              <w:rPr>
                <w:rFonts w:ascii="Arial" w:cs="Arial" w:eastAsia="Arial" w:hAnsi="Arial"/>
                <w:sz w:val="18"/>
                <w:szCs w:val="18"/>
                <w:color w:val="auto"/>
              </w:rPr>
              <w:t>Total liabilities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276,994</w:t>
            </w:r>
          </w:p>
        </w:tc>
        <w:tc>
          <w:tcPr>
            <w:tcW w:w="20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186,778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Commitments and contingencies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0"/>
              <w:spacing w:after="0"/>
              <w:rPr>
                <w:sz w:val="20"/>
                <w:szCs w:val="20"/>
                <w:color w:val="auto"/>
              </w:rPr>
            </w:pPr>
            <w:r>
              <w:rPr>
                <w:rFonts w:ascii="Arial" w:cs="Arial" w:eastAsia="Arial" w:hAnsi="Arial"/>
                <w:sz w:val="18"/>
                <w:szCs w:val="18"/>
                <w:color w:val="auto"/>
              </w:rPr>
              <w:t>Member's equity</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132,498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96,094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36"/>
        </w:trPr>
        <w:tc>
          <w:tcPr>
            <w:tcW w:w="6740" w:type="dxa"/>
            <w:vAlign w:val="bottom"/>
          </w:tcPr>
          <w:p>
            <w:pPr>
              <w:ind w:left="2440"/>
              <w:spacing w:after="0"/>
              <w:rPr>
                <w:sz w:val="20"/>
                <w:szCs w:val="20"/>
                <w:color w:val="auto"/>
              </w:rPr>
            </w:pPr>
            <w:r>
              <w:rPr>
                <w:rFonts w:ascii="Arial" w:cs="Arial" w:eastAsia="Arial" w:hAnsi="Arial"/>
                <w:sz w:val="18"/>
                <w:szCs w:val="18"/>
                <w:color w:val="auto"/>
              </w:rPr>
              <w:t>Total equity</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133,559</w:t>
            </w:r>
          </w:p>
        </w:tc>
        <w:tc>
          <w:tcPr>
            <w:tcW w:w="2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440"/>
              <w:spacing w:after="0"/>
              <w:rPr>
                <w:sz w:val="20"/>
                <w:szCs w:val="20"/>
                <w:color w:val="auto"/>
              </w:rPr>
            </w:pPr>
            <w:r>
              <w:rPr>
                <w:rFonts w:ascii="Arial" w:cs="Arial" w:eastAsia="Arial" w:hAnsi="Arial"/>
                <w:sz w:val="18"/>
                <w:szCs w:val="18"/>
                <w:color w:val="auto"/>
              </w:rPr>
              <w:t>Total liabilities and member's equity</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409,816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280,926</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0"/>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74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660"/>
          </w:cols>
          <w:pgMar w:left="1120" w:top="125" w:right="1119" w:bottom="1440" w:gutter="0" w:footer="0" w:header="0"/>
        </w:sectPr>
      </w:pPr>
    </w:p>
    <w:p>
      <w:pPr>
        <w:spacing w:after="0" w:line="24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660"/>
          </w:cols>
          <w:pgMar w:left="1120" w:top="125" w:right="111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40" w:type="dxa"/>
            <w:vAlign w:val="bottom"/>
            <w:gridSpan w:val="2"/>
          </w:tcPr>
          <w:p>
            <w:pPr>
              <w:ind w:left="80"/>
              <w:spacing w:after="0"/>
              <w:rPr>
                <w:sz w:val="20"/>
                <w:szCs w:val="20"/>
                <w:color w:val="auto"/>
              </w:rPr>
            </w:pPr>
            <w:r>
              <w:rPr>
                <w:rFonts w:ascii="Arial" w:cs="Arial" w:eastAsia="Arial" w:hAnsi="Arial"/>
                <w:sz w:val="18"/>
                <w:szCs w:val="18"/>
                <w:color w:val="auto"/>
              </w:rPr>
              <w:t>Exhibit 99.1</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2"/>
        </w:trPr>
        <w:tc>
          <w:tcPr>
            <w:tcW w:w="6820" w:type="dxa"/>
            <w:vAlign w:val="bottom"/>
            <w:gridSpan w:val="2"/>
          </w:tcPr>
          <w:p>
            <w:pPr>
              <w:jc w:val="center"/>
              <w:ind w:left="2588"/>
              <w:spacing w:after="0"/>
              <w:rPr>
                <w:sz w:val="20"/>
                <w:szCs w:val="20"/>
                <w:color w:val="auto"/>
              </w:rPr>
            </w:pPr>
            <w:r>
              <w:rPr>
                <w:rFonts w:ascii="Arial" w:cs="Arial" w:eastAsia="Arial" w:hAnsi="Arial"/>
                <w:sz w:val="20"/>
                <w:szCs w:val="20"/>
                <w:b w:val="1"/>
                <w:bCs w:val="1"/>
                <w:color w:val="auto"/>
                <w:w w:val="98"/>
              </w:rPr>
              <w:t>DGPV HOLDCO 3 LLC AND SUBSIDIARIES</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tcPr>
          <w:p>
            <w:pPr>
              <w:jc w:val="center"/>
              <w:ind w:left="3048"/>
              <w:spacing w:after="0"/>
              <w:rPr>
                <w:sz w:val="20"/>
                <w:szCs w:val="20"/>
                <w:color w:val="auto"/>
              </w:rPr>
            </w:pPr>
            <w:r>
              <w:rPr>
                <w:rFonts w:ascii="Arial" w:cs="Arial" w:eastAsia="Arial" w:hAnsi="Arial"/>
                <w:sz w:val="20"/>
                <w:szCs w:val="20"/>
                <w:color w:val="auto"/>
                <w:w w:val="88"/>
              </w:rPr>
              <w:t>Consolidated Statements of Operations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20" w:type="dxa"/>
            <w:vAlign w:val="bottom"/>
            <w:gridSpan w:val="2"/>
          </w:tcPr>
          <w:p>
            <w:pPr>
              <w:jc w:val="center"/>
              <w:ind w:left="2588"/>
              <w:spacing w:after="0"/>
              <w:rPr>
                <w:sz w:val="20"/>
                <w:szCs w:val="20"/>
                <w:color w:val="auto"/>
              </w:rPr>
            </w:pPr>
            <w:r>
              <w:rPr>
                <w:rFonts w:ascii="Arial" w:cs="Arial" w:eastAsia="Arial" w:hAnsi="Arial"/>
                <w:sz w:val="20"/>
                <w:szCs w:val="20"/>
                <w:color w:val="auto"/>
                <w:w w:val="87"/>
              </w:rPr>
              <w:t>Years ended December 31, 2019 and 2018</w:t>
            </w: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6360" w:type="dxa"/>
            <w:vAlign w:val="bottom"/>
          </w:tcPr>
          <w:p>
            <w:pPr>
              <w:jc w:val="center"/>
              <w:ind w:left="3048"/>
              <w:spacing w:after="0"/>
              <w:rPr>
                <w:sz w:val="20"/>
                <w:szCs w:val="20"/>
                <w:color w:val="auto"/>
              </w:rPr>
            </w:pPr>
            <w:r>
              <w:rPr>
                <w:rFonts w:ascii="Arial" w:cs="Arial" w:eastAsia="Arial" w:hAnsi="Arial"/>
                <w:sz w:val="20"/>
                <w:szCs w:val="20"/>
                <w:color w:val="auto"/>
                <w:w w:val="89"/>
              </w:rPr>
              <w:t>(In thousands)</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jc w:val="right"/>
              <w:ind w:right="429"/>
              <w:spacing w:after="0"/>
              <w:rPr>
                <w:sz w:val="20"/>
                <w:szCs w:val="20"/>
                <w:color w:val="auto"/>
              </w:rPr>
            </w:pPr>
            <w:r>
              <w:rPr>
                <w:rFonts w:ascii="Arial" w:cs="Arial" w:eastAsia="Arial" w:hAnsi="Arial"/>
                <w:sz w:val="20"/>
                <w:szCs w:val="20"/>
                <w:b w:val="1"/>
                <w:bCs w:val="1"/>
                <w:color w:val="auto"/>
                <w:w w:val="94"/>
              </w:rPr>
              <w:t>2019</w:t>
            </w: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jc w:val="right"/>
              <w:ind w:right="429"/>
              <w:spacing w:after="0"/>
              <w:rPr>
                <w:sz w:val="20"/>
                <w:szCs w:val="20"/>
                <w:color w:val="auto"/>
              </w:rPr>
            </w:pPr>
            <w:r>
              <w:rPr>
                <w:rFonts w:ascii="Arial" w:cs="Arial" w:eastAsia="Arial" w:hAnsi="Arial"/>
                <w:sz w:val="20"/>
                <w:szCs w:val="20"/>
                <w:b w:val="1"/>
                <w:bCs w:val="1"/>
                <w:color w:val="auto"/>
              </w:rPr>
              <w:t>2018</w:t>
            </w:r>
          </w:p>
        </w:tc>
        <w:tc>
          <w:tcPr>
            <w:tcW w:w="0" w:type="dxa"/>
            <w:vAlign w:val="bottom"/>
          </w:tcPr>
          <w:p>
            <w:pPr>
              <w:spacing w:after="0"/>
              <w:rPr>
                <w:sz w:val="1"/>
                <w:szCs w:val="1"/>
                <w:color w:val="auto"/>
              </w:rPr>
            </w:pPr>
          </w:p>
        </w:tc>
      </w:tr>
      <w:tr>
        <w:trPr>
          <w:trHeight w:val="23"/>
        </w:trPr>
        <w:tc>
          <w:tcPr>
            <w:tcW w:w="6360" w:type="dxa"/>
            <w:vAlign w:val="bottom"/>
            <w:vMerge w:val="restart"/>
          </w:tcPr>
          <w:p>
            <w:pPr>
              <w:ind w:left="20"/>
              <w:spacing w:after="0"/>
              <w:rPr>
                <w:sz w:val="20"/>
                <w:szCs w:val="20"/>
                <w:color w:val="auto"/>
              </w:rPr>
            </w:pPr>
            <w:r>
              <w:rPr>
                <w:rFonts w:ascii="Arial" w:cs="Arial" w:eastAsia="Arial" w:hAnsi="Arial"/>
                <w:sz w:val="18"/>
                <w:szCs w:val="18"/>
                <w:color w:val="auto"/>
              </w:rPr>
              <w:t>Operating revenues:</w:t>
            </w: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Electric revenue</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16,023</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7,417</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Renewable energy certificates</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11,534</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9,699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Government incentives</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500</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Total operating revenues</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28,057</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17,199</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costs and expenses:</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Cost of operations</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4,335</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3,604</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Cost of operations – affiliate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2,073</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Depreciation and accretion</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8,891</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5,234</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Total operating costs and expenses</w:t>
            </w:r>
          </w:p>
        </w:tc>
        <w:tc>
          <w:tcPr>
            <w:tcW w:w="4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15,299</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10,037</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Operating income</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12,758</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9"/>
              <w:spacing w:after="0"/>
              <w:rPr>
                <w:sz w:val="20"/>
                <w:szCs w:val="20"/>
                <w:color w:val="auto"/>
              </w:rPr>
            </w:pPr>
            <w:r>
              <w:rPr>
                <w:rFonts w:ascii="Arial" w:cs="Arial" w:eastAsia="Arial" w:hAnsi="Arial"/>
                <w:sz w:val="18"/>
                <w:szCs w:val="18"/>
                <w:color w:val="auto"/>
              </w:rPr>
              <w:t>7,162</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60" w:type="dxa"/>
            <w:vAlign w:val="bottom"/>
          </w:tcPr>
          <w:p>
            <w:pPr>
              <w:ind w:left="140"/>
              <w:spacing w:after="0"/>
              <w:rPr>
                <w:sz w:val="20"/>
                <w:szCs w:val="20"/>
                <w:color w:val="auto"/>
              </w:rPr>
            </w:pPr>
            <w:r>
              <w:rPr>
                <w:rFonts w:ascii="Arial" w:cs="Arial" w:eastAsia="Arial" w:hAnsi="Arial"/>
                <w:sz w:val="18"/>
                <w:szCs w:val="18"/>
                <w:color w:val="auto"/>
              </w:rPr>
              <w:t>Interest income</w:t>
            </w:r>
          </w:p>
        </w:tc>
        <w:tc>
          <w:tcPr>
            <w:tcW w:w="460" w:type="dxa"/>
            <w:vAlign w:val="bottom"/>
          </w:tcPr>
          <w:p>
            <w:pPr>
              <w:spacing w:after="0"/>
              <w:rPr>
                <w:sz w:val="21"/>
                <w:szCs w:val="21"/>
                <w:color w:val="auto"/>
              </w:rPr>
            </w:pPr>
          </w:p>
        </w:tc>
        <w:tc>
          <w:tcPr>
            <w:tcW w:w="960" w:type="dxa"/>
            <w:vAlign w:val="bottom"/>
          </w:tcPr>
          <w:p>
            <w:pPr>
              <w:jc w:val="right"/>
              <w:ind w:right="9"/>
              <w:spacing w:after="0"/>
              <w:rPr>
                <w:sz w:val="20"/>
                <w:szCs w:val="20"/>
                <w:color w:val="auto"/>
              </w:rPr>
            </w:pPr>
            <w:r>
              <w:rPr>
                <w:rFonts w:ascii="Arial" w:cs="Arial" w:eastAsia="Arial" w:hAnsi="Arial"/>
                <w:sz w:val="18"/>
                <w:szCs w:val="18"/>
                <w:color w:val="auto"/>
              </w:rPr>
              <w:t>173</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4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(19,120)</w:t>
            </w:r>
          </w:p>
        </w:tc>
        <w:tc>
          <w:tcPr>
            <w:tcW w:w="28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(4,460)</w:t>
            </w:r>
          </w:p>
        </w:tc>
        <w:tc>
          <w:tcPr>
            <w:tcW w:w="0" w:type="dxa"/>
            <w:vAlign w:val="bottom"/>
          </w:tcPr>
          <w:p>
            <w:pPr>
              <w:spacing w:after="0"/>
              <w:rPr>
                <w:sz w:val="1"/>
                <w:szCs w:val="1"/>
                <w:color w:val="auto"/>
              </w:rPr>
            </w:pPr>
          </w:p>
        </w:tc>
      </w:tr>
      <w:tr>
        <w:trPr>
          <w:trHeight w:val="237"/>
        </w:trPr>
        <w:tc>
          <w:tcPr>
            <w:tcW w:w="6360" w:type="dxa"/>
            <w:vAlign w:val="bottom"/>
          </w:tcPr>
          <w:p>
            <w:pPr>
              <w:ind w:left="1220"/>
              <w:spacing w:after="0"/>
              <w:rPr>
                <w:sz w:val="20"/>
                <w:szCs w:val="20"/>
                <w:color w:val="auto"/>
              </w:rPr>
            </w:pPr>
            <w:r>
              <w:rPr>
                <w:rFonts w:ascii="Arial" w:cs="Arial" w:eastAsia="Arial" w:hAnsi="Arial"/>
                <w:sz w:val="18"/>
                <w:szCs w:val="18"/>
                <w:color w:val="auto"/>
              </w:rPr>
              <w:t>Total other expense</w:t>
            </w:r>
          </w:p>
        </w:tc>
        <w:tc>
          <w:tcPr>
            <w:tcW w:w="46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(18,947)</w:t>
            </w:r>
          </w:p>
        </w:tc>
        <w:tc>
          <w:tcPr>
            <w:tcW w:w="28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(4,333)</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Net (loss) income before noncontrolling interest</w:t>
            </w:r>
          </w:p>
        </w:tc>
        <w:tc>
          <w:tcPr>
            <w:tcW w:w="4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(6,189)</w:t>
            </w:r>
          </w:p>
        </w:tc>
        <w:tc>
          <w:tcPr>
            <w:tcW w:w="2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8"/>
                <w:szCs w:val="18"/>
                <w:color w:val="auto"/>
              </w:rPr>
              <w:t>2,829</w:t>
            </w:r>
          </w:p>
        </w:tc>
        <w:tc>
          <w:tcPr>
            <w:tcW w:w="0" w:type="dxa"/>
            <w:vAlign w:val="bottom"/>
          </w:tcPr>
          <w:p>
            <w:pPr>
              <w:spacing w:after="0"/>
              <w:rPr>
                <w:sz w:val="1"/>
                <w:szCs w:val="1"/>
                <w:color w:val="auto"/>
              </w:rPr>
            </w:pPr>
          </w:p>
        </w:tc>
      </w:tr>
      <w:tr>
        <w:trPr>
          <w:trHeight w:val="243"/>
        </w:trPr>
        <w:tc>
          <w:tcPr>
            <w:tcW w:w="6360" w:type="dxa"/>
            <w:vAlign w:val="bottom"/>
          </w:tcPr>
          <w:p>
            <w:pPr>
              <w:ind w:left="1220"/>
              <w:spacing w:after="0"/>
              <w:rPr>
                <w:sz w:val="20"/>
                <w:szCs w:val="20"/>
                <w:color w:val="auto"/>
              </w:rPr>
            </w:pPr>
            <w:r>
              <w:rPr>
                <w:rFonts w:ascii="Arial" w:cs="Arial" w:eastAsia="Arial" w:hAnsi="Arial"/>
                <w:sz w:val="18"/>
                <w:szCs w:val="18"/>
                <w:color w:val="auto"/>
              </w:rPr>
              <w:t>Less: noncontrolling interest</w:t>
            </w:r>
          </w:p>
        </w:tc>
        <w:tc>
          <w:tcPr>
            <w:tcW w:w="4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(53,058)</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(54,498)</w:t>
            </w:r>
          </w:p>
        </w:tc>
        <w:tc>
          <w:tcPr>
            <w:tcW w:w="0" w:type="dxa"/>
            <w:vAlign w:val="bottom"/>
          </w:tcPr>
          <w:p>
            <w:pPr>
              <w:spacing w:after="0"/>
              <w:rPr>
                <w:sz w:val="1"/>
                <w:szCs w:val="1"/>
                <w:color w:val="auto"/>
              </w:rPr>
            </w:pPr>
          </w:p>
        </w:tc>
      </w:tr>
      <w:tr>
        <w:trPr>
          <w:trHeight w:val="27"/>
        </w:trPr>
        <w:tc>
          <w:tcPr>
            <w:tcW w:w="63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360" w:type="dxa"/>
            <w:vAlign w:val="bottom"/>
            <w:tcBorders>
              <w:bottom w:val="single" w:sz="8" w:color="CCEEFF"/>
            </w:tcBorders>
            <w:shd w:val="clear" w:color="auto" w:fill="CCEEFF"/>
          </w:tcPr>
          <w:p>
            <w:pPr>
              <w:ind w:left="1220"/>
              <w:spacing w:after="0"/>
              <w:rPr>
                <w:sz w:val="20"/>
                <w:szCs w:val="20"/>
                <w:color w:val="auto"/>
              </w:rPr>
            </w:pPr>
            <w:r>
              <w:rPr>
                <w:rFonts w:ascii="Arial" w:cs="Arial" w:eastAsia="Arial" w:hAnsi="Arial"/>
                <w:sz w:val="18"/>
                <w:szCs w:val="18"/>
                <w:color w:val="auto"/>
              </w:rPr>
              <w:t>Net income attributable to DGPV Holdco 3 LLC</w:t>
            </w: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46,869</w:t>
            </w:r>
          </w:p>
        </w:tc>
        <w:tc>
          <w:tcPr>
            <w:tcW w:w="2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8"/>
                <w:szCs w:val="18"/>
                <w:color w:val="auto"/>
              </w:rPr>
              <w:t>57,327</w:t>
            </w:r>
          </w:p>
        </w:tc>
        <w:tc>
          <w:tcPr>
            <w:tcW w:w="0" w:type="dxa"/>
            <w:vAlign w:val="bottom"/>
          </w:tcPr>
          <w:p>
            <w:pPr>
              <w:spacing w:after="0"/>
              <w:rPr>
                <w:sz w:val="1"/>
                <w:szCs w:val="1"/>
                <w:color w:val="auto"/>
              </w:rPr>
            </w:pPr>
          </w:p>
        </w:tc>
      </w:tr>
      <w:tr>
        <w:trPr>
          <w:trHeight w:val="20"/>
        </w:trPr>
        <w:tc>
          <w:tcPr>
            <w:tcW w:w="6360" w:type="dxa"/>
            <w:vAlign w:val="bottom"/>
            <w:vMerge w:val="restart"/>
          </w:tcPr>
          <w:p>
            <w:pPr>
              <w:ind w:left="20"/>
              <w:spacing w:after="0"/>
              <w:rPr>
                <w:sz w:val="20"/>
                <w:szCs w:val="20"/>
                <w:color w:val="auto"/>
              </w:rPr>
            </w:pPr>
            <w:r>
              <w:rPr>
                <w:rFonts w:ascii="Arial" w:cs="Arial" w:eastAsia="Arial" w:hAnsi="Arial"/>
                <w:sz w:val="20"/>
                <w:szCs w:val="20"/>
                <w:color w:val="auto"/>
              </w:rPr>
              <w:t>See accompanying notes to consolidated financial statements.</w:t>
            </w:r>
          </w:p>
        </w:tc>
        <w:tc>
          <w:tcPr>
            <w:tcW w:w="4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6360" w:type="dxa"/>
            <w:vAlign w:val="bottom"/>
            <w:vMerge w:val="continue"/>
          </w:tcPr>
          <w:p>
            <w:pPr>
              <w:spacing w:after="0"/>
              <w:rPr>
                <w:sz w:val="20"/>
                <w:szCs w:val="20"/>
                <w:color w:val="auto"/>
              </w:rPr>
            </w:pPr>
          </w:p>
        </w:tc>
        <w:tc>
          <w:tcPr>
            <w:tcW w:w="4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1"/>
        </w:trPr>
        <w:tc>
          <w:tcPr>
            <w:tcW w:w="6360" w:type="dxa"/>
            <w:vAlign w:val="bottom"/>
          </w:tcPr>
          <w:p>
            <w:pPr>
              <w:jc w:val="center"/>
              <w:ind w:left="3028"/>
              <w:spacing w:after="0"/>
              <w:rPr>
                <w:sz w:val="20"/>
                <w:szCs w:val="20"/>
                <w:color w:val="auto"/>
              </w:rPr>
            </w:pPr>
            <w:r>
              <w:rPr>
                <w:rFonts w:ascii="Arial" w:cs="Arial" w:eastAsia="Arial" w:hAnsi="Arial"/>
                <w:sz w:val="18"/>
                <w:szCs w:val="18"/>
                <w:color w:val="auto"/>
                <w:w w:val="79"/>
              </w:rPr>
              <w:t>3</w:t>
            </w: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500"/>
          </w:cols>
          <w:pgMar w:left="1200" w:top="125" w:right="1199" w:bottom="1440" w:gutter="0" w:footer="0" w:header="0"/>
        </w:sectPr>
      </w:pPr>
    </w:p>
    <w:bookmarkStart w:id="21" w:name="page22"/>
    <w:bookmarkEnd w:id="21"/>
    <w:p>
      <w:pPr>
        <w:ind w:left="7780"/>
        <w:spacing w:after="0"/>
        <w:rPr>
          <w:sz w:val="20"/>
          <w:szCs w:val="20"/>
          <w:color w:val="auto"/>
        </w:rPr>
      </w:pPr>
      <w:r>
        <w:rPr>
          <w:rFonts w:ascii="Arial" w:cs="Arial" w:eastAsia="Arial" w:hAnsi="Arial"/>
          <w:sz w:val="18"/>
          <w:szCs w:val="18"/>
          <w:color w:val="auto"/>
        </w:rPr>
        <w:t>Exhibit 99.1</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Consolidated Statements of Members' Equity (Deficit)</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Years ended December 31, 2019 and 2018</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(In thousands)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70"/>
              <w:spacing w:after="0"/>
              <w:rPr>
                <w:sz w:val="20"/>
                <w:szCs w:val="20"/>
                <w:color w:val="auto"/>
              </w:rPr>
            </w:pPr>
            <w:r>
              <w:rPr>
                <w:rFonts w:ascii="Arial" w:cs="Arial" w:eastAsia="Arial" w:hAnsi="Arial"/>
                <w:sz w:val="18"/>
                <w:szCs w:val="18"/>
                <w:b w:val="1"/>
                <w:bCs w:val="1"/>
                <w:color w:val="auto"/>
                <w:w w:val="98"/>
              </w:rPr>
              <w:t>Contributed</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b w:val="1"/>
                <w:bCs w:val="1"/>
                <w:color w:val="auto"/>
              </w:rPr>
              <w:t>Retained</w:t>
            </w:r>
          </w:p>
        </w:tc>
        <w:tc>
          <w:tcPr>
            <w:tcW w:w="160" w:type="dxa"/>
            <w:vAlign w:val="bottom"/>
          </w:tcPr>
          <w:p>
            <w:pPr>
              <w:spacing w:after="0"/>
              <w:rPr>
                <w:sz w:val="23"/>
                <w:szCs w:val="23"/>
                <w:color w:val="auto"/>
              </w:rPr>
            </w:pPr>
          </w:p>
        </w:tc>
        <w:tc>
          <w:tcPr>
            <w:tcW w:w="16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0"/>
              </w:rPr>
              <w:t>Noncontrolling</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member's</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capital</w:t>
            </w:r>
          </w:p>
        </w:tc>
        <w:tc>
          <w:tcPr>
            <w:tcW w:w="2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ind w:left="100"/>
              <w:spacing w:after="0"/>
              <w:rPr>
                <w:sz w:val="20"/>
                <w:szCs w:val="20"/>
                <w:color w:val="auto"/>
              </w:rPr>
            </w:pPr>
            <w:r>
              <w:rPr>
                <w:rFonts w:ascii="Arial" w:cs="Arial" w:eastAsia="Arial" w:hAnsi="Arial"/>
                <w:sz w:val="18"/>
                <w:szCs w:val="18"/>
                <w:b w:val="1"/>
                <w:bCs w:val="1"/>
                <w:color w:val="auto"/>
              </w:rPr>
              <w:t>earnings</w:t>
            </w:r>
          </w:p>
        </w:tc>
        <w:tc>
          <w:tcPr>
            <w:tcW w:w="160" w:type="dxa"/>
            <w:vAlign w:val="bottom"/>
          </w:tcPr>
          <w:p>
            <w:pPr>
              <w:spacing w:after="0"/>
              <w:rPr>
                <w:sz w:val="23"/>
                <w:szCs w:val="23"/>
                <w:color w:val="auto"/>
              </w:rPr>
            </w:pPr>
          </w:p>
        </w:tc>
        <w:tc>
          <w:tcPr>
            <w:tcW w:w="162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9"/>
              </w:rPr>
              <w:t>interest</w:t>
            </w:r>
          </w:p>
        </w:tc>
        <w:tc>
          <w:tcPr>
            <w:tcW w:w="160" w:type="dxa"/>
            <w:vAlign w:val="bottom"/>
          </w:tcPr>
          <w:p>
            <w:pPr>
              <w:spacing w:after="0"/>
              <w:rPr>
                <w:sz w:val="23"/>
                <w:szCs w:val="23"/>
                <w:color w:val="auto"/>
              </w:rPr>
            </w:pPr>
          </w:p>
        </w:tc>
        <w:tc>
          <w:tcPr>
            <w:tcW w:w="140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equity (deficit)</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2017</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(28,591)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28,579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57,327</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(4,349)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52,978</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contributions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120,782</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5,066</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125,848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Cash distributions</w:t>
            </w:r>
          </w:p>
        </w:tc>
        <w:tc>
          <w:tcPr>
            <w:tcW w:w="1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(79,970)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(2,369)</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(82,339)</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Distributions to Clearway Renew, non-cash</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0" w:type="dxa"/>
            <w:vAlign w:val="bottom"/>
          </w:tcPr>
          <w:p>
            <w:pPr>
              <w:spacing w:after="0"/>
              <w:rPr>
                <w:sz w:val="1"/>
                <w:szCs w:val="1"/>
                <w:color w:val="auto"/>
              </w:rPr>
            </w:pPr>
          </w:p>
        </w:tc>
      </w:tr>
      <w:tr>
        <w:trPr>
          <w:trHeight w:val="237"/>
        </w:trPr>
        <w:tc>
          <w:tcPr>
            <w:tcW w:w="4780" w:type="dxa"/>
            <w:vAlign w:val="bottom"/>
          </w:tcPr>
          <w:p>
            <w:pPr>
              <w:ind w:left="40"/>
              <w:spacing w:after="0"/>
              <w:rPr>
                <w:sz w:val="20"/>
                <w:szCs w:val="20"/>
                <w:color w:val="auto"/>
              </w:rPr>
            </w:pPr>
            <w:r>
              <w:rPr>
                <w:rFonts w:ascii="Arial" w:cs="Arial" w:eastAsia="Arial" w:hAnsi="Arial"/>
                <w:sz w:val="18"/>
                <w:szCs w:val="18"/>
                <w:color w:val="auto"/>
              </w:rPr>
              <w:t>Balance at December 31, 2018</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10,188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85,906</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(1,652)</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94,442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46,869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(52,482)</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(5,613)</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Cash contributions</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123,619</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56,774</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180,393</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distributions</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(135,719)</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(137,298)</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Contributions, net of distributions, non-cash</w:t>
            </w:r>
          </w:p>
        </w:tc>
        <w:tc>
          <w:tcPr>
            <w:tcW w:w="18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1,635</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1,635</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132,775</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w:t>
            </w:r>
          </w:p>
        </w:tc>
        <w:tc>
          <w:tcPr>
            <w:tcW w:w="2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133,559</w:t>
            </w:r>
          </w:p>
        </w:tc>
        <w:tc>
          <w:tcPr>
            <w:tcW w:w="0" w:type="dxa"/>
            <w:vAlign w:val="bottom"/>
          </w:tcPr>
          <w:p>
            <w:pPr>
              <w:spacing w:after="0"/>
              <w:rPr>
                <w:sz w:val="1"/>
                <w:szCs w:val="1"/>
                <w:color w:val="auto"/>
              </w:rPr>
            </w:pPr>
          </w:p>
        </w:tc>
      </w:tr>
      <w:tr>
        <w:trPr>
          <w:trHeight w:val="20"/>
        </w:trPr>
        <w:tc>
          <w:tcPr>
            <w:tcW w:w="4780" w:type="dxa"/>
            <w:vAlign w:val="bottom"/>
            <w:vMerge w:val="restart"/>
          </w:tcPr>
          <w:p>
            <w:pPr>
              <w:ind w:left="40"/>
              <w:spacing w:after="0"/>
              <w:rPr>
                <w:sz w:val="20"/>
                <w:szCs w:val="20"/>
                <w:color w:val="auto"/>
              </w:rPr>
            </w:pPr>
            <w:r>
              <w:rPr>
                <w:rFonts w:ascii="Arial" w:cs="Arial" w:eastAsia="Arial" w:hAnsi="Arial"/>
                <w:sz w:val="18"/>
                <w:szCs w:val="18"/>
                <w:color w:val="auto"/>
                <w:w w:val="94"/>
              </w:rPr>
              <w:t>See accompanying notes to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75"/>
        </w:trPr>
        <w:tc>
          <w:tcPr>
            <w:tcW w:w="4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490"/>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22" w:name="page23"/>
    <w:bookmarkEnd w:id="22"/>
    <w:p>
      <w:pPr>
        <w:spacing w:after="0" w:line="1"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5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40" w:type="dxa"/>
            <w:vAlign w:val="bottom"/>
            <w:gridSpan w:val="3"/>
          </w:tcPr>
          <w:p>
            <w:pPr>
              <w:ind w:left="360"/>
              <w:spacing w:after="0"/>
              <w:rPr>
                <w:sz w:val="20"/>
                <w:szCs w:val="20"/>
                <w:color w:val="auto"/>
              </w:rPr>
            </w:pPr>
            <w:r>
              <w:rPr>
                <w:rFonts w:ascii="Arial" w:cs="Arial" w:eastAsia="Arial" w:hAnsi="Arial"/>
                <w:sz w:val="18"/>
                <w:szCs w:val="18"/>
                <w:color w:val="auto"/>
              </w:rPr>
              <w:t>Exhibit 99.1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5"/>
        </w:trPr>
        <w:tc>
          <w:tcPr>
            <w:tcW w:w="6020" w:type="dxa"/>
            <w:vAlign w:val="bottom"/>
            <w:gridSpan w:val="3"/>
          </w:tcPr>
          <w:p>
            <w:pPr>
              <w:jc w:val="center"/>
              <w:ind w:left="2339"/>
              <w:spacing w:after="0"/>
              <w:rPr>
                <w:sz w:val="20"/>
                <w:szCs w:val="20"/>
                <w:color w:val="auto"/>
              </w:rPr>
            </w:pPr>
            <w:r>
              <w:rPr>
                <w:rFonts w:ascii="Arial" w:cs="Arial" w:eastAsia="Arial" w:hAnsi="Arial"/>
                <w:sz w:val="16"/>
                <w:szCs w:val="16"/>
                <w:b w:val="1"/>
                <w:bCs w:val="1"/>
                <w:color w:val="auto"/>
              </w:rPr>
              <w:t>DGPV HOLDCO 3 LLC AND SUBSIDIARIES</w:t>
            </w: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5520" w:type="dxa"/>
            <w:vAlign w:val="bottom"/>
          </w:tcPr>
          <w:p>
            <w:pPr>
              <w:jc w:val="center"/>
              <w:ind w:left="2859"/>
              <w:spacing w:after="0"/>
              <w:rPr>
                <w:sz w:val="20"/>
                <w:szCs w:val="20"/>
                <w:color w:val="auto"/>
              </w:rPr>
            </w:pPr>
            <w:r>
              <w:rPr>
                <w:rFonts w:ascii="Arial" w:cs="Arial" w:eastAsia="Arial" w:hAnsi="Arial"/>
                <w:sz w:val="16"/>
                <w:szCs w:val="16"/>
                <w:color w:val="auto"/>
                <w:w w:val="90"/>
              </w:rPr>
              <w:t>Consolidated Statements of Cash Flows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020" w:type="dxa"/>
            <w:vAlign w:val="bottom"/>
            <w:gridSpan w:val="3"/>
          </w:tcPr>
          <w:p>
            <w:pPr>
              <w:jc w:val="center"/>
              <w:ind w:left="2359"/>
              <w:spacing w:after="0"/>
              <w:rPr>
                <w:sz w:val="20"/>
                <w:szCs w:val="20"/>
                <w:color w:val="auto"/>
              </w:rPr>
            </w:pPr>
            <w:r>
              <w:rPr>
                <w:rFonts w:ascii="Arial" w:cs="Arial" w:eastAsia="Arial" w:hAnsi="Arial"/>
                <w:sz w:val="16"/>
                <w:szCs w:val="16"/>
                <w:color w:val="auto"/>
                <w:w w:val="89"/>
              </w:rPr>
              <w:t>Years ended December 31, 2019 and 2018</w:t>
            </w: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5520" w:type="dxa"/>
            <w:vAlign w:val="bottom"/>
          </w:tcPr>
          <w:p>
            <w:pPr>
              <w:jc w:val="center"/>
              <w:ind w:left="2839"/>
              <w:spacing w:after="0"/>
              <w:rPr>
                <w:sz w:val="20"/>
                <w:szCs w:val="20"/>
                <w:color w:val="auto"/>
              </w:rPr>
            </w:pPr>
            <w:r>
              <w:rPr>
                <w:rFonts w:ascii="Arial" w:cs="Arial" w:eastAsia="Arial" w:hAnsi="Arial"/>
                <w:sz w:val="16"/>
                <w:szCs w:val="16"/>
                <w:color w:val="auto"/>
                <w:w w:val="89"/>
              </w:rPr>
              <w:t>(In thousands)</w:t>
            </w: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5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940" w:type="dxa"/>
            <w:vAlign w:val="bottom"/>
          </w:tcPr>
          <w:p>
            <w:pPr>
              <w:jc w:val="right"/>
              <w:ind w:right="399"/>
              <w:spacing w:after="0"/>
              <w:rPr>
                <w:sz w:val="20"/>
                <w:szCs w:val="20"/>
                <w:color w:val="auto"/>
              </w:rPr>
            </w:pPr>
            <w:r>
              <w:rPr>
                <w:rFonts w:ascii="Arial" w:cs="Arial" w:eastAsia="Arial" w:hAnsi="Arial"/>
                <w:sz w:val="16"/>
                <w:szCs w:val="16"/>
                <w:b w:val="1"/>
                <w:bCs w:val="1"/>
                <w:color w:val="auto"/>
              </w:rPr>
              <w:t>2019</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00" w:type="dxa"/>
            <w:vAlign w:val="bottom"/>
          </w:tcPr>
          <w:p>
            <w:pPr>
              <w:jc w:val="right"/>
              <w:ind w:right="399"/>
              <w:spacing w:after="0"/>
              <w:rPr>
                <w:sz w:val="20"/>
                <w:szCs w:val="20"/>
                <w:color w:val="auto"/>
              </w:rPr>
            </w:pPr>
            <w:r>
              <w:rPr>
                <w:rFonts w:ascii="Arial" w:cs="Arial" w:eastAsia="Arial" w:hAnsi="Arial"/>
                <w:sz w:val="16"/>
                <w:szCs w:val="16"/>
                <w:b w:val="1"/>
                <w:bCs w:val="1"/>
                <w:color w:val="auto"/>
              </w:rPr>
              <w:t>2018</w:t>
            </w:r>
          </w:p>
        </w:tc>
        <w:tc>
          <w:tcPr>
            <w:tcW w:w="0" w:type="dxa"/>
            <w:vAlign w:val="bottom"/>
          </w:tcPr>
          <w:p>
            <w:pPr>
              <w:spacing w:after="0"/>
              <w:rPr>
                <w:sz w:val="1"/>
                <w:szCs w:val="1"/>
                <w:color w:val="auto"/>
              </w:rPr>
            </w:pPr>
          </w:p>
        </w:tc>
      </w:tr>
      <w:tr>
        <w:trPr>
          <w:trHeight w:val="33"/>
        </w:trPr>
        <w:tc>
          <w:tcPr>
            <w:tcW w:w="5520" w:type="dxa"/>
            <w:vAlign w:val="bottom"/>
            <w:vMerge w:val="restart"/>
          </w:tcPr>
          <w:p>
            <w:pPr>
              <w:ind w:left="20"/>
              <w:spacing w:after="0"/>
              <w:rPr>
                <w:sz w:val="20"/>
                <w:szCs w:val="20"/>
                <w:color w:val="auto"/>
              </w:rPr>
            </w:pPr>
            <w:r>
              <w:rPr>
                <w:rFonts w:ascii="Arial" w:cs="Arial" w:eastAsia="Arial" w:hAnsi="Arial"/>
                <w:sz w:val="16"/>
                <w:szCs w:val="16"/>
                <w:color w:val="auto"/>
              </w:rPr>
              <w:t>Cash flows from operating activities:</w:t>
            </w:r>
          </w:p>
        </w:tc>
        <w:tc>
          <w:tcPr>
            <w:tcW w:w="1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55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Net (loss) income</w:t>
            </w: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(6,189)</w:t>
            </w:r>
          </w:p>
        </w:tc>
        <w:tc>
          <w:tcPr>
            <w:tcW w:w="22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2,829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Adjustments to reconcile net income (loss) to net cash provided by</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operating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Depreciation and accretion</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8,891</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5,234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Right-of-use asset amortization</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900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Provision for losses on accounts receivable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Amortization of intangible asset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Amortization of debt issuance costs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810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Non-cash interest expense applied to long-term debt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4,205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Changes in derivative instruments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6,429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Cash provided (used) by changes in other working capital:</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Accounts receivable – trade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(5,273)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(6,368)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Accounts receivable – affiliate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676</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Prepayments and other current 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Accounts payable – trade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(9,766)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1,687</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Accounts payable – affiliate</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14,164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(9,204)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Accrued interest expense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166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902</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Accrued liabilities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620"/>
              <w:spacing w:after="0"/>
              <w:rPr>
                <w:sz w:val="20"/>
                <w:szCs w:val="20"/>
                <w:color w:val="auto"/>
              </w:rPr>
            </w:pPr>
            <w:r>
              <w:rPr>
                <w:rFonts w:ascii="Arial" w:cs="Arial" w:eastAsia="Arial" w:hAnsi="Arial"/>
                <w:sz w:val="16"/>
                <w:szCs w:val="16"/>
                <w:color w:val="auto"/>
              </w:rPr>
              <w:t>Deferred rent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313</w:t>
            </w:r>
          </w:p>
        </w:tc>
        <w:tc>
          <w:tcPr>
            <w:tcW w:w="0" w:type="dxa"/>
            <w:vAlign w:val="bottom"/>
          </w:tcPr>
          <w:p>
            <w:pPr>
              <w:spacing w:after="0"/>
              <w:rPr>
                <w:sz w:val="1"/>
                <w:szCs w:val="1"/>
                <w:color w:val="auto"/>
              </w:rPr>
            </w:pPr>
          </w:p>
        </w:tc>
      </w:tr>
      <w:tr>
        <w:trPr>
          <w:trHeight w:val="237"/>
        </w:trPr>
        <w:tc>
          <w:tcPr>
            <w:tcW w:w="5520" w:type="dxa"/>
            <w:vAlign w:val="bottom"/>
          </w:tcPr>
          <w:p>
            <w:pPr>
              <w:ind w:left="620"/>
              <w:spacing w:after="0"/>
              <w:rPr>
                <w:sz w:val="20"/>
                <w:szCs w:val="20"/>
                <w:color w:val="auto"/>
              </w:rPr>
            </w:pPr>
            <w:r>
              <w:rPr>
                <w:rFonts w:ascii="Arial" w:cs="Arial" w:eastAsia="Arial" w:hAnsi="Arial"/>
                <w:sz w:val="16"/>
                <w:szCs w:val="16"/>
                <w:color w:val="auto"/>
              </w:rPr>
              <w:t>Operating lease liabilities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(484)</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BFE4FF"/>
            </w:tcBorders>
            <w:shd w:val="clear" w:color="auto" w:fill="BFE4FF"/>
          </w:tcPr>
          <w:p>
            <w:pPr>
              <w:ind w:left="1040"/>
              <w:spacing w:after="0"/>
              <w:rPr>
                <w:sz w:val="20"/>
                <w:szCs w:val="20"/>
                <w:color w:val="auto"/>
              </w:rPr>
            </w:pPr>
            <w:r>
              <w:rPr>
                <w:rFonts w:ascii="Arial" w:cs="Arial" w:eastAsia="Arial" w:hAnsi="Arial"/>
                <w:sz w:val="16"/>
                <w:szCs w:val="16"/>
                <w:color w:val="auto"/>
              </w:rPr>
              <w:t>Net cash provided (used) by operating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15,356</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(3,960)</w:t>
            </w:r>
          </w:p>
        </w:tc>
        <w:tc>
          <w:tcPr>
            <w:tcW w:w="0" w:type="dxa"/>
            <w:vAlign w:val="bottom"/>
          </w:tcPr>
          <w:p>
            <w:pPr>
              <w:spacing w:after="0"/>
              <w:rPr>
                <w:sz w:val="1"/>
                <w:szCs w:val="1"/>
                <w:color w:val="auto"/>
              </w:rPr>
            </w:pPr>
          </w:p>
        </w:tc>
      </w:tr>
      <w:tr>
        <w:trPr>
          <w:trHeight w:val="230"/>
        </w:trPr>
        <w:tc>
          <w:tcPr>
            <w:tcW w:w="552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16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Capital expenditures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(91,909)</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(52,039)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Acquisition of membership interests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(6,032)</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(147,014)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Receipt of insurance proceeds</w:t>
            </w:r>
          </w:p>
        </w:tc>
        <w:tc>
          <w:tcPr>
            <w:tcW w:w="1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59</w:t>
            </w:r>
          </w:p>
        </w:tc>
        <w:tc>
          <w:tcPr>
            <w:tcW w:w="22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5520" w:type="dxa"/>
            <w:vAlign w:val="bottom"/>
          </w:tcPr>
          <w:p>
            <w:pPr>
              <w:ind w:left="1040"/>
              <w:spacing w:after="0"/>
              <w:rPr>
                <w:sz w:val="20"/>
                <w:szCs w:val="20"/>
                <w:color w:val="auto"/>
              </w:rPr>
            </w:pPr>
            <w:r>
              <w:rPr>
                <w:rFonts w:ascii="Arial" w:cs="Arial" w:eastAsia="Arial" w:hAnsi="Arial"/>
                <w:sz w:val="16"/>
                <w:szCs w:val="16"/>
                <w:color w:val="auto"/>
              </w:rPr>
              <w:t>Net cash used by investing activities</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(97,882)</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(199,053)</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flows from financing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spacing w:after="0"/>
              <w:rPr>
                <w:sz w:val="21"/>
                <w:szCs w:val="21"/>
                <w:color w:val="auto"/>
              </w:rPr>
            </w:pP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Proceeds from short-term debt – affiliate, net of payments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500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Proceeds from issuance of long-term debt</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94,543</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132,289</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Payments for long-term debt</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(49,720)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 of debt issuance costs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(611)</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(5,680)</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Contributions from noncontrolling interests, net of distributions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55,328</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46,035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Contributions from member</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123,619</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125,674</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Distributions to member</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(135,719)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(79,970)</w:t>
            </w:r>
          </w:p>
        </w:tc>
        <w:tc>
          <w:tcPr>
            <w:tcW w:w="0" w:type="dxa"/>
            <w:vAlign w:val="bottom"/>
          </w:tcPr>
          <w:p>
            <w:pPr>
              <w:spacing w:after="0"/>
              <w:rPr>
                <w:sz w:val="1"/>
                <w:szCs w:val="1"/>
                <w:color w:val="auto"/>
              </w:rPr>
            </w:pPr>
          </w:p>
        </w:tc>
      </w:tr>
      <w:tr>
        <w:trPr>
          <w:trHeight w:val="33"/>
        </w:trPr>
        <w:tc>
          <w:tcPr>
            <w:tcW w:w="5520" w:type="dxa"/>
            <w:vAlign w:val="bottom"/>
            <w:tcBorders>
              <w:bottom w:val="single" w:sz="8" w:color="BFE4FF"/>
            </w:tcBorders>
          </w:tcPr>
          <w:p>
            <w:pPr>
              <w:spacing w:after="0"/>
              <w:rPr>
                <w:sz w:val="2"/>
                <w:szCs w:val="2"/>
                <w:color w:val="auto"/>
              </w:rPr>
            </w:pPr>
          </w:p>
        </w:tc>
        <w:tc>
          <w:tcPr>
            <w:tcW w:w="160" w:type="dxa"/>
            <w:vAlign w:val="bottom"/>
            <w:tcBorders>
              <w:bottom w:val="single" w:sz="8" w:color="BFE4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20" w:type="dxa"/>
            <w:vAlign w:val="bottom"/>
            <w:tcBorders>
              <w:bottom w:val="single" w:sz="8" w:color="BFE4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5520" w:type="dxa"/>
            <w:vAlign w:val="bottom"/>
            <w:tcBorders>
              <w:bottom w:val="single" w:sz="8" w:color="BFE4FF"/>
            </w:tcBorders>
            <w:shd w:val="clear" w:color="auto" w:fill="BFE4FF"/>
          </w:tcPr>
          <w:p>
            <w:pPr>
              <w:ind w:left="1040"/>
              <w:spacing w:after="0"/>
              <w:rPr>
                <w:sz w:val="20"/>
                <w:szCs w:val="20"/>
                <w:color w:val="auto"/>
              </w:rPr>
            </w:pPr>
            <w:r>
              <w:rPr>
                <w:rFonts w:ascii="Arial" w:cs="Arial" w:eastAsia="Arial" w:hAnsi="Arial"/>
                <w:sz w:val="16"/>
                <w:szCs w:val="16"/>
                <w:color w:val="auto"/>
              </w:rPr>
              <w:t>Net cash provided by financing activities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87,435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218,848</w:t>
            </w:r>
          </w:p>
        </w:tc>
        <w:tc>
          <w:tcPr>
            <w:tcW w:w="0" w:type="dxa"/>
            <w:vAlign w:val="bottom"/>
          </w:tcPr>
          <w:p>
            <w:pPr>
              <w:spacing w:after="0"/>
              <w:rPr>
                <w:sz w:val="1"/>
                <w:szCs w:val="1"/>
                <w:color w:val="auto"/>
              </w:rPr>
            </w:pPr>
          </w:p>
        </w:tc>
      </w:tr>
      <w:tr>
        <w:trPr>
          <w:trHeight w:val="217"/>
        </w:trPr>
        <w:tc>
          <w:tcPr>
            <w:tcW w:w="5520" w:type="dxa"/>
            <w:vAlign w:val="bottom"/>
          </w:tcPr>
          <w:p>
            <w:pPr>
              <w:ind w:left="1040"/>
              <w:spacing w:after="0"/>
              <w:rPr>
                <w:sz w:val="20"/>
                <w:szCs w:val="20"/>
                <w:color w:val="auto"/>
              </w:rPr>
            </w:pPr>
            <w:r>
              <w:rPr>
                <w:rFonts w:ascii="Arial" w:cs="Arial" w:eastAsia="Arial" w:hAnsi="Arial"/>
                <w:sz w:val="16"/>
                <w:szCs w:val="16"/>
                <w:color w:val="auto"/>
              </w:rPr>
              <w:t>Net increase in cash and restricted cash</w:t>
            </w:r>
          </w:p>
        </w:tc>
        <w:tc>
          <w:tcPr>
            <w:tcW w:w="1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4,909</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15,835</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Cash and restricted cash at beginning of period</w:t>
            </w:r>
          </w:p>
        </w:tc>
        <w:tc>
          <w:tcPr>
            <w:tcW w:w="160" w:type="dxa"/>
            <w:vAlign w:val="bottom"/>
            <w:tcBorders>
              <w:bottom w:val="single" w:sz="8" w:color="BFE4FF"/>
            </w:tcBorders>
            <w:shd w:val="clear" w:color="auto" w:fill="BFE4FF"/>
          </w:tcPr>
          <w:p>
            <w:pPr>
              <w:spacing w:after="0"/>
              <w:rPr>
                <w:sz w:val="23"/>
                <w:szCs w:val="23"/>
                <w:color w:val="auto"/>
              </w:rPr>
            </w:pPr>
          </w:p>
        </w:tc>
        <w:tc>
          <w:tcPr>
            <w:tcW w:w="340" w:type="dxa"/>
            <w:vAlign w:val="bottom"/>
            <w:tcBorders>
              <w:bottom w:val="single" w:sz="8" w:color="BFE4FF"/>
            </w:tcBorders>
            <w:shd w:val="clear" w:color="auto" w:fill="BFE4FF"/>
          </w:tcPr>
          <w:p>
            <w:pPr>
              <w:spacing w:after="0"/>
              <w:rPr>
                <w:sz w:val="23"/>
                <w:szCs w:val="23"/>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21,057</w:t>
            </w:r>
          </w:p>
        </w:tc>
        <w:tc>
          <w:tcPr>
            <w:tcW w:w="220" w:type="dxa"/>
            <w:vAlign w:val="bottom"/>
            <w:tcBorders>
              <w:bottom w:val="single" w:sz="8" w:color="BFE4FF"/>
            </w:tcBorders>
            <w:shd w:val="clear" w:color="auto" w:fill="BFE4FF"/>
          </w:tcPr>
          <w:p>
            <w:pPr>
              <w:spacing w:after="0"/>
              <w:rPr>
                <w:sz w:val="23"/>
                <w:szCs w:val="23"/>
                <w:color w:val="auto"/>
              </w:rPr>
            </w:pPr>
          </w:p>
        </w:tc>
        <w:tc>
          <w:tcPr>
            <w:tcW w:w="280" w:type="dxa"/>
            <w:vAlign w:val="bottom"/>
            <w:tcBorders>
              <w:bottom w:val="single" w:sz="8" w:color="BFE4FF"/>
            </w:tcBorders>
            <w:shd w:val="clear" w:color="auto" w:fill="BFE4FF"/>
          </w:tcPr>
          <w:p>
            <w:pPr>
              <w:spacing w:after="0"/>
              <w:rPr>
                <w:sz w:val="23"/>
                <w:szCs w:val="23"/>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5,222</w:t>
            </w:r>
          </w:p>
        </w:tc>
        <w:tc>
          <w:tcPr>
            <w:tcW w:w="0" w:type="dxa"/>
            <w:vAlign w:val="bottom"/>
          </w:tcPr>
          <w:p>
            <w:pPr>
              <w:spacing w:after="0"/>
              <w:rPr>
                <w:sz w:val="1"/>
                <w:szCs w:val="1"/>
                <w:color w:val="auto"/>
              </w:rPr>
            </w:pPr>
          </w:p>
        </w:tc>
      </w:tr>
      <w:tr>
        <w:trPr>
          <w:trHeight w:val="284"/>
        </w:trPr>
        <w:tc>
          <w:tcPr>
            <w:tcW w:w="5520" w:type="dxa"/>
            <w:vAlign w:val="bottom"/>
            <w:tcBorders>
              <w:bottom w:val="single" w:sz="8" w:color="BFE4FF"/>
            </w:tcBorders>
          </w:tcPr>
          <w:p>
            <w:pPr>
              <w:ind w:left="20"/>
              <w:spacing w:after="0"/>
              <w:rPr>
                <w:sz w:val="20"/>
                <w:szCs w:val="20"/>
                <w:color w:val="auto"/>
              </w:rPr>
            </w:pPr>
            <w:r>
              <w:rPr>
                <w:rFonts w:ascii="Arial" w:cs="Arial" w:eastAsia="Arial" w:hAnsi="Arial"/>
                <w:sz w:val="16"/>
                <w:szCs w:val="16"/>
                <w:color w:val="auto"/>
              </w:rPr>
              <w:t>Cash and restricted cash at end of period</w:t>
            </w:r>
          </w:p>
        </w:tc>
        <w:tc>
          <w:tcPr>
            <w:tcW w:w="160" w:type="dxa"/>
            <w:vAlign w:val="bottom"/>
            <w:tcBorders>
              <w:bottom w:val="single" w:sz="8" w:color="BFE4FF"/>
            </w:tcBorders>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25,966</w:t>
            </w:r>
          </w:p>
        </w:tc>
        <w:tc>
          <w:tcPr>
            <w:tcW w:w="220" w:type="dxa"/>
            <w:vAlign w:val="bottom"/>
            <w:tcBorders>
              <w:bottom w:val="single" w:sz="8" w:color="BFE4FF"/>
            </w:tcBorders>
          </w:tcPr>
          <w:p>
            <w:pPr>
              <w:jc w:val="right"/>
              <w:spacing w:after="0"/>
              <w:rPr>
                <w:sz w:val="20"/>
                <w:szCs w:val="20"/>
                <w:color w:val="auto"/>
              </w:rPr>
            </w:pPr>
            <w:r>
              <w:rPr>
                <w:rFonts w:ascii="Arial" w:cs="Arial" w:eastAsia="Arial" w:hAnsi="Arial"/>
                <w:sz w:val="16"/>
                <w:szCs w:val="16"/>
                <w:color w:val="auto"/>
              </w:rPr>
              <w:t>$</w:t>
            </w:r>
          </w:p>
        </w:tc>
        <w:tc>
          <w:tcPr>
            <w:tcW w:w="280" w:type="dxa"/>
            <w:vAlign w:val="bottom"/>
            <w:tcBorders>
              <w:top w:val="single" w:sz="8" w:color="auto"/>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21,057</w:t>
            </w:r>
          </w:p>
        </w:tc>
        <w:tc>
          <w:tcPr>
            <w:tcW w:w="0" w:type="dxa"/>
            <w:vAlign w:val="bottom"/>
          </w:tcPr>
          <w:p>
            <w:pPr>
              <w:spacing w:after="0"/>
              <w:rPr>
                <w:sz w:val="1"/>
                <w:szCs w:val="1"/>
                <w:color w:val="auto"/>
              </w:rPr>
            </w:pPr>
          </w:p>
        </w:tc>
      </w:tr>
      <w:tr>
        <w:trPr>
          <w:trHeight w:val="237"/>
        </w:trPr>
        <w:tc>
          <w:tcPr>
            <w:tcW w:w="5520" w:type="dxa"/>
            <w:vAlign w:val="bottom"/>
            <w:tcBorders>
              <w:bottom w:val="single" w:sz="8" w:color="BFE4FF"/>
            </w:tcBorders>
            <w:shd w:val="clear" w:color="auto" w:fill="BFE4FF"/>
          </w:tcPr>
          <w:p>
            <w:pPr>
              <w:ind w:left="20"/>
              <w:spacing w:after="0"/>
              <w:rPr>
                <w:sz w:val="20"/>
                <w:szCs w:val="20"/>
                <w:color w:val="auto"/>
              </w:rPr>
            </w:pPr>
            <w:r>
              <w:rPr>
                <w:rFonts w:ascii="Arial" w:cs="Arial" w:eastAsia="Arial" w:hAnsi="Arial"/>
                <w:sz w:val="16"/>
                <w:szCs w:val="16"/>
                <w:color w:val="auto"/>
              </w:rPr>
              <w:t>Supplemental disclosures:</w:t>
            </w:r>
          </w:p>
        </w:tc>
        <w:tc>
          <w:tcPr>
            <w:tcW w:w="160" w:type="dxa"/>
            <w:vAlign w:val="bottom"/>
            <w:tcBorders>
              <w:bottom w:val="single" w:sz="8" w:color="BFE4FF"/>
            </w:tcBorders>
            <w:shd w:val="clear" w:color="auto" w:fill="BFE4FF"/>
          </w:tcPr>
          <w:p>
            <w:pPr>
              <w:spacing w:after="0"/>
              <w:rPr>
                <w:sz w:val="20"/>
                <w:szCs w:val="20"/>
                <w:color w:val="auto"/>
              </w:rPr>
            </w:pPr>
          </w:p>
        </w:tc>
        <w:tc>
          <w:tcPr>
            <w:tcW w:w="340" w:type="dxa"/>
            <w:vAlign w:val="bottom"/>
            <w:tcBorders>
              <w:bottom w:val="single" w:sz="8" w:color="BFE4FF"/>
            </w:tcBorders>
            <w:shd w:val="clear" w:color="auto" w:fill="BFE4FF"/>
          </w:tcPr>
          <w:p>
            <w:pPr>
              <w:spacing w:after="0"/>
              <w:rPr>
                <w:sz w:val="20"/>
                <w:szCs w:val="20"/>
                <w:color w:val="auto"/>
              </w:rPr>
            </w:pPr>
          </w:p>
        </w:tc>
        <w:tc>
          <w:tcPr>
            <w:tcW w:w="940" w:type="dxa"/>
            <w:vAlign w:val="bottom"/>
            <w:tcBorders>
              <w:bottom w:val="single" w:sz="8" w:color="BFE4FF"/>
            </w:tcBorders>
            <w:shd w:val="clear" w:color="auto" w:fill="BFE4FF"/>
          </w:tcPr>
          <w:p>
            <w:pPr>
              <w:spacing w:after="0"/>
              <w:rPr>
                <w:sz w:val="20"/>
                <w:szCs w:val="20"/>
                <w:color w:val="auto"/>
              </w:rPr>
            </w:pPr>
          </w:p>
        </w:tc>
        <w:tc>
          <w:tcPr>
            <w:tcW w:w="220" w:type="dxa"/>
            <w:vAlign w:val="bottom"/>
            <w:tcBorders>
              <w:bottom w:val="single" w:sz="8" w:color="BFE4FF"/>
            </w:tcBorders>
            <w:shd w:val="clear" w:color="auto" w:fill="BFE4FF"/>
          </w:tcPr>
          <w:p>
            <w:pPr>
              <w:spacing w:after="0"/>
              <w:rPr>
                <w:sz w:val="20"/>
                <w:szCs w:val="20"/>
                <w:color w:val="auto"/>
              </w:rPr>
            </w:pPr>
          </w:p>
        </w:tc>
        <w:tc>
          <w:tcPr>
            <w:tcW w:w="280" w:type="dxa"/>
            <w:vAlign w:val="bottom"/>
            <w:tcBorders>
              <w:bottom w:val="single" w:sz="8" w:color="BFE4FF"/>
            </w:tcBorders>
            <w:shd w:val="clear" w:color="auto" w:fill="BFE4FF"/>
          </w:tcPr>
          <w:p>
            <w:pPr>
              <w:spacing w:after="0"/>
              <w:rPr>
                <w:sz w:val="20"/>
                <w:szCs w:val="20"/>
                <w:color w:val="auto"/>
              </w:rPr>
            </w:pPr>
          </w:p>
        </w:tc>
        <w:tc>
          <w:tcPr>
            <w:tcW w:w="1000" w:type="dxa"/>
            <w:vAlign w:val="bottom"/>
            <w:tcBorders>
              <w:bottom w:val="single" w:sz="8" w:color="BFE4FF"/>
            </w:tcBorders>
            <w:shd w:val="clear" w:color="auto" w:fill="BFE4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Interest paid</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6,520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2,703</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Interest paid by affiliate</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44</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513</w:t>
            </w:r>
          </w:p>
        </w:tc>
        <w:tc>
          <w:tcPr>
            <w:tcW w:w="0" w:type="dxa"/>
            <w:vAlign w:val="bottom"/>
          </w:tcPr>
          <w:p>
            <w:pPr>
              <w:spacing w:after="0"/>
              <w:rPr>
                <w:sz w:val="1"/>
                <w:szCs w:val="1"/>
                <w:color w:val="auto"/>
              </w:rPr>
            </w:pPr>
          </w:p>
        </w:tc>
      </w:tr>
      <w:tr>
        <w:trPr>
          <w:trHeight w:val="237"/>
        </w:trPr>
        <w:tc>
          <w:tcPr>
            <w:tcW w:w="5520" w:type="dxa"/>
            <w:vAlign w:val="bottom"/>
          </w:tcPr>
          <w:p>
            <w:pPr>
              <w:ind w:left="180"/>
              <w:spacing w:after="0"/>
              <w:rPr>
                <w:sz w:val="20"/>
                <w:szCs w:val="20"/>
                <w:color w:val="auto"/>
              </w:rPr>
            </w:pPr>
            <w:r>
              <w:rPr>
                <w:rFonts w:ascii="Arial" w:cs="Arial" w:eastAsia="Arial" w:hAnsi="Arial"/>
                <w:sz w:val="16"/>
                <w:szCs w:val="16"/>
                <w:color w:val="auto"/>
              </w:rPr>
              <w:t>Non-cash investing and financing activities: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Increase to fixed assets for capitalized asset retirement costs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2,127</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887</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Increase to fixed assets for capitalized debt issuance costs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1,327</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84</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Reduction to fixed assets for accrued government incentives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(2,835)</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(997)</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Additions to fixed assets for accrued capital expenditures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1,873</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8,820</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Debt issuance costs incurred not paid</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(4)</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306</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Interest added to long-term debt principal</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4,205</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Non-cash contributions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2,220</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1,776</w:t>
            </w:r>
          </w:p>
        </w:tc>
        <w:tc>
          <w:tcPr>
            <w:tcW w:w="0" w:type="dxa"/>
            <w:vAlign w:val="bottom"/>
          </w:tcPr>
          <w:p>
            <w:pPr>
              <w:spacing w:after="0"/>
              <w:rPr>
                <w:sz w:val="1"/>
                <w:szCs w:val="1"/>
                <w:color w:val="auto"/>
              </w:rPr>
            </w:pPr>
          </w:p>
        </w:tc>
      </w:tr>
      <w:tr>
        <w:trPr>
          <w:trHeight w:val="237"/>
        </w:trPr>
        <w:tc>
          <w:tcPr>
            <w:tcW w:w="5520" w:type="dxa"/>
            <w:vAlign w:val="bottom"/>
          </w:tcPr>
          <w:p>
            <w:pPr>
              <w:ind w:left="400"/>
              <w:spacing w:after="0"/>
              <w:rPr>
                <w:sz w:val="20"/>
                <w:szCs w:val="20"/>
                <w:color w:val="auto"/>
              </w:rPr>
            </w:pPr>
            <w:r>
              <w:rPr>
                <w:rFonts w:ascii="Arial" w:cs="Arial" w:eastAsia="Arial" w:hAnsi="Arial"/>
                <w:sz w:val="16"/>
                <w:szCs w:val="16"/>
                <w:color w:val="auto"/>
              </w:rPr>
              <w:t>Non-cash distribution – developer fee on fixed assets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(1,549)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(8,678)</w:t>
            </w:r>
          </w:p>
        </w:tc>
        <w:tc>
          <w:tcPr>
            <w:tcW w:w="0" w:type="dxa"/>
            <w:vAlign w:val="bottom"/>
          </w:tcPr>
          <w:p>
            <w:pPr>
              <w:spacing w:after="0"/>
              <w:rPr>
                <w:sz w:val="1"/>
                <w:szCs w:val="1"/>
                <w:color w:val="auto"/>
              </w:rPr>
            </w:pPr>
          </w:p>
        </w:tc>
      </w:tr>
      <w:tr>
        <w:trPr>
          <w:trHeight w:val="33"/>
        </w:trPr>
        <w:tc>
          <w:tcPr>
            <w:tcW w:w="55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BFE4FF"/>
            </w:tcBorders>
            <w:shd w:val="clear" w:color="auto" w:fill="BFE4FF"/>
          </w:tcPr>
          <w:p>
            <w:pPr>
              <w:ind w:left="400"/>
              <w:spacing w:after="0"/>
              <w:rPr>
                <w:sz w:val="20"/>
                <w:szCs w:val="20"/>
                <w:color w:val="auto"/>
              </w:rPr>
            </w:pPr>
            <w:r>
              <w:rPr>
                <w:rFonts w:ascii="Arial" w:cs="Arial" w:eastAsia="Arial" w:hAnsi="Arial"/>
                <w:sz w:val="16"/>
                <w:szCs w:val="16"/>
                <w:color w:val="auto"/>
              </w:rPr>
              <w:t>Accounts payable – affiliate for capital expenditures</w:t>
            </w:r>
          </w:p>
        </w:tc>
        <w:tc>
          <w:tcPr>
            <w:tcW w:w="160" w:type="dxa"/>
            <w:vAlign w:val="bottom"/>
            <w:tcBorders>
              <w:bottom w:val="single" w:sz="8" w:color="BFE4FF"/>
            </w:tcBorders>
            <w:shd w:val="clear" w:color="auto" w:fill="BFE4FF"/>
          </w:tcPr>
          <w:p>
            <w:pPr>
              <w:spacing w:after="0"/>
              <w:rPr>
                <w:sz w:val="21"/>
                <w:szCs w:val="21"/>
                <w:color w:val="auto"/>
              </w:rPr>
            </w:pPr>
          </w:p>
        </w:tc>
        <w:tc>
          <w:tcPr>
            <w:tcW w:w="340" w:type="dxa"/>
            <w:vAlign w:val="bottom"/>
            <w:tcBorders>
              <w:bottom w:val="single" w:sz="8" w:color="BFE4FF"/>
            </w:tcBorders>
            <w:shd w:val="clear" w:color="auto" w:fill="BFE4FF"/>
          </w:tcPr>
          <w:p>
            <w:pPr>
              <w:spacing w:after="0"/>
              <w:rPr>
                <w:sz w:val="21"/>
                <w:szCs w:val="21"/>
                <w:color w:val="auto"/>
              </w:rPr>
            </w:pPr>
          </w:p>
        </w:tc>
        <w:tc>
          <w:tcPr>
            <w:tcW w:w="94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(5,773)</w:t>
            </w:r>
          </w:p>
        </w:tc>
        <w:tc>
          <w:tcPr>
            <w:tcW w:w="220" w:type="dxa"/>
            <w:vAlign w:val="bottom"/>
            <w:tcBorders>
              <w:bottom w:val="single" w:sz="8" w:color="BFE4FF"/>
            </w:tcBorders>
            <w:shd w:val="clear" w:color="auto" w:fill="BFE4FF"/>
          </w:tcPr>
          <w:p>
            <w:pPr>
              <w:spacing w:after="0"/>
              <w:rPr>
                <w:sz w:val="21"/>
                <w:szCs w:val="21"/>
                <w:color w:val="auto"/>
              </w:rPr>
            </w:pPr>
          </w:p>
        </w:tc>
        <w:tc>
          <w:tcPr>
            <w:tcW w:w="280" w:type="dxa"/>
            <w:vAlign w:val="bottom"/>
            <w:tcBorders>
              <w:bottom w:val="single" w:sz="8" w:color="BFE4FF"/>
            </w:tcBorders>
            <w:shd w:val="clear" w:color="auto" w:fill="BFE4FF"/>
          </w:tcPr>
          <w:p>
            <w:pPr>
              <w:spacing w:after="0"/>
              <w:rPr>
                <w:sz w:val="21"/>
                <w:szCs w:val="21"/>
                <w:color w:val="auto"/>
              </w:rPr>
            </w:pPr>
          </w:p>
        </w:tc>
        <w:tc>
          <w:tcPr>
            <w:tcW w:w="10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(82,653)</w:t>
            </w:r>
          </w:p>
        </w:tc>
        <w:tc>
          <w:tcPr>
            <w:tcW w:w="0" w:type="dxa"/>
            <w:vAlign w:val="bottom"/>
          </w:tcPr>
          <w:p>
            <w:pPr>
              <w:spacing w:after="0"/>
              <w:rPr>
                <w:sz w:val="1"/>
                <w:szCs w:val="1"/>
                <w:color w:val="auto"/>
              </w:rPr>
            </w:pPr>
          </w:p>
        </w:tc>
      </w:tr>
      <w:tr>
        <w:trPr>
          <w:trHeight w:val="237"/>
        </w:trPr>
        <w:tc>
          <w:tcPr>
            <w:tcW w:w="5520" w:type="dxa"/>
            <w:vAlign w:val="bottom"/>
          </w:tcPr>
          <w:p>
            <w:pPr>
              <w:ind w:left="20"/>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125" w:right="1440" w:bottom="0" w:gutter="0" w:footer="0" w:header="0"/>
        </w:sectPr>
      </w:pPr>
    </w:p>
    <w:bookmarkStart w:id="23" w:name="page24"/>
    <w:bookmarkEnd w:id="23"/>
    <w:p>
      <w:pPr>
        <w:jc w:val="center"/>
        <w:ind w:right="19"/>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019"/>
          </w:cols>
          <w:pgMar w:left="1440" w:top="125" w:right="1440" w:bottom="1440" w:gutter="0" w:footer="0" w:header="0"/>
        </w:sectPr>
      </w:pPr>
    </w:p>
    <w:bookmarkStart w:id="24" w:name="page25"/>
    <w:bookmarkEnd w:id="24"/>
    <w:p>
      <w:pPr>
        <w:ind w:left="7780"/>
        <w:spacing w:after="0"/>
        <w:rPr>
          <w:sz w:val="20"/>
          <w:szCs w:val="20"/>
          <w:color w:val="auto"/>
        </w:rPr>
      </w:pPr>
      <w:r>
        <w:rPr>
          <w:rFonts w:ascii="Arial" w:cs="Arial" w:eastAsia="Arial" w:hAnsi="Arial"/>
          <w:sz w:val="18"/>
          <w:szCs w:val="18"/>
          <w:color w:val="auto"/>
        </w:rPr>
        <w:t>Exhibit 99.1</w:t>
      </w:r>
    </w:p>
    <w:p>
      <w:pPr>
        <w:spacing w:after="0" w:line="200" w:lineRule="exact"/>
        <w:rPr>
          <w:sz w:val="20"/>
          <w:szCs w:val="20"/>
          <w:color w:val="auto"/>
        </w:rPr>
      </w:pPr>
    </w:p>
    <w:p>
      <w:pPr>
        <w:spacing w:after="0" w:line="233" w:lineRule="exact"/>
        <w:rPr>
          <w:sz w:val="20"/>
          <w:szCs w:val="20"/>
          <w:color w:val="auto"/>
        </w:rPr>
      </w:pPr>
    </w:p>
    <w:p>
      <w:pPr>
        <w:jc w:val="center"/>
        <w:ind w:left="480"/>
        <w:spacing w:after="0"/>
        <w:rPr>
          <w:sz w:val="20"/>
          <w:szCs w:val="20"/>
          <w:color w:val="auto"/>
        </w:rPr>
      </w:pPr>
      <w:r>
        <w:rPr>
          <w:rFonts w:ascii="Arial" w:cs="Arial" w:eastAsia="Arial" w:hAnsi="Arial"/>
          <w:sz w:val="20"/>
          <w:szCs w:val="20"/>
          <w:b w:val="1"/>
          <w:bCs w:val="1"/>
          <w:color w:val="auto"/>
        </w:rPr>
        <w:t>DGPV HOLDCO 3 LLC AND SUBSIDIARIES</w:t>
      </w:r>
    </w:p>
    <w:p>
      <w:pPr>
        <w:spacing w:after="0" w:line="60" w:lineRule="exact"/>
        <w:rPr>
          <w:sz w:val="20"/>
          <w:szCs w:val="20"/>
          <w:color w:val="auto"/>
        </w:rPr>
      </w:pPr>
    </w:p>
    <w:p>
      <w:pPr>
        <w:jc w:val="center"/>
        <w:ind w:left="480"/>
        <w:spacing w:after="0"/>
        <w:rPr>
          <w:sz w:val="20"/>
          <w:szCs w:val="20"/>
          <w:color w:val="auto"/>
        </w:rPr>
      </w:pPr>
      <w:r>
        <w:rPr>
          <w:rFonts w:ascii="Arial" w:cs="Arial" w:eastAsia="Arial" w:hAnsi="Arial"/>
          <w:sz w:val="20"/>
          <w:szCs w:val="20"/>
          <w:color w:val="auto"/>
        </w:rPr>
        <w:t>Notes to Consolidated Financial Statements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Business</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DGPV Holdco 3, LLC, or the Company, a Delaware limited liability company, is a partnership between Clearway Renew DG Holdings, LLC, a subsidiary of Clearway Renew LLC, and DGPV Holding LLC, a subsidiary of Clearway Energy Operating LLC. Clearway Renew LLC is a wholly owned subsidiary of Clearway Energy Group LLC, or Clearway Energy Group, which is a wholly owned subsidiary of Global Infrastructure Partners III, or GIP. Clearway Energy Operating LLC is a wholly owned subsidiary of Clearway Energy LLC, which is a partnership between Clearway Energy, Inc. and Clearway Energy Group.</w:t>
      </w:r>
    </w:p>
    <w:p>
      <w:pPr>
        <w:spacing w:after="0" w:line="8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August 31, 2018, NRG Energy, Inc., or NRG, transferred its full ownership interest in Clearway Energy, Inc. to Clearway Energy Group, and subsequently sold 100% of its interest in Clearway Energy Group to GIP, including its interests in the Company, referred to as the GIP Transaction. The GIP Transaction did not impact the Company’s direct ownership structure.</w:t>
      </w:r>
    </w:p>
    <w:p>
      <w:pPr>
        <w:spacing w:after="0" w:line="7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 xml:space="preserve">The Company was formed on April 26, 2017 as a partnership to facilitate investment in an operating portfolio of distributed solar assets, primarily comprised of community solar projects and commercial distributed solar projects developed by Clearway Energy Group. The Company owns an interest in two portfolios of solar projects that participate in tax equity arrangements with tax equity investors, through its wholly owned subsidiaries, Chestnut Borrower, LLC, or Chestnut Borrower, and Renew Solar CS4 Borrower LLC, or CS4 Borrower. See Note 3, </w:t>
      </w:r>
      <w:r>
        <w:rPr>
          <w:rFonts w:ascii="Arial" w:cs="Arial" w:eastAsia="Arial" w:hAnsi="Arial"/>
          <w:sz w:val="17"/>
          <w:szCs w:val="17"/>
          <w:i w:val="1"/>
          <w:iCs w:val="1"/>
          <w:color w:val="auto"/>
        </w:rPr>
        <w:t>Tax Equity Arrangements,</w:t>
      </w:r>
      <w:r>
        <w:rPr>
          <w:rFonts w:ascii="Arial" w:cs="Arial" w:eastAsia="Arial" w:hAnsi="Arial"/>
          <w:sz w:val="17"/>
          <w:szCs w:val="17"/>
          <w:color w:val="auto"/>
        </w:rPr>
        <w:t xml:space="preserve"> for a more detailed description of each tax equity arrangement. Each of the portfolios owns, operates and maintains solar energy systems that sell power to customers through long-term power purchase agreements, or PPAs. The commercial distributed solar projects sell power to a single commercial offtaker and the community solar projects sell power to a group of offtakers in one location.</w:t>
      </w:r>
    </w:p>
    <w:p>
      <w:pPr>
        <w:spacing w:after="0" w:line="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Company is governed by an Amended and Restated Operating Agreement, or Operating Agreement, where Clearway DGPV Holding LLC, or DGPV Holding, is the Class A Member and Clearway Renew DG Holdings, LLC, or Renew DG Holdings, is the Class B Member and the Manager of the Company. As Manager, Renew DG Holdings conducts and directs all operating activities of the Company. Contributions are made to the Company pursuant to requests made by the Manager on behalf of a fund company and calculated using specific modeling guidelines outlined in the Operating Agreement.</w:t>
      </w:r>
    </w:p>
    <w:p>
      <w:pPr>
        <w:spacing w:after="0" w:line="8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Contributions by DGPV Holding are calculated to equal an amount that enables DGPV Holding to achieve an annual yield based on available cash flow of 9.0% on average over the first ten years. Contributions by Renew DG Holdings are calculated based on the purchase price of a project less the relevant contribution from the Fund's tax equity partner and the contribution from DGPV Holding. Pursuant to the Operating Agreement, all tax basis income, gain, loss, deduction and credit, as well as all cash available for distribution, of the Company are allocated at 1% and 99% to the Class B Member and Class A Member, respectively.</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Chestnut Fund</w:t>
      </w:r>
    </w:p>
    <w:p>
      <w:pPr>
        <w:spacing w:after="0" w:line="12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Company's wholly owned subsidiary, Chestnut Borrower, was formed on April 26, 2017 for the purpose of acting as a borrower of term loans for the Chestnut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and Chestnut Borrower owns a 100% of Chestnut Class B LLC, the Class B Member of the Clearway Chestnut Fund LLC, or Chestnut Fund, tax equity arrangement. Chestnut Class B LLC, or Chestnut Class B, is the Managing Member of Chestnut Fund and conducts and directs all operating activities of the fund. The Class A Member of Chestnut Fund, or Investor Member, is Firstar Development, LLC, or Firstar, an affiliate of U.S. Bancorp.</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25" w:right="339" w:bottom="1440" w:gutter="0" w:footer="0" w:header="0"/>
        </w:sectPr>
      </w:pPr>
    </w:p>
    <w:bookmarkStart w:id="25" w:name="page26"/>
    <w:bookmarkEnd w:id="25"/>
    <w:tbl>
      <w:tblPr>
        <w:tblLayout w:type="fixed"/>
        <w:tblInd w:w="320" w:type="dxa"/>
        <w:tblCellMar>
          <w:top w:w="0" w:type="dxa"/>
          <w:left w:w="0" w:type="dxa"/>
          <w:bottom w:w="0" w:type="dxa"/>
          <w:right w:w="0" w:type="dxa"/>
        </w:tblCellMar>
      </w:tblPr>
      <w:tr>
        <w:trPr>
          <w:trHeight w:val="230"/>
        </w:trPr>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60" w:type="dxa"/>
            <w:vAlign w:val="bottom"/>
            <w:gridSpan w:val="4"/>
          </w:tcPr>
          <w:p>
            <w:pPr>
              <w:ind w:left="760"/>
              <w:spacing w:after="0"/>
              <w:rPr>
                <w:sz w:val="20"/>
                <w:szCs w:val="20"/>
                <w:color w:val="auto"/>
              </w:rPr>
            </w:pPr>
            <w:r>
              <w:rPr>
                <w:rFonts w:ascii="Arial" w:cs="Arial" w:eastAsia="Arial" w:hAnsi="Arial"/>
                <w:sz w:val="18"/>
                <w:szCs w:val="18"/>
                <w:color w:val="auto"/>
              </w:rPr>
              <w:t>Exhibit 99.1</w:t>
            </w:r>
          </w:p>
        </w:tc>
        <w:tc>
          <w:tcPr>
            <w:tcW w:w="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80" w:type="dxa"/>
            <w:vAlign w:val="bottom"/>
            <w:gridSpan w:val="9"/>
          </w:tcPr>
          <w:p>
            <w:pPr>
              <w:jc w:val="right"/>
              <w:ind w:right="8"/>
              <w:spacing w:after="0"/>
              <w:rPr>
                <w:sz w:val="20"/>
                <w:szCs w:val="20"/>
                <w:color w:val="auto"/>
              </w:rPr>
            </w:pPr>
            <w:r>
              <w:rPr>
                <w:rFonts w:ascii="Arial" w:cs="Arial" w:eastAsia="Arial" w:hAnsi="Arial"/>
                <w:sz w:val="18"/>
                <w:szCs w:val="18"/>
                <w:color w:val="auto"/>
                <w:w w:val="94"/>
              </w:rPr>
              <w:t>Chestnut Fund's 100% owned subsidiaries and related solar facilities are listed below:</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20" w:type="dxa"/>
            <w:vAlign w:val="bottom"/>
          </w:tcPr>
          <w:p>
            <w:pPr>
              <w:spacing w:after="0"/>
              <w:rPr>
                <w:sz w:val="24"/>
                <w:szCs w:val="24"/>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4"/>
              </w:rPr>
              <w:t>Commercial</w:t>
            </w:r>
          </w:p>
        </w:tc>
        <w:tc>
          <w:tcPr>
            <w:tcW w:w="1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PPA term</w:t>
            </w:r>
          </w:p>
        </w:tc>
        <w:tc>
          <w:tcPr>
            <w:tcW w:w="0" w:type="dxa"/>
            <w:vAlign w:val="bottom"/>
          </w:tcPr>
          <w:p>
            <w:pPr>
              <w:spacing w:after="0"/>
              <w:rPr>
                <w:sz w:val="1"/>
                <w:szCs w:val="1"/>
                <w:color w:val="auto"/>
              </w:rPr>
            </w:pPr>
          </w:p>
        </w:tc>
      </w:tr>
      <w:tr>
        <w:trPr>
          <w:trHeight w:val="148"/>
        </w:trPr>
        <w:tc>
          <w:tcPr>
            <w:tcW w:w="19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Project company</w:t>
            </w:r>
          </w:p>
        </w:tc>
        <w:tc>
          <w:tcPr>
            <w:tcW w:w="120" w:type="dxa"/>
            <w:vAlign w:val="bottom"/>
            <w:vMerge w:val="restart"/>
          </w:tcPr>
          <w:p>
            <w:pPr>
              <w:spacing w:after="0"/>
              <w:rPr>
                <w:sz w:val="12"/>
                <w:szCs w:val="12"/>
                <w:color w:val="auto"/>
              </w:rPr>
            </w:pPr>
          </w:p>
        </w:tc>
        <w:tc>
          <w:tcPr>
            <w:tcW w:w="1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Facility</w:t>
            </w:r>
          </w:p>
        </w:tc>
        <w:tc>
          <w:tcPr>
            <w:tcW w:w="140" w:type="dxa"/>
            <w:vAlign w:val="bottom"/>
            <w:vMerge w:val="restart"/>
          </w:tcPr>
          <w:p>
            <w:pPr>
              <w:spacing w:after="0"/>
              <w:rPr>
                <w:sz w:val="12"/>
                <w:szCs w:val="12"/>
                <w:color w:val="auto"/>
              </w:rPr>
            </w:pPr>
          </w:p>
        </w:tc>
        <w:tc>
          <w:tcPr>
            <w:tcW w:w="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00" w:type="dxa"/>
            <w:vAlign w:val="bottom"/>
            <w:vMerge w:val="restart"/>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Location</w:t>
            </w:r>
          </w:p>
        </w:tc>
        <w:tc>
          <w:tcPr>
            <w:tcW w:w="100" w:type="dxa"/>
            <w:vAlign w:val="bottom"/>
            <w:vMerge w:val="restart"/>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capacity</w:t>
            </w:r>
          </w:p>
        </w:tc>
        <w:tc>
          <w:tcPr>
            <w:tcW w:w="1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PPA offtaker</w:t>
            </w:r>
          </w:p>
        </w:tc>
        <w:tc>
          <w:tcPr>
            <w:tcW w:w="100" w:type="dxa"/>
            <w:vAlign w:val="bottom"/>
            <w:vMerge w:val="restart"/>
          </w:tcPr>
          <w:p>
            <w:pPr>
              <w:spacing w:after="0"/>
              <w:rPr>
                <w:sz w:val="12"/>
                <w:szCs w:val="12"/>
                <w:color w:val="auto"/>
              </w:rPr>
            </w:pPr>
          </w:p>
        </w:tc>
        <w:tc>
          <w:tcPr>
            <w:tcW w:w="7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9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580" w:type="dxa"/>
            <w:vAlign w:val="bottom"/>
            <w:tcBorders>
              <w:bottom w:val="single" w:sz="8" w:color="auto"/>
            </w:tcBorders>
            <w:vMerge w:val="continue"/>
          </w:tcPr>
          <w:p>
            <w:pPr>
              <w:spacing w:after="0"/>
              <w:rPr>
                <w:sz w:val="16"/>
                <w:szCs w:val="16"/>
                <w:color w:val="auto"/>
              </w:rPr>
            </w:pPr>
          </w:p>
        </w:tc>
        <w:tc>
          <w:tcPr>
            <w:tcW w:w="14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(kWdc)</w:t>
            </w:r>
          </w:p>
        </w:tc>
        <w:tc>
          <w:tcPr>
            <w:tcW w:w="1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operations date</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in years</w:t>
            </w:r>
          </w:p>
        </w:tc>
        <w:tc>
          <w:tcPr>
            <w:tcW w:w="0" w:type="dxa"/>
            <w:vAlign w:val="bottom"/>
          </w:tcPr>
          <w:p>
            <w:pPr>
              <w:spacing w:after="0"/>
              <w:rPr>
                <w:sz w:val="1"/>
                <w:szCs w:val="1"/>
                <w:color w:val="auto"/>
              </w:rPr>
            </w:pPr>
          </w:p>
        </w:tc>
      </w:tr>
      <w:tr>
        <w:trPr>
          <w:trHeight w:val="25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Black Cat Road Solar,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77 Black Cat 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1,321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08/30/17</w:t>
            </w:r>
          </w:p>
        </w:tc>
        <w:tc>
          <w:tcPr>
            <w:tcW w:w="100" w:type="dxa"/>
            <w:vAlign w:val="bottom"/>
            <w:shd w:val="clear" w:color="auto" w:fill="CCEEFF"/>
          </w:tcPr>
          <w:p>
            <w:pPr>
              <w:spacing w:after="0"/>
              <w:rPr>
                <w:sz w:val="22"/>
                <w:szCs w:val="22"/>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Brook St Solar 1,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134 Brook St A, B &amp;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6,480</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09/06/17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 Ahold USA/Various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15 20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Mule,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Colby College</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6"/>
              </w:rPr>
              <w:t>Commercial</w:t>
            </w:r>
          </w:p>
        </w:tc>
        <w:tc>
          <w:tcPr>
            <w:tcW w:w="94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ME</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1,811</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09/18/17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Colby College</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3"/>
              </w:rPr>
              <w:t xml:space="preserve">27 </w:t>
            </w:r>
            <w:r>
              <w:rPr>
                <w:rFonts w:ascii="Arial" w:cs="Arial" w:eastAsia="Arial" w:hAnsi="Arial"/>
                <w:sz w:val="12"/>
                <w:szCs w:val="12"/>
                <w:color w:val="auto"/>
                <w:w w:val="93"/>
              </w:rPr>
              <w:t>(b)</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Big Lake Holdco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Big Lake</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6,912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10/01/17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63"/>
        </w:trPr>
        <w:tc>
          <w:tcPr>
            <w:tcW w:w="19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Ahold</w:t>
            </w:r>
          </w:p>
        </w:tc>
        <w:tc>
          <w:tcPr>
            <w:tcW w:w="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West Shaft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N Adams-West Shaft 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1,346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10/10/17</w:t>
            </w:r>
          </w:p>
        </w:tc>
        <w:tc>
          <w:tcPr>
            <w:tcW w:w="100" w:type="dxa"/>
            <w:vAlign w:val="bottom"/>
            <w:shd w:val="clear" w:color="auto" w:fill="CCEEFF"/>
          </w:tcPr>
          <w:p>
            <w:pPr>
              <w:spacing w:after="0"/>
              <w:rPr>
                <w:sz w:val="16"/>
                <w:szCs w:val="16"/>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USA/Raytheon/Various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61"/>
        </w:trPr>
        <w:tc>
          <w:tcPr>
            <w:tcW w:w="2040" w:type="dxa"/>
            <w:vAlign w:val="bottom"/>
            <w:gridSpan w:val="2"/>
            <w:vMerge w:val="restart"/>
          </w:tcPr>
          <w:p>
            <w:pPr>
              <w:ind w:left="20"/>
              <w:spacing w:after="0"/>
              <w:rPr>
                <w:sz w:val="20"/>
                <w:szCs w:val="20"/>
                <w:color w:val="auto"/>
              </w:rPr>
            </w:pPr>
            <w:r>
              <w:rPr>
                <w:rFonts w:ascii="Arial" w:cs="Arial" w:eastAsia="Arial" w:hAnsi="Arial"/>
                <w:sz w:val="14"/>
                <w:szCs w:val="14"/>
                <w:color w:val="auto"/>
              </w:rPr>
              <w:t>DG Foxborough Elm LLC</w:t>
            </w:r>
          </w:p>
        </w:tc>
        <w:tc>
          <w:tcPr>
            <w:tcW w:w="1720" w:type="dxa"/>
            <w:vAlign w:val="bottom"/>
            <w:gridSpan w:val="2"/>
            <w:vMerge w:val="restart"/>
          </w:tcPr>
          <w:p>
            <w:pPr>
              <w:jc w:val="center"/>
              <w:ind w:right="140"/>
              <w:spacing w:after="0"/>
              <w:rPr>
                <w:sz w:val="20"/>
                <w:szCs w:val="20"/>
                <w:color w:val="auto"/>
              </w:rPr>
            </w:pPr>
            <w:r>
              <w:rPr>
                <w:rFonts w:ascii="Arial" w:cs="Arial" w:eastAsia="Arial" w:hAnsi="Arial"/>
                <w:sz w:val="14"/>
                <w:szCs w:val="14"/>
                <w:color w:val="auto"/>
                <w:w w:val="94"/>
              </w:rPr>
              <w:t>Elm Street</w:t>
            </w:r>
          </w:p>
        </w:tc>
        <w:tc>
          <w:tcPr>
            <w:tcW w:w="1040" w:type="dxa"/>
            <w:vAlign w:val="bottom"/>
            <w:gridSpan w:val="2"/>
            <w:vMerge w:val="restart"/>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vMerge w:val="restart"/>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vMerge w:val="restart"/>
          </w:tcPr>
          <w:p>
            <w:pPr>
              <w:jc w:val="right"/>
              <w:ind w:right="8"/>
              <w:spacing w:after="0"/>
              <w:rPr>
                <w:sz w:val="20"/>
                <w:szCs w:val="20"/>
                <w:color w:val="auto"/>
              </w:rPr>
            </w:pPr>
            <w:r>
              <w:rPr>
                <w:rFonts w:ascii="Arial" w:cs="Arial" w:eastAsia="Arial" w:hAnsi="Arial"/>
                <w:sz w:val="14"/>
                <w:szCs w:val="14"/>
                <w:color w:val="auto"/>
              </w:rPr>
              <w:t>2,614</w:t>
            </w:r>
          </w:p>
        </w:tc>
        <w:tc>
          <w:tcPr>
            <w:tcW w:w="1280" w:type="dxa"/>
            <w:vAlign w:val="bottom"/>
            <w:gridSpan w:val="2"/>
            <w:vMerge w:val="restart"/>
          </w:tcPr>
          <w:p>
            <w:pPr>
              <w:jc w:val="center"/>
              <w:ind w:left="48"/>
              <w:spacing w:after="0"/>
              <w:rPr>
                <w:sz w:val="20"/>
                <w:szCs w:val="20"/>
                <w:color w:val="auto"/>
              </w:rPr>
            </w:pPr>
            <w:r>
              <w:rPr>
                <w:rFonts w:ascii="Arial" w:cs="Arial" w:eastAsia="Arial" w:hAnsi="Arial"/>
                <w:sz w:val="14"/>
                <w:szCs w:val="14"/>
                <w:color w:val="auto"/>
                <w:w w:val="95"/>
              </w:rPr>
              <w:t>10/12/17</w:t>
            </w:r>
          </w:p>
        </w:tc>
        <w:tc>
          <w:tcPr>
            <w:tcW w:w="100" w:type="dxa"/>
            <w:vAlign w:val="bottom"/>
          </w:tcPr>
          <w:p>
            <w:pPr>
              <w:spacing w:after="0"/>
              <w:rPr>
                <w:sz w:val="14"/>
                <w:szCs w:val="14"/>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Town of Foxborough/Various</w:t>
            </w:r>
          </w:p>
        </w:tc>
        <w:tc>
          <w:tcPr>
            <w:tcW w:w="740" w:type="dxa"/>
            <w:vAlign w:val="bottom"/>
            <w:vMerge w:val="restart"/>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84"/>
        </w:trPr>
        <w:tc>
          <w:tcPr>
            <w:tcW w:w="2040" w:type="dxa"/>
            <w:vAlign w:val="bottom"/>
            <w:gridSpan w:val="2"/>
            <w:vMerge w:val="continue"/>
          </w:tcPr>
          <w:p>
            <w:pPr>
              <w:spacing w:after="0"/>
              <w:rPr>
                <w:sz w:val="15"/>
                <w:szCs w:val="15"/>
                <w:color w:val="auto"/>
              </w:rPr>
            </w:pPr>
          </w:p>
        </w:tc>
        <w:tc>
          <w:tcPr>
            <w:tcW w:w="17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12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900" w:type="dxa"/>
            <w:vAlign w:val="bottom"/>
            <w:gridSpan w:val="2"/>
          </w:tcPr>
          <w:p>
            <w:pPr>
              <w:ind w:left="40"/>
              <w:spacing w:after="0"/>
              <w:rPr>
                <w:sz w:val="20"/>
                <w:szCs w:val="20"/>
                <w:color w:val="auto"/>
              </w:rPr>
            </w:pPr>
            <w:r>
              <w:rPr>
                <w:rFonts w:ascii="Arial" w:cs="Arial" w:eastAsia="Arial" w:hAnsi="Arial"/>
                <w:sz w:val="13"/>
                <w:szCs w:val="13"/>
                <w:color w:val="auto"/>
              </w:rPr>
              <w:t>(a)</w:t>
            </w: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Redbrook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7"/>
              </w:rPr>
              <w:t>Redbrook B, C &amp; 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5,568</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11/09/17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Northfield Holdco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rPr>
              <w:t>Northfield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6,962</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12/01/17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Waterford Holdco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Waterford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3,767</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12/01/17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57"/>
        </w:trPr>
        <w:tc>
          <w:tcPr>
            <w:tcW w:w="1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2"/>
          </w:tcPr>
          <w:p>
            <w:pPr>
              <w:jc w:val="center"/>
              <w:ind w:left="48"/>
              <w:spacing w:after="0" w:line="157" w:lineRule="exact"/>
              <w:rPr>
                <w:sz w:val="20"/>
                <w:szCs w:val="20"/>
                <w:color w:val="auto"/>
              </w:rPr>
            </w:pPr>
            <w:r>
              <w:rPr>
                <w:rFonts w:ascii="Arial" w:cs="Arial" w:eastAsia="Arial" w:hAnsi="Arial"/>
                <w:sz w:val="14"/>
                <w:szCs w:val="14"/>
                <w:color w:val="auto"/>
                <w:w w:val="95"/>
              </w:rPr>
              <w:t>12/21/2017 &amp;</w:t>
            </w:r>
          </w:p>
        </w:tc>
        <w:tc>
          <w:tcPr>
            <w:tcW w:w="1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Center St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6"/>
              </w:rPr>
              <w:t>1077 Center St A, B &amp;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3,870</w:t>
            </w:r>
          </w:p>
        </w:tc>
        <w:tc>
          <w:tcPr>
            <w:tcW w:w="1280" w:type="dxa"/>
            <w:vAlign w:val="bottom"/>
            <w:gridSpan w:val="2"/>
          </w:tcPr>
          <w:p>
            <w:pPr>
              <w:jc w:val="center"/>
              <w:ind w:left="28"/>
              <w:spacing w:after="0"/>
              <w:rPr>
                <w:sz w:val="20"/>
                <w:szCs w:val="20"/>
                <w:color w:val="auto"/>
              </w:rPr>
            </w:pPr>
            <w:r>
              <w:rPr>
                <w:rFonts w:ascii="Arial" w:cs="Arial" w:eastAsia="Arial" w:hAnsi="Arial"/>
                <w:sz w:val="14"/>
                <w:szCs w:val="14"/>
                <w:color w:val="auto"/>
                <w:w w:val="94"/>
              </w:rPr>
              <w:t>01/03/2018</w:t>
            </w:r>
          </w:p>
        </w:tc>
        <w:tc>
          <w:tcPr>
            <w:tcW w:w="100" w:type="dxa"/>
            <w:vAlign w:val="bottom"/>
          </w:tcPr>
          <w:p>
            <w:pPr>
              <w:spacing w:after="0"/>
              <w:rPr>
                <w:sz w:val="16"/>
                <w:szCs w:val="16"/>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 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15 20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TOS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4"/>
              </w:rPr>
              <w:t>725 Guelphwood</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646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12/30/17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TOS Solar 2, LLC</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726 Guelphwood</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1,341</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12/30/17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1,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466 Stafford St Site A</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12/31/17</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Stafford St Solar 3,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3"/>
              </w:rPr>
              <w:t>466 Stafford St Site C</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1,388</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12/31/17</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 xml:space="preserve">Raytheon/Various </w:t>
            </w:r>
            <w:r>
              <w:rPr>
                <w:rFonts w:ascii="Arial" w:cs="Arial" w:eastAsia="Arial" w:hAnsi="Arial"/>
                <w:sz w:val="12"/>
                <w:szCs w:val="12"/>
                <w:color w:val="auto"/>
              </w:rPr>
              <w:t>(a)</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ETCAP NES CS MN 02 LLC</w:t>
            </w:r>
          </w:p>
        </w:tc>
        <w:tc>
          <w:tcPr>
            <w:tcW w:w="172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3"/>
              </w:rPr>
              <w:t>Nystuen</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1,055</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05/01/18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ETCAP NES CS MN 06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5"/>
              </w:rPr>
              <w:t>Armstrong</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3,714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05/01/18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Stafford St Solar 2,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466 Stafford St Site B</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2,776</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05/09/18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Bullock Road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97"/>
              </w:rPr>
              <w:t>247 &amp; 249 Bullock</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5,754</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07/25/18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Mapleton Solar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3"/>
              </w:rPr>
              <w:t>Mapleton</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5,080</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Osakis Solar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w w:val="88"/>
              </w:rPr>
              <w:t>Osakis</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MN</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7,213</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09/01/18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Various</w:t>
            </w:r>
          </w:p>
        </w:tc>
        <w:tc>
          <w:tcPr>
            <w:tcW w:w="740" w:type="dxa"/>
            <w:vAlign w:val="bottom"/>
          </w:tcPr>
          <w:p>
            <w:pPr>
              <w:jc w:val="center"/>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Solar Wauwinet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4"/>
              </w:rPr>
              <w:t>85 Wauwinet Rd-Barre</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1,294</w:t>
            </w:r>
          </w:p>
        </w:tc>
        <w:tc>
          <w:tcPr>
            <w:tcW w:w="1280" w:type="dxa"/>
            <w:vAlign w:val="bottom"/>
            <w:gridSpan w:val="2"/>
            <w:shd w:val="clear" w:color="auto" w:fill="CCEEFF"/>
          </w:tcPr>
          <w:p>
            <w:pPr>
              <w:jc w:val="center"/>
              <w:ind w:left="48"/>
              <w:spacing w:after="0"/>
              <w:rPr>
                <w:sz w:val="20"/>
                <w:szCs w:val="20"/>
                <w:color w:val="auto"/>
              </w:rPr>
            </w:pPr>
            <w:r>
              <w:rPr>
                <w:rFonts w:ascii="Arial" w:cs="Arial" w:eastAsia="Arial" w:hAnsi="Arial"/>
                <w:sz w:val="14"/>
                <w:szCs w:val="14"/>
                <w:color w:val="auto"/>
                <w:w w:val="95"/>
              </w:rPr>
              <w:t>09/17/18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 xml:space="preserve">Target/Various </w:t>
            </w:r>
            <w:r>
              <w:rPr>
                <w:rFonts w:ascii="Arial" w:cs="Arial" w:eastAsia="Arial" w:hAnsi="Arial"/>
                <w:sz w:val="12"/>
                <w:szCs w:val="12"/>
                <w:color w:val="auto"/>
              </w:rPr>
              <w:t>(a)</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1"/>
              </w:rPr>
              <w:t>15/20</w:t>
            </w:r>
          </w:p>
        </w:tc>
        <w:tc>
          <w:tcPr>
            <w:tcW w:w="0" w:type="dxa"/>
            <w:vAlign w:val="bottom"/>
          </w:tcPr>
          <w:p>
            <w:pPr>
              <w:spacing w:after="0"/>
              <w:rPr>
                <w:sz w:val="1"/>
                <w:szCs w:val="1"/>
                <w:color w:val="auto"/>
              </w:rPr>
            </w:pPr>
          </w:p>
        </w:tc>
      </w:tr>
      <w:tr>
        <w:trPr>
          <w:trHeight w:val="264"/>
        </w:trPr>
        <w:tc>
          <w:tcPr>
            <w:tcW w:w="2040" w:type="dxa"/>
            <w:vAlign w:val="bottom"/>
            <w:gridSpan w:val="2"/>
          </w:tcPr>
          <w:p>
            <w:pPr>
              <w:ind w:left="20"/>
              <w:spacing w:after="0"/>
              <w:rPr>
                <w:sz w:val="20"/>
                <w:szCs w:val="20"/>
                <w:color w:val="auto"/>
              </w:rPr>
            </w:pPr>
            <w:r>
              <w:rPr>
                <w:rFonts w:ascii="Arial" w:cs="Arial" w:eastAsia="Arial" w:hAnsi="Arial"/>
                <w:sz w:val="14"/>
                <w:szCs w:val="14"/>
                <w:color w:val="auto"/>
              </w:rPr>
              <w:t>Minisink Solar 1 LLC</w:t>
            </w:r>
          </w:p>
        </w:tc>
        <w:tc>
          <w:tcPr>
            <w:tcW w:w="1720" w:type="dxa"/>
            <w:vAlign w:val="bottom"/>
            <w:gridSpan w:val="2"/>
          </w:tcPr>
          <w:p>
            <w:pPr>
              <w:jc w:val="center"/>
              <w:ind w:right="140"/>
              <w:spacing w:after="0"/>
              <w:rPr>
                <w:sz w:val="20"/>
                <w:szCs w:val="20"/>
                <w:color w:val="auto"/>
              </w:rPr>
            </w:pPr>
            <w:r>
              <w:rPr>
                <w:rFonts w:ascii="Arial" w:cs="Arial" w:eastAsia="Arial" w:hAnsi="Arial"/>
                <w:sz w:val="14"/>
                <w:szCs w:val="14"/>
                <w:color w:val="auto"/>
              </w:rPr>
              <w:t>Minisink North</w:t>
            </w: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tcPr>
          <w:p>
            <w:pPr>
              <w:jc w:val="center"/>
              <w:ind w:right="100"/>
              <w:spacing w:after="0"/>
              <w:rPr>
                <w:sz w:val="20"/>
                <w:szCs w:val="20"/>
                <w:color w:val="auto"/>
              </w:rPr>
            </w:pPr>
            <w:r>
              <w:rPr>
                <w:rFonts w:ascii="Arial" w:cs="Arial" w:eastAsia="Arial" w:hAnsi="Arial"/>
                <w:sz w:val="14"/>
                <w:szCs w:val="14"/>
                <w:color w:val="auto"/>
              </w:rPr>
              <w:t>NY</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2,495</w:t>
            </w:r>
          </w:p>
        </w:tc>
        <w:tc>
          <w:tcPr>
            <w:tcW w:w="1280" w:type="dxa"/>
            <w:vAlign w:val="bottom"/>
            <w:gridSpan w:val="2"/>
          </w:tcPr>
          <w:p>
            <w:pPr>
              <w:jc w:val="center"/>
              <w:ind w:left="48"/>
              <w:spacing w:after="0"/>
              <w:rPr>
                <w:sz w:val="20"/>
                <w:szCs w:val="20"/>
                <w:color w:val="auto"/>
              </w:rPr>
            </w:pPr>
            <w:r>
              <w:rPr>
                <w:rFonts w:ascii="Arial" w:cs="Arial" w:eastAsia="Arial" w:hAnsi="Arial"/>
                <w:sz w:val="14"/>
                <w:szCs w:val="14"/>
                <w:color w:val="auto"/>
                <w:w w:val="95"/>
              </w:rPr>
              <w:t>10/26/18</w:t>
            </w:r>
          </w:p>
        </w:tc>
        <w:tc>
          <w:tcPr>
            <w:tcW w:w="100" w:type="dxa"/>
            <w:vAlign w:val="bottom"/>
          </w:tcPr>
          <w:p>
            <w:pPr>
              <w:spacing w:after="0"/>
              <w:rPr>
                <w:sz w:val="22"/>
                <w:szCs w:val="22"/>
                <w:color w:val="auto"/>
              </w:rPr>
            </w:pPr>
          </w:p>
        </w:tc>
        <w:tc>
          <w:tcPr>
            <w:tcW w:w="1900" w:type="dxa"/>
            <w:vAlign w:val="bottom"/>
            <w:gridSpan w:val="2"/>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76"/>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Minisink Solar 2 LLC</w:t>
            </w:r>
          </w:p>
        </w:tc>
        <w:tc>
          <w:tcPr>
            <w:tcW w:w="1720" w:type="dxa"/>
            <w:vAlign w:val="bottom"/>
            <w:gridSpan w:val="2"/>
            <w:shd w:val="clear" w:color="auto" w:fill="CCEEFF"/>
          </w:tcPr>
          <w:p>
            <w:pPr>
              <w:jc w:val="center"/>
              <w:ind w:right="140"/>
              <w:spacing w:after="0"/>
              <w:rPr>
                <w:sz w:val="20"/>
                <w:szCs w:val="20"/>
                <w:color w:val="auto"/>
              </w:rPr>
            </w:pPr>
            <w:r>
              <w:rPr>
                <w:rFonts w:ascii="Arial" w:cs="Arial" w:eastAsia="Arial" w:hAnsi="Arial"/>
                <w:sz w:val="14"/>
                <w:szCs w:val="14"/>
                <w:color w:val="auto"/>
                <w:w w:val="98"/>
              </w:rPr>
              <w:t>Minisink South</w:t>
            </w:r>
          </w:p>
        </w:tc>
        <w:tc>
          <w:tcPr>
            <w:tcW w:w="104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gridSpan w:val="2"/>
            <w:shd w:val="clear" w:color="auto" w:fill="CCEEFF"/>
          </w:tcPr>
          <w:p>
            <w:pPr>
              <w:jc w:val="center"/>
              <w:ind w:right="100"/>
              <w:spacing w:after="0"/>
              <w:rPr>
                <w:sz w:val="20"/>
                <w:szCs w:val="20"/>
                <w:color w:val="auto"/>
              </w:rPr>
            </w:pPr>
            <w:r>
              <w:rPr>
                <w:rFonts w:ascii="Arial" w:cs="Arial" w:eastAsia="Arial" w:hAnsi="Arial"/>
                <w:sz w:val="14"/>
                <w:szCs w:val="14"/>
                <w:color w:val="auto"/>
              </w:rPr>
              <w:t>NY</w:t>
            </w:r>
          </w:p>
        </w:tc>
        <w:tc>
          <w:tcPr>
            <w:tcW w:w="8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2,795</w:t>
            </w:r>
          </w:p>
        </w:tc>
        <w:tc>
          <w:tcPr>
            <w:tcW w:w="1280" w:type="dxa"/>
            <w:vAlign w:val="bottom"/>
            <w:gridSpan w:val="2"/>
            <w:shd w:val="clear" w:color="auto" w:fill="CCEEFF"/>
          </w:tcPr>
          <w:p>
            <w:pPr>
              <w:jc w:val="center"/>
              <w:ind w:left="28"/>
              <w:spacing w:after="0"/>
              <w:rPr>
                <w:sz w:val="20"/>
                <w:szCs w:val="20"/>
                <w:color w:val="auto"/>
              </w:rPr>
            </w:pPr>
            <w:r>
              <w:rPr>
                <w:rFonts w:ascii="Arial" w:cs="Arial" w:eastAsia="Arial" w:hAnsi="Arial"/>
                <w:sz w:val="14"/>
                <w:szCs w:val="14"/>
                <w:color w:val="auto"/>
                <w:w w:val="91"/>
              </w:rPr>
              <w:t>11/01/18</w:t>
            </w:r>
          </w:p>
        </w:tc>
        <w:tc>
          <w:tcPr>
            <w:tcW w:w="100" w:type="dxa"/>
            <w:vAlign w:val="bottom"/>
            <w:shd w:val="clear" w:color="auto" w:fill="CCEEFF"/>
          </w:tcPr>
          <w:p>
            <w:pPr>
              <w:spacing w:after="0"/>
              <w:rPr>
                <w:sz w:val="24"/>
                <w:szCs w:val="24"/>
                <w:color w:val="auto"/>
              </w:rPr>
            </w:pPr>
          </w:p>
        </w:tc>
        <w:tc>
          <w:tcPr>
            <w:tcW w:w="19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100% residential</w:t>
            </w:r>
          </w:p>
        </w:tc>
        <w:tc>
          <w:tcPr>
            <w:tcW w:w="7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64"/>
        </w:trPr>
        <w:tc>
          <w:tcPr>
            <w:tcW w:w="204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DG Marathon LLC</w:t>
            </w:r>
          </w:p>
        </w:tc>
        <w:tc>
          <w:tcPr>
            <w:tcW w:w="172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87"/>
              </w:rPr>
              <w:t>Sage Stone</w:t>
            </w:r>
          </w:p>
        </w:tc>
        <w:tc>
          <w:tcPr>
            <w:tcW w:w="1040" w:type="dxa"/>
            <w:vAlign w:val="bottom"/>
            <w:tcBorders>
              <w:bottom w:val="single" w:sz="8" w:color="CCEEFF"/>
            </w:tcBorders>
            <w:gridSpan w:val="2"/>
          </w:tcPr>
          <w:p>
            <w:pPr>
              <w:jc w:val="center"/>
              <w:ind w:right="120"/>
              <w:spacing w:after="0"/>
              <w:rPr>
                <w:sz w:val="20"/>
                <w:szCs w:val="20"/>
                <w:color w:val="auto"/>
              </w:rPr>
            </w:pPr>
            <w:r>
              <w:rPr>
                <w:rFonts w:ascii="Arial" w:cs="Arial" w:eastAsia="Arial" w:hAnsi="Arial"/>
                <w:sz w:val="14"/>
                <w:szCs w:val="14"/>
                <w:color w:val="auto"/>
                <w:w w:val="95"/>
              </w:rPr>
              <w:t>Community</w:t>
            </w:r>
          </w:p>
        </w:tc>
        <w:tc>
          <w:tcPr>
            <w:tcW w:w="9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4"/>
                <w:szCs w:val="14"/>
                <w:color w:val="auto"/>
              </w:rPr>
              <w:t>MA</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2,614</w:t>
            </w:r>
          </w:p>
        </w:tc>
        <w:tc>
          <w:tcPr>
            <w:tcW w:w="1280" w:type="dxa"/>
            <w:vAlign w:val="bottom"/>
            <w:tcBorders>
              <w:bottom w:val="single" w:sz="8" w:color="CCEEFF"/>
            </w:tcBorders>
            <w:gridSpan w:val="2"/>
          </w:tcPr>
          <w:p>
            <w:pPr>
              <w:jc w:val="center"/>
              <w:ind w:left="48"/>
              <w:spacing w:after="0"/>
              <w:rPr>
                <w:sz w:val="20"/>
                <w:szCs w:val="20"/>
                <w:color w:val="auto"/>
              </w:rPr>
            </w:pPr>
            <w:r>
              <w:rPr>
                <w:rFonts w:ascii="Arial" w:cs="Arial" w:eastAsia="Arial" w:hAnsi="Arial"/>
                <w:sz w:val="14"/>
                <w:szCs w:val="14"/>
                <w:color w:val="auto"/>
                <w:w w:val="95"/>
              </w:rPr>
              <w:t>01/04/19</w:t>
            </w:r>
          </w:p>
        </w:tc>
        <w:tc>
          <w:tcPr>
            <w:tcW w:w="100" w:type="dxa"/>
            <w:vAlign w:val="bottom"/>
            <w:tcBorders>
              <w:bottom w:val="single" w:sz="8" w:color="CCEEFF"/>
            </w:tcBorders>
          </w:tcPr>
          <w:p>
            <w:pPr>
              <w:spacing w:after="0"/>
              <w:rPr>
                <w:sz w:val="22"/>
                <w:szCs w:val="22"/>
                <w:color w:val="auto"/>
              </w:rPr>
            </w:pPr>
          </w:p>
        </w:tc>
        <w:tc>
          <w:tcPr>
            <w:tcW w:w="190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 xml:space="preserve">Ahold USA/Various </w:t>
            </w:r>
            <w:r>
              <w:rPr>
                <w:rFonts w:ascii="Arial" w:cs="Arial" w:eastAsia="Arial" w:hAnsi="Arial"/>
                <w:sz w:val="12"/>
                <w:szCs w:val="12"/>
                <w:color w:val="auto"/>
              </w:rPr>
              <w:t>(a)</w:t>
            </w:r>
          </w:p>
        </w:tc>
        <w:tc>
          <w:tcPr>
            <w:tcW w:w="740" w:type="dxa"/>
            <w:vAlign w:val="bottom"/>
            <w:tcBorders>
              <w:bottom w:val="single" w:sz="8" w:color="CCEEFF"/>
            </w:tcBorders>
          </w:tcPr>
          <w:p>
            <w:pPr>
              <w:jc w:val="center"/>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37"/>
        </w:trPr>
        <w:tc>
          <w:tcPr>
            <w:tcW w:w="1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81,592</w:t>
            </w:r>
          </w:p>
        </w:tc>
        <w:tc>
          <w:tcPr>
            <w:tcW w:w="1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159385</wp:posOffset>
            </wp:positionH>
            <wp:positionV relativeFrom="paragraph">
              <wp:posOffset>196850</wp:posOffset>
            </wp:positionV>
            <wp:extent cx="11398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93">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39" w:lineRule="exact"/>
        <w:rPr>
          <w:sz w:val="20"/>
          <w:szCs w:val="20"/>
          <w:color w:val="auto"/>
        </w:rPr>
      </w:pPr>
    </w:p>
    <w:p>
      <w:pPr>
        <w:ind w:left="440" w:hanging="189"/>
        <w:spacing w:after="0"/>
        <w:tabs>
          <w:tab w:leader="none" w:pos="440" w:val="left"/>
        </w:tabs>
        <w:numPr>
          <w:ilvl w:val="1"/>
          <w:numId w:val="13"/>
        </w:numPr>
        <w:rPr>
          <w:rFonts w:ascii="Arial" w:cs="Arial" w:eastAsia="Arial" w:hAnsi="Arial"/>
          <w:sz w:val="14"/>
          <w:szCs w:val="14"/>
          <w:color w:val="auto"/>
        </w:rPr>
      </w:pPr>
      <w:r>
        <w:rPr>
          <w:rFonts w:ascii="Arial" w:cs="Arial" w:eastAsia="Arial" w:hAnsi="Arial"/>
          <w:sz w:val="14"/>
          <w:szCs w:val="14"/>
          <w:color w:val="auto"/>
        </w:rPr>
        <w:t>50% sold through community solar services agreements and 50% sold to named customer through net metering purchase agreements.</w:t>
      </w:r>
    </w:p>
    <w:p>
      <w:pPr>
        <w:spacing w:after="0" w:line="55" w:lineRule="exact"/>
        <w:rPr>
          <w:rFonts w:ascii="Arial" w:cs="Arial" w:eastAsia="Arial" w:hAnsi="Arial"/>
          <w:sz w:val="14"/>
          <w:szCs w:val="14"/>
          <w:color w:val="auto"/>
        </w:rPr>
      </w:pPr>
    </w:p>
    <w:p>
      <w:pPr>
        <w:ind w:left="460" w:hanging="209"/>
        <w:spacing w:after="0"/>
        <w:tabs>
          <w:tab w:leader="none" w:pos="460" w:val="left"/>
        </w:tabs>
        <w:numPr>
          <w:ilvl w:val="1"/>
          <w:numId w:val="13"/>
        </w:numPr>
        <w:rPr>
          <w:rFonts w:ascii="Arial" w:cs="Arial" w:eastAsia="Arial" w:hAnsi="Arial"/>
          <w:sz w:val="14"/>
          <w:szCs w:val="14"/>
          <w:color w:val="auto"/>
        </w:rPr>
      </w:pPr>
      <w:r>
        <w:rPr>
          <w:rFonts w:ascii="Arial" w:cs="Arial" w:eastAsia="Arial" w:hAnsi="Arial"/>
          <w:sz w:val="14"/>
          <w:szCs w:val="14"/>
          <w:color w:val="auto"/>
        </w:rPr>
        <w:t>The initial term of 27 years shall automatically extend for 3 years, then for 1 year in perpetuity unless terminated by either party.</w:t>
      </w:r>
    </w:p>
    <w:p>
      <w:pPr>
        <w:spacing w:after="0" w:line="176" w:lineRule="exact"/>
        <w:rPr>
          <w:rFonts w:ascii="Arial" w:cs="Arial" w:eastAsia="Arial" w:hAnsi="Arial"/>
          <w:sz w:val="14"/>
          <w:szCs w:val="14"/>
          <w:color w:val="auto"/>
        </w:rPr>
      </w:pPr>
    </w:p>
    <w:p>
      <w:pPr>
        <w:ind w:left="280" w:hanging="272"/>
        <w:spacing w:after="0"/>
        <w:tabs>
          <w:tab w:leader="none" w:pos="2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CS4 Fund</w:t>
      </w:r>
    </w:p>
    <w:p>
      <w:pPr>
        <w:spacing w:after="0" w:line="12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The Company's wholly owned subsidiary, CS4 Borrower, was formed on July 9, 2018 for the purpose of acting as the borrower under a credit agreement for the CS4 Fund, as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CS4 Borrower owns 100% of Renew Solar CS4 Class B LLC, the Class B Member of the Renew Solar CS4 Fund LLC, or CS4 Fund, tax equity arrangement. Renew Solar CS4 Class B LLC, or CS4 Class B, is the Managing Member of CS4 Fund and conducts and directs all operating activities of the fund. The Class A Member of CS4 Fund, or Investor Member, is PNC Commercial, LLC, or PNC, an indirect wholly owned subsidiary of PNC Financial Services Group, Inc. CS4 Borrower's wholly owned subsidiary Renew Solar CS4 Seller LLC, or CS4 Seller, acquires the project entities from a subsidiary of Clearway Renew, funds the construction of the projects, and in turn, sells these projects to CS4 Fund.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25" w:right="339" w:bottom="1440" w:gutter="0" w:footer="0" w:header="0"/>
        </w:sectPr>
      </w:pPr>
    </w:p>
    <w:bookmarkStart w:id="26" w:name="page27"/>
    <w:bookmarkEnd w:id="26"/>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CS4 Fund's 100% owned subsidiaries and related solar facilities are listed below:</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4"/>
              </w:rPr>
              <w:t>Facility</w:t>
            </w:r>
          </w:p>
        </w:tc>
        <w:tc>
          <w:tcPr>
            <w:tcW w:w="220" w:type="dxa"/>
            <w:vAlign w:val="bottom"/>
          </w:tcPr>
          <w:p>
            <w:pPr>
              <w:spacing w:after="0"/>
              <w:rPr>
                <w:sz w:val="18"/>
                <w:szCs w:val="18"/>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Commercial</w:t>
            </w: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70"/>
        </w:trPr>
        <w:tc>
          <w:tcPr>
            <w:tcW w:w="25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0"/>
              </w:rPr>
              <w:t>capacity</w:t>
            </w:r>
          </w:p>
        </w:tc>
        <w:tc>
          <w:tcPr>
            <w:tcW w:w="220" w:type="dxa"/>
            <w:vAlign w:val="bottom"/>
          </w:tcPr>
          <w:p>
            <w:pPr>
              <w:spacing w:after="0"/>
              <w:rPr>
                <w:sz w:val="23"/>
                <w:szCs w:val="23"/>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7"/>
              </w:rPr>
              <w:t>operations</w:t>
            </w:r>
          </w:p>
        </w:tc>
        <w:tc>
          <w:tcPr>
            <w:tcW w:w="2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PPA</w:t>
            </w:r>
          </w:p>
        </w:tc>
      </w:tr>
      <w:tr>
        <w:trPr>
          <w:trHeight w:val="270"/>
        </w:trPr>
        <w:tc>
          <w:tcPr>
            <w:tcW w:w="2740" w:type="dxa"/>
            <w:vAlign w:val="bottom"/>
            <w:gridSpan w:val="2"/>
          </w:tcPr>
          <w:p>
            <w:pPr>
              <w:ind w:left="680"/>
              <w:spacing w:after="0"/>
              <w:rPr>
                <w:sz w:val="20"/>
                <w:szCs w:val="20"/>
                <w:color w:val="auto"/>
              </w:rPr>
            </w:pPr>
            <w:r>
              <w:rPr>
                <w:rFonts w:ascii="Arial" w:cs="Arial" w:eastAsia="Arial" w:hAnsi="Arial"/>
                <w:sz w:val="16"/>
                <w:szCs w:val="16"/>
                <w:b w:val="1"/>
                <w:bCs w:val="1"/>
                <w:color w:val="auto"/>
              </w:rPr>
              <w:t>Project company</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Location</w:t>
            </w: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7"/>
              </w:rPr>
              <w:t>(kWdc)</w:t>
            </w:r>
          </w:p>
        </w:tc>
        <w:tc>
          <w:tcPr>
            <w:tcW w:w="220" w:type="dxa"/>
            <w:vAlign w:val="bottom"/>
          </w:tcPr>
          <w:p>
            <w:pPr>
              <w:spacing w:after="0"/>
              <w:rPr>
                <w:sz w:val="23"/>
                <w:szCs w:val="23"/>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1"/>
              </w:rPr>
              <w:t>date</w:t>
            </w:r>
          </w:p>
        </w:tc>
        <w:tc>
          <w:tcPr>
            <w:tcW w:w="2500" w:type="dxa"/>
            <w:vAlign w:val="bottom"/>
            <w:gridSpan w:val="2"/>
          </w:tcPr>
          <w:p>
            <w:pPr>
              <w:ind w:left="700"/>
              <w:spacing w:after="0"/>
              <w:rPr>
                <w:sz w:val="20"/>
                <w:szCs w:val="20"/>
                <w:color w:val="auto"/>
              </w:rPr>
            </w:pPr>
            <w:r>
              <w:rPr>
                <w:rFonts w:ascii="Arial" w:cs="Arial" w:eastAsia="Arial" w:hAnsi="Arial"/>
                <w:sz w:val="16"/>
                <w:szCs w:val="16"/>
                <w:b w:val="1"/>
                <w:bCs w:val="1"/>
                <w:color w:val="auto"/>
              </w:rPr>
              <w:t>PPA offtaker</w:t>
            </w:r>
          </w:p>
        </w:tc>
        <w:tc>
          <w:tcPr>
            <w:tcW w:w="1300" w:type="dxa"/>
            <w:vAlign w:val="bottom"/>
          </w:tcPr>
          <w:p>
            <w:pPr>
              <w:jc w:val="center"/>
              <w:spacing w:after="0"/>
              <w:rPr>
                <w:sz w:val="20"/>
                <w:szCs w:val="20"/>
                <w:color w:val="auto"/>
              </w:rPr>
            </w:pPr>
            <w:r>
              <w:rPr>
                <w:rFonts w:ascii="Arial" w:cs="Arial" w:eastAsia="Arial" w:hAnsi="Arial"/>
                <w:sz w:val="16"/>
                <w:szCs w:val="16"/>
                <w:b w:val="1"/>
                <w:bCs w:val="1"/>
                <w:color w:val="auto"/>
                <w:w w:val="91"/>
              </w:rPr>
              <w:t>terms</w:t>
            </w:r>
          </w:p>
        </w:tc>
      </w:tr>
      <w:tr>
        <w:trPr>
          <w:trHeight w:val="33"/>
        </w:trPr>
        <w:tc>
          <w:tcPr>
            <w:tcW w:w="25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7,497</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1/1/2019</w:t>
            </w:r>
          </w:p>
        </w:tc>
        <w:tc>
          <w:tcPr>
            <w:tcW w:w="200" w:type="dxa"/>
            <w:vAlign w:val="bottom"/>
            <w:tcBorders>
              <w:bottom w:val="single" w:sz="8" w:color="CCEEFF"/>
            </w:tcBorders>
            <w:shd w:val="clear" w:color="auto" w:fill="CCEEFF"/>
          </w:tcPr>
          <w:p>
            <w:pPr>
              <w:spacing w:after="0"/>
              <w:rPr>
                <w:sz w:val="20"/>
                <w:szCs w:val="20"/>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Underhill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3,011</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3/18/2019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NYSERDA/Various (b)</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10/20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3,013</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2"/>
              </w:rPr>
              <w:t>3/27/2019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3,937</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5/1/2019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Frontenac Holdco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7,208</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5/1/2019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CMR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2,808</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5/10/2019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NYSERDA/Various (b)</w:t>
            </w:r>
          </w:p>
        </w:tc>
        <w:tc>
          <w:tcPr>
            <w:tcW w:w="1300" w:type="dxa"/>
            <w:vAlign w:val="bottom"/>
          </w:tcPr>
          <w:p>
            <w:pPr>
              <w:jc w:val="center"/>
              <w:spacing w:after="0"/>
              <w:rPr>
                <w:sz w:val="20"/>
                <w:szCs w:val="20"/>
                <w:color w:val="auto"/>
              </w:rPr>
            </w:pPr>
            <w:r>
              <w:rPr>
                <w:rFonts w:ascii="Arial" w:cs="Arial" w:eastAsia="Arial" w:hAnsi="Arial"/>
                <w:sz w:val="16"/>
                <w:szCs w:val="16"/>
                <w:color w:val="auto"/>
                <w:w w:val="90"/>
              </w:rPr>
              <w:t>10/20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Sartell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7,501</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6/1/2019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Grabinski Solar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3,002</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2"/>
              </w:rPr>
              <w:t>7/25/2019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Clara City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New Munich Solar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Olinda Trail Solar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Rollingstone Holdco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7,005</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Stearns Solar 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Wabasha Solar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Wabasha Solar II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Wabasha Solar III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Winona Solar I LLC</w:t>
            </w:r>
          </w:p>
        </w:tc>
        <w:tc>
          <w:tcPr>
            <w:tcW w:w="1540" w:type="dxa"/>
            <w:vAlign w:val="bottom"/>
            <w:tcBorders>
              <w:bottom w:val="single" w:sz="8" w:color="CCEEFF"/>
            </w:tcBorders>
            <w:gridSpan w:val="2"/>
            <w:shd w:val="clear" w:color="auto" w:fill="CCEEFF"/>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25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Winona Solar II LLC</w:t>
            </w:r>
          </w:p>
        </w:tc>
        <w:tc>
          <w:tcPr>
            <w:tcW w:w="1540" w:type="dxa"/>
            <w:vAlign w:val="bottom"/>
            <w:gridSpan w:val="2"/>
          </w:tcPr>
          <w:p>
            <w:pPr>
              <w:jc w:val="center"/>
              <w:ind w:right="220"/>
              <w:spacing w:after="0"/>
              <w:rPr>
                <w:sz w:val="20"/>
                <w:szCs w:val="20"/>
                <w:color w:val="auto"/>
              </w:rPr>
            </w:pPr>
            <w:r>
              <w:rPr>
                <w:rFonts w:ascii="Arial" w:cs="Arial" w:eastAsia="Arial" w:hAnsi="Arial"/>
                <w:sz w:val="16"/>
                <w:szCs w:val="16"/>
                <w:color w:val="auto"/>
                <w:w w:val="92"/>
              </w:rPr>
              <w:t>Minnesota</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1,400</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9/1/2019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25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Mount Hope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5"/>
              </w:rPr>
              <w:t>New York</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2,793</w:t>
            </w:r>
          </w:p>
        </w:tc>
        <w:tc>
          <w:tcPr>
            <w:tcW w:w="1520" w:type="dxa"/>
            <w:vAlign w:val="bottom"/>
            <w:tcBorders>
              <w:bottom w:val="single" w:sz="8" w:color="CCEEFF"/>
            </w:tcBorders>
            <w:gridSpan w:val="2"/>
            <w:shd w:val="clear" w:color="auto" w:fill="CCEEFF"/>
          </w:tcPr>
          <w:p>
            <w:pPr>
              <w:jc w:val="center"/>
              <w:ind w:left="139"/>
              <w:spacing w:after="0"/>
              <w:rPr>
                <w:sz w:val="20"/>
                <w:szCs w:val="20"/>
                <w:color w:val="auto"/>
              </w:rPr>
            </w:pPr>
            <w:r>
              <w:rPr>
                <w:rFonts w:ascii="Arial" w:cs="Arial" w:eastAsia="Arial" w:hAnsi="Arial"/>
                <w:sz w:val="16"/>
                <w:szCs w:val="16"/>
                <w:color w:val="auto"/>
                <w:w w:val="92"/>
              </w:rPr>
              <w:t>10/9/2019</w:t>
            </w:r>
          </w:p>
        </w:tc>
        <w:tc>
          <w:tcPr>
            <w:tcW w:w="2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Rounseville Solar 1,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3,324</w:t>
            </w:r>
          </w:p>
        </w:tc>
        <w:tc>
          <w:tcPr>
            <w:tcW w:w="1520" w:type="dxa"/>
            <w:vAlign w:val="bottom"/>
            <w:gridSpan w:val="2"/>
          </w:tcPr>
          <w:p>
            <w:pPr>
              <w:jc w:val="center"/>
              <w:ind w:left="139"/>
              <w:spacing w:after="0"/>
              <w:rPr>
                <w:sz w:val="20"/>
                <w:szCs w:val="20"/>
                <w:color w:val="auto"/>
              </w:rPr>
            </w:pPr>
            <w:r>
              <w:rPr>
                <w:rFonts w:ascii="Arial" w:cs="Arial" w:eastAsia="Arial" w:hAnsi="Arial"/>
                <w:sz w:val="16"/>
                <w:szCs w:val="16"/>
                <w:color w:val="auto"/>
                <w:w w:val="93"/>
              </w:rPr>
              <w:t>11/14/19</w:t>
            </w:r>
          </w:p>
        </w:tc>
        <w:tc>
          <w:tcPr>
            <w:tcW w:w="200" w:type="dxa"/>
            <w:vAlign w:val="bottom"/>
          </w:tcPr>
          <w:p>
            <w:pPr>
              <w:spacing w:after="0"/>
              <w:rPr>
                <w:sz w:val="20"/>
                <w:szCs w:val="20"/>
                <w:color w:val="auto"/>
              </w:rPr>
            </w:pP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Wilmarth Lane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6,372</w:t>
            </w:r>
          </w:p>
        </w:tc>
        <w:tc>
          <w:tcPr>
            <w:tcW w:w="2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6"/>
                <w:szCs w:val="16"/>
                <w:color w:val="auto"/>
              </w:rPr>
              <w:t>Partridgeville Road Solar 1 LLC</w:t>
            </w:r>
          </w:p>
        </w:tc>
        <w:tc>
          <w:tcPr>
            <w:tcW w:w="1540" w:type="dxa"/>
            <w:vAlign w:val="bottom"/>
            <w:gridSpan w:val="2"/>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4,743</w:t>
            </w:r>
          </w:p>
        </w:tc>
        <w:tc>
          <w:tcPr>
            <w:tcW w:w="220" w:type="dxa"/>
            <w:vAlign w:val="bottom"/>
          </w:tcPr>
          <w:p>
            <w:pPr>
              <w:spacing w:after="0"/>
              <w:rPr>
                <w:sz w:val="20"/>
                <w:szCs w:val="20"/>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gridSpan w:val="2"/>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Pr>
          <w:p>
            <w:pPr>
              <w:jc w:val="center"/>
              <w:spacing w:after="0"/>
              <w:rPr>
                <w:sz w:val="20"/>
                <w:szCs w:val="20"/>
                <w:color w:val="auto"/>
              </w:rPr>
            </w:pPr>
            <w:r>
              <w:rPr>
                <w:rFonts w:ascii="Arial" w:cs="Arial" w:eastAsia="Arial" w:hAnsi="Arial"/>
                <w:sz w:val="16"/>
                <w:szCs w:val="16"/>
                <w:color w:val="auto"/>
                <w:w w:val="87"/>
              </w:rPr>
              <w:t>20 years</w:t>
            </w: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Eastman Street Solar 1 LLC</w:t>
            </w:r>
          </w:p>
        </w:tc>
        <w:tc>
          <w:tcPr>
            <w:tcW w:w="154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88"/>
              </w:rPr>
              <w:t>Massachusetts</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1,438</w:t>
            </w:r>
          </w:p>
        </w:tc>
        <w:tc>
          <w:tcPr>
            <w:tcW w:w="2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6"/>
                <w:szCs w:val="16"/>
                <w:color w:val="auto"/>
                <w:w w:val="98"/>
              </w:rPr>
              <w:t>N/A (a)</w:t>
            </w:r>
          </w:p>
        </w:tc>
        <w:tc>
          <w:tcPr>
            <w:tcW w:w="2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Various</w:t>
            </w:r>
          </w:p>
        </w:tc>
        <w:tc>
          <w:tcPr>
            <w:tcW w:w="1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7"/>
              </w:rPr>
              <w:t>20 years</w:t>
            </w:r>
          </w:p>
        </w:tc>
      </w:tr>
      <w:tr>
        <w:trPr>
          <w:trHeight w:val="217"/>
        </w:trPr>
        <w:tc>
          <w:tcPr>
            <w:tcW w:w="2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76,252</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2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
        </w:trPr>
        <w:tc>
          <w:tcPr>
            <w:tcW w:w="2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398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4">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39" w:lineRule="exact"/>
        <w:rPr>
          <w:sz w:val="20"/>
          <w:szCs w:val="20"/>
          <w:color w:val="auto"/>
        </w:rPr>
      </w:pPr>
    </w:p>
    <w:p>
      <w:pPr>
        <w:ind w:left="200" w:hanging="192"/>
        <w:spacing w:after="0"/>
        <w:tabs>
          <w:tab w:leader="none" w:pos="200" w:val="left"/>
        </w:tabs>
        <w:numPr>
          <w:ilvl w:val="0"/>
          <w:numId w:val="15"/>
        </w:numPr>
        <w:rPr>
          <w:rFonts w:ascii="Arial" w:cs="Arial" w:eastAsia="Arial" w:hAnsi="Arial"/>
          <w:sz w:val="14"/>
          <w:szCs w:val="14"/>
          <w:color w:val="auto"/>
        </w:rPr>
      </w:pPr>
      <w:r>
        <w:rPr>
          <w:rFonts w:ascii="Arial" w:cs="Arial" w:eastAsia="Arial" w:hAnsi="Arial"/>
          <w:sz w:val="14"/>
          <w:szCs w:val="14"/>
          <w:color w:val="auto"/>
        </w:rPr>
        <w:t>Projects have not yet begun commercial operations.</w:t>
      </w:r>
    </w:p>
    <w:p>
      <w:pPr>
        <w:spacing w:after="0" w:line="55" w:lineRule="exact"/>
        <w:rPr>
          <w:rFonts w:ascii="Arial" w:cs="Arial" w:eastAsia="Arial" w:hAnsi="Arial"/>
          <w:sz w:val="14"/>
          <w:szCs w:val="14"/>
          <w:color w:val="auto"/>
        </w:rPr>
      </w:pPr>
    </w:p>
    <w:p>
      <w:pPr>
        <w:ind w:left="220" w:hanging="212"/>
        <w:spacing w:after="0"/>
        <w:tabs>
          <w:tab w:leader="none" w:pos="220" w:val="left"/>
        </w:tabs>
        <w:numPr>
          <w:ilvl w:val="0"/>
          <w:numId w:val="15"/>
        </w:numPr>
        <w:rPr>
          <w:rFonts w:ascii="Arial" w:cs="Arial" w:eastAsia="Arial" w:hAnsi="Arial"/>
          <w:sz w:val="13"/>
          <w:szCs w:val="13"/>
          <w:color w:val="auto"/>
        </w:rPr>
      </w:pPr>
      <w:r>
        <w:rPr>
          <w:rFonts w:ascii="Arial" w:cs="Arial" w:eastAsia="Arial" w:hAnsi="Arial"/>
          <w:sz w:val="13"/>
          <w:szCs w:val="13"/>
          <w:color w:val="auto"/>
        </w:rPr>
        <w:t>1,000 kWdc sold to New York State Energy Research and Development Authority, or NYSERDA, through the 10-year PPA and the remainder through community solar customer agreements.</w:t>
      </w: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320" w:top="125" w:right="379" w:bottom="1440" w:gutter="0" w:footer="0" w:header="0"/>
        </w:sectPr>
      </w:pPr>
    </w:p>
    <w:bookmarkStart w:id="27" w:name="page28"/>
    <w:bookmarkEnd w:id="27"/>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diagram provides further information related to the Company’s ownership structure as of December 31,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5863590" cy="43973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5">
                      <a:extLst>
                        <a:ext uri="{28A0092B-C50C-407E-A947-70E740481C1C}"/>
                      </a:extLst>
                    </a:blip>
                    <a:srcRect/>
                    <a:stretch>
                      <a:fillRect/>
                    </a:stretch>
                  </pic:blipFill>
                  <pic:spPr bwMode="auto">
                    <a:xfrm>
                      <a:off x="0" y="0"/>
                      <a:ext cx="5863590" cy="43973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Basis of Presentation and Principles of Consolidation</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Company’s consolidated financial statements have been prepared in accordance with accounting principles generally accepted in the United States, or U.S. GAAP. The Accounting Standards Codification, or ASC, established by the Financial Accounting Standards Board, or FASB, is the source of authoritative U.S. GAAP to be applied by nongovernmental entities.</w:t>
      </w:r>
    </w:p>
    <w:p>
      <w:pPr>
        <w:spacing w:after="0" w:line="14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consolidated financial statements include the Company's accounts and operations of those of its subsidiaries. All significant intercompany transactions and balances have been eliminated in the consolidated financial statements. The usual condition for a controlling financial interest is ownership of a majority of the voting interests of an entity. However, a controlling financial interest may also exist through arrangements that do not involve controlling voting interests. As such, the Company applies the guidance of ASC 810, </w:t>
      </w:r>
      <w:r>
        <w:rPr>
          <w:rFonts w:ascii="Arial" w:cs="Arial" w:eastAsia="Arial" w:hAnsi="Arial"/>
          <w:sz w:val="18"/>
          <w:szCs w:val="18"/>
          <w:i w:val="1"/>
          <w:iCs w:val="1"/>
          <w:color w:val="auto"/>
        </w:rPr>
        <w:t>Consolidations</w:t>
      </w:r>
      <w:r>
        <w:rPr>
          <w:rFonts w:ascii="Arial" w:cs="Arial" w:eastAsia="Arial" w:hAnsi="Arial"/>
          <w:sz w:val="18"/>
          <w:szCs w:val="18"/>
          <w:color w:val="auto"/>
        </w:rPr>
        <w:t>, to determine when an entity that is not controlled through its voting interests should be consolidated.</w:t>
      </w:r>
    </w:p>
    <w:p>
      <w:pPr>
        <w:spacing w:after="0" w:line="161"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8"/>
          <w:szCs w:val="18"/>
          <w:color w:val="auto"/>
        </w:rPr>
        <w:t>The Company has elected not to push down the effects of the GIP Transaction to its consolidated financial statements and accordingly, there was no change in basis of presentation related to the GIP Transaction.</w:t>
      </w: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25" w:right="339" w:bottom="1440" w:gutter="0" w:footer="0" w:header="0"/>
        </w:sectPr>
      </w:pPr>
    </w:p>
    <w:bookmarkStart w:id="28" w:name="page29"/>
    <w:bookmarkEnd w:id="28"/>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Restricted Cash</w:t>
      </w:r>
    </w:p>
    <w:p>
      <w:pPr>
        <w:spacing w:after="0" w:line="13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provides a reconciliation of cash and restricted cash reported within the consolidated balance sheets that sum to the total of the same such amounts shown in the consolidated statements of cash flows as of December 31, 2019 and 2018 (in thousands):</w:t>
      </w:r>
    </w:p>
    <w:p>
      <w:pPr>
        <w:spacing w:after="0" w:line="234"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19,104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0" w:type="dxa"/>
            <w:vAlign w:val="bottom"/>
          </w:tcPr>
          <w:p>
            <w:pPr>
              <w:spacing w:after="0"/>
              <w:rPr>
                <w:sz w:val="1"/>
                <w:szCs w:val="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Restricted cash</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6,862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16,022</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Cash and restricted cash shown in the consolidated</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25,966</w:t>
            </w:r>
          </w:p>
        </w:tc>
        <w:tc>
          <w:tcPr>
            <w:tcW w:w="22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21,057</w:t>
            </w:r>
          </w:p>
        </w:tc>
        <w:tc>
          <w:tcPr>
            <w:tcW w:w="0" w:type="dxa"/>
            <w:vAlign w:val="bottom"/>
          </w:tcPr>
          <w:p>
            <w:pPr>
              <w:spacing w:after="0"/>
              <w:rPr>
                <w:sz w:val="1"/>
                <w:szCs w:val="1"/>
                <w:color w:val="auto"/>
              </w:rPr>
            </w:pPr>
          </w:p>
        </w:tc>
      </w:tr>
      <w:tr>
        <w:trPr>
          <w:trHeight w:val="237"/>
        </w:trPr>
        <w:tc>
          <w:tcPr>
            <w:tcW w:w="51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statements of cash flows</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December 31, 2019, restricted cash consists of $5 million held at Renew Solar CS4 Borrower LLC for debt service and $2 million held at Chestnut Class B Borrower LLC for distributions and to satisfy reserves for performance obligations. As of December 31, 2018, restricted cash consists of $5 million held at Renew Solar CS4 Borrower LLC for debt service and $10 million held at Chestnut Class B Borrower LLC for distributions and to satisfy reserves for performance obligations.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Accounts Receivable – Trade</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Accounts receivable represent trade receivables from sales of electricity to residential, commercial and municipal customers. Also included in accounts receivable – trade are receivables for the sale of renewable energy credits to a former affiliate, NRG Power Marketing LLC and receivables related to government incentives. The Company reviews its accounts receivable by aging category to identify significant customer balances with known collections issues. In evaluating the allowance, the Company makes judgments about the creditworthiness of its customers based on ongoing credit evaluations. The Company also considers current economic trends that might impact the level of future credit losses. As of December 31, 2019 and 2018, the allowance for doubtful accounts was $52 thousand and $11 thousand, respectively.</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Debt Issuance Costs</w:t>
      </w:r>
    </w:p>
    <w:p>
      <w:pPr>
        <w:spacing w:after="0" w:line="13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Debt issuance costs consist of legal fees and closing costs incurred by the Company in obtaining its financings. These costs are capitalized and amortized as interest expense on a basis which approximates the effective interest method over the term of the financing obligation and are presented as a direct deduction from the carrying amount of the related debt.</w:t>
      </w:r>
    </w:p>
    <w:p>
      <w:pPr>
        <w:spacing w:after="0" w:line="143"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Amortization expense, included in interest expense in the consolidated statements of operations, was $1,859 thousand and $810 thousand for the years ended December 31, 2019 and 2018, respectively.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 Property, Plant, and Equipment</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purchased certain of its solar installations from Clearway Renew and its subsidiaries through its acquisitions of wholly owned project subsidiaries listed in note 1, </w:t>
      </w:r>
      <w:r>
        <w:rPr>
          <w:rFonts w:ascii="Arial" w:cs="Arial" w:eastAsia="Arial" w:hAnsi="Arial"/>
          <w:sz w:val="18"/>
          <w:szCs w:val="18"/>
          <w:i w:val="1"/>
          <w:iCs w:val="1"/>
          <w:color w:val="auto"/>
        </w:rPr>
        <w:t>Nature of Business</w:t>
      </w:r>
      <w:r>
        <w:rPr>
          <w:rFonts w:ascii="Arial" w:cs="Arial" w:eastAsia="Arial" w:hAnsi="Arial"/>
          <w:sz w:val="18"/>
          <w:szCs w:val="18"/>
          <w:color w:val="auto"/>
        </w:rPr>
        <w:t>. The acquisitions were recorded as a transfer of assets under common control and accordingly, the assets are recorded at Clearway Renew’s historical cost. The excess of the purchase price over the historical cost was recorded as a developer fee as a non-cash reduction to member's equity. Purchased solar installations from third parties are stated at cost.</w:t>
      </w:r>
    </w:p>
    <w:p>
      <w:pPr>
        <w:spacing w:after="0" w:line="14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Significant additions or improvements extending asset lives are capitalized as incurred, while repairs and maintenance that do not improve or extend the life of the respective asset are charged to expense as incurred. Depreciation is computed using the straight-line method over the estimated useful lives of the assets. Certain assets and their related accumulated depreciation amounts are adjusted for asset retirements and disposals with the resulting gain or loss included in cost of operations in the consolidated statements of operations. See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for additional information.</w:t>
      </w:r>
    </w:p>
    <w:p>
      <w:pPr>
        <w:spacing w:after="0" w:line="11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Interest incurred on funds borrowed to finance capital projects is capitalized until the project under construction is ready for its intended use. The amount of interest capitalized for the years ended December 31, 2019 and 2018 was $2,134 thousand and $506 thousand, respectively.</w:t>
      </w:r>
    </w:p>
    <w:p>
      <w:pPr>
        <w:spacing w:after="0" w:line="10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Construction in progress represents cumulative construction costs, including the costs incurred for the purchase of major equipment and engineering costs and capitalized interest. Once the project achieves commercial operation, the Company reclassifies the amounts recorded in construction in progress to plant equipment.</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25" w:right="339" w:bottom="1440" w:gutter="0" w:footer="0" w:header="0"/>
        </w:sectPr>
      </w:pPr>
    </w:p>
    <w:bookmarkStart w:id="29" w:name="page30"/>
    <w:bookmarkEnd w:id="29"/>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 Intangible Asset</w:t>
      </w:r>
    </w:p>
    <w:p>
      <w:pPr>
        <w:spacing w:after="0" w:line="144"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Intangible asset for power purchase agreement represents the fair value of the out-of-market component of the PPA acquired at the DG Foxborough Elm LLC facility determined at acquisition date, when Clearway Renew acquired the project from a third party. The Company recognizes specifically identifiable intangible assets when specific rights and contracts are acquired. This definite-lived intangible asset is amortized as a reduction to operating revenues on a straight line basis over the term of the PPA (through October 2042), which is 25 years from the date the facility achieved commercial operations.</w:t>
      </w:r>
    </w:p>
    <w:p>
      <w:pPr>
        <w:spacing w:after="0" w:line="1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and 2018, the intangible asset subject to amortization consists of the following (in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6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 for power purchase agreement</w:t>
            </w: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1,500</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accumulated amortization</w:t>
            </w:r>
          </w:p>
        </w:tc>
        <w:tc>
          <w:tcPr>
            <w:tcW w:w="10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(133)</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7"/>
        </w:trPr>
        <w:tc>
          <w:tcPr>
            <w:tcW w:w="63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300" w:type="dxa"/>
            <w:vAlign w:val="bottom"/>
            <w:tcBorders>
              <w:bottom w:val="single" w:sz="8" w:color="CCEEFF"/>
            </w:tcBorders>
            <w:shd w:val="clear" w:color="auto" w:fill="CCEEFF"/>
          </w:tcPr>
          <w:p>
            <w:pPr>
              <w:ind w:left="740"/>
              <w:spacing w:after="0"/>
              <w:rPr>
                <w:sz w:val="20"/>
                <w:szCs w:val="20"/>
                <w:color w:val="auto"/>
              </w:rPr>
            </w:pPr>
            <w:r>
              <w:rPr>
                <w:rFonts w:ascii="Arial" w:cs="Arial" w:eastAsia="Arial" w:hAnsi="Arial"/>
                <w:sz w:val="18"/>
                <w:szCs w:val="18"/>
                <w:color w:val="auto"/>
              </w:rPr>
              <w:t>Net intangible asset for power purchase agreement</w:t>
            </w: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1,367</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0"/>
        </w:trPr>
        <w:tc>
          <w:tcPr>
            <w:tcW w:w="63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Aggregate amortization expense was $60 thousand for each of the years ended December 31, 2019 and 2018, which was recorded as a reduction to operating revenues in the consolidated statements of operations. Estimated amortization expense for each of the next five years is $60 thousand.</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 Asset Impairments</w:t>
      </w:r>
    </w:p>
    <w:p>
      <w:pPr>
        <w:spacing w:after="0" w:line="144"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7"/>
          <w:szCs w:val="17"/>
          <w:color w:val="auto"/>
        </w:rPr>
        <w:t>Long-lived assets that are held and used are reviewed for impairment whenever events or changes in circumstances indicate carrying values may not be recoverable. Such reviews are performed in accordance with ASC 360</w:t>
      </w:r>
      <w:r>
        <w:rPr>
          <w:rFonts w:ascii="Arial" w:cs="Arial" w:eastAsia="Arial" w:hAnsi="Arial"/>
          <w:sz w:val="17"/>
          <w:szCs w:val="17"/>
          <w:i w:val="1"/>
          <w:iCs w:val="1"/>
          <w:color w:val="auto"/>
        </w:rPr>
        <w:t>, Property, Plant, and Equipment</w:t>
      </w:r>
      <w:r>
        <w:rPr>
          <w:rFonts w:ascii="Arial" w:cs="Arial" w:eastAsia="Arial" w:hAnsi="Arial"/>
          <w:sz w:val="17"/>
          <w:szCs w:val="17"/>
          <w:color w:val="auto"/>
        </w:rPr>
        <w:t>. An impairment loss is indicated if the total future estimated undiscounted cash flows expected from an asset are less than its carrying value. An impairment charge is measured by the difference between an asset’s carrying amount and fair value with the difference recorded in operating costs and expenses in the consolidated statements of operations. Fair values are determined by a variety of valuation methods, including third-party appraisals, sales prices of similar assets, and present value techniques. There were no indicators of impairment loss as of December 31, 2019 and 2018.</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 Leases</w:t>
      </w:r>
    </w:p>
    <w:p>
      <w:pPr>
        <w:spacing w:after="0" w:line="13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The Company adopted ASU No.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adoption of the standard resulted in the recording of operating lease liabilities of $30.4 million and related ROU assets of $30.4 million. There was no impact to the Company’s consolidated statement of operations or cash flows. The Company utilized its incremental borrowing rate at adoption date of 4.17% to determine the amount of the lease liabilities.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of the Company’s leases are operating leases as of December 31, 2019.</w:t>
      </w:r>
    </w:p>
    <w:p>
      <w:pPr>
        <w:spacing w:after="0" w:line="18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For new leases, 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certain to be exercised. The Company uses its incremental borrowing rate to calculate the present value of the lease payments, based on information available at the lease commencement date.</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See note 2(k),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below and note 8, </w:t>
      </w:r>
      <w:r>
        <w:rPr>
          <w:rFonts w:ascii="Arial" w:cs="Arial" w:eastAsia="Arial" w:hAnsi="Arial"/>
          <w:sz w:val="18"/>
          <w:szCs w:val="18"/>
          <w:i w:val="1"/>
          <w:iCs w:val="1"/>
          <w:color w:val="auto"/>
        </w:rPr>
        <w:t>Leases</w:t>
      </w:r>
      <w:r>
        <w:rPr>
          <w:rFonts w:ascii="Arial" w:cs="Arial" w:eastAsia="Arial" w:hAnsi="Arial"/>
          <w:sz w:val="18"/>
          <w:szCs w:val="18"/>
          <w:color w:val="auto"/>
        </w:rPr>
        <w:t xml:space="preserve"> for information on the Company's leases.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 Deferred Rent</w:t>
      </w:r>
    </w:p>
    <w:p>
      <w:pPr>
        <w:spacing w:after="0" w:line="144" w:lineRule="exact"/>
        <w:rPr>
          <w:sz w:val="20"/>
          <w:szCs w:val="20"/>
          <w:color w:val="auto"/>
        </w:rPr>
      </w:pPr>
    </w:p>
    <w:p>
      <w:pPr>
        <w:jc w:val="both"/>
        <w:ind w:firstLine="648"/>
        <w:spacing w:after="0" w:line="324" w:lineRule="auto"/>
        <w:rPr>
          <w:sz w:val="20"/>
          <w:szCs w:val="20"/>
          <w:color w:val="auto"/>
        </w:rPr>
      </w:pPr>
      <w:r>
        <w:rPr>
          <w:rFonts w:ascii="Arial" w:cs="Arial" w:eastAsia="Arial" w:hAnsi="Arial"/>
          <w:sz w:val="17"/>
          <w:szCs w:val="17"/>
          <w:color w:val="auto"/>
        </w:rPr>
        <w:t>Prior to the adoption of Topic 842, the Company recorded rent expense on a straight line basis over the life of the lease term. The cumulative difference between the payments made and the expense recognized was recorded in deferred rent on the consolidated balance sheets.</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25" w:right="339" w:bottom="1440" w:gutter="0" w:footer="0" w:header="0"/>
        </w:sectPr>
      </w:pPr>
    </w:p>
    <w:bookmarkStart w:id="30" w:name="page31"/>
    <w:bookmarkEnd w:id="30"/>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 Income Taxes</w:t>
      </w:r>
    </w:p>
    <w:p>
      <w:pPr>
        <w:spacing w:after="0" w:line="13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Company is classified as a partnership for federal and state income tax purposes. Therefore, federal and state income taxes are assessed at the partner level. Accordingly, no provision has been made for federal or state income taxes in the accompanying consolidated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(k) Revenue Recognition</w:t>
      </w:r>
    </w:p>
    <w:p>
      <w:pPr>
        <w:spacing w:after="0" w:line="144"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On January 1, 2018, the Company adopted the guidance in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or ASC 606, using the modified retrospective method applied to contracts which were not completed as of the adoption date, with no adjustment required to the financial statements upon adoption. Following the adoption of ASC 606,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Electric Revenue</w:t>
      </w:r>
    </w:p>
    <w:p>
      <w:pPr>
        <w:spacing w:after="0" w:line="144" w:lineRule="exact"/>
        <w:rPr>
          <w:sz w:val="20"/>
          <w:szCs w:val="20"/>
          <w:color w:val="auto"/>
        </w:rPr>
      </w:pPr>
    </w:p>
    <w:p>
      <w:pPr>
        <w:jc w:val="both"/>
        <w:ind w:right="20" w:firstLine="648"/>
        <w:spacing w:after="0" w:line="359" w:lineRule="auto"/>
        <w:rPr>
          <w:sz w:val="20"/>
          <w:szCs w:val="20"/>
          <w:color w:val="auto"/>
        </w:rPr>
      </w:pPr>
      <w:r>
        <w:rPr>
          <w:rFonts w:ascii="Arial" w:cs="Arial" w:eastAsia="Arial" w:hAnsi="Arial"/>
          <w:sz w:val="16"/>
          <w:szCs w:val="16"/>
          <w:color w:val="auto"/>
        </w:rPr>
        <w:t xml:space="preserve">The Company's electric revenue is related to energy contract revenue from the PPAs listed in note 1, </w:t>
      </w:r>
      <w:r>
        <w:rPr>
          <w:rFonts w:ascii="Arial" w:cs="Arial" w:eastAsia="Arial" w:hAnsi="Arial"/>
          <w:sz w:val="16"/>
          <w:szCs w:val="16"/>
          <w:i w:val="1"/>
          <w:iCs w:val="1"/>
          <w:color w:val="auto"/>
        </w:rPr>
        <w:t>Nature of Business</w:t>
      </w:r>
      <w:r>
        <w:rPr>
          <w:rFonts w:ascii="Arial" w:cs="Arial" w:eastAsia="Arial" w:hAnsi="Arial"/>
          <w:sz w:val="16"/>
          <w:szCs w:val="16"/>
          <w:color w:val="auto"/>
        </w:rPr>
        <w:t>. The contractual rates could be fixed or increase annually during the terms of the PPAs, ranging from 10-27 years. Electric revenue is billed and paid on a monthly basis.</w:t>
      </w:r>
    </w:p>
    <w:p>
      <w:pPr>
        <w:spacing w:after="0" w:line="84"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7"/>
          <w:szCs w:val="17"/>
          <w:color w:val="auto"/>
        </w:rPr>
        <w:t xml:space="preserve">The PPA at Solar Mule, LLC is accounted for as an operating lease. Previously ASC 840, </w:t>
      </w:r>
      <w:r>
        <w:rPr>
          <w:rFonts w:ascii="Arial" w:cs="Arial" w:eastAsia="Arial" w:hAnsi="Arial"/>
          <w:sz w:val="17"/>
          <w:szCs w:val="17"/>
          <w:i w:val="1"/>
          <w:iCs w:val="1"/>
          <w:color w:val="auto"/>
        </w:rPr>
        <w:t>Leases</w:t>
      </w:r>
      <w:r>
        <w:rPr>
          <w:rFonts w:ascii="Arial" w:cs="Arial" w:eastAsia="Arial" w:hAnsi="Arial"/>
          <w:sz w:val="17"/>
          <w:szCs w:val="17"/>
          <w:color w:val="auto"/>
        </w:rPr>
        <w:t>, or ASC 840, and currently Topic 842, requires the minimum lease payments received to be amortized over the term of the lease and contingent rentals are recorded when the achievement of the contingency becomes probable. Judgment is required by management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 The lease has no minimum lease payments and all of the rental income under this lease is recorded as contingent rent on an actual basis each period when electricity is produced by the solar facility and delivered to the offtaker at the rate billable per kWh under the terms of the PPA. The lease has renewal options at the end of the lease term. Termination may be allowed under specific circumstances in the lease arrangement, such as under an event of default.</w:t>
      </w:r>
    </w:p>
    <w:p>
      <w:pPr>
        <w:spacing w:after="0" w:line="141"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8"/>
          <w:szCs w:val="18"/>
          <w:color w:val="auto"/>
        </w:rPr>
        <w:t>For PPAs accounted for as executory contracts under ASC 606, revenue is recognized on an accrual basis each period, as electricity is produced by the solar facility and delivered to the offtaker at the rate billable per kWh under the terms of the PPA.</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electric revenue for the years ended December 31, 2019 and 2018 is summarized as follows (in thousands):</w:t>
      </w:r>
    </w:p>
    <w:p>
      <w:pPr>
        <w:spacing w:after="0" w:line="221" w:lineRule="exact"/>
        <w:rPr>
          <w:sz w:val="20"/>
          <w:szCs w:val="20"/>
          <w:color w:val="auto"/>
        </w:rPr>
      </w:pPr>
    </w:p>
    <w:tbl>
      <w:tblPr>
        <w:tblLayout w:type="fixed"/>
        <w:tblInd w:w="800" w:type="dxa"/>
        <w:tblCellMar>
          <w:top w:w="0" w:type="dxa"/>
          <w:left w:w="0" w:type="dxa"/>
          <w:bottom w:w="0" w:type="dxa"/>
          <w:right w:w="0" w:type="dxa"/>
        </w:tblCellMar>
      </w:tblPr>
      <w:tr>
        <w:trPr>
          <w:trHeight w:val="234"/>
        </w:trPr>
        <w:tc>
          <w:tcPr>
            <w:tcW w:w="6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b w:val="1"/>
                <w:bCs w:val="1"/>
                <w:color w:val="auto"/>
              </w:rPr>
              <w:t>2018</w:t>
            </w:r>
          </w:p>
        </w:tc>
      </w:tr>
      <w:tr>
        <w:trPr>
          <w:trHeight w:val="27"/>
        </w:trPr>
        <w:tc>
          <w:tcPr>
            <w:tcW w:w="62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3"/>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Energy revenue</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15,669</w:t>
            </w:r>
          </w:p>
        </w:tc>
        <w:tc>
          <w:tcPr>
            <w:tcW w:w="3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7,205</w:t>
            </w:r>
          </w:p>
        </w:tc>
      </w:tr>
      <w:tr>
        <w:trPr>
          <w:trHeight w:val="243"/>
        </w:trPr>
        <w:tc>
          <w:tcPr>
            <w:tcW w:w="6240" w:type="dxa"/>
            <w:vAlign w:val="bottom"/>
          </w:tcPr>
          <w:p>
            <w:pPr>
              <w:ind w:left="20"/>
              <w:spacing w:after="0"/>
              <w:rPr>
                <w:sz w:val="20"/>
                <w:szCs w:val="20"/>
                <w:color w:val="auto"/>
              </w:rPr>
            </w:pPr>
            <w:r>
              <w:rPr>
                <w:rFonts w:ascii="Arial" w:cs="Arial" w:eastAsia="Arial" w:hAnsi="Arial"/>
                <w:sz w:val="18"/>
                <w:szCs w:val="18"/>
                <w:color w:val="auto"/>
              </w:rPr>
              <w:t>Lease revenue</w:t>
            </w:r>
          </w:p>
        </w:tc>
        <w:tc>
          <w:tcPr>
            <w:tcW w:w="960" w:type="dxa"/>
            <w:vAlign w:val="bottom"/>
          </w:tcPr>
          <w:p>
            <w:pPr>
              <w:spacing w:after="0"/>
              <w:rPr>
                <w:sz w:val="21"/>
                <w:szCs w:val="21"/>
                <w:color w:val="auto"/>
              </w:rPr>
            </w:pPr>
          </w:p>
        </w:tc>
        <w:tc>
          <w:tcPr>
            <w:tcW w:w="6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3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272</w:t>
            </w:r>
          </w:p>
        </w:tc>
      </w:tr>
      <w:tr>
        <w:trPr>
          <w:trHeight w:val="27"/>
        </w:trPr>
        <w:tc>
          <w:tcPr>
            <w:tcW w:w="624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amortization</w:t>
            </w:r>
          </w:p>
        </w:tc>
        <w:tc>
          <w:tcPr>
            <w:tcW w:w="9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57"/>
        </w:trPr>
        <w:tc>
          <w:tcPr>
            <w:tcW w:w="6240" w:type="dxa"/>
            <w:vAlign w:val="bottom"/>
          </w:tcPr>
          <w:p>
            <w:pPr>
              <w:ind w:left="700"/>
              <w:spacing w:after="0"/>
              <w:rPr>
                <w:sz w:val="20"/>
                <w:szCs w:val="20"/>
                <w:color w:val="auto"/>
              </w:rPr>
            </w:pPr>
            <w:r>
              <w:rPr>
                <w:rFonts w:ascii="Arial" w:cs="Arial" w:eastAsia="Arial" w:hAnsi="Arial"/>
                <w:sz w:val="18"/>
                <w:szCs w:val="18"/>
                <w:color w:val="auto"/>
              </w:rPr>
              <w:t>Total electric revenue</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7"/>
              </w:rPr>
              <w:t>15,854</w:t>
            </w:r>
          </w:p>
        </w:tc>
        <w:tc>
          <w:tcPr>
            <w:tcW w:w="3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7,417</w:t>
            </w:r>
          </w:p>
        </w:tc>
      </w:tr>
      <w:tr>
        <w:trPr>
          <w:trHeight w:val="20"/>
        </w:trPr>
        <w:tc>
          <w:tcPr>
            <w:tcW w:w="62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Energy Certificates, or RECs</w:t>
      </w:r>
    </w:p>
    <w:p>
      <w:pPr>
        <w:spacing w:after="0" w:line="14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The Company has entered into agreements with NRG Power Marketing LLC, or PML, a wholly owned subsidiary of NRG, to purchase and sell RECs generated from 2017 through 2028 by the Massachusetts projects in accordance with vintage years, quantities, and prices in the REC agreements with PML. Prices range between $123.16 and $270.00 per REC. PML sells the RECs to third parties. Revenue is recognized as the REC is generated based on actual production multiplied by the contract rates. REC revenue is billed and paid on a quarterly basis. REC revenue from PML is recorded as Renewable energy certificates – affiliate prior to the GIP Transaction, and as Renewable energy certificates after the GIP Transaction, in the consolidated statements of operations.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25" w:right="339" w:bottom="1440" w:gutter="0" w:footer="0" w:header="0"/>
        </w:sectPr>
      </w:pPr>
    </w:p>
    <w:bookmarkStart w:id="31" w:name="page32"/>
    <w:bookmarkEnd w:id="31"/>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Incentives</w:t>
      </w:r>
    </w:p>
    <w:p>
      <w:pPr>
        <w:spacing w:after="0" w:line="14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Company is entitled to state performance based incentives, or PBIs, paid by NYSERDA for the </w:t>
      </w:r>
      <w:r>
        <w:rPr>
          <w:rFonts w:ascii="Arial" w:cs="Arial" w:eastAsia="Arial" w:hAnsi="Arial"/>
          <w:sz w:val="18"/>
          <w:szCs w:val="18"/>
          <w:color w:val="211D1E"/>
        </w:rPr>
        <w:t>Minisink Solar 1 LLC and Minisink Solar 2</w:t>
      </w:r>
      <w:r>
        <w:rPr>
          <w:rFonts w:ascii="Arial" w:cs="Arial" w:eastAsia="Arial" w:hAnsi="Arial"/>
          <w:sz w:val="18"/>
          <w:szCs w:val="18"/>
          <w:color w:val="auto"/>
        </w:rPr>
        <w:t xml:space="preserve"> </w:t>
      </w:r>
      <w:r>
        <w:rPr>
          <w:rFonts w:ascii="Arial" w:cs="Arial" w:eastAsia="Arial" w:hAnsi="Arial"/>
          <w:sz w:val="18"/>
          <w:szCs w:val="18"/>
          <w:color w:val="211D1E"/>
        </w:rPr>
        <w:t xml:space="preserve">LLC </w:t>
      </w:r>
      <w:r>
        <w:rPr>
          <w:rFonts w:ascii="Arial" w:cs="Arial" w:eastAsia="Arial" w:hAnsi="Arial"/>
          <w:sz w:val="18"/>
          <w:szCs w:val="18"/>
          <w:color w:val="000000"/>
        </w:rPr>
        <w:t>projects, not to exceed</w:t>
      </w:r>
      <w:r>
        <w:rPr>
          <w:rFonts w:ascii="Arial" w:cs="Arial" w:eastAsia="Arial" w:hAnsi="Arial"/>
          <w:sz w:val="18"/>
          <w:szCs w:val="18"/>
          <w:color w:val="211D1E"/>
        </w:rPr>
        <w:t xml:space="preserve"> $900,607 for Minisink Solar 1 LLC and $1,092,655 for Minisink Solar 2 LLC</w:t>
      </w:r>
      <w:r>
        <w:rPr>
          <w:rFonts w:ascii="Arial" w:cs="Arial" w:eastAsia="Arial" w:hAnsi="Arial"/>
          <w:sz w:val="18"/>
          <w:szCs w:val="18"/>
          <w:color w:val="000000"/>
        </w:rPr>
        <w:t>, as well as for five projects in the CS4 Fund, not</w:t>
      </w:r>
      <w:r>
        <w:rPr>
          <w:rFonts w:ascii="Arial" w:cs="Arial" w:eastAsia="Arial" w:hAnsi="Arial"/>
          <w:sz w:val="18"/>
          <w:szCs w:val="18"/>
          <w:color w:val="211D1E"/>
        </w:rPr>
        <w:t xml:space="preserve"> </w:t>
      </w:r>
      <w:r>
        <w:rPr>
          <w:rFonts w:ascii="Arial" w:cs="Arial" w:eastAsia="Arial" w:hAnsi="Arial"/>
          <w:sz w:val="18"/>
          <w:szCs w:val="18"/>
          <w:color w:val="000000"/>
        </w:rPr>
        <w:t xml:space="preserve">to exceed $5.7 million. </w:t>
      </w:r>
      <w:r>
        <w:rPr>
          <w:rFonts w:ascii="Arial" w:cs="Arial" w:eastAsia="Arial" w:hAnsi="Arial"/>
          <w:sz w:val="18"/>
          <w:szCs w:val="18"/>
          <w:color w:val="211D1E"/>
        </w:rPr>
        <w:t>The incentive payments for each project will consist of one payment at commercial operation date for 50% of the awarded amount,</w:t>
      </w:r>
      <w:r>
        <w:rPr>
          <w:rFonts w:ascii="Arial" w:cs="Arial" w:eastAsia="Arial" w:hAnsi="Arial"/>
          <w:sz w:val="18"/>
          <w:szCs w:val="18"/>
          <w:color w:val="000000"/>
        </w:rPr>
        <w:t xml:space="preserve"> </w:t>
      </w:r>
      <w:r>
        <w:rPr>
          <w:rFonts w:ascii="Arial" w:cs="Arial" w:eastAsia="Arial" w:hAnsi="Arial"/>
          <w:sz w:val="18"/>
          <w:szCs w:val="18"/>
          <w:color w:val="211D1E"/>
        </w:rPr>
        <w:t>which was recorded to property, plant, and equipment, and two annual performance-based payments each of which is estimated to be 25% of the incentive. For CS4 Fund, the commercial operation date payment of $2.8 million for all five projects was recorded to property, plant and equipment in 2019. The two annual performance based payments are earned monthly based upon the actual electricity produced by the project multiplied by a rate stipulated in the agreements. PBI revenue i</w:t>
      </w:r>
      <w:r>
        <w:rPr>
          <w:rFonts w:ascii="Arial" w:cs="Arial" w:eastAsia="Arial" w:hAnsi="Arial"/>
          <w:sz w:val="18"/>
          <w:szCs w:val="18"/>
          <w:color w:val="000000"/>
        </w:rPr>
        <w:t>s recorded as Government incentives in the consolidated statements of operati</w:t>
      </w:r>
      <w:r>
        <w:rPr>
          <w:rFonts w:ascii="Arial" w:cs="Arial" w:eastAsia="Arial" w:hAnsi="Arial"/>
          <w:sz w:val="18"/>
          <w:szCs w:val="18"/>
          <w:color w:val="211D1E"/>
        </w:rPr>
        <w:t xml:space="preserve">ons. </w:t>
      </w:r>
      <w:r>
        <w:rPr>
          <w:rFonts w:ascii="Arial" w:cs="Arial" w:eastAsia="Arial" w:hAnsi="Arial"/>
          <w:sz w:val="18"/>
          <w:szCs w:val="18"/>
          <w:color w:val="000000"/>
        </w:rPr>
        <w:t>As of December 31, 2019, $2.8 million was</w:t>
      </w:r>
      <w:r>
        <w:rPr>
          <w:rFonts w:ascii="Arial" w:cs="Arial" w:eastAsia="Arial" w:hAnsi="Arial"/>
          <w:sz w:val="18"/>
          <w:szCs w:val="18"/>
          <w:color w:val="211D1E"/>
        </w:rPr>
        <w:t xml:space="preserve"> </w:t>
      </w:r>
      <w:r>
        <w:rPr>
          <w:rFonts w:ascii="Arial" w:cs="Arial" w:eastAsia="Arial" w:hAnsi="Arial"/>
          <w:sz w:val="18"/>
          <w:szCs w:val="18"/>
          <w:color w:val="000000"/>
        </w:rPr>
        <w:t>recorded to prepayments and other currents related to the NYSERDA commercial operation date payment, which was collected during the first quarter of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reflects the contract assets in the Company's consolidated balance sheets as of December 31, 2019 and 2018 (in thousands):</w:t>
      </w:r>
    </w:p>
    <w:p>
      <w:pPr>
        <w:spacing w:after="0" w:line="312" w:lineRule="exact"/>
        <w:rPr>
          <w:sz w:val="20"/>
          <w:szCs w:val="20"/>
          <w:color w:val="auto"/>
        </w:rPr>
      </w:pPr>
    </w:p>
    <w:tbl>
      <w:tblPr>
        <w:tblLayout w:type="fixed"/>
        <w:tblInd w:w="840" w:type="dxa"/>
        <w:tblCellMar>
          <w:top w:w="0" w:type="dxa"/>
          <w:left w:w="0" w:type="dxa"/>
          <w:bottom w:w="0" w:type="dxa"/>
          <w:right w:w="0" w:type="dxa"/>
        </w:tblCellMar>
      </w:tblPr>
      <w:tr>
        <w:trPr>
          <w:trHeight w:val="234"/>
        </w:trPr>
        <w:tc>
          <w:tcPr>
            <w:tcW w:w="6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510"/>
              <w:spacing w:after="0"/>
              <w:rPr>
                <w:sz w:val="20"/>
                <w:szCs w:val="20"/>
                <w:color w:val="auto"/>
              </w:rPr>
            </w:pPr>
            <w:r>
              <w:rPr>
                <w:rFonts w:ascii="Arial" w:cs="Arial" w:eastAsia="Arial" w:hAnsi="Arial"/>
                <w:sz w:val="18"/>
                <w:szCs w:val="18"/>
                <w:b w:val="1"/>
                <w:bCs w:val="1"/>
                <w:color w:val="auto"/>
              </w:rPr>
              <w:t>2018</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3"/>
        </w:trPr>
        <w:tc>
          <w:tcPr>
            <w:tcW w:w="6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receivable - contracts with customers</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9,243</w:t>
            </w:r>
          </w:p>
        </w:tc>
        <w:tc>
          <w:tcPr>
            <w:tcW w:w="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7,927</w:t>
            </w:r>
          </w:p>
        </w:tc>
      </w:tr>
      <w:tr>
        <w:trPr>
          <w:trHeight w:val="243"/>
        </w:trPr>
        <w:tc>
          <w:tcPr>
            <w:tcW w:w="6180" w:type="dxa"/>
            <w:vAlign w:val="bottom"/>
          </w:tcPr>
          <w:p>
            <w:pPr>
              <w:ind w:left="20"/>
              <w:spacing w:after="0"/>
              <w:rPr>
                <w:sz w:val="20"/>
                <w:szCs w:val="20"/>
                <w:color w:val="auto"/>
              </w:rPr>
            </w:pPr>
            <w:r>
              <w:rPr>
                <w:rFonts w:ascii="Arial" w:cs="Arial" w:eastAsia="Arial" w:hAnsi="Arial"/>
                <w:sz w:val="18"/>
                <w:szCs w:val="18"/>
                <w:color w:val="auto"/>
              </w:rPr>
              <w:t>Accounts receivable - leases</w:t>
            </w:r>
          </w:p>
        </w:tc>
        <w:tc>
          <w:tcPr>
            <w:tcW w:w="100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15</w:t>
            </w:r>
          </w:p>
        </w:tc>
      </w:tr>
      <w:tr>
        <w:trPr>
          <w:trHeight w:val="27"/>
        </w:trPr>
        <w:tc>
          <w:tcPr>
            <w:tcW w:w="61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61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accounts receivable - trade, net</w:t>
            </w: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9,251</w:t>
            </w:r>
          </w:p>
        </w:tc>
        <w:tc>
          <w:tcPr>
            <w:tcW w:w="2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7,942</w:t>
            </w:r>
          </w:p>
        </w:tc>
      </w:tr>
      <w:tr>
        <w:trPr>
          <w:trHeight w:val="20"/>
        </w:trPr>
        <w:tc>
          <w:tcPr>
            <w:tcW w:w="61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b w:val="1"/>
          <w:bCs w:val="1"/>
          <w:i w:val="1"/>
          <w:iCs w:val="1"/>
          <w:color w:val="auto"/>
        </w:rPr>
        <w:t>(l) Derivative Financial Instruments</w:t>
      </w:r>
    </w:p>
    <w:p>
      <w:pPr>
        <w:spacing w:after="0" w:line="1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Company accounts for derivative financial instruments in accordance with ASC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which requires the Company to recognize all derivative instruments on the balance sheet as either assets or liabilities and to measure them at fair value each reporting period unless they qualify for a normal purchase normal sale exception. The Company uses interest rate swaps to manage its interest rate exposure on long-term debt, which are not designated as cash flow hedges. Changes in the fair value of non-hedge derivatives are immediately recognized in earnings. See note 5, </w:t>
      </w:r>
      <w:r>
        <w:rPr>
          <w:rFonts w:ascii="Arial" w:cs="Arial" w:eastAsia="Arial" w:hAnsi="Arial"/>
          <w:sz w:val="18"/>
          <w:szCs w:val="18"/>
          <w:i w:val="1"/>
          <w:iCs w:val="1"/>
          <w:color w:val="auto"/>
        </w:rPr>
        <w:t>Accounting</w:t>
      </w:r>
      <w:r>
        <w:rPr>
          <w:rFonts w:ascii="Arial" w:cs="Arial" w:eastAsia="Arial" w:hAnsi="Arial"/>
          <w:sz w:val="18"/>
          <w:szCs w:val="18"/>
          <w:color w:val="auto"/>
        </w:rPr>
        <w:t xml:space="preserve"> </w:t>
      </w:r>
      <w:r>
        <w:rPr>
          <w:rFonts w:ascii="Arial" w:cs="Arial" w:eastAsia="Arial" w:hAnsi="Arial"/>
          <w:sz w:val="18"/>
          <w:szCs w:val="18"/>
          <w:i w:val="1"/>
          <w:iCs w:val="1"/>
          <w:color w:val="auto"/>
        </w:rPr>
        <w:t>for Derivative Instruments and Hedging Activities</w:t>
      </w:r>
      <w:r>
        <w:rPr>
          <w:rFonts w:ascii="Arial" w:cs="Arial" w:eastAsia="Arial" w:hAnsi="Arial"/>
          <w:sz w:val="18"/>
          <w:szCs w:val="18"/>
          <w:color w:val="auto"/>
        </w:rPr>
        <w:t>, for more information.</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Risks and Uncertainties</w:t>
      </w:r>
    </w:p>
    <w:p>
      <w:pPr>
        <w:spacing w:after="0" w:line="11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primarily of accounts receivable – trade, accounts receivable – affiliate, and derivative instruments. Accounts receivable are concentrated with residential, commercial, and municipal customers. The energy industry may impact the Company’s overall exposure to credit risk, either positively or negatively, in that the customer may be similarly affected by changes in economic, industry, or other conditions. Municipal entities are generally subject to budget decisions made at superior governmental levels, which may impede or delay the Company’s collection of accounts receivable from these customers. However, the Company believes that the credit risk posed by such concentrations is offset by the diversification and creditworthiness of its customer base. The Company is exposed to credit losses in the event of noncompliance by counterparties on its derivative financial instruments.</w:t>
      </w:r>
    </w:p>
    <w:p>
      <w:pPr>
        <w:spacing w:after="0" w:line="15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Due to the concentration of sales of RECs to PML, the Company is exposed to credit risk of potential nonperformance by them, which could impact liquidity if this customer were to experience financial difficulties. As of December 31, 2019 and 2018, accounts receivable – trade with PML totaled $5.8 million and $5.5 million, respectively. The maximum amount of loss due to credit risk, should the customer fail to perform, is the amount of the outstanding receivable, and any losses associated with replacing this customer.</w:t>
      </w:r>
    </w:p>
    <w:p>
      <w:pPr>
        <w:spacing w:after="0" w:line="14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8"/>
          <w:szCs w:val="18"/>
          <w:color w:val="auto"/>
        </w:rPr>
        <w:t>Risks associated with the Company’s operations include the performance of a solar installation below expected levels of efficiency and output, shutdowns due to the breakdown or failure of equipment, or catastrophic events such as fires, earthquakes, floods, explosions, pandemics, or other similar occurrences affecting a power generation installation or its energy purchaser.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 Fair Value of Financial Instruments</w:t>
      </w:r>
    </w:p>
    <w:p>
      <w:pPr>
        <w:spacing w:after="0" w:line="11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The Company accounts for the fair value of financial instruments in accordance with ASC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or ASC 820. The Company does not hold or issue financial instruments for trading purposes. The carrying amounts of cash, restricted cash, accounts receivable – trade, accounts receivable – affiliate, accounts payable – trade, accounts payable – affiliate and accrued liabilities approximate fair value because of the short-term maturity of these instruments and are classified as Level 1 within the fair value hierarchy.</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25" w:right="339" w:bottom="1440" w:gutter="0" w:footer="0" w:header="0"/>
        </w:sectPr>
      </w:pPr>
    </w:p>
    <w:bookmarkStart w:id="32" w:name="page33"/>
    <w:bookmarkEnd w:id="32"/>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Derivative instruments consisting of interest rate swaps are recorded at fair value on the Company’s consolidated balance sheet on a recurring basis and are classified as Level 2 within the fair value hierarchy as the fair value can be determined based on observable values of underlying interest rates. The fair value of each contract is discounted using a risk free interest rate. In addition, the Company applies a credit reserve to reflect credit risk, which for interest rate swaps is calculated utilizing the bilateral method based on published default probabilities. The credit reserve is added to the discounted fair value to reflect the exit price that a market participant would be willing to receive to assume the Company's liabilities or that a market participant would be willing to pay for the Company's assets. For further discussion of interest rate swaps, see note 5, </w:t>
      </w:r>
      <w:r>
        <w:rPr>
          <w:rFonts w:ascii="Arial" w:cs="Arial" w:eastAsia="Arial" w:hAnsi="Arial"/>
          <w:sz w:val="18"/>
          <w:szCs w:val="18"/>
          <w:i w:val="1"/>
          <w:iCs w:val="1"/>
          <w:color w:val="auto"/>
        </w:rPr>
        <w:t>Accounting for Derivatives</w:t>
      </w:r>
      <w:r>
        <w:rPr>
          <w:rFonts w:ascii="Arial" w:cs="Arial" w:eastAsia="Arial" w:hAnsi="Arial"/>
          <w:sz w:val="18"/>
          <w:szCs w:val="18"/>
          <w:color w:val="auto"/>
        </w:rPr>
        <w:t xml:space="preserve"> </w:t>
      </w:r>
      <w:r>
        <w:rPr>
          <w:rFonts w:ascii="Arial" w:cs="Arial" w:eastAsia="Arial" w:hAnsi="Arial"/>
          <w:sz w:val="18"/>
          <w:szCs w:val="18"/>
          <w:i w:val="1"/>
          <w:iCs w:val="1"/>
          <w:color w:val="auto"/>
        </w:rPr>
        <w:t>Instruments and Hedging Activities</w:t>
      </w:r>
      <w:r>
        <w:rPr>
          <w:rFonts w:ascii="Arial" w:cs="Arial" w:eastAsia="Arial" w:hAnsi="Arial"/>
          <w:sz w:val="18"/>
          <w:szCs w:val="18"/>
          <w:color w:val="auto"/>
        </w:rPr>
        <w:t>.</w:t>
      </w:r>
    </w:p>
    <w:p>
      <w:pPr>
        <w:spacing w:after="0" w:line="15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carrying value of long-term debt approximates fair value at December 31, 2019 and 2018 as the debt carries a variable interest rate. The carrying value of short-term debt – affiliate approximates fair value at December 31, 2019 and 2018 due to its short-term maturity. The fair values of long-term debt and short-term debt – affiliate are based on current interest rates for similar instruments with equivalent credit quality and is classified as Level 3 inputs within the fair value hierarchy.</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ASC 820 establishes a fair value hierarchy that prioritizes the inputs to valuation techniques used to measure fair value into three levels as follows:</w:t>
      </w:r>
    </w:p>
    <w:p>
      <w:pPr>
        <w:spacing w:after="0" w:line="208" w:lineRule="exact"/>
        <w:rPr>
          <w:sz w:val="20"/>
          <w:szCs w:val="20"/>
          <w:color w:val="auto"/>
        </w:rPr>
      </w:pPr>
    </w:p>
    <w:p>
      <w:pPr>
        <w:ind w:firstLine="8"/>
        <w:spacing w:after="0" w:line="277" w:lineRule="auto"/>
        <w:tabs>
          <w:tab w:leader="none" w:pos="711"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1 – Quoted prices (unadjusted) in active markets for identical assets or liabilities that the Company has the ability to access as of the measurement date.</w:t>
      </w:r>
    </w:p>
    <w:p>
      <w:pPr>
        <w:spacing w:after="0" w:line="62" w:lineRule="exact"/>
        <w:rPr>
          <w:rFonts w:ascii="Arial" w:cs="Arial" w:eastAsia="Arial" w:hAnsi="Arial"/>
          <w:sz w:val="18"/>
          <w:szCs w:val="18"/>
          <w:color w:val="auto"/>
        </w:rPr>
      </w:pPr>
    </w:p>
    <w:p>
      <w:pPr>
        <w:ind w:firstLine="8"/>
        <w:spacing w:after="0" w:line="277" w:lineRule="auto"/>
        <w:tabs>
          <w:tab w:leader="none" w:pos="272"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2 – Inputs other than quoted prices included within Level 1 that are directly observable for the asset or liability or indirectly observable through corroboration with observable market data.</w:t>
      </w:r>
    </w:p>
    <w:p>
      <w:pPr>
        <w:spacing w:after="0" w:line="62" w:lineRule="exact"/>
        <w:rPr>
          <w:rFonts w:ascii="Arial" w:cs="Arial" w:eastAsia="Arial" w:hAnsi="Arial"/>
          <w:sz w:val="18"/>
          <w:szCs w:val="18"/>
          <w:color w:val="auto"/>
        </w:rPr>
      </w:pPr>
    </w:p>
    <w:p>
      <w:pPr>
        <w:ind w:firstLine="8"/>
        <w:spacing w:after="0" w:line="277" w:lineRule="auto"/>
        <w:tabs>
          <w:tab w:leader="none" w:pos="259" w:val="left"/>
        </w:tabs>
        <w:numPr>
          <w:ilvl w:val="0"/>
          <w:numId w:val="16"/>
        </w:numPr>
        <w:rPr>
          <w:rFonts w:ascii="Arial" w:cs="Arial" w:eastAsia="Arial" w:hAnsi="Arial"/>
          <w:sz w:val="18"/>
          <w:szCs w:val="18"/>
          <w:color w:val="auto"/>
        </w:rPr>
      </w:pPr>
      <w:r>
        <w:rPr>
          <w:rFonts w:ascii="Arial" w:cs="Arial" w:eastAsia="Arial" w:hAnsi="Arial"/>
          <w:sz w:val="18"/>
          <w:szCs w:val="18"/>
          <w:color w:val="auto"/>
        </w:rPr>
        <w:t>Level 3 – Unobservable inputs for the asset or liability only used when there is little, if any, market activity for the asset or liability at the measurement date.</w:t>
      </w:r>
    </w:p>
    <w:p>
      <w:pPr>
        <w:spacing w:after="0" w:line="13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 in its entirety.</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 Commitments and Contingencies</w:t>
      </w:r>
    </w:p>
    <w:p>
      <w:pPr>
        <w:spacing w:after="0" w:line="131"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In the normal course of business, the Company is subject to various claims and litigation. Management of the Company expects that these various litigation items will not have a material adverse effect on the results of operations, cash flows, or financial position of the Company.</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 Asset Retirement Obligations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 xml:space="preserve">The Company accounts for its asset retirement obligations, or AROs, in accordance with ASC 410-20, </w:t>
      </w:r>
      <w:r>
        <w:rPr>
          <w:rFonts w:ascii="Arial" w:cs="Arial" w:eastAsia="Arial" w:hAnsi="Arial"/>
          <w:sz w:val="16"/>
          <w:szCs w:val="16"/>
          <w:i w:val="1"/>
          <w:iCs w:val="1"/>
          <w:color w:val="auto"/>
        </w:rPr>
        <w:t>Asset Retirement Obligations</w:t>
      </w:r>
      <w:r>
        <w:rPr>
          <w:rFonts w:ascii="Arial" w:cs="Arial" w:eastAsia="Arial" w:hAnsi="Arial"/>
          <w:sz w:val="16"/>
          <w:szCs w:val="16"/>
          <w:color w:val="auto"/>
        </w:rPr>
        <w:t>, or ASC 410-</w:t>
      </w:r>
    </w:p>
    <w:p>
      <w:pPr>
        <w:spacing w:after="0" w:line="46" w:lineRule="exact"/>
        <w:rPr>
          <w:sz w:val="20"/>
          <w:szCs w:val="20"/>
          <w:color w:val="auto"/>
        </w:rPr>
      </w:pPr>
    </w:p>
    <w:p>
      <w:pPr>
        <w:jc w:val="both"/>
        <w:ind w:firstLine="8"/>
        <w:spacing w:after="0" w:line="253" w:lineRule="auto"/>
        <w:tabs>
          <w:tab w:leader="none" w:pos="281"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Retirement obligations associated with long-lived assets included within the scope of ASC 410-20 are those for which a legal obligation exists under enacted laws, statutes, and written or oral contracts, including obligations arising under the doctrine of promissory estoppel, and for which the timing and/or method of settlement may be conditional on a future event. ASC 410-20 requires the Company to recognize the fair value of a liability for an ARO in the period in which it is incurred and a reasonable estimate of fair value can be made.</w:t>
      </w:r>
    </w:p>
    <w:p>
      <w:pPr>
        <w:spacing w:after="0" w:line="1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Upon initial recognition of a liability for an ARO, the Company capitalizes the asset retirement cost by increasing the carrying amount of the related long-lived asset by the same amount. Over time, the liability is accreted to its future value, while the capitalized cost is depreciated over the useful life of the related asset. The Company’s AROs are the estimated cost to remove the above ground solar equipment and restore the site to conditions similar to the surrounding parcels.</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represents the balance of the ARO obligation as of December 31, 2019 and 2018, along with the additions and accretion expense related to the Company's ARO for the year ended December 31, 2019 (in thousands):</w:t>
      </w:r>
    </w:p>
    <w:p>
      <w:pPr>
        <w:spacing w:after="0" w:line="225" w:lineRule="exact"/>
        <w:rPr>
          <w:sz w:val="20"/>
          <w:szCs w:val="20"/>
          <w:color w:val="auto"/>
        </w:rPr>
      </w:pPr>
    </w:p>
    <w:tbl>
      <w:tblPr>
        <w:tblLayout w:type="fixed"/>
        <w:tblInd w:w="2080" w:type="dxa"/>
        <w:tblCellMar>
          <w:top w:w="0" w:type="dxa"/>
          <w:left w:w="0" w:type="dxa"/>
          <w:bottom w:w="0" w:type="dxa"/>
          <w:right w:w="0" w:type="dxa"/>
        </w:tblCellMar>
      </w:tblPr>
      <w:tr>
        <w:trPr>
          <w:trHeight w:val="270"/>
        </w:trPr>
        <w:tc>
          <w:tcPr>
            <w:tcW w:w="5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2018</w:t>
            </w:r>
          </w:p>
        </w:tc>
        <w:tc>
          <w:tcPr>
            <w:tcW w:w="62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r>
      <w:tr>
        <w:trPr>
          <w:trHeight w:val="243"/>
        </w:trPr>
        <w:tc>
          <w:tcPr>
            <w:tcW w:w="5480" w:type="dxa"/>
            <w:vAlign w:val="bottom"/>
          </w:tcPr>
          <w:p>
            <w:pPr>
              <w:ind w:left="20"/>
              <w:spacing w:after="0"/>
              <w:rPr>
                <w:sz w:val="20"/>
                <w:szCs w:val="20"/>
                <w:color w:val="auto"/>
              </w:rPr>
            </w:pPr>
            <w:r>
              <w:rPr>
                <w:rFonts w:ascii="Arial" w:cs="Arial" w:eastAsia="Arial" w:hAnsi="Arial"/>
                <w:sz w:val="18"/>
                <w:szCs w:val="18"/>
                <w:color w:val="auto"/>
              </w:rPr>
              <w:t>Additions</w:t>
            </w:r>
          </w:p>
        </w:tc>
        <w:tc>
          <w:tcPr>
            <w:tcW w:w="6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2,127</w:t>
            </w:r>
          </w:p>
        </w:tc>
      </w:tr>
      <w:tr>
        <w:trPr>
          <w:trHeight w:val="27"/>
        </w:trPr>
        <w:tc>
          <w:tcPr>
            <w:tcW w:w="54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6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w:t>
            </w:r>
          </w:p>
        </w:tc>
      </w:tr>
      <w:tr>
        <w:trPr>
          <w:trHeight w:val="257"/>
        </w:trPr>
        <w:tc>
          <w:tcPr>
            <w:tcW w:w="5480" w:type="dxa"/>
            <w:vAlign w:val="bottom"/>
          </w:tcPr>
          <w:p>
            <w:pPr>
              <w:ind w:left="20"/>
              <w:spacing w:after="0"/>
              <w:rPr>
                <w:sz w:val="20"/>
                <w:szCs w:val="20"/>
                <w:color w:val="auto"/>
              </w:rPr>
            </w:pPr>
            <w:r>
              <w:rPr>
                <w:rFonts w:ascii="Arial" w:cs="Arial" w:eastAsia="Arial" w:hAnsi="Arial"/>
                <w:sz w:val="18"/>
                <w:szCs w:val="18"/>
                <w:color w:val="auto"/>
              </w:rPr>
              <w:t>Balance as of December 31, 2019</w:t>
            </w:r>
          </w:p>
        </w:tc>
        <w:tc>
          <w:tcPr>
            <w:tcW w:w="62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4,276</w:t>
            </w:r>
          </w:p>
        </w:tc>
      </w:tr>
      <w:tr>
        <w:trPr>
          <w:trHeight w:val="20"/>
        </w:trPr>
        <w:tc>
          <w:tcPr>
            <w:tcW w:w="54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 Comprehensive Income</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total comprehensive income is equal to its net income for the years ended December 31, 2019 and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25" w:right="339" w:bottom="1440" w:gutter="0" w:footer="0" w:header="0"/>
        </w:sectPr>
      </w:pPr>
    </w:p>
    <w:bookmarkStart w:id="33" w:name="page34"/>
    <w:bookmarkEnd w:id="33"/>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 Redeemable Noncontrolling Interests</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tax equity investor in the Chestnut Fund, Firstar, has the right to redeem its interests for cash or other assets and accordingly, the Company has included the noncontrolling interest attributable to Firstar as a component of temporary equity in the mezzanine section of the consolidated balance sheets. The following table reflects the changes in the Company's redeemable noncontrolling interest balance for the years ended December 31, 2019 and 2018 (in thousands):</w:t>
      </w:r>
    </w:p>
    <w:p>
      <w:pPr>
        <w:spacing w:after="0" w:line="295" w:lineRule="exact"/>
        <w:rPr>
          <w:sz w:val="20"/>
          <w:szCs w:val="20"/>
          <w:color w:val="auto"/>
        </w:rPr>
      </w:pPr>
    </w:p>
    <w:tbl>
      <w:tblPr>
        <w:tblLayout w:type="fixed"/>
        <w:tblInd w:w="2320" w:type="dxa"/>
        <w:tblCellMar>
          <w:top w:w="0" w:type="dxa"/>
          <w:left w:w="0" w:type="dxa"/>
          <w:bottom w:w="0" w:type="dxa"/>
          <w:right w:w="0" w:type="dxa"/>
        </w:tblCellMar>
      </w:tblPr>
      <w:tr>
        <w:trPr>
          <w:trHeight w:val="270"/>
        </w:trPr>
        <w:tc>
          <w:tcPr>
            <w:tcW w:w="528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December 31, 2017</w:t>
            </w: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6,517</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Cash contributions</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44,266</w:t>
            </w: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(928)</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(50,149)</w:t>
            </w:r>
          </w:p>
        </w:tc>
      </w:tr>
      <w:tr>
        <w:trPr>
          <w:trHeight w:val="27"/>
        </w:trPr>
        <w:tc>
          <w:tcPr>
            <w:tcW w:w="5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3"/>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2018</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Cash contributions</w:t>
            </w:r>
          </w:p>
        </w:tc>
        <w:tc>
          <w:tcPr>
            <w:tcW w:w="40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1,724</w:t>
            </w:r>
          </w:p>
        </w:tc>
      </w:tr>
      <w:tr>
        <w:trPr>
          <w:trHeight w:val="27"/>
        </w:trPr>
        <w:tc>
          <w:tcPr>
            <w:tcW w:w="5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528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Cash distributions</w:t>
            </w:r>
          </w:p>
        </w:tc>
        <w:tc>
          <w:tcPr>
            <w:tcW w:w="4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(1,591)</w:t>
            </w:r>
          </w:p>
        </w:tc>
      </w:tr>
      <w:tr>
        <w:trPr>
          <w:trHeight w:val="243"/>
        </w:trPr>
        <w:tc>
          <w:tcPr>
            <w:tcW w:w="5280" w:type="dxa"/>
            <w:vAlign w:val="bottom"/>
          </w:tcPr>
          <w:p>
            <w:pPr>
              <w:ind w:left="240"/>
              <w:spacing w:after="0"/>
              <w:rPr>
                <w:sz w:val="20"/>
                <w:szCs w:val="20"/>
                <w:color w:val="auto"/>
              </w:rPr>
            </w:pPr>
            <w:r>
              <w:rPr>
                <w:rFonts w:ascii="Arial" w:cs="Arial" w:eastAsia="Arial" w:hAnsi="Arial"/>
                <w:sz w:val="18"/>
                <w:szCs w:val="18"/>
                <w:color w:val="auto"/>
              </w:rPr>
              <w:t>Net loss attributable to noncontrolling interest</w:t>
            </w:r>
          </w:p>
        </w:tc>
        <w:tc>
          <w:tcPr>
            <w:tcW w:w="4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(576)</w:t>
            </w:r>
          </w:p>
        </w:tc>
      </w:tr>
      <w:tr>
        <w:trPr>
          <w:trHeight w:val="27"/>
        </w:trPr>
        <w:tc>
          <w:tcPr>
            <w:tcW w:w="52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w:t>
            </w:r>
          </w:p>
        </w:tc>
      </w:tr>
      <w:tr>
        <w:trPr>
          <w:trHeight w:val="20"/>
        </w:trPr>
        <w:tc>
          <w:tcPr>
            <w:tcW w:w="5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 Tax Equity Arrangements</w:t>
      </w:r>
    </w:p>
    <w:p>
      <w:pPr>
        <w:spacing w:after="0" w:line="13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Company has determined that the appropriate methodology for calculating its noncontrolling interest and redeemable noncontrolling interest is a balance sheet approach using the hypothetical liquidation at book value, or HLBV, method. Under the HLBV method, the amount reported as noncontrolling interests and redeemable noncontrolling interests represent the amount that each tax equity investor would hypothetically receive at each balance sheet date under the liquidation provisions of the contractual agreements assuming the net assets were liquidated at their recorded amounts determined in accordance with GAAP. The tax equity investors' interest in the results of operations are determined as the difference in the noncontrolling interest or redeemable noncontrolling interest at the start and end of each reporting period, after taking into account any capital transactions. The calculations utilized to apply the HLBV method include estimated calculations of taxable income or losses for the reporting period. These amounts are reconciled to the taxable income or loss included within the tax return once the tax return is filed.</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 Use of Estimates</w:t>
      </w:r>
    </w:p>
    <w:p>
      <w:pPr>
        <w:spacing w:after="0" w:line="13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the consolidated financial statements in conformity with U.S. GAAP requires management to make estimates and assumptions that affect the reported amounts of assets and liabilities and disclosures of contingent assets and liabilities at the date of the consolidated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25" w:right="339" w:bottom="1440" w:gutter="0" w:footer="0" w:header="0"/>
        </w:sectPr>
      </w:pPr>
    </w:p>
    <w:bookmarkStart w:id="34" w:name="page35"/>
    <w:bookmarkEnd w:id="34"/>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Tax Equity Arrangements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Chestnut Class B LLC is the Class B Member and the Managing Member of the Chestnut Fund tax equity arrangement and it conducts and directs all operating activities of the fund. The Investor Member is Firstar. Chestnut Fund is a VIE and Chestnut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Chestnut Fund as of December 31, 2019 and 2018 is as follows (in thousands):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14,596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13,490</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175,492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182,416</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Intangible asset for power purchase agreement, net</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1,367</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1,427</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Right-of-use assets, net</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22,817</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non-current assets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310</w:t>
            </w:r>
          </w:p>
        </w:tc>
      </w:tr>
      <w:tr>
        <w:trPr>
          <w:trHeight w:val="237"/>
        </w:trPr>
        <w:tc>
          <w:tcPr>
            <w:tcW w:w="5600" w:type="dxa"/>
            <w:vAlign w:val="bottom"/>
          </w:tcPr>
          <w:p>
            <w:pPr>
              <w:ind w:left="6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214,583</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197,643</w:t>
            </w:r>
          </w:p>
        </w:tc>
      </w:tr>
      <w:tr>
        <w:trPr>
          <w:trHeight w:val="27"/>
        </w:trPr>
        <w:tc>
          <w:tcPr>
            <w:tcW w:w="5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 affiliate</w:t>
            </w: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651</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3,473</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22,753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3,110</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7,290</w:t>
            </w:r>
          </w:p>
        </w:tc>
      </w:tr>
      <w:tr>
        <w:trPr>
          <w:trHeight w:val="237"/>
        </w:trPr>
        <w:tc>
          <w:tcPr>
            <w:tcW w:w="5600" w:type="dxa"/>
            <w:vAlign w:val="bottom"/>
          </w:tcPr>
          <w:p>
            <w:pPr>
              <w:ind w:left="62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26,514</w:t>
            </w:r>
          </w:p>
        </w:tc>
        <w:tc>
          <w:tcPr>
            <w:tcW w:w="2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10,763</w:t>
            </w:r>
          </w:p>
        </w:tc>
      </w:tr>
      <w:tr>
        <w:trPr>
          <w:trHeight w:val="27"/>
        </w:trPr>
        <w:tc>
          <w:tcPr>
            <w:tcW w:w="5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Redeemable 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(737)</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w:t>
            </w:r>
          </w:p>
        </w:tc>
      </w:tr>
      <w:tr>
        <w:trPr>
          <w:trHeight w:val="257"/>
        </w:trPr>
        <w:tc>
          <w:tcPr>
            <w:tcW w:w="5600" w:type="dxa"/>
            <w:vAlign w:val="bottom"/>
          </w:tcPr>
          <w:p>
            <w:pPr>
              <w:ind w:left="620"/>
              <w:spacing w:after="0"/>
              <w:rPr>
                <w:sz w:val="20"/>
                <w:szCs w:val="20"/>
                <w:color w:val="auto"/>
              </w:rPr>
            </w:pPr>
            <w:r>
              <w:rPr>
                <w:rFonts w:ascii="Arial" w:cs="Arial" w:eastAsia="Arial" w:hAnsi="Arial"/>
                <w:sz w:val="18"/>
                <w:szCs w:val="18"/>
                <w:color w:val="auto"/>
              </w:rPr>
              <w:t>Net assets less redeemable noncontrolling interests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188,806</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187,174</w:t>
            </w:r>
          </w:p>
        </w:tc>
      </w:tr>
      <w:tr>
        <w:trPr>
          <w:trHeight w:val="20"/>
        </w:trPr>
        <w:tc>
          <w:tcPr>
            <w:tcW w:w="5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CS4 Fund</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wholly owned subsidiary Renew Solar CS4 Class B LLC is the Class B Member and Managing Member of the CS4 Fund tax equity arrangement, and conducts and directs all operating activities of the fund. The Investor Member is PNC. CS4 Fund is a VIE and Renew Solar CS4 Class B LLC is the primary beneficiary due to its role as Managing Member and the ability to direct the activities that most significantly impact the economics of the tax equity arrangement.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summarized financial information for CS4 Fund as of December 31, 2019 and 2018 is as follows (in thousands):</w:t>
      </w:r>
    </w:p>
    <w:p>
      <w:pPr>
        <w:spacing w:after="0" w:line="289" w:lineRule="exact"/>
        <w:rPr>
          <w:sz w:val="20"/>
          <w:szCs w:val="20"/>
          <w:color w:val="auto"/>
        </w:rPr>
      </w:pPr>
    </w:p>
    <w:tbl>
      <w:tblPr>
        <w:tblLayout w:type="fixed"/>
        <w:tblInd w:w="1440" w:type="dxa"/>
        <w:tblCellMar>
          <w:top w:w="0" w:type="dxa"/>
          <w:left w:w="0" w:type="dxa"/>
          <w:bottom w:w="0" w:type="dxa"/>
          <w:right w:w="0" w:type="dxa"/>
        </w:tblCellMar>
      </w:tblPr>
      <w:tr>
        <w:trPr>
          <w:trHeight w:val="234"/>
        </w:trPr>
        <w:tc>
          <w:tcPr>
            <w:tcW w:w="3740" w:type="dxa"/>
            <w:vAlign w:val="bottom"/>
          </w:tcPr>
          <w:p>
            <w:pPr>
              <w:spacing w:after="0"/>
              <w:rPr>
                <w:sz w:val="20"/>
                <w:szCs w:val="20"/>
                <w:color w:val="auto"/>
              </w:rPr>
            </w:pPr>
          </w:p>
        </w:tc>
        <w:tc>
          <w:tcPr>
            <w:tcW w:w="18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222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6,573</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156,684</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Right-of-use assets, net</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11,950</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40" w:type="dxa"/>
            <w:vAlign w:val="bottom"/>
          </w:tcPr>
          <w:p>
            <w:pPr>
              <w:ind w:left="600"/>
              <w:spacing w:after="0"/>
              <w:rPr>
                <w:sz w:val="20"/>
                <w:szCs w:val="20"/>
                <w:color w:val="auto"/>
              </w:rPr>
            </w:pPr>
            <w:r>
              <w:rPr>
                <w:rFonts w:ascii="Arial" w:cs="Arial" w:eastAsia="Arial" w:hAnsi="Arial"/>
                <w:sz w:val="18"/>
                <w:szCs w:val="18"/>
                <w:color w:val="auto"/>
              </w:rPr>
              <w:t>Total assets</w:t>
            </w:r>
          </w:p>
        </w:tc>
        <w:tc>
          <w:tcPr>
            <w:tcW w:w="1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175,207</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43,274</w:t>
            </w:r>
          </w:p>
        </w:tc>
        <w:tc>
          <w:tcPr>
            <w:tcW w:w="0" w:type="dxa"/>
            <w:vAlign w:val="bottom"/>
          </w:tcPr>
          <w:p>
            <w:pPr>
              <w:spacing w:after="0"/>
              <w:rPr>
                <w:sz w:val="1"/>
                <w:szCs w:val="1"/>
                <w:color w:val="auto"/>
              </w:rPr>
            </w:pPr>
          </w:p>
        </w:tc>
      </w:tr>
      <w:tr>
        <w:trPr>
          <w:trHeight w:val="27"/>
        </w:trPr>
        <w:tc>
          <w:tcPr>
            <w:tcW w:w="3740" w:type="dxa"/>
            <w:vAlign w:val="bottom"/>
            <w:tcBorders>
              <w:bottom w:val="single" w:sz="8" w:color="CCEEFF"/>
            </w:tcBorders>
          </w:tcPr>
          <w:p>
            <w:pPr>
              <w:spacing w:after="0"/>
              <w:rPr>
                <w:sz w:val="2"/>
                <w:szCs w:val="2"/>
                <w:color w:val="auto"/>
              </w:rPr>
            </w:pPr>
          </w:p>
        </w:tc>
        <w:tc>
          <w:tcPr>
            <w:tcW w:w="1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Accounts payable – affiliate</w:t>
            </w:r>
          </w:p>
        </w:tc>
        <w:tc>
          <w:tcPr>
            <w:tcW w:w="18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67,739</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57,126</w:t>
            </w:r>
          </w:p>
        </w:tc>
        <w:tc>
          <w:tcPr>
            <w:tcW w:w="0" w:type="dxa"/>
            <w:vAlign w:val="bottom"/>
          </w:tcPr>
          <w:p>
            <w:pPr>
              <w:spacing w:after="0"/>
              <w:rPr>
                <w:sz w:val="1"/>
                <w:szCs w:val="1"/>
                <w:color w:val="auto"/>
              </w:rPr>
            </w:pPr>
          </w:p>
        </w:tc>
      </w:tr>
      <w:tr>
        <w:trPr>
          <w:trHeight w:val="243"/>
        </w:trPr>
        <w:tc>
          <w:tcPr>
            <w:tcW w:w="3740" w:type="dxa"/>
            <w:vAlign w:val="bottom"/>
          </w:tcPr>
          <w:p>
            <w:pPr>
              <w:ind w:left="20"/>
              <w:spacing w:after="0"/>
              <w:rPr>
                <w:sz w:val="20"/>
                <w:szCs w:val="20"/>
                <w:color w:val="auto"/>
              </w:rPr>
            </w:pPr>
            <w:r>
              <w:rPr>
                <w:rFonts w:ascii="Arial" w:cs="Arial" w:eastAsia="Arial" w:hAnsi="Arial"/>
                <w:sz w:val="18"/>
                <w:szCs w:val="18"/>
                <w:color w:val="auto"/>
              </w:rPr>
              <w:t>Long-term lease liabilities</w:t>
            </w:r>
          </w:p>
        </w:tc>
        <w:tc>
          <w:tcPr>
            <w:tcW w:w="1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11,950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current and non-current liabilities</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6,283</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7"/>
        </w:trPr>
        <w:tc>
          <w:tcPr>
            <w:tcW w:w="3740" w:type="dxa"/>
            <w:vAlign w:val="bottom"/>
          </w:tcPr>
          <w:p>
            <w:pPr>
              <w:ind w:left="600"/>
              <w:spacing w:after="0"/>
              <w:rPr>
                <w:sz w:val="20"/>
                <w:szCs w:val="20"/>
                <w:color w:val="auto"/>
              </w:rPr>
            </w:pPr>
            <w:r>
              <w:rPr>
                <w:rFonts w:ascii="Arial" w:cs="Arial" w:eastAsia="Arial" w:hAnsi="Arial"/>
                <w:sz w:val="18"/>
                <w:szCs w:val="18"/>
                <w:color w:val="auto"/>
              </w:rPr>
              <w:t>Total liabilities</w:t>
            </w:r>
          </w:p>
        </w:tc>
        <w:tc>
          <w:tcPr>
            <w:tcW w:w="188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85,972</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59,876</w:t>
            </w:r>
          </w:p>
        </w:tc>
        <w:tc>
          <w:tcPr>
            <w:tcW w:w="0" w:type="dxa"/>
            <w:vAlign w:val="bottom"/>
          </w:tcPr>
          <w:p>
            <w:pPr>
              <w:spacing w:after="0"/>
              <w:rPr>
                <w:sz w:val="1"/>
                <w:szCs w:val="1"/>
                <w:color w:val="auto"/>
              </w:rPr>
            </w:pPr>
          </w:p>
        </w:tc>
      </w:tr>
      <w:tr>
        <w:trPr>
          <w:trHeight w:val="27"/>
        </w:trPr>
        <w:tc>
          <w:tcPr>
            <w:tcW w:w="3740" w:type="dxa"/>
            <w:vAlign w:val="bottom"/>
          </w:tcPr>
          <w:p>
            <w:pPr>
              <w:spacing w:after="0"/>
              <w:rPr>
                <w:sz w:val="2"/>
                <w:szCs w:val="2"/>
                <w:color w:val="auto"/>
              </w:rPr>
            </w:pPr>
          </w:p>
        </w:tc>
        <w:tc>
          <w:tcPr>
            <w:tcW w:w="1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Noncontrolling interests</w:t>
            </w:r>
          </w:p>
        </w:tc>
        <w:tc>
          <w:tcPr>
            <w:tcW w:w="188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(1,652)</w:t>
            </w:r>
          </w:p>
        </w:tc>
        <w:tc>
          <w:tcPr>
            <w:tcW w:w="0" w:type="dxa"/>
            <w:vAlign w:val="bottom"/>
          </w:tcPr>
          <w:p>
            <w:pPr>
              <w:spacing w:after="0"/>
              <w:rPr>
                <w:sz w:val="1"/>
                <w:szCs w:val="1"/>
                <w:color w:val="auto"/>
              </w:rPr>
            </w:pPr>
          </w:p>
        </w:tc>
      </w:tr>
      <w:tr>
        <w:trPr>
          <w:trHeight w:val="257"/>
        </w:trPr>
        <w:tc>
          <w:tcPr>
            <w:tcW w:w="3740" w:type="dxa"/>
            <w:vAlign w:val="bottom"/>
          </w:tcPr>
          <w:p>
            <w:pPr>
              <w:ind w:left="600"/>
              <w:spacing w:after="0"/>
              <w:rPr>
                <w:sz w:val="20"/>
                <w:szCs w:val="20"/>
                <w:color w:val="auto"/>
              </w:rPr>
            </w:pPr>
            <w:r>
              <w:rPr>
                <w:rFonts w:ascii="Arial" w:cs="Arial" w:eastAsia="Arial" w:hAnsi="Arial"/>
                <w:sz w:val="18"/>
                <w:szCs w:val="18"/>
                <w:color w:val="auto"/>
                <w:w w:val="99"/>
              </w:rPr>
              <w:t>Net assets less noncontrolling interests</w:t>
            </w:r>
          </w:p>
        </w:tc>
        <w:tc>
          <w:tcPr>
            <w:tcW w:w="18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88,174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880" w:type="dxa"/>
            <w:vAlign w:val="bottom"/>
            <w:vMerge w:val="restart"/>
          </w:tcPr>
          <w:p>
            <w:pPr>
              <w:jc w:val="right"/>
              <w:ind w:right="1250"/>
              <w:spacing w:after="0"/>
              <w:rPr>
                <w:sz w:val="20"/>
                <w:szCs w:val="20"/>
                <w:color w:val="auto"/>
              </w:rPr>
            </w:pPr>
            <w:r>
              <w:rPr>
                <w:rFonts w:ascii="Arial" w:cs="Arial" w:eastAsia="Arial" w:hAnsi="Arial"/>
                <w:sz w:val="18"/>
                <w:szCs w:val="18"/>
                <w:color w:val="auto"/>
              </w:rPr>
              <w:t>16</w:t>
            </w: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6"/>
        </w:trPr>
        <w:tc>
          <w:tcPr>
            <w:tcW w:w="374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35" w:name="page36"/>
    <w:bookmarkEnd w:id="35"/>
    <w:p>
      <w:pPr>
        <w:ind w:left="7780"/>
        <w:spacing w:after="0"/>
        <w:rPr>
          <w:sz w:val="20"/>
          <w:szCs w:val="20"/>
          <w:color w:val="auto"/>
        </w:rPr>
      </w:pPr>
      <w:r>
        <w:rPr>
          <w:rFonts w:ascii="Arial" w:cs="Arial" w:eastAsia="Arial" w:hAnsi="Arial"/>
          <w:sz w:val="18"/>
          <w:szCs w:val="18"/>
          <w:color w:val="auto"/>
        </w:rPr>
        <w:t>Exhibit 99.1</w:t>
      </w:r>
    </w:p>
    <w:p>
      <w:pPr>
        <w:spacing w:after="0" w:line="235" w:lineRule="exact"/>
        <w:rPr>
          <w:sz w:val="20"/>
          <w:szCs w:val="20"/>
          <w:color w:val="auto"/>
        </w:rPr>
      </w:pPr>
    </w:p>
    <w:p>
      <w:pPr>
        <w:ind w:left="280" w:hanging="272"/>
        <w:spacing w:after="0"/>
        <w:tabs>
          <w:tab w:leader="none" w:pos="280" w:val="left"/>
        </w:tabs>
        <w:numPr>
          <w:ilvl w:val="0"/>
          <w:numId w:val="18"/>
        </w:numPr>
        <w:rPr>
          <w:rFonts w:ascii="Arial" w:cs="Arial" w:eastAsia="Arial" w:hAnsi="Arial"/>
          <w:sz w:val="20"/>
          <w:szCs w:val="20"/>
          <w:b w:val="1"/>
          <w:bCs w:val="1"/>
          <w:color w:val="auto"/>
        </w:rPr>
      </w:pPr>
      <w:r>
        <w:rPr>
          <w:rFonts w:ascii="Arial" w:cs="Arial" w:eastAsia="Arial" w:hAnsi="Arial"/>
          <w:sz w:val="18"/>
          <w:szCs w:val="18"/>
          <w:b w:val="1"/>
          <w:bCs w:val="1"/>
          <w:color w:val="auto"/>
        </w:rPr>
        <w:t>Property, Plant, and Equipment</w:t>
      </w:r>
    </w:p>
    <w:p>
      <w:pPr>
        <w:spacing w:after="0" w:line="1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major classes of property, plant, and equipment as of December 31, 2019 and 2018 were as follows (in thousands):</w:t>
      </w:r>
    </w:p>
    <w:p>
      <w:pPr>
        <w:spacing w:after="0" w:line="289" w:lineRule="exact"/>
        <w:rPr>
          <w:sz w:val="20"/>
          <w:szCs w:val="20"/>
          <w:color w:val="auto"/>
        </w:rPr>
      </w:pPr>
    </w:p>
    <w:tbl>
      <w:tblPr>
        <w:tblLayout w:type="fixed"/>
        <w:tblInd w:w="1360" w:type="dxa"/>
        <w:tblCellMar>
          <w:top w:w="0" w:type="dxa"/>
          <w:left w:w="0" w:type="dxa"/>
          <w:bottom w:w="0" w:type="dxa"/>
          <w:right w:w="0" w:type="dxa"/>
        </w:tblCellMar>
      </w:tblPr>
      <w:tr>
        <w:trPr>
          <w:trHeight w:val="234"/>
        </w:trPr>
        <w:tc>
          <w:tcPr>
            <w:tcW w:w="4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8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Arial" w:cs="Arial" w:eastAsia="Arial" w:hAnsi="Arial"/>
                <w:sz w:val="18"/>
                <w:szCs w:val="18"/>
                <w:b w:val="1"/>
                <w:bCs w:val="1"/>
                <w:color w:val="auto"/>
                <w:w w:val="88"/>
              </w:rPr>
              <w:t>Depreciable lives</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Plant equipment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300,747</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184,558</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10 - 30 years</w:t>
            </w: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Construction in progress</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45,488</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68,564</w:t>
            </w:r>
          </w:p>
        </w:tc>
        <w:tc>
          <w:tcPr>
            <w:tcW w:w="180" w:type="dxa"/>
            <w:vAlign w:val="bottom"/>
          </w:tcPr>
          <w:p>
            <w:pPr>
              <w:spacing w:after="0"/>
              <w:rPr>
                <w:sz w:val="21"/>
                <w:szCs w:val="21"/>
                <w:color w:val="auto"/>
              </w:rPr>
            </w:pPr>
          </w:p>
        </w:tc>
        <w:tc>
          <w:tcPr>
            <w:tcW w:w="150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43"/>
        </w:trPr>
        <w:tc>
          <w:tcPr>
            <w:tcW w:w="4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Total property, plant, and equipment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346,235</w:t>
            </w:r>
          </w:p>
        </w:tc>
        <w:tc>
          <w:tcPr>
            <w:tcW w:w="2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253,122</w:t>
            </w:r>
          </w:p>
        </w:tc>
        <w:tc>
          <w:tcPr>
            <w:tcW w:w="1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4160" w:type="dxa"/>
            <w:vAlign w:val="bottom"/>
          </w:tcPr>
          <w:p>
            <w:pPr>
              <w:ind w:left="20"/>
              <w:spacing w:after="0"/>
              <w:rPr>
                <w:sz w:val="20"/>
                <w:szCs w:val="20"/>
                <w:color w:val="auto"/>
              </w:rPr>
            </w:pPr>
            <w:r>
              <w:rPr>
                <w:rFonts w:ascii="Arial" w:cs="Arial" w:eastAsia="Arial" w:hAnsi="Arial"/>
                <w:sz w:val="18"/>
                <w:szCs w:val="18"/>
                <w:color w:val="auto"/>
              </w:rPr>
              <w:t>Less accumulated depreciation</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(14,059)</w:t>
            </w:r>
          </w:p>
        </w:tc>
        <w:tc>
          <w:tcPr>
            <w:tcW w:w="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(5,363)</w:t>
            </w:r>
          </w:p>
        </w:tc>
        <w:tc>
          <w:tcPr>
            <w:tcW w:w="180" w:type="dxa"/>
            <w:vAlign w:val="bottom"/>
          </w:tcPr>
          <w:p>
            <w:pPr>
              <w:spacing w:after="0"/>
              <w:rPr>
                <w:sz w:val="21"/>
                <w:szCs w:val="21"/>
                <w:color w:val="auto"/>
              </w:rPr>
            </w:pPr>
          </w:p>
        </w:tc>
        <w:tc>
          <w:tcPr>
            <w:tcW w:w="1500" w:type="dxa"/>
            <w:vAlign w:val="bottom"/>
          </w:tcPr>
          <w:p>
            <w:pPr>
              <w:spacing w:after="0"/>
              <w:rPr>
                <w:sz w:val="21"/>
                <w:szCs w:val="21"/>
                <w:color w:val="auto"/>
              </w:rPr>
            </w:pPr>
          </w:p>
        </w:tc>
      </w:tr>
      <w:tr>
        <w:trPr>
          <w:trHeight w:val="27"/>
        </w:trPr>
        <w:tc>
          <w:tcPr>
            <w:tcW w:w="4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500" w:type="dxa"/>
            <w:vAlign w:val="bottom"/>
            <w:tcBorders>
              <w:bottom w:val="single" w:sz="8" w:color="CCEEFF"/>
            </w:tcBorders>
          </w:tcPr>
          <w:p>
            <w:pPr>
              <w:spacing w:after="0"/>
              <w:rPr>
                <w:sz w:val="2"/>
                <w:szCs w:val="2"/>
                <w:color w:val="auto"/>
              </w:rPr>
            </w:pPr>
          </w:p>
        </w:tc>
      </w:tr>
      <w:tr>
        <w:trPr>
          <w:trHeight w:val="257"/>
        </w:trPr>
        <w:tc>
          <w:tcPr>
            <w:tcW w:w="416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Net property, plant, and equipment</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332,176</w:t>
            </w:r>
          </w:p>
        </w:tc>
        <w:tc>
          <w:tcPr>
            <w:tcW w:w="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247,759</w:t>
            </w:r>
          </w:p>
        </w:tc>
        <w:tc>
          <w:tcPr>
            <w:tcW w:w="18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r>
      <w:tr>
        <w:trPr>
          <w:trHeight w:val="20"/>
        </w:trPr>
        <w:tc>
          <w:tcPr>
            <w:tcW w:w="4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Chestnut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Chestnut Fund purchased its solar installations through the acquisition of membership interests in its subsidiaries from Clearway Renew. During 2017 through 2019, the purchase price of the acquired property, plant, and equipment was $259.4 million. As of December 31, 2018, $5.8 million of the purchase price was payable to Clearway Renew and was recorded on the Company's consolidated balance sheets in accounts payable – affiliate.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acquisitions were a transfer of assets under common control. Accordingly, the assets are recorded at Clearway Renew's historical cost. The purchase price less the historical cost is recorded as a developer fee and a corresponding reduction to equity. In addition, AROs totalling $1.5 million have been recorded by Chestnut Fund upon acquisitions and are included in property, plant, and equipment. In 2018, $997 thousand was recorded as a reduction to property, plant, and equipment for a NYSERDA government incentive award related to the Minisink Solar 1 LLC and Minisink Solar 2 LLC facilities reaching commercial operation. For additional information on the award, see note 2(k), </w:t>
      </w:r>
      <w:r>
        <w:rPr>
          <w:rFonts w:ascii="Arial" w:cs="Arial" w:eastAsia="Arial" w:hAnsi="Arial"/>
          <w:sz w:val="18"/>
          <w:szCs w:val="18"/>
          <w:i w:val="1"/>
          <w:iCs w:val="1"/>
          <w:color w:val="auto"/>
        </w:rPr>
        <w:t>Revenue</w:t>
      </w:r>
      <w:r>
        <w:rPr>
          <w:rFonts w:ascii="Arial" w:cs="Arial" w:eastAsia="Arial" w:hAnsi="Arial"/>
          <w:sz w:val="18"/>
          <w:szCs w:val="18"/>
          <w:color w:val="auto"/>
        </w:rPr>
        <w:t xml:space="preserve"> </w:t>
      </w:r>
      <w:r>
        <w:rPr>
          <w:rFonts w:ascii="Arial" w:cs="Arial" w:eastAsia="Arial" w:hAnsi="Arial"/>
          <w:sz w:val="18"/>
          <w:szCs w:val="18"/>
          <w:i w:val="1"/>
          <w:iCs w:val="1"/>
          <w:color w:val="auto"/>
        </w:rPr>
        <w:t>Recognition</w:t>
      </w:r>
      <w:r>
        <w:rPr>
          <w:rFonts w:ascii="Arial" w:cs="Arial" w:eastAsia="Arial" w:hAnsi="Arial"/>
          <w:sz w:val="18"/>
          <w:szCs w:val="18"/>
          <w:color w:val="auto"/>
        </w:rPr>
        <w:t>.</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25" w:right="339" w:bottom="1440" w:gutter="0" w:footer="0" w:header="0"/>
        </w:sectPr>
      </w:pPr>
    </w:p>
    <w:bookmarkStart w:id="36" w:name="page37"/>
    <w:bookmarkEnd w:id="36"/>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Chestnut Fund completed the following acquisitions of membership interests in its subsidiaries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88"/>
              </w:rPr>
              <w:t>Purchase</w:t>
            </w:r>
          </w:p>
        </w:tc>
        <w:tc>
          <w:tcPr>
            <w:tcW w:w="120" w:type="dxa"/>
            <w:vAlign w:val="bottom"/>
          </w:tcPr>
          <w:p>
            <w:pPr>
              <w:spacing w:after="0"/>
              <w:rPr>
                <w:sz w:val="17"/>
                <w:szCs w:val="17"/>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Historical</w:t>
            </w:r>
          </w:p>
        </w:tc>
        <w:tc>
          <w:tcPr>
            <w:tcW w:w="92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2320" w:type="dxa"/>
            <w:vAlign w:val="bottom"/>
            <w:gridSpan w:val="2"/>
          </w:tcPr>
          <w:p>
            <w:pPr>
              <w:ind w:left="52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4"/>
              </w:rPr>
              <w:t>price</w:t>
            </w:r>
          </w:p>
        </w:tc>
        <w:tc>
          <w:tcPr>
            <w:tcW w:w="120" w:type="dxa"/>
            <w:vAlign w:val="bottom"/>
          </w:tcPr>
          <w:p>
            <w:pPr>
              <w:spacing w:after="0"/>
              <w:rPr>
                <w:sz w:val="18"/>
                <w:szCs w:val="18"/>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78"/>
              </w:rPr>
              <w:t>cost</w:t>
            </w:r>
          </w:p>
        </w:tc>
        <w:tc>
          <w:tcPr>
            <w:tcW w:w="24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00" w:type="dxa"/>
            <w:vAlign w:val="bottom"/>
          </w:tcPr>
          <w:p>
            <w:pPr>
              <w:spacing w:after="0"/>
              <w:rPr>
                <w:sz w:val="18"/>
                <w:szCs w:val="18"/>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Acquisition date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9"/>
              </w:rPr>
              <w:t>Placed in service date</w:t>
            </w:r>
          </w:p>
        </w:tc>
      </w:tr>
      <w:tr>
        <w:trPr>
          <w:trHeight w:val="33"/>
        </w:trPr>
        <w:tc>
          <w:tcPr>
            <w:tcW w:w="2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Black Cat Road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5,183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3,666</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1,517</w:t>
            </w:r>
          </w:p>
        </w:tc>
        <w:tc>
          <w:tcPr>
            <w:tcW w:w="1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August 30,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Brook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25,593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18,192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7,401</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6,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Mule,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1,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18,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Big Lake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18,583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14,559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4,024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West Shaft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3,189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1,361</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10, 2017</w:t>
            </w:r>
          </w:p>
        </w:tc>
      </w:tr>
      <w:tr>
        <w:trPr>
          <w:trHeight w:val="270"/>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 xml:space="preserve">DG Foxborough Elm LLC </w:t>
            </w:r>
            <w:r>
              <w:rPr>
                <w:rFonts w:ascii="Arial" w:cs="Arial" w:eastAsia="Arial" w:hAnsi="Arial"/>
                <w:sz w:val="21"/>
                <w:szCs w:val="21"/>
                <w:color w:val="auto"/>
                <w:vertAlign w:val="superscript"/>
              </w:rPr>
              <w:t>(a)</w:t>
            </w:r>
          </w:p>
        </w:tc>
        <w:tc>
          <w:tcPr>
            <w:tcW w:w="12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10,183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7,838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2,345</w:t>
            </w:r>
          </w:p>
        </w:tc>
        <w:tc>
          <w:tcPr>
            <w:tcW w:w="100" w:type="dxa"/>
            <w:vAlign w:val="bottom"/>
          </w:tcPr>
          <w:p>
            <w:pPr>
              <w:spacing w:after="0"/>
              <w:rPr>
                <w:sz w:val="23"/>
                <w:szCs w:val="23"/>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12, 2017</w:t>
            </w: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Redbrook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21,090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5,675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November 9,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Northfield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17,639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12,742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4,897</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Waterford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9,218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1,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Center St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13,529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10,042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3,487</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21,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TOS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TOS Solar 2,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4,210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3,014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1,196</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30,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10,367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7,608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2,759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Stafford St Solar 3,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5,448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4,002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1,446</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December 31, 2017</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ETCAP NES CS MN 02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3,147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ETCAP NES CS MN 06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7,680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3,004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May 1,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Stafford St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2,765</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9,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Bullock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20,687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15,205</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5,482</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0"/>
              </w:rPr>
              <w:t>August 14,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July 25,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Mapleton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14,235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10,056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4,179</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March 29,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Osakis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13,663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5,330</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March 29,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Solar Wauwinet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1,254</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October 27, 2017</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17,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Minisink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7,746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5,174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2,572</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October 26, 2018</w:t>
            </w: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Minisink Solar 2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5,786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2,887</w:t>
            </w:r>
          </w:p>
        </w:tc>
        <w:tc>
          <w:tcPr>
            <w:tcW w:w="1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88"/>
              </w:rPr>
              <w:t>January 25,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2"/>
              </w:rPr>
              <w:t>October 31, 2018</w:t>
            </w: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DG Marathon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7,474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4,540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2,934</w:t>
            </w:r>
          </w:p>
        </w:tc>
        <w:tc>
          <w:tcPr>
            <w:tcW w:w="100" w:type="dxa"/>
            <w:vAlign w:val="bottom"/>
          </w:tcPr>
          <w:p>
            <w:pPr>
              <w:spacing w:after="0"/>
              <w:rPr>
                <w:sz w:val="20"/>
                <w:szCs w:val="20"/>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color w:val="auto"/>
                <w:w w:val="89"/>
              </w:rPr>
              <w:t>September 27, 2017</w:t>
            </w:r>
          </w:p>
        </w:tc>
        <w:tc>
          <w:tcPr>
            <w:tcW w:w="1580" w:type="dxa"/>
            <w:vAlign w:val="bottom"/>
          </w:tcPr>
          <w:p>
            <w:pPr>
              <w:jc w:val="center"/>
              <w:spacing w:after="0"/>
              <w:rPr>
                <w:sz w:val="20"/>
                <w:szCs w:val="20"/>
                <w:color w:val="auto"/>
              </w:rPr>
            </w:pPr>
            <w:r>
              <w:rPr>
                <w:rFonts w:ascii="Arial" w:cs="Arial" w:eastAsia="Arial" w:hAnsi="Arial"/>
                <w:sz w:val="16"/>
                <w:szCs w:val="16"/>
                <w:color w:val="auto"/>
                <w:w w:val="88"/>
              </w:rPr>
              <w:t>January 4, 2019</w:t>
            </w:r>
          </w:p>
        </w:tc>
      </w:tr>
      <w:tr>
        <w:trPr>
          <w:trHeight w:val="33"/>
        </w:trPr>
        <w:tc>
          <w:tcPr>
            <w:tcW w:w="2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3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259,364</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187,474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71,890</w:t>
            </w: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7"/>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less: 2017 acquisitions</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194,744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133,081</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61,663</w:t>
            </w: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2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2018 acquisitions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64,361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55,683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8,678</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44"/>
        </w:trPr>
        <w:tc>
          <w:tcPr>
            <w:tcW w:w="2320" w:type="dxa"/>
            <w:vAlign w:val="bottom"/>
            <w:gridSpan w:val="2"/>
          </w:tcPr>
          <w:p>
            <w:pPr>
              <w:ind w:left="40"/>
              <w:spacing w:after="0"/>
              <w:rPr>
                <w:sz w:val="20"/>
                <w:szCs w:val="20"/>
                <w:color w:val="auto"/>
              </w:rPr>
            </w:pPr>
            <w:r>
              <w:rPr>
                <w:rFonts w:ascii="Arial" w:cs="Arial" w:eastAsia="Arial" w:hAnsi="Arial"/>
                <w:sz w:val="16"/>
                <w:szCs w:val="16"/>
                <w:color w:val="auto"/>
              </w:rPr>
              <w:t>2019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(1,290)</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1,549</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2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13982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96">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48" w:lineRule="exact"/>
        <w:rPr>
          <w:sz w:val="20"/>
          <w:szCs w:val="20"/>
          <w:color w:val="auto"/>
        </w:rPr>
      </w:pPr>
    </w:p>
    <w:p>
      <w:pPr>
        <w:ind w:left="220" w:hanging="212"/>
        <w:spacing w:after="0"/>
        <w:tabs>
          <w:tab w:leader="none" w:pos="220" w:val="left"/>
        </w:tabs>
        <w:numPr>
          <w:ilvl w:val="0"/>
          <w:numId w:val="19"/>
        </w:numPr>
        <w:rPr>
          <w:rFonts w:ascii="Arial" w:cs="Arial" w:eastAsia="Arial" w:hAnsi="Arial"/>
          <w:sz w:val="15"/>
          <w:szCs w:val="15"/>
          <w:color w:val="auto"/>
        </w:rPr>
      </w:pPr>
      <w:r>
        <w:rPr>
          <w:rFonts w:ascii="Arial" w:cs="Arial" w:eastAsia="Arial" w:hAnsi="Arial"/>
          <w:sz w:val="15"/>
          <w:szCs w:val="15"/>
          <w:color w:val="auto"/>
        </w:rPr>
        <w:t xml:space="preserve">Included in the historical cost of Foxborough is $1.5 million for an intangible asset, as described further in note 2(f),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w:t>
      </w:r>
    </w:p>
    <w:p>
      <w:pPr>
        <w:spacing w:after="0" w:line="187" w:lineRule="exact"/>
        <w:rPr>
          <w:rFonts w:ascii="Arial" w:cs="Arial" w:eastAsia="Arial" w:hAnsi="Arial"/>
          <w:sz w:val="15"/>
          <w:szCs w:val="15"/>
          <w:color w:val="auto"/>
        </w:rPr>
      </w:pPr>
    </w:p>
    <w:p>
      <w:pPr>
        <w:ind w:left="260" w:hanging="252"/>
        <w:spacing w:after="0"/>
        <w:tabs>
          <w:tab w:leader="none" w:pos="260" w:val="left"/>
        </w:tabs>
        <w:numPr>
          <w:ilvl w:val="0"/>
          <w:numId w:val="1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CS4 Fund</w:t>
      </w:r>
    </w:p>
    <w:p>
      <w:pPr>
        <w:spacing w:after="0" w:line="131"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 xml:space="preserve">CS4 Fund purchased its solar installations through the acquisition of membership interests in its subsidiaries from CS4 Seller, a wholly owned subsidiary of the Company. CS4 Seller funded the construction of the projects through borrowings under the financing arrangement for CS4 Borrower, as further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The purchase price of the acquired property, plant, and equipment was $165.0 million and $71.2 million in 2019 and 2018. As described in note 2, </w:t>
      </w:r>
      <w:r>
        <w:rPr>
          <w:rFonts w:ascii="Arial" w:cs="Arial" w:eastAsia="Arial" w:hAnsi="Arial"/>
          <w:sz w:val="18"/>
          <w:szCs w:val="18"/>
          <w:i w:val="1"/>
          <w:iCs w:val="1"/>
          <w:color w:val="auto"/>
        </w:rPr>
        <w:t>Summary of Significant Accounting Policies</w:t>
      </w:r>
      <w:r>
        <w:rPr>
          <w:rFonts w:ascii="Arial" w:cs="Arial" w:eastAsia="Arial" w:hAnsi="Arial"/>
          <w:sz w:val="18"/>
          <w:szCs w:val="18"/>
          <w:color w:val="auto"/>
        </w:rPr>
        <w:t xml:space="preserve">, the acquisitions were transfers of assets under common control. Accordingly, the assets are recorded at CS4 Seller's historical cost. The purchase price less the historical cost was recorded as a developer fee and a corresponding reduction to equity. In addition, the Company recorded an ARO of $2.1 million and $274 thousand in 2019 and 2018, respectively, which is included in property, plant, and equipment. In 2019, $2.8 million was recorded as a reduction to property, plant, and equipment for a NYSERDA government incentive award related to the five New York solar facilities reaching commercial operation. For additional information on the award, see note 2(k),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25" w:right="339" w:bottom="1440" w:gutter="0" w:footer="0" w:header="0"/>
        </w:sectPr>
      </w:pPr>
    </w:p>
    <w:bookmarkStart w:id="37" w:name="page38"/>
    <w:bookmarkEnd w:id="37"/>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CS4 Fund completed the following acquisitions of membership interests in its subsidiaries, with the purchase price allocated primarily to property, plant, and equipment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6"/>
              </w:rPr>
              <w:t>Purchase</w:t>
            </w:r>
          </w:p>
        </w:tc>
        <w:tc>
          <w:tcPr>
            <w:tcW w:w="120" w:type="dxa"/>
            <w:vAlign w:val="bottom"/>
          </w:tcPr>
          <w:p>
            <w:pPr>
              <w:spacing w:after="0"/>
              <w:rPr>
                <w:sz w:val="17"/>
                <w:szCs w:val="17"/>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3"/>
              </w:rPr>
              <w:t>Historical</w:t>
            </w:r>
          </w:p>
        </w:tc>
        <w:tc>
          <w:tcPr>
            <w:tcW w:w="9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Developer</w:t>
            </w:r>
          </w:p>
        </w:tc>
        <w:tc>
          <w:tcPr>
            <w:tcW w:w="1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10"/>
        </w:trPr>
        <w:tc>
          <w:tcPr>
            <w:tcW w:w="2340" w:type="dxa"/>
            <w:vAlign w:val="bottom"/>
            <w:gridSpan w:val="2"/>
          </w:tcPr>
          <w:p>
            <w:pPr>
              <w:ind w:left="540"/>
              <w:spacing w:after="0"/>
              <w:rPr>
                <w:sz w:val="20"/>
                <w:szCs w:val="20"/>
                <w:color w:val="auto"/>
              </w:rPr>
            </w:pPr>
            <w:r>
              <w:rPr>
                <w:rFonts w:ascii="Arial" w:cs="Arial" w:eastAsia="Arial" w:hAnsi="Arial"/>
                <w:sz w:val="16"/>
                <w:szCs w:val="16"/>
                <w:b w:val="1"/>
                <w:bCs w:val="1"/>
                <w:color w:val="auto"/>
              </w:rPr>
              <w:t>Project company</w:t>
            </w:r>
          </w:p>
        </w:tc>
        <w:tc>
          <w:tcPr>
            <w:tcW w:w="120" w:type="dxa"/>
            <w:vAlign w:val="bottom"/>
          </w:tcPr>
          <w:p>
            <w:pPr>
              <w:spacing w:after="0"/>
              <w:rPr>
                <w:sz w:val="18"/>
                <w:szCs w:val="18"/>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price</w:t>
            </w:r>
          </w:p>
        </w:tc>
        <w:tc>
          <w:tcPr>
            <w:tcW w:w="120" w:type="dxa"/>
            <w:vAlign w:val="bottom"/>
          </w:tcPr>
          <w:p>
            <w:pPr>
              <w:spacing w:after="0"/>
              <w:rPr>
                <w:sz w:val="18"/>
                <w:szCs w:val="18"/>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78"/>
              </w:rPr>
              <w:t>cost</w:t>
            </w:r>
          </w:p>
        </w:tc>
        <w:tc>
          <w:tcPr>
            <w:tcW w:w="220" w:type="dxa"/>
            <w:vAlign w:val="bottom"/>
          </w:tcPr>
          <w:p>
            <w:pPr>
              <w:spacing w:after="0"/>
              <w:rPr>
                <w:sz w:val="18"/>
                <w:szCs w:val="18"/>
                <w:color w:val="auto"/>
              </w:rPr>
            </w:pPr>
          </w:p>
        </w:tc>
        <w:tc>
          <w:tcPr>
            <w:tcW w:w="680" w:type="dxa"/>
            <w:vAlign w:val="bottom"/>
          </w:tcPr>
          <w:p>
            <w:pPr>
              <w:jc w:val="right"/>
              <w:ind w:right="279"/>
              <w:spacing w:after="0"/>
              <w:rPr>
                <w:sz w:val="20"/>
                <w:szCs w:val="20"/>
                <w:color w:val="auto"/>
              </w:rPr>
            </w:pPr>
            <w:r>
              <w:rPr>
                <w:rFonts w:ascii="Arial" w:cs="Arial" w:eastAsia="Arial" w:hAnsi="Arial"/>
                <w:sz w:val="16"/>
                <w:szCs w:val="16"/>
                <w:b w:val="1"/>
                <w:bCs w:val="1"/>
                <w:color w:val="auto"/>
              </w:rPr>
              <w:t>fee</w:t>
            </w:r>
          </w:p>
        </w:tc>
        <w:tc>
          <w:tcPr>
            <w:tcW w:w="100" w:type="dxa"/>
            <w:vAlign w:val="bottom"/>
          </w:tcPr>
          <w:p>
            <w:pPr>
              <w:spacing w:after="0"/>
              <w:rPr>
                <w:sz w:val="18"/>
                <w:szCs w:val="18"/>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Acquisition date</w:t>
            </w:r>
          </w:p>
        </w:tc>
        <w:tc>
          <w:tcPr>
            <w:tcW w:w="1580" w:type="dxa"/>
            <w:vAlign w:val="bottom"/>
          </w:tcPr>
          <w:p>
            <w:pPr>
              <w:jc w:val="center"/>
              <w:spacing w:after="0"/>
              <w:rPr>
                <w:sz w:val="20"/>
                <w:szCs w:val="20"/>
                <w:color w:val="auto"/>
              </w:rPr>
            </w:pPr>
            <w:r>
              <w:rPr>
                <w:rFonts w:ascii="Arial" w:cs="Arial" w:eastAsia="Arial" w:hAnsi="Arial"/>
                <w:sz w:val="16"/>
                <w:szCs w:val="16"/>
                <w:b w:val="1"/>
                <w:bCs w:val="1"/>
                <w:color w:val="auto"/>
                <w:w w:val="88"/>
              </w:rPr>
              <w:t>Placed in service date</w:t>
            </w:r>
          </w:p>
        </w:tc>
      </w:tr>
      <w:tr>
        <w:trPr>
          <w:trHeight w:val="33"/>
        </w:trPr>
        <w:tc>
          <w:tcPr>
            <w:tcW w:w="2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Montevideo Solar LLC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18,019</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12,059</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5,960</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November 29,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January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Underhill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4,205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2,566</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March 18,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Bluestone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6,845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2,270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March 27,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Chisago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10,993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6,649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4,344</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3"/>
              </w:rPr>
              <w:t>May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Frontenac Holdco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19,121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12,006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3"/>
              </w:rPr>
              <w:t>May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CMR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8,484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4,944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3,540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December 20, 2018</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May 10,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Sartell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20,757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13,733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7,024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1"/>
              </w:rPr>
              <w:t>February 19,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8"/>
              </w:rPr>
              <w:t>June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Grabinski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6,457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4,053</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2,404</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July 25,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Clara City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1,556</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New Munich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5,326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3,671</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1,655</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Olinda Trail Solar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5,420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3,360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Rollingstone Holdco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20,282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10,609</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9,673</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Stearns Solar 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3,675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1,710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Wabasha Solar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4,966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1,902</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Wabasha Solar II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2,566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2,432</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Wabasha Solar III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4,735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2,516</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Winona Solar I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4,632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2,985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1,647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Winona Solar II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4,928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2,954</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1,974</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89"/>
              </w:rPr>
              <w:t>September 1,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Mount Hope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8,253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5,589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2,664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October 9, 2019</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Rounseville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13,417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8,137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5,280</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2"/>
              </w:rPr>
              <w:t>July 31,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2"/>
              </w:rPr>
              <w:t>November 14, 2019</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Wilmarth Lane Solar 1 LLC</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26,775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17,088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9,687</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92"/>
              </w:rPr>
              <w:t>May 31,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N/A (a)</w:t>
            </w:r>
          </w:p>
        </w:tc>
      </w:tr>
      <w:tr>
        <w:trPr>
          <w:trHeight w:val="23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Partridgeville Road Solar 1 LLC</w:t>
            </w: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19,712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6,482</w:t>
            </w:r>
          </w:p>
        </w:tc>
        <w:tc>
          <w:tcPr>
            <w:tcW w:w="100" w:type="dxa"/>
            <w:vAlign w:val="bottom"/>
          </w:tcPr>
          <w:p>
            <w:pPr>
              <w:spacing w:after="0"/>
              <w:rPr>
                <w:sz w:val="20"/>
                <w:szCs w:val="20"/>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6"/>
                <w:szCs w:val="16"/>
                <w:color w:val="auto"/>
                <w:w w:val="91"/>
              </w:rPr>
              <w:t>November 30, 2019</w:t>
            </w:r>
          </w:p>
        </w:tc>
        <w:tc>
          <w:tcPr>
            <w:tcW w:w="1580" w:type="dxa"/>
            <w:vAlign w:val="bottom"/>
          </w:tcPr>
          <w:p>
            <w:pPr>
              <w:jc w:val="center"/>
              <w:spacing w:after="0"/>
              <w:rPr>
                <w:sz w:val="20"/>
                <w:szCs w:val="20"/>
                <w:color w:val="auto"/>
              </w:rPr>
            </w:pPr>
            <w:r>
              <w:rPr>
                <w:rFonts w:ascii="Arial" w:cs="Arial" w:eastAsia="Arial" w:hAnsi="Arial"/>
                <w:sz w:val="16"/>
                <w:szCs w:val="16"/>
                <w:color w:val="auto"/>
                <w:w w:val="98"/>
              </w:rPr>
              <w:t>N/A (a)</w:t>
            </w: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Eastman Street Solar 1 LLC</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5,681</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1,977</w:t>
            </w:r>
          </w:p>
        </w:tc>
        <w:tc>
          <w:tcPr>
            <w:tcW w:w="10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6"/>
                <w:szCs w:val="16"/>
                <w:color w:val="auto"/>
                <w:w w:val="88"/>
              </w:rPr>
              <w:t>June 27, 2019</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8"/>
              </w:rPr>
              <w:t>N/A (a)</w:t>
            </w:r>
          </w:p>
        </w:tc>
      </w:tr>
      <w:tr>
        <w:trPr>
          <w:trHeight w:val="217"/>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Total acquisitions</w:t>
            </w: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236,183</w:t>
            </w: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148,042</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88,141</w:t>
            </w: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3"/>
        </w:trPr>
        <w:tc>
          <w:tcPr>
            <w:tcW w:w="2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less: 2018 acquisitions</w:t>
            </w: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71,160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40,365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30,795</w:t>
            </w:r>
          </w:p>
        </w:tc>
        <w:tc>
          <w:tcPr>
            <w:tcW w:w="10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spacing w:after="0"/>
              <w:rPr>
                <w:sz w:val="23"/>
                <w:szCs w:val="23"/>
                <w:color w:val="auto"/>
              </w:rPr>
            </w:pPr>
          </w:p>
        </w:tc>
      </w:tr>
      <w:tr>
        <w:trPr>
          <w:trHeight w:val="244"/>
        </w:trPr>
        <w:tc>
          <w:tcPr>
            <w:tcW w:w="2340" w:type="dxa"/>
            <w:vAlign w:val="bottom"/>
            <w:gridSpan w:val="2"/>
          </w:tcPr>
          <w:p>
            <w:pPr>
              <w:ind w:left="40"/>
              <w:spacing w:after="0"/>
              <w:rPr>
                <w:sz w:val="20"/>
                <w:szCs w:val="20"/>
                <w:color w:val="auto"/>
              </w:rPr>
            </w:pPr>
            <w:r>
              <w:rPr>
                <w:rFonts w:ascii="Arial" w:cs="Arial" w:eastAsia="Arial" w:hAnsi="Arial"/>
                <w:sz w:val="16"/>
                <w:szCs w:val="16"/>
                <w:color w:val="auto"/>
              </w:rPr>
              <w:t>2019 acquisitions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165,023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107,677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57,346</w:t>
            </w:r>
          </w:p>
        </w:tc>
        <w:tc>
          <w:tcPr>
            <w:tcW w:w="1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13982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7">
                      <a:extLst>
                        <a:ext uri="{28A0092B-C50C-407E-A947-70E740481C1C}"/>
                      </a:extLst>
                    </a:blip>
                    <a:srcRect/>
                    <a:stretch>
                      <a:fillRect/>
                    </a:stretch>
                  </pic:blipFill>
                  <pic:spPr bwMode="auto">
                    <a:xfrm>
                      <a:off x="0" y="0"/>
                      <a:ext cx="1139825" cy="8255"/>
                    </a:xfrm>
                    <a:prstGeom prst="rect">
                      <a:avLst/>
                    </a:prstGeom>
                    <a:noFill/>
                  </pic:spPr>
                </pic:pic>
              </a:graphicData>
            </a:graphic>
          </wp:anchor>
        </w:drawing>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color w:val="auto"/>
        </w:rPr>
        <w:t>(a) Projects have not yet been placed in service.</w:t>
      </w:r>
    </w:p>
    <w:p>
      <w:pPr>
        <w:spacing w:after="0" w:line="200" w:lineRule="exact"/>
        <w:rPr>
          <w:sz w:val="20"/>
          <w:szCs w:val="20"/>
          <w:color w:val="auto"/>
        </w:rPr>
      </w:pPr>
    </w:p>
    <w:p>
      <w:pPr>
        <w:spacing w:after="0" w:line="202" w:lineRule="exact"/>
        <w:rPr>
          <w:sz w:val="20"/>
          <w:szCs w:val="20"/>
          <w:color w:val="auto"/>
        </w:rPr>
      </w:pPr>
    </w:p>
    <w:p>
      <w:pPr>
        <w:ind w:left="280" w:hanging="272"/>
        <w:spacing w:after="0"/>
        <w:tabs>
          <w:tab w:leader="none" w:pos="280" w:val="left"/>
        </w:tabs>
        <w:numPr>
          <w:ilvl w:val="0"/>
          <w:numId w:val="20"/>
        </w:numPr>
        <w:rPr>
          <w:rFonts w:ascii="Arial" w:cs="Arial" w:eastAsia="Arial" w:hAnsi="Arial"/>
          <w:sz w:val="20"/>
          <w:szCs w:val="20"/>
          <w:b w:val="1"/>
          <w:bCs w:val="1"/>
          <w:color w:val="auto"/>
        </w:rPr>
      </w:pPr>
      <w:r>
        <w:rPr>
          <w:rFonts w:ascii="Arial" w:cs="Arial" w:eastAsia="Arial" w:hAnsi="Arial"/>
          <w:sz w:val="18"/>
          <w:szCs w:val="18"/>
          <w:b w:val="1"/>
          <w:bCs w:val="1"/>
          <w:color w:val="auto"/>
        </w:rPr>
        <w:t>Accounting for Derivative Instruments and Hedging Activities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Interest Rate Swaps</w:t>
      </w:r>
    </w:p>
    <w:p>
      <w:pPr>
        <w:spacing w:after="0" w:line="13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In accordance with the financing agreements described in note 6, </w:t>
      </w:r>
      <w:r>
        <w:rPr>
          <w:rFonts w:ascii="Arial" w:cs="Arial" w:eastAsia="Arial" w:hAnsi="Arial"/>
          <w:sz w:val="18"/>
          <w:szCs w:val="18"/>
          <w:i w:val="1"/>
          <w:iCs w:val="1"/>
          <w:color w:val="auto"/>
        </w:rPr>
        <w:t>Long-Term Debt</w:t>
      </w:r>
      <w:r>
        <w:rPr>
          <w:rFonts w:ascii="Arial" w:cs="Arial" w:eastAsia="Arial" w:hAnsi="Arial"/>
          <w:sz w:val="18"/>
          <w:szCs w:val="18"/>
          <w:color w:val="auto"/>
        </w:rPr>
        <w:t>, Chestnut Fund Borrower and CS4 Borrower each entered into a series of fixed for floating forward interest rate swaps for at least 80% and not more than 105% of the expected borrowings under the term loans, intended to hedge the risks associated with floating interest rates. Chestnut Fund and CS4 Borrower will pay their counterparties the equivalent of a fixed interest payment on a predetermined notional value, and quarterly each borrower will receive the equivalent of a floating interest payment based on a three-month LIBOR from the effective date through the maturity date.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25" w:right="339" w:bottom="1440" w:gutter="0" w:footer="0" w:header="0"/>
        </w:sectPr>
      </w:pPr>
    </w:p>
    <w:bookmarkStart w:id="38" w:name="page39"/>
    <w:bookmarkEnd w:id="38"/>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 Volumetric Underlying Derivative Transactions</w:t>
      </w:r>
    </w:p>
    <w:p>
      <w:pPr>
        <w:spacing w:after="0" w:line="131"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notional amount of the interest rate swaps decreases in proportion to the loans. The following table summarizes the outstanding notional amounts and terms of the interest rate swaps as of December 31, 2019 and 2018:</w:t>
      </w:r>
    </w:p>
    <w:p>
      <w:pPr>
        <w:spacing w:after="0" w:line="234" w:lineRule="exact"/>
        <w:rPr>
          <w:sz w:val="20"/>
          <w:szCs w:val="20"/>
          <w:color w:val="auto"/>
        </w:rPr>
      </w:pPr>
    </w:p>
    <w:tbl>
      <w:tblPr>
        <w:tblLayout w:type="fixed"/>
        <w:tblInd w:w="1960" w:type="dxa"/>
        <w:tblCellMar>
          <w:top w:w="0" w:type="dxa"/>
          <w:left w:w="0" w:type="dxa"/>
          <w:bottom w:w="0" w:type="dxa"/>
          <w:right w:w="0" w:type="dxa"/>
        </w:tblCellMar>
      </w:tblPr>
      <w:tr>
        <w:trPr>
          <w:trHeight w:val="234"/>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36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Notional amount</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0"/>
        </w:trPr>
        <w:tc>
          <w:tcPr>
            <w:tcW w:w="1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36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(in thousands)</w:t>
            </w:r>
          </w:p>
        </w:tc>
        <w:tc>
          <w:tcPr>
            <w:tcW w:w="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80" w:type="dxa"/>
            <w:vAlign w:val="bottom"/>
          </w:tcPr>
          <w:p>
            <w:pPr>
              <w:spacing w:after="0"/>
              <w:rPr>
                <w:sz w:val="2"/>
                <w:szCs w:val="2"/>
                <w:color w:val="auto"/>
              </w:rPr>
            </w:pPr>
          </w:p>
        </w:tc>
      </w:tr>
      <w:tr>
        <w:trPr>
          <w:trHeight w:val="237"/>
        </w:trPr>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Effective date</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Fixed Rate</w:t>
            </w:r>
          </w:p>
        </w:tc>
        <w:tc>
          <w:tcPr>
            <w:tcW w:w="1680" w:type="dxa"/>
            <w:vAlign w:val="bottom"/>
          </w:tcPr>
          <w:p>
            <w:pPr>
              <w:jc w:val="center"/>
              <w:spacing w:after="0"/>
              <w:rPr>
                <w:sz w:val="20"/>
                <w:szCs w:val="20"/>
                <w:color w:val="auto"/>
              </w:rPr>
            </w:pPr>
            <w:r>
              <w:rPr>
                <w:rFonts w:ascii="Arial" w:cs="Arial" w:eastAsia="Arial" w:hAnsi="Arial"/>
                <w:sz w:val="18"/>
                <w:szCs w:val="18"/>
                <w:b w:val="1"/>
                <w:bCs w:val="1"/>
                <w:color w:val="auto"/>
                <w:w w:val="98"/>
              </w:rPr>
              <w:t>Maturity Date</w:t>
            </w:r>
          </w:p>
        </w:tc>
      </w:tr>
      <w:tr>
        <w:trPr>
          <w:trHeight w:val="27"/>
        </w:trPr>
        <w:tc>
          <w:tcPr>
            <w:tcW w:w="1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3"/>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44,063</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46,869</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2.380%</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2040</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11,341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11,755</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2.502%</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30, 2041</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31,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28,695</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29,742</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2.495%</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2041</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89"/>
              </w:rPr>
              <w:t>January 30,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9,921</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7,709</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3.065%</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October 30, 2041</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30,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22,919</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2.903%</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October 30, 2041</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5,179</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5,252</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July 15, 2035</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7,878</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July 15, 2035</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5"/>
              </w:rPr>
              <w:t>April 15,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7,768</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7,878</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3.181%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July 15, 2035</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16,640</w:t>
            </w:r>
          </w:p>
        </w:tc>
        <w:tc>
          <w:tcPr>
            <w:tcW w:w="2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43"/>
        </w:trPr>
        <w:tc>
          <w:tcPr>
            <w:tcW w:w="1900" w:type="dxa"/>
            <w:vAlign w:val="bottom"/>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24,960</w:t>
            </w:r>
          </w:p>
        </w:tc>
        <w:tc>
          <w:tcPr>
            <w:tcW w:w="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Pr>
          <w:p>
            <w:pPr>
              <w:spacing w:after="0"/>
              <w:rPr>
                <w:sz w:val="21"/>
                <w:szCs w:val="21"/>
                <w:color w:val="auto"/>
              </w:rPr>
            </w:pP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70"/>
        </w:trPr>
        <w:tc>
          <w:tcPr>
            <w:tcW w:w="1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August 28, 2019</w:t>
            </w:r>
          </w:p>
        </w:tc>
        <w:tc>
          <w:tcPr>
            <w:tcW w:w="2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24,960</w:t>
            </w:r>
          </w:p>
        </w:tc>
        <w:tc>
          <w:tcPr>
            <w:tcW w:w="2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center"/>
              <w:ind w:left="90"/>
              <w:spacing w:after="0"/>
              <w:rPr>
                <w:sz w:val="20"/>
                <w:szCs w:val="20"/>
                <w:color w:val="auto"/>
              </w:rPr>
            </w:pPr>
            <w:r>
              <w:rPr>
                <w:rFonts w:ascii="Arial" w:cs="Arial" w:eastAsia="Arial" w:hAnsi="Arial"/>
                <w:sz w:val="18"/>
                <w:szCs w:val="18"/>
                <w:color w:val="auto"/>
                <w:w w:val="91"/>
              </w:rPr>
              <w:t>1.601%</w:t>
            </w: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January 15, 2043</w:t>
            </w:r>
          </w:p>
        </w:tc>
      </w:tr>
      <w:tr>
        <w:trPr>
          <w:trHeight w:val="237"/>
        </w:trPr>
        <w:tc>
          <w:tcPr>
            <w:tcW w:w="1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204,214</w:t>
            </w:r>
          </w:p>
        </w:tc>
        <w:tc>
          <w:tcPr>
            <w:tcW w:w="2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117,083</w:t>
            </w: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7"/>
        </w:trPr>
        <w:tc>
          <w:tcPr>
            <w:tcW w:w="1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0"/>
        </w:trPr>
        <w:tc>
          <w:tcPr>
            <w:tcW w:w="1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 Fair Value of Derivative Transactions</w:t>
      </w:r>
    </w:p>
    <w:p>
      <w:pPr>
        <w:spacing w:after="0" w:line="13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Company’s derivative assets and liabilities on the consolidated balance sheets as of December 31, 2019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(in thousands):</w:t>
      </w:r>
    </w:p>
    <w:p>
      <w:pPr>
        <w:spacing w:after="0" w:line="274" w:lineRule="exact"/>
        <w:rPr>
          <w:sz w:val="20"/>
          <w:szCs w:val="20"/>
          <w:color w:val="auto"/>
        </w:rPr>
      </w:pPr>
    </w:p>
    <w:tbl>
      <w:tblPr>
        <w:tblLayout w:type="fixed"/>
        <w:tblInd w:w="2000" w:type="dxa"/>
        <w:tblCellMar>
          <w:top w:w="0" w:type="dxa"/>
          <w:left w:w="0" w:type="dxa"/>
          <w:bottom w:w="0" w:type="dxa"/>
          <w:right w:w="0" w:type="dxa"/>
        </w:tblCellMar>
      </w:tblPr>
      <w:tr>
        <w:trPr>
          <w:trHeight w:val="234"/>
        </w:trPr>
        <w:tc>
          <w:tcPr>
            <w:tcW w:w="5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23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5200" w:type="dxa"/>
            <w:vAlign w:val="bottom"/>
            <w:vMerge w:val="restart"/>
          </w:tcPr>
          <w:p>
            <w:pPr>
              <w:ind w:left="20"/>
              <w:spacing w:after="0"/>
              <w:rPr>
                <w:sz w:val="20"/>
                <w:szCs w:val="20"/>
                <w:color w:val="auto"/>
              </w:rPr>
            </w:pPr>
            <w:r>
              <w:rPr>
                <w:rFonts w:ascii="Arial" w:cs="Arial" w:eastAsia="Arial" w:hAnsi="Arial"/>
                <w:sz w:val="18"/>
                <w:szCs w:val="18"/>
                <w:color w:val="auto"/>
              </w:rPr>
              <w:t>Derivatives not designated as cash flow hedges:</w:t>
            </w: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5200" w:type="dxa"/>
            <w:vAlign w:val="bottom"/>
          </w:tcPr>
          <w:p>
            <w:pPr>
              <w:ind w:left="200"/>
              <w:spacing w:after="0"/>
              <w:rPr>
                <w:sz w:val="20"/>
                <w:szCs w:val="20"/>
                <w:color w:val="auto"/>
              </w:rPr>
            </w:pPr>
            <w:r>
              <w:rPr>
                <w:rFonts w:ascii="Arial" w:cs="Arial" w:eastAsia="Arial" w:hAnsi="Arial"/>
                <w:sz w:val="18"/>
                <w:szCs w:val="18"/>
                <w:color w:val="auto"/>
              </w:rPr>
              <w:t>Derivative assets:</w:t>
            </w:r>
          </w:p>
        </w:tc>
        <w:tc>
          <w:tcPr>
            <w:tcW w:w="34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rate contracts 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43"/>
        </w:trPr>
        <w:tc>
          <w:tcPr>
            <w:tcW w:w="5200" w:type="dxa"/>
            <w:vAlign w:val="bottom"/>
          </w:tcPr>
          <w:p>
            <w:pPr>
              <w:ind w:left="420"/>
              <w:spacing w:after="0"/>
              <w:rPr>
                <w:sz w:val="20"/>
                <w:szCs w:val="20"/>
                <w:color w:val="auto"/>
              </w:rPr>
            </w:pPr>
            <w:r>
              <w:rPr>
                <w:rFonts w:ascii="Arial" w:cs="Arial" w:eastAsia="Arial" w:hAnsi="Arial"/>
                <w:sz w:val="18"/>
                <w:szCs w:val="18"/>
                <w:color w:val="auto"/>
              </w:rPr>
              <w:t>Interest rate contracts long-term</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2,599</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1,489</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1,673</w:t>
            </w:r>
          </w:p>
        </w:tc>
        <w:tc>
          <w:tcPr>
            <w:tcW w:w="0" w:type="dxa"/>
            <w:vAlign w:val="bottom"/>
          </w:tcPr>
          <w:p>
            <w:pPr>
              <w:spacing w:after="0"/>
              <w:rPr>
                <w:sz w:val="1"/>
                <w:szCs w:val="1"/>
                <w:color w:val="auto"/>
              </w:rPr>
            </w:pPr>
          </w:p>
        </w:tc>
      </w:tr>
      <w:tr>
        <w:trPr>
          <w:trHeight w:val="20"/>
        </w:trPr>
        <w:tc>
          <w:tcPr>
            <w:tcW w:w="5200" w:type="dxa"/>
            <w:vAlign w:val="bottom"/>
            <w:vMerge w:val="restart"/>
          </w:tcPr>
          <w:p>
            <w:pPr>
              <w:ind w:left="200"/>
              <w:spacing w:after="0"/>
              <w:rPr>
                <w:sz w:val="20"/>
                <w:szCs w:val="20"/>
                <w:color w:val="auto"/>
              </w:rPr>
            </w:pPr>
            <w:r>
              <w:rPr>
                <w:rFonts w:ascii="Arial" w:cs="Arial" w:eastAsia="Arial" w:hAnsi="Arial"/>
                <w:sz w:val="18"/>
                <w:szCs w:val="18"/>
                <w:color w:val="auto"/>
              </w:rPr>
              <w:t>Derivative liabilities:</w:t>
            </w: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2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Interest rate contracts current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862</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43"/>
        </w:trPr>
        <w:tc>
          <w:tcPr>
            <w:tcW w:w="5200" w:type="dxa"/>
            <w:vAlign w:val="bottom"/>
          </w:tcPr>
          <w:p>
            <w:pPr>
              <w:ind w:left="420"/>
              <w:spacing w:after="0"/>
              <w:rPr>
                <w:sz w:val="20"/>
                <w:szCs w:val="20"/>
                <w:color w:val="auto"/>
              </w:rPr>
            </w:pPr>
            <w:r>
              <w:rPr>
                <w:rFonts w:ascii="Arial" w:cs="Arial" w:eastAsia="Arial" w:hAnsi="Arial"/>
                <w:sz w:val="18"/>
                <w:szCs w:val="18"/>
                <w:color w:val="auto"/>
              </w:rPr>
              <w:t>Interest rate contracts long-term</w:t>
            </w:r>
          </w:p>
        </w:tc>
        <w:tc>
          <w:tcPr>
            <w:tcW w:w="3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7,712</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992</w:t>
            </w:r>
          </w:p>
        </w:tc>
        <w:tc>
          <w:tcPr>
            <w:tcW w:w="0" w:type="dxa"/>
            <w:vAlign w:val="bottom"/>
          </w:tcPr>
          <w:p>
            <w:pPr>
              <w:spacing w:after="0"/>
              <w:rPr>
                <w:sz w:val="1"/>
                <w:szCs w:val="1"/>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2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Total liabilities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8,574</w:t>
            </w:r>
          </w:p>
        </w:tc>
        <w:tc>
          <w:tcPr>
            <w:tcW w:w="2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280" w:hanging="272"/>
        <w:spacing w:after="0"/>
        <w:tabs>
          <w:tab w:leader="none" w:pos="280" w:val="left"/>
        </w:tabs>
        <w:numPr>
          <w:ilvl w:val="0"/>
          <w:numId w:val="21"/>
        </w:numPr>
        <w:rPr>
          <w:rFonts w:ascii="Arial" w:cs="Arial" w:eastAsia="Arial" w:hAnsi="Arial"/>
          <w:sz w:val="20"/>
          <w:szCs w:val="20"/>
          <w:b w:val="1"/>
          <w:bCs w:val="1"/>
          <w:i w:val="1"/>
          <w:iCs w:val="1"/>
          <w:color w:val="auto"/>
        </w:rPr>
      </w:pPr>
      <w:r>
        <w:rPr>
          <w:rFonts w:ascii="Arial" w:cs="Arial" w:eastAsia="Arial" w:hAnsi="Arial"/>
          <w:sz w:val="18"/>
          <w:szCs w:val="18"/>
          <w:b w:val="1"/>
          <w:bCs w:val="1"/>
          <w:i w:val="1"/>
          <w:iCs w:val="1"/>
          <w:color w:val="auto"/>
        </w:rPr>
        <w:t>Impact of Derivative Instruments on the Consolidated Statements of Operations</w:t>
      </w:r>
    </w:p>
    <w:p>
      <w:pPr>
        <w:spacing w:after="0" w:line="108"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Company's interest rate derivative instruments are not designated as cash flow hedges. The effect of interest rate hedges is recorded to interest expense. For the years ended December 31, 2019 and 2018, the impact to the consolidated statements of operations was a loss of $6.4 million and a gain of $468 thousand, respectively.</w:t>
      </w: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25" w:right="339" w:bottom="1440" w:gutter="0" w:footer="0" w:header="0"/>
        </w:sectPr>
      </w:pPr>
    </w:p>
    <w:bookmarkStart w:id="39" w:name="page40"/>
    <w:bookmarkEnd w:id="39"/>
    <w:p>
      <w:pPr>
        <w:ind w:left="7780"/>
        <w:spacing w:after="0"/>
        <w:rPr>
          <w:sz w:val="20"/>
          <w:szCs w:val="20"/>
          <w:color w:val="auto"/>
        </w:rPr>
      </w:pPr>
      <w:r>
        <w:rPr>
          <w:rFonts w:ascii="Arial" w:cs="Arial" w:eastAsia="Arial" w:hAnsi="Arial"/>
          <w:sz w:val="18"/>
          <w:szCs w:val="18"/>
          <w:color w:val="auto"/>
        </w:rPr>
        <w:t>Exhibit 99.1</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(6) Long-Term Debt</w:t>
      </w:r>
    </w:p>
    <w:p>
      <w:pPr>
        <w:spacing w:after="0" w:line="130" w:lineRule="exact"/>
        <w:rPr>
          <w:sz w:val="20"/>
          <w:szCs w:val="20"/>
          <w:color w:val="auto"/>
        </w:rPr>
      </w:pPr>
    </w:p>
    <w:p>
      <w:pPr>
        <w:ind w:left="260" w:hanging="252"/>
        <w:spacing w:after="0"/>
        <w:tabs>
          <w:tab w:leader="none" w:pos="2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Chestnut Borrower Credit Agreement</w:t>
      </w:r>
    </w:p>
    <w:p>
      <w:pPr>
        <w:spacing w:after="0" w:line="18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In July 2017, the Company entered into a credit agreement with Deutsche Bank AG, (subsequently amended in June 2018), for term loans of up to $120.3 million and letters of credit of up to $7.5 million. In January 2019, the letters of credit commitment amount under the credit agreement was increased to $7.9 million. The loans bear annual interest at a rate of LIBOR plus an applicable margin, which is 2.50% per annum through the fifth anniversary of the financial closing date, or July 2022, and 2.75% per annum thereafter through the maturity date in March 2024. In addition to interest on the outstanding borrowings, the Company will pay a commitment fee on the unused portions of the term loan and letter of credit commitments equal to 0.75% per year. The borrowings are secured by the Company's interests in the project companies.</w:t>
      </w:r>
    </w:p>
    <w:p>
      <w:pPr>
        <w:spacing w:after="0" w:line="137"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As of December 31, 2019, the Company had issued a letter of credit for a commitment of $7.9 million to support the Company’s debt service reserve requirements. The Company pays a letter of credit fee of 2.50% per annum on issued amounts under the letter of credit facility on a quarterly basis, which is recorded in interest expense in the consolidated statements of operations.</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long-term debt consists of the following (in thousands):</w:t>
      </w:r>
    </w:p>
    <w:p>
      <w:pPr>
        <w:spacing w:after="0" w:line="167" w:lineRule="exact"/>
        <w:rPr>
          <w:sz w:val="20"/>
          <w:szCs w:val="20"/>
          <w:color w:val="auto"/>
        </w:rPr>
      </w:pPr>
    </w:p>
    <w:tbl>
      <w:tblPr>
        <w:tblLayout w:type="fixed"/>
        <w:tblInd w:w="1420" w:type="dxa"/>
        <w:tblCellMar>
          <w:top w:w="0" w:type="dxa"/>
          <w:left w:w="0" w:type="dxa"/>
          <w:bottom w:w="0" w:type="dxa"/>
          <w:right w:w="0" w:type="dxa"/>
        </w:tblCellMar>
      </w:tblPr>
      <w:tr>
        <w:trPr>
          <w:trHeight w:val="234"/>
        </w:trPr>
        <w:tc>
          <w:tcPr>
            <w:tcW w:w="5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5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3"/>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115,576</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117,570</w:t>
            </w:r>
          </w:p>
        </w:tc>
      </w:tr>
      <w:tr>
        <w:trPr>
          <w:trHeight w:val="243"/>
        </w:trPr>
        <w:tc>
          <w:tcPr>
            <w:tcW w:w="5640" w:type="dxa"/>
            <w:vAlign w:val="bottom"/>
          </w:tcPr>
          <w:p>
            <w:pPr>
              <w:ind w:left="20"/>
              <w:spacing w:after="0"/>
              <w:rPr>
                <w:sz w:val="20"/>
                <w:szCs w:val="20"/>
                <w:color w:val="auto"/>
              </w:rPr>
            </w:pPr>
            <w:r>
              <w:rPr>
                <w:rFonts w:ascii="Arial" w:cs="Arial" w:eastAsia="Arial" w:hAnsi="Arial"/>
                <w:sz w:val="18"/>
                <w:szCs w:val="18"/>
                <w:color w:val="auto"/>
              </w:rPr>
              <w:t>Less current maturities</w:t>
            </w: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(8,483)</w:t>
            </w:r>
          </w:p>
        </w:tc>
        <w:tc>
          <w:tcPr>
            <w:tcW w:w="2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(5,646)</w:t>
            </w:r>
          </w:p>
        </w:tc>
      </w:tr>
      <w:tr>
        <w:trPr>
          <w:trHeight w:val="27"/>
        </w:trPr>
        <w:tc>
          <w:tcPr>
            <w:tcW w:w="5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debt issuance costs, net</w:t>
            </w: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(3,661)</w:t>
            </w:r>
          </w:p>
        </w:tc>
        <w:tc>
          <w:tcPr>
            <w:tcW w:w="2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(4,368)</w:t>
            </w:r>
          </w:p>
        </w:tc>
      </w:tr>
      <w:tr>
        <w:trPr>
          <w:trHeight w:val="257"/>
        </w:trPr>
        <w:tc>
          <w:tcPr>
            <w:tcW w:w="5640" w:type="dxa"/>
            <w:vAlign w:val="bottom"/>
          </w:tcPr>
          <w:p>
            <w:pPr>
              <w:ind w:left="620"/>
              <w:spacing w:after="0"/>
              <w:rPr>
                <w:sz w:val="20"/>
                <w:szCs w:val="20"/>
                <w:color w:val="auto"/>
              </w:rPr>
            </w:pPr>
            <w:r>
              <w:rPr>
                <w:rFonts w:ascii="Arial" w:cs="Arial" w:eastAsia="Arial" w:hAnsi="Arial"/>
                <w:sz w:val="18"/>
                <w:szCs w:val="18"/>
                <w:color w:val="auto"/>
              </w:rPr>
              <w:t>Long-term debt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103,432</w:t>
            </w:r>
          </w:p>
        </w:tc>
        <w:tc>
          <w:tcPr>
            <w:tcW w:w="2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107,556</w:t>
            </w:r>
          </w:p>
        </w:tc>
      </w:tr>
      <w:tr>
        <w:trPr>
          <w:trHeight w:val="20"/>
        </w:trPr>
        <w:tc>
          <w:tcPr>
            <w:tcW w:w="5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firstLine="486"/>
        <w:spacing w:after="0" w:line="263"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At December 31, 2019, the Company was in compliance with various restrictive covenants defined in the credit agreement.</w:t>
      </w:r>
    </w:p>
    <w:p>
      <w:pPr>
        <w:spacing w:after="0" w:line="14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maturities as of December 31, 2019 are summarized as follows (in thousands):</w:t>
      </w:r>
    </w:p>
    <w:p>
      <w:pPr>
        <w:spacing w:after="0" w:line="347" w:lineRule="exact"/>
        <w:rPr>
          <w:sz w:val="20"/>
          <w:szCs w:val="20"/>
          <w:color w:val="auto"/>
        </w:rPr>
      </w:pPr>
    </w:p>
    <w:tbl>
      <w:tblPr>
        <w:tblLayout w:type="fixed"/>
        <w:tblInd w:w="2980" w:type="dxa"/>
        <w:tblCellMar>
          <w:top w:w="0" w:type="dxa"/>
          <w:left w:w="0" w:type="dxa"/>
          <w:bottom w:w="0" w:type="dxa"/>
          <w:right w:w="0" w:type="dxa"/>
        </w:tblCellMar>
      </w:tblPr>
      <w:tr>
        <w:trPr>
          <w:trHeight w:val="230"/>
        </w:trPr>
        <w:tc>
          <w:tcPr>
            <w:tcW w:w="2260" w:type="dxa"/>
            <w:vAlign w:val="bottom"/>
          </w:tcPr>
          <w:p>
            <w:pPr>
              <w:jc w:val="right"/>
              <w:ind w:right="210"/>
              <w:spacing w:after="0"/>
              <w:rPr>
                <w:sz w:val="20"/>
                <w:szCs w:val="20"/>
                <w:color w:val="auto"/>
              </w:rPr>
            </w:pPr>
            <w:r>
              <w:rPr>
                <w:rFonts w:ascii="Arial" w:cs="Arial" w:eastAsia="Arial" w:hAnsi="Arial"/>
                <w:sz w:val="18"/>
                <w:szCs w:val="18"/>
                <w:color w:val="auto"/>
                <w:w w:val="90"/>
              </w:rPr>
              <w:t>Year ending December 31:</w:t>
            </w:r>
          </w:p>
        </w:tc>
        <w:tc>
          <w:tcPr>
            <w:tcW w:w="2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2020</w:t>
            </w:r>
          </w:p>
        </w:tc>
        <w:tc>
          <w:tcPr>
            <w:tcW w:w="26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8,483</w:t>
            </w:r>
          </w:p>
        </w:tc>
        <w:tc>
          <w:tcPr>
            <w:tcW w:w="0" w:type="dxa"/>
            <w:vAlign w:val="bottom"/>
          </w:tcPr>
          <w:p>
            <w:pPr>
              <w:spacing w:after="0"/>
              <w:rPr>
                <w:sz w:val="1"/>
                <w:szCs w:val="1"/>
                <w:color w:val="auto"/>
              </w:rPr>
            </w:pPr>
          </w:p>
        </w:tc>
      </w:tr>
      <w:tr>
        <w:trPr>
          <w:trHeight w:val="243"/>
        </w:trPr>
        <w:tc>
          <w:tcPr>
            <w:tcW w:w="2260" w:type="dxa"/>
            <w:vAlign w:val="bottom"/>
          </w:tcPr>
          <w:p>
            <w:pPr>
              <w:jc w:val="right"/>
              <w:ind w:right="1430"/>
              <w:spacing w:after="0"/>
              <w:rPr>
                <w:sz w:val="20"/>
                <w:szCs w:val="20"/>
                <w:color w:val="auto"/>
              </w:rPr>
            </w:pPr>
            <w:r>
              <w:rPr>
                <w:rFonts w:ascii="Arial" w:cs="Arial" w:eastAsia="Arial" w:hAnsi="Arial"/>
                <w:sz w:val="18"/>
                <w:szCs w:val="18"/>
                <w:color w:val="auto"/>
              </w:rPr>
              <w:t>2021</w:t>
            </w: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8,168</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2022</w:t>
            </w:r>
          </w:p>
        </w:tc>
        <w:tc>
          <w:tcPr>
            <w:tcW w:w="22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7,876</w:t>
            </w:r>
          </w:p>
        </w:tc>
        <w:tc>
          <w:tcPr>
            <w:tcW w:w="0" w:type="dxa"/>
            <w:vAlign w:val="bottom"/>
          </w:tcPr>
          <w:p>
            <w:pPr>
              <w:spacing w:after="0"/>
              <w:rPr>
                <w:sz w:val="1"/>
                <w:szCs w:val="1"/>
                <w:color w:val="auto"/>
              </w:rPr>
            </w:pPr>
          </w:p>
        </w:tc>
      </w:tr>
      <w:tr>
        <w:trPr>
          <w:trHeight w:val="243"/>
        </w:trPr>
        <w:tc>
          <w:tcPr>
            <w:tcW w:w="2260" w:type="dxa"/>
            <w:vAlign w:val="bottom"/>
          </w:tcPr>
          <w:p>
            <w:pPr>
              <w:jc w:val="right"/>
              <w:ind w:right="1430"/>
              <w:spacing w:after="0"/>
              <w:rPr>
                <w:sz w:val="20"/>
                <w:szCs w:val="20"/>
                <w:color w:val="auto"/>
              </w:rPr>
            </w:pPr>
            <w:r>
              <w:rPr>
                <w:rFonts w:ascii="Arial" w:cs="Arial" w:eastAsia="Arial" w:hAnsi="Arial"/>
                <w:sz w:val="18"/>
                <w:szCs w:val="18"/>
                <w:color w:val="auto"/>
              </w:rPr>
              <w:t>2023</w:t>
            </w:r>
          </w:p>
        </w:tc>
        <w:tc>
          <w:tcPr>
            <w:tcW w:w="2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6,641</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260" w:type="dxa"/>
            <w:vAlign w:val="bottom"/>
            <w:tcBorders>
              <w:bottom w:val="single" w:sz="8" w:color="CCEEFF"/>
            </w:tcBorders>
            <w:shd w:val="clear" w:color="auto" w:fill="CCEEFF"/>
          </w:tcPr>
          <w:p>
            <w:pPr>
              <w:jc w:val="right"/>
              <w:ind w:right="1430"/>
              <w:spacing w:after="0"/>
              <w:rPr>
                <w:sz w:val="20"/>
                <w:szCs w:val="20"/>
                <w:color w:val="auto"/>
              </w:rPr>
            </w:pPr>
            <w:r>
              <w:rPr>
                <w:rFonts w:ascii="Arial" w:cs="Arial" w:eastAsia="Arial" w:hAnsi="Arial"/>
                <w:sz w:val="18"/>
                <w:szCs w:val="18"/>
                <w:color w:val="auto"/>
              </w:rPr>
              <w:t>2024</w:t>
            </w:r>
          </w:p>
        </w:tc>
        <w:tc>
          <w:tcPr>
            <w:tcW w:w="22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84,408</w:t>
            </w:r>
          </w:p>
        </w:tc>
        <w:tc>
          <w:tcPr>
            <w:tcW w:w="0" w:type="dxa"/>
            <w:vAlign w:val="bottom"/>
          </w:tcPr>
          <w:p>
            <w:pPr>
              <w:spacing w:after="0"/>
              <w:rPr>
                <w:sz w:val="1"/>
                <w:szCs w:val="1"/>
                <w:color w:val="auto"/>
              </w:rPr>
            </w:pPr>
          </w:p>
        </w:tc>
      </w:tr>
      <w:tr>
        <w:trPr>
          <w:trHeight w:val="236"/>
        </w:trPr>
        <w:tc>
          <w:tcPr>
            <w:tcW w:w="22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115,576</w:t>
            </w:r>
          </w:p>
        </w:tc>
        <w:tc>
          <w:tcPr>
            <w:tcW w:w="0" w:type="dxa"/>
            <w:vAlign w:val="bottom"/>
          </w:tcPr>
          <w:p>
            <w:pPr>
              <w:spacing w:after="0"/>
              <w:rPr>
                <w:sz w:val="1"/>
                <w:szCs w:val="1"/>
                <w:color w:val="auto"/>
              </w:rPr>
            </w:pPr>
          </w:p>
        </w:tc>
      </w:tr>
      <w:tr>
        <w:trPr>
          <w:trHeight w:val="27"/>
        </w:trPr>
        <w:tc>
          <w:tcPr>
            <w:tcW w:w="2260" w:type="dxa"/>
            <w:vAlign w:val="bottom"/>
          </w:tcPr>
          <w:p>
            <w:pPr>
              <w:spacing w:after="0"/>
              <w:rPr>
                <w:sz w:val="2"/>
                <w:szCs w:val="2"/>
                <w:color w:val="auto"/>
              </w:rPr>
            </w:pPr>
          </w:p>
        </w:tc>
        <w:tc>
          <w:tcPr>
            <w:tcW w:w="2280" w:type="dxa"/>
            <w:vAlign w:val="bottom"/>
            <w:vMerge w:val="restart"/>
          </w:tcPr>
          <w:p>
            <w:pPr>
              <w:jc w:val="right"/>
              <w:ind w:right="1710"/>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2280" w:type="dxa"/>
            <w:vAlign w:val="bottom"/>
            <w:vMerge w:val="continue"/>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260" w:type="dxa"/>
            <w:vAlign w:val="bottom"/>
          </w:tcPr>
          <w:p>
            <w:pPr>
              <w:spacing w:after="0"/>
              <w:rPr>
                <w:sz w:val="24"/>
                <w:szCs w:val="24"/>
                <w:color w:val="auto"/>
              </w:rPr>
            </w:pPr>
          </w:p>
        </w:tc>
        <w:tc>
          <w:tcPr>
            <w:tcW w:w="228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40" w:name="page41"/>
    <w:bookmarkEnd w:id="40"/>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280" w:hanging="272"/>
        <w:spacing w:after="0"/>
        <w:tabs>
          <w:tab w:leader="none" w:pos="28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CS4 Borrower Credit Agreement</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September 2018, the Company entered into a credit agreement with three financial institutions for construction loans up to $97.4 million that partially converted to a term loan on June 27, 2019, an investment tax credit bridge loan, or ITC bridge loan, for up to $89.9 million and letter of credit facilities up to $4.9 million. The construction loan and the ITC bridge loan both have an interest rate of LIBOR plus an applicable margin of 1.75% per annum. The ITC bridge loan matures upon the conversion of the construction loans to a term loan. The Company pays quarterly commitment fees of 0.625% per annum on any unused portion of all of the financing commitments described above, with the exception of the term loan. The term loan will bear annual interest at a rate of LIBOR plus an applicable margin, which is 2.00% per annum through the third anniversary of the term conversion, and 2.25% per annum thereafter through the maturity date in June 2026. The construction loan and the ITC bridge loan, and the future term loan, will be secured by the Company's membership interests in the project companies.</w:t>
      </w:r>
    </w:p>
    <w:p>
      <w:pPr>
        <w:spacing w:after="0" w:line="13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As of December 31, 2019, the Company had issued a letter of credit for a commitment of $3.3 million to support the Company's debt service requirements. The Company pays an availability fee of 2.00% per annum on issued amounts under the letter of credit facility on a quarterly basis, which is recorded in interest expense in the consolidated statement of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December 31, 2019, long-term debt consists of the following (in thousands):</w:t>
      </w:r>
    </w:p>
    <w:p>
      <w:pPr>
        <w:spacing w:after="0" w:line="289" w:lineRule="exact"/>
        <w:rPr>
          <w:sz w:val="20"/>
          <w:szCs w:val="20"/>
          <w:color w:val="auto"/>
        </w:rPr>
      </w:pPr>
    </w:p>
    <w:tbl>
      <w:tblPr>
        <w:tblLayout w:type="fixed"/>
        <w:tblInd w:w="1380" w:type="dxa"/>
        <w:tblCellMar>
          <w:top w:w="0" w:type="dxa"/>
          <w:left w:w="0" w:type="dxa"/>
          <w:bottom w:w="0" w:type="dxa"/>
          <w:right w:w="0" w:type="dxa"/>
        </w:tblCellMar>
      </w:tblPr>
      <w:tr>
        <w:trPr>
          <w:trHeight w:val="234"/>
        </w:trPr>
        <w:tc>
          <w:tcPr>
            <w:tcW w:w="4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3"/>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53,777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Construction loan</w:t>
            </w:r>
          </w:p>
        </w:tc>
        <w:tc>
          <w:tcPr>
            <w:tcW w:w="11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20,483</w:t>
            </w:r>
          </w:p>
        </w:tc>
        <w:tc>
          <w:tcPr>
            <w:tcW w:w="22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20,387</w:t>
            </w: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ITC bridge loan</w:t>
            </w:r>
          </w:p>
        </w:tc>
        <w:tc>
          <w:tcPr>
            <w:tcW w:w="11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29,313</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32,164</w:t>
            </w:r>
          </w:p>
        </w:tc>
      </w:tr>
      <w:tr>
        <w:trPr>
          <w:trHeight w:val="237"/>
        </w:trPr>
        <w:tc>
          <w:tcPr>
            <w:tcW w:w="4620" w:type="dxa"/>
            <w:vAlign w:val="bottom"/>
          </w:tcPr>
          <w:p>
            <w:pPr>
              <w:ind w:left="20"/>
              <w:spacing w:after="0"/>
              <w:rPr>
                <w:sz w:val="20"/>
                <w:szCs w:val="20"/>
                <w:color w:val="auto"/>
              </w:rPr>
            </w:pPr>
            <w:r>
              <w:rPr>
                <w:rFonts w:ascii="Arial" w:cs="Arial" w:eastAsia="Arial" w:hAnsi="Arial"/>
                <w:sz w:val="18"/>
                <w:szCs w:val="18"/>
                <w:color w:val="auto"/>
              </w:rPr>
              <w:t>Total long-term debt (including current maturities)</w:t>
            </w:r>
          </w:p>
        </w:tc>
        <w:tc>
          <w:tcPr>
            <w:tcW w:w="1100" w:type="dxa"/>
            <w:vAlign w:val="bottom"/>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103,573</w:t>
            </w:r>
          </w:p>
        </w:tc>
        <w:tc>
          <w:tcPr>
            <w:tcW w:w="220" w:type="dxa"/>
            <w:vAlign w:val="bottom"/>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52,551</w:t>
            </w:r>
          </w:p>
        </w:tc>
      </w:tr>
      <w:tr>
        <w:trPr>
          <w:trHeight w:val="27"/>
        </w:trPr>
        <w:tc>
          <w:tcPr>
            <w:tcW w:w="4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4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Less current maturities</w:t>
            </w:r>
          </w:p>
        </w:tc>
        <w:tc>
          <w:tcPr>
            <w:tcW w:w="1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(21,404)</w:t>
            </w:r>
          </w:p>
        </w:tc>
      </w:tr>
      <w:tr>
        <w:trPr>
          <w:trHeight w:val="243"/>
        </w:trPr>
        <w:tc>
          <w:tcPr>
            <w:tcW w:w="4620" w:type="dxa"/>
            <w:vAlign w:val="bottom"/>
          </w:tcPr>
          <w:p>
            <w:pPr>
              <w:ind w:left="20"/>
              <w:spacing w:after="0"/>
              <w:rPr>
                <w:sz w:val="20"/>
                <w:szCs w:val="20"/>
                <w:color w:val="auto"/>
              </w:rPr>
            </w:pPr>
            <w:r>
              <w:rPr>
                <w:rFonts w:ascii="Arial" w:cs="Arial" w:eastAsia="Arial" w:hAnsi="Arial"/>
                <w:sz w:val="18"/>
                <w:szCs w:val="18"/>
                <w:color w:val="auto"/>
              </w:rPr>
              <w:t>Less debt issuance costs</w:t>
            </w:r>
          </w:p>
        </w:tc>
        <w:tc>
          <w:tcPr>
            <w:tcW w:w="1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(4,880)</w:t>
            </w:r>
          </w:p>
        </w:tc>
        <w:tc>
          <w:tcPr>
            <w:tcW w:w="2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(5,425)</w:t>
            </w:r>
          </w:p>
        </w:tc>
      </w:tr>
      <w:tr>
        <w:trPr>
          <w:trHeight w:val="27"/>
        </w:trPr>
        <w:tc>
          <w:tcPr>
            <w:tcW w:w="462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46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Long-term debt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66,180</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25,722</w:t>
            </w:r>
          </w:p>
        </w:tc>
      </w:tr>
      <w:tr>
        <w:trPr>
          <w:trHeight w:val="20"/>
        </w:trPr>
        <w:tc>
          <w:tcPr>
            <w:tcW w:w="46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Distributions from the Company are subject to compliance with the terms and conditions defined in the credit agreement, including a covenant to meet a required debt service coverage ratio of at least 1.20 to 1.0. As of December 31, 2019, the Company was in compliance with the various restrictive covenants defined in the credit agreement.</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Long-term debt maturities as of December 31, 2019 are summarized as follows (in thousands):</w:t>
      </w:r>
    </w:p>
    <w:p>
      <w:pPr>
        <w:spacing w:after="0" w:line="293" w:lineRule="exact"/>
        <w:rPr>
          <w:sz w:val="20"/>
          <w:szCs w:val="20"/>
          <w:color w:val="auto"/>
        </w:rPr>
      </w:pPr>
    </w:p>
    <w:tbl>
      <w:tblPr>
        <w:tblLayout w:type="fixed"/>
        <w:tblInd w:w="2740" w:type="dxa"/>
        <w:tblCellMar>
          <w:top w:w="0" w:type="dxa"/>
          <w:left w:w="0" w:type="dxa"/>
          <w:bottom w:w="0" w:type="dxa"/>
          <w:right w:w="0" w:type="dxa"/>
        </w:tblCellMar>
      </w:tblP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Year ending December 31:</w:t>
            </w:r>
          </w:p>
        </w:tc>
        <w:tc>
          <w:tcPr>
            <w:tcW w:w="138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2020</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32,513</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2021</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3,513</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2022</w:t>
            </w:r>
          </w:p>
        </w:tc>
        <w:tc>
          <w:tcPr>
            <w:tcW w:w="1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3,281</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2023</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2,408</w:t>
            </w:r>
          </w:p>
        </w:tc>
      </w:tr>
      <w:tr>
        <w:trPr>
          <w:trHeight w:val="27"/>
        </w:trPr>
        <w:tc>
          <w:tcPr>
            <w:tcW w:w="3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2024</w:t>
            </w:r>
          </w:p>
        </w:tc>
        <w:tc>
          <w:tcPr>
            <w:tcW w:w="1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2,397</w:t>
            </w:r>
          </w:p>
        </w:tc>
      </w:tr>
      <w:tr>
        <w:trPr>
          <w:trHeight w:val="243"/>
        </w:trPr>
        <w:tc>
          <w:tcPr>
            <w:tcW w:w="3160" w:type="dxa"/>
            <w:vAlign w:val="bottom"/>
          </w:tcPr>
          <w:p>
            <w:pPr>
              <w:ind w:left="360"/>
              <w:spacing w:after="0"/>
              <w:rPr>
                <w:sz w:val="20"/>
                <w:szCs w:val="20"/>
                <w:color w:val="auto"/>
              </w:rPr>
            </w:pPr>
            <w:r>
              <w:rPr>
                <w:rFonts w:ascii="Arial" w:cs="Arial" w:eastAsia="Arial" w:hAnsi="Arial"/>
                <w:sz w:val="18"/>
                <w:szCs w:val="18"/>
                <w:color w:val="auto"/>
              </w:rPr>
              <w:t>Thereafter</w:t>
            </w:r>
          </w:p>
        </w:tc>
        <w:tc>
          <w:tcPr>
            <w:tcW w:w="1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59,461</w:t>
            </w:r>
          </w:p>
        </w:tc>
      </w:tr>
      <w:tr>
        <w:trPr>
          <w:trHeight w:val="27"/>
        </w:trPr>
        <w:tc>
          <w:tcPr>
            <w:tcW w:w="31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1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103,573</w:t>
            </w:r>
          </w:p>
        </w:tc>
      </w:tr>
      <w:tr>
        <w:trPr>
          <w:trHeight w:val="20"/>
        </w:trPr>
        <w:tc>
          <w:tcPr>
            <w:tcW w:w="3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25" w:right="339" w:bottom="1440" w:gutter="0" w:footer="0" w:header="0"/>
        </w:sectPr>
      </w:pPr>
    </w:p>
    <w:bookmarkStart w:id="41" w:name="page42"/>
    <w:bookmarkEnd w:id="41"/>
    <w:p>
      <w:pPr>
        <w:ind w:left="7780"/>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Related Party Transactions</w:t>
      </w:r>
    </w:p>
    <w:p>
      <w:pPr>
        <w:spacing w:after="0" w:line="13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 xml:space="preserve">The Company has the following related party transactions and relationships in addition to the acquisition of solar energy systems from Clearway Renew described in note 4, </w:t>
      </w:r>
      <w:r>
        <w:rPr>
          <w:rFonts w:ascii="Arial" w:cs="Arial" w:eastAsia="Arial" w:hAnsi="Arial"/>
          <w:sz w:val="16"/>
          <w:szCs w:val="16"/>
          <w:i w:val="1"/>
          <w:iCs w:val="1"/>
          <w:color w:val="auto"/>
        </w:rPr>
        <w:t>Property, Plant, and Equipment</w:t>
      </w:r>
      <w:r>
        <w:rPr>
          <w:rFonts w:ascii="Arial" w:cs="Arial" w:eastAsia="Arial" w:hAnsi="Arial"/>
          <w:sz w:val="16"/>
          <w:szCs w:val="16"/>
          <w:color w:val="auto"/>
        </w:rPr>
        <w:t xml:space="preserve"> and renewable energy certificate revenue described in note 2(k), </w:t>
      </w:r>
      <w:r>
        <w:rPr>
          <w:rFonts w:ascii="Arial" w:cs="Arial" w:eastAsia="Arial" w:hAnsi="Arial"/>
          <w:sz w:val="16"/>
          <w:szCs w:val="16"/>
          <w:i w:val="1"/>
          <w:iCs w:val="1"/>
          <w:color w:val="auto"/>
        </w:rPr>
        <w:t>Summary of Significant</w:t>
      </w:r>
      <w:r>
        <w:rPr>
          <w:rFonts w:ascii="Arial" w:cs="Arial" w:eastAsia="Arial" w:hAnsi="Arial"/>
          <w:sz w:val="16"/>
          <w:szCs w:val="16"/>
          <w:color w:val="auto"/>
        </w:rPr>
        <w:t xml:space="preserve"> </w:t>
      </w:r>
      <w:r>
        <w:rPr>
          <w:rFonts w:ascii="Arial" w:cs="Arial" w:eastAsia="Arial" w:hAnsi="Arial"/>
          <w:sz w:val="16"/>
          <w:szCs w:val="16"/>
          <w:i w:val="1"/>
          <w:iCs w:val="1"/>
          <w:color w:val="auto"/>
        </w:rPr>
        <w:t>Accounting Policies</w:t>
      </w:r>
      <w:r>
        <w:rPr>
          <w:rFonts w:ascii="Arial" w:cs="Arial" w:eastAsia="Arial" w:hAnsi="Arial"/>
          <w:sz w:val="16"/>
          <w:szCs w:val="16"/>
          <w:color w:val="auto"/>
        </w:rPr>
        <w:t>. Amounts due to related parties are recorded as accounts payable – affiliate and amounts due to the Company from related parties are</w:t>
      </w:r>
      <w:r>
        <w:rPr>
          <w:rFonts w:ascii="Arial" w:cs="Arial" w:eastAsia="Arial" w:hAnsi="Arial"/>
          <w:sz w:val="16"/>
          <w:szCs w:val="16"/>
          <w:i w:val="1"/>
          <w:iCs w:val="1"/>
          <w:color w:val="auto"/>
        </w:rPr>
        <w:t xml:space="preserve"> </w:t>
      </w:r>
      <w:r>
        <w:rPr>
          <w:rFonts w:ascii="Arial" w:cs="Arial" w:eastAsia="Arial" w:hAnsi="Arial"/>
          <w:sz w:val="16"/>
          <w:szCs w:val="16"/>
          <w:color w:val="auto"/>
        </w:rPr>
        <w:t>recorded as accounts receivable – affiliate on the Company’s consolidated balance sheets. These account balances are netted by affiliate party.</w:t>
      </w:r>
    </w:p>
    <w:p>
      <w:pPr>
        <w:spacing w:after="0" w:line="11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Both Chestnut Fund and CS4 Fund have asset management agreements with Solar Asset Management LLC, a subsidiary of Clearway Renew, where Solar Asset Management LLC performs administrative services related to the acquired project companies and receives an asset management fee in an annual amount per project. The Funds will also reimburse Solar Asset Management LLC for certain out-of-pocket costs. Chestnut Fund incurred costs under the agreement of $196 thousand and $185 thousand for the years ended December 31, 2019 and 2018, respectively. CS4 Fund incurred costs under the agreement of $106 thousand and $0 thousand for the years ended December 31, 2019 and 2018, respectively. These costs are included in cost of operations – affiliate in the consolidated statements of operations.</w:t>
      </w:r>
    </w:p>
    <w:p>
      <w:pPr>
        <w:spacing w:after="0" w:line="13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Both Chestnut Fund and CS4 Fund have operations and maintenance agreements with Clearway Renewable Operation &amp; Maintenance LLC, or RENOM, a subsidiary of Clearway Energy Group, to operate and maintain the PV Systems owned by the acquired project companies. RENOM receives a fee in a set annual amount for each project plus reimbursable costs, with an annual escalation of 2.25%. The fee is also subject to adjustments for additional site maintenance, panel washing and replacement costs. Chestnut Fund incurred costs under the agreement of $899 thousand and $488 thousand for the years ended December 31, 2019 and 2018, respectively. CS4 Fund incurred costs under the agreement of $201 thousand and $0 thousand for the years ended December 31, 2019 and 2018, respectively. These costs are included in cost of operations – affiliate in the consolidated statements of operations.</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Subject to both the the Chestnut Fund and CS4 Fund Limited Liability Company Agreements, in the event that additional working capital is required by to cause the assets to be properly operated and maintained and to pay for the costs, expenses, obligations and liabilities of Chestnut Fund and CS4, then the Company shall have the right, but not the obligation, to provide all or part of the funds needed by the Company in the form of member loans. These loans were funded through intercompany borrowings from the Company's Class B Member, Renew DG Holdings. As of December 31, 2019 and 2018, $1.6 million was outstanding under member loans for each of the years, which was recorded in short-term debt – affiliate on the consolidated balance sheets.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Leases</w:t>
      </w:r>
    </w:p>
    <w:p>
      <w:pPr>
        <w:spacing w:after="0" w:line="1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projects owned by the Company entered into various land lease agreements where their respective solar energy facilities are located. During the terms of the leases, the Company will operate the solar energy facilities to supply electric energy to the customers of the previously described community solar installations. The Company is responsible for all operating costs, repairs and maintenance, and insurance related to the facilities. These costs are included in cost of operations in the consolidated statements of operations.</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for the year ended December 31, 2019 was comprised of the following (in thousands):</w:t>
      </w:r>
    </w:p>
    <w:p>
      <w:pPr>
        <w:spacing w:after="0" w:line="289" w:lineRule="exact"/>
        <w:rPr>
          <w:sz w:val="20"/>
          <w:szCs w:val="20"/>
          <w:color w:val="auto"/>
        </w:rPr>
      </w:pPr>
    </w:p>
    <w:tbl>
      <w:tblPr>
        <w:tblLayout w:type="fixed"/>
        <w:tblInd w:w="1520" w:type="dxa"/>
        <w:tblCellMar>
          <w:top w:w="0" w:type="dxa"/>
          <w:left w:w="0" w:type="dxa"/>
          <w:bottom w:w="0" w:type="dxa"/>
          <w:right w:w="0" w:type="dxa"/>
        </w:tblCellMar>
      </w:tblPr>
      <w:tr>
        <w:trPr>
          <w:trHeight w:val="234"/>
        </w:trPr>
        <w:tc>
          <w:tcPr>
            <w:tcW w:w="66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6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2,148</w:t>
            </w:r>
          </w:p>
        </w:tc>
      </w:tr>
      <w:tr>
        <w:trPr>
          <w:trHeight w:val="243"/>
        </w:trPr>
        <w:tc>
          <w:tcPr>
            <w:tcW w:w="662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3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7"/>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6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Total lease cost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2,238</w:t>
            </w: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Lease expense under operating leases was $2.4 million for the year ended December 31, 2018.</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25" w:right="339" w:bottom="1440" w:gutter="0" w:footer="0" w:header="0"/>
        </w:sectPr>
      </w:pPr>
    </w:p>
    <w:bookmarkStart w:id="42" w:name="page43"/>
    <w:bookmarkEnd w:id="42"/>
    <w:p>
      <w:pPr>
        <w:ind w:left="7780"/>
        <w:spacing w:after="0"/>
        <w:rPr>
          <w:sz w:val="20"/>
          <w:szCs w:val="20"/>
          <w:color w:val="auto"/>
        </w:rPr>
      </w:pPr>
      <w:r>
        <w:rPr>
          <w:rFonts w:ascii="Arial" w:cs="Arial" w:eastAsia="Arial" w:hAnsi="Arial"/>
          <w:sz w:val="18"/>
          <w:szCs w:val="18"/>
          <w:color w:val="auto"/>
        </w:rPr>
        <w:t>Exhibit 99.1</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lease information as of December 31, 2019 was as follows (in thousands, except term and rate):</w:t>
      </w:r>
    </w:p>
    <w:p>
      <w:pPr>
        <w:spacing w:after="0" w:line="343"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2019</w:t>
            </w:r>
          </w:p>
        </w:tc>
      </w:tr>
      <w:tr>
        <w:trPr>
          <w:trHeight w:val="27"/>
        </w:trPr>
        <w:tc>
          <w:tcPr>
            <w:tcW w:w="8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3"/>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ROU assets - operating leases, net</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34,767</w:t>
            </w:r>
          </w:p>
        </w:tc>
      </w:tr>
      <w:tr>
        <w:trPr>
          <w:trHeight w:val="324"/>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liability - operating leases</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w:t>
            </w:r>
          </w:p>
        </w:tc>
      </w:tr>
      <w:tr>
        <w:trPr>
          <w:trHeight w:val="243"/>
        </w:trPr>
        <w:tc>
          <w:tcPr>
            <w:tcW w:w="860" w:type="dxa"/>
            <w:vAlign w:val="bottom"/>
          </w:tcPr>
          <w:p>
            <w:pPr>
              <w:spacing w:after="0"/>
              <w:rPr>
                <w:sz w:val="21"/>
                <w:szCs w:val="21"/>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Long-term lease liability - operating leases</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34,703</w:t>
            </w:r>
          </w:p>
        </w:tc>
      </w:tr>
      <w:tr>
        <w:trPr>
          <w:trHeight w:val="27"/>
        </w:trPr>
        <w:tc>
          <w:tcPr>
            <w:tcW w:w="860" w:type="dxa"/>
            <w:vAlign w:val="bottom"/>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57"/>
        </w:trPr>
        <w:tc>
          <w:tcPr>
            <w:tcW w:w="860" w:type="dxa"/>
            <w:vAlign w:val="bottom"/>
          </w:tcPr>
          <w:p>
            <w:pPr>
              <w:spacing w:after="0"/>
              <w:rPr>
                <w:sz w:val="22"/>
                <w:szCs w:val="22"/>
                <w:color w:val="auto"/>
              </w:rPr>
            </w:pPr>
          </w:p>
        </w:tc>
        <w:tc>
          <w:tcPr>
            <w:tcW w:w="5980" w:type="dxa"/>
            <w:vAlign w:val="bottom"/>
            <w:tcBorders>
              <w:bottom w:val="single" w:sz="8" w:color="CCEEFF"/>
            </w:tcBorders>
            <w:gridSpan w:val="2"/>
            <w:shd w:val="clear" w:color="auto" w:fill="CCEEFF"/>
          </w:tcPr>
          <w:p>
            <w:pPr>
              <w:ind w:left="600"/>
              <w:spacing w:after="0"/>
              <w:rPr>
                <w:sz w:val="20"/>
                <w:szCs w:val="20"/>
                <w:color w:val="auto"/>
              </w:rPr>
            </w:pPr>
            <w:r>
              <w:rPr>
                <w:rFonts w:ascii="Arial" w:cs="Arial" w:eastAsia="Arial" w:hAnsi="Arial"/>
                <w:sz w:val="18"/>
                <w:szCs w:val="18"/>
                <w:color w:val="auto"/>
              </w:rPr>
              <w:t>Total lease liability</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35,203</w:t>
            </w: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311"/>
        </w:trPr>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paid for operating leases</w:t>
            </w:r>
          </w:p>
        </w:tc>
        <w:tc>
          <w:tcPr>
            <w:tcW w:w="5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1,875</w:t>
            </w:r>
          </w:p>
        </w:tc>
      </w:tr>
      <w:tr>
        <w:trPr>
          <w:trHeight w:val="243"/>
        </w:trPr>
        <w:tc>
          <w:tcPr>
            <w:tcW w:w="860" w:type="dxa"/>
            <w:vAlign w:val="bottom"/>
          </w:tcPr>
          <w:p>
            <w:pPr>
              <w:spacing w:after="0"/>
              <w:rPr>
                <w:sz w:val="21"/>
                <w:szCs w:val="21"/>
                <w:color w:val="auto"/>
              </w:rPr>
            </w:pPr>
          </w:p>
        </w:tc>
        <w:tc>
          <w:tcPr>
            <w:tcW w:w="5980" w:type="dxa"/>
            <w:vAlign w:val="bottom"/>
            <w:gridSpan w:val="2"/>
          </w:tcPr>
          <w:p>
            <w:pPr>
              <w:ind w:left="20"/>
              <w:spacing w:after="0"/>
              <w:rPr>
                <w:sz w:val="20"/>
                <w:szCs w:val="20"/>
                <w:color w:val="auto"/>
              </w:rPr>
            </w:pPr>
            <w:r>
              <w:rPr>
                <w:rFonts w:ascii="Arial" w:cs="Arial" w:eastAsia="Arial" w:hAnsi="Arial"/>
                <w:sz w:val="18"/>
                <w:szCs w:val="18"/>
                <w:color w:val="auto"/>
              </w:rPr>
              <w:t>Weighted average remaining lease term</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640" w:type="dxa"/>
            <w:vAlign w:val="bottom"/>
            <w:gridSpan w:val="2"/>
          </w:tcPr>
          <w:p>
            <w:pPr>
              <w:jc w:val="right"/>
              <w:ind w:right="180"/>
              <w:spacing w:after="0"/>
              <w:rPr>
                <w:sz w:val="20"/>
                <w:szCs w:val="20"/>
                <w:color w:val="auto"/>
              </w:rPr>
            </w:pPr>
            <w:r>
              <w:rPr>
                <w:rFonts w:ascii="Arial" w:cs="Arial" w:eastAsia="Arial" w:hAnsi="Arial"/>
                <w:sz w:val="18"/>
                <w:szCs w:val="18"/>
                <w:color w:val="auto"/>
              </w:rPr>
              <w:t>25 years</w:t>
            </w: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860" w:type="dxa"/>
            <w:vAlign w:val="bottom"/>
          </w:tcPr>
          <w:p>
            <w:pPr>
              <w:spacing w:after="0"/>
              <w:rPr>
                <w:sz w:val="21"/>
                <w:szCs w:val="21"/>
                <w:color w:val="auto"/>
              </w:rPr>
            </w:pPr>
          </w:p>
        </w:tc>
        <w:tc>
          <w:tcPr>
            <w:tcW w:w="59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w:t>
            </w:r>
          </w:p>
        </w:tc>
      </w:tr>
      <w:tr>
        <w:trPr>
          <w:trHeight w:val="392"/>
        </w:trPr>
        <w:tc>
          <w:tcPr>
            <w:tcW w:w="6840" w:type="dxa"/>
            <w:vAlign w:val="bottom"/>
            <w:gridSpan w:val="3"/>
          </w:tcPr>
          <w:p>
            <w:pPr>
              <w:spacing w:after="0"/>
              <w:rPr>
                <w:sz w:val="20"/>
                <w:szCs w:val="20"/>
                <w:color w:val="auto"/>
              </w:rPr>
            </w:pPr>
            <w:r>
              <w:rPr>
                <w:rFonts w:ascii="Arial" w:cs="Arial" w:eastAsia="Arial" w:hAnsi="Arial"/>
                <w:sz w:val="18"/>
                <w:szCs w:val="18"/>
                <w:color w:val="auto"/>
                <w:w w:val="91"/>
              </w:rPr>
              <w:t>Maturities of operating lease liabilities as of December 31, 2019 are as follows (in thousands):</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99"/>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1,925</w:t>
            </w:r>
          </w:p>
        </w:tc>
        <w:tc>
          <w:tcPr>
            <w:tcW w:w="720" w:type="dxa"/>
            <w:vAlign w:val="bottom"/>
          </w:tcPr>
          <w:p>
            <w:pPr>
              <w:spacing w:after="0"/>
              <w:rPr>
                <w:sz w:val="24"/>
                <w:szCs w:val="24"/>
                <w:color w:val="auto"/>
              </w:rPr>
            </w:pPr>
          </w:p>
        </w:tc>
      </w:tr>
      <w:tr>
        <w:trPr>
          <w:trHeight w:val="27"/>
        </w:trPr>
        <w:tc>
          <w:tcPr>
            <w:tcW w:w="68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580" w:type="dxa"/>
            <w:vAlign w:val="bottom"/>
            <w:gridSpan w:val="2"/>
          </w:tcPr>
          <w:p>
            <w:pPr>
              <w:spacing w:after="0"/>
              <w:rPr>
                <w:sz w:val="21"/>
                <w:szCs w:val="21"/>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1,966</w:t>
            </w:r>
          </w:p>
        </w:tc>
        <w:tc>
          <w:tcPr>
            <w:tcW w:w="720" w:type="dxa"/>
            <w:vAlign w:val="bottom"/>
          </w:tcPr>
          <w:p>
            <w:pPr>
              <w:spacing w:after="0"/>
              <w:rPr>
                <w:sz w:val="21"/>
                <w:szCs w:val="21"/>
                <w:color w:val="auto"/>
              </w:rPr>
            </w:pPr>
          </w:p>
        </w:tc>
      </w:tr>
      <w:tr>
        <w:trPr>
          <w:trHeight w:val="243"/>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2022</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1"/>
                <w:szCs w:val="21"/>
                <w:color w:val="auto"/>
              </w:rPr>
            </w:pPr>
          </w:p>
        </w:tc>
      </w:tr>
      <w:tr>
        <w:trPr>
          <w:trHeight w:val="27"/>
        </w:trPr>
        <w:tc>
          <w:tcPr>
            <w:tcW w:w="6840" w:type="dxa"/>
            <w:vAlign w:val="bottom"/>
            <w:gridSpan w:val="3"/>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1580" w:type="dxa"/>
            <w:vAlign w:val="bottom"/>
            <w:gridSpan w:val="2"/>
          </w:tcPr>
          <w:p>
            <w:pPr>
              <w:spacing w:after="0"/>
              <w:rPr>
                <w:sz w:val="21"/>
                <w:szCs w:val="21"/>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2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2,051</w:t>
            </w:r>
          </w:p>
        </w:tc>
        <w:tc>
          <w:tcPr>
            <w:tcW w:w="720" w:type="dxa"/>
            <w:vAlign w:val="bottom"/>
          </w:tcPr>
          <w:p>
            <w:pPr>
              <w:spacing w:after="0"/>
              <w:rPr>
                <w:sz w:val="21"/>
                <w:szCs w:val="21"/>
                <w:color w:val="auto"/>
              </w:rPr>
            </w:pPr>
          </w:p>
        </w:tc>
      </w:tr>
      <w:tr>
        <w:trPr>
          <w:trHeight w:val="243"/>
        </w:trPr>
        <w:tc>
          <w:tcPr>
            <w:tcW w:w="6840" w:type="dxa"/>
            <w:vAlign w:val="bottom"/>
            <w:gridSpan w:val="3"/>
          </w:tcPr>
          <w:p>
            <w:pPr>
              <w:ind w:left="1960"/>
              <w:spacing w:after="0"/>
              <w:rPr>
                <w:sz w:val="20"/>
                <w:szCs w:val="20"/>
                <w:color w:val="auto"/>
              </w:rPr>
            </w:pPr>
            <w:r>
              <w:rPr>
                <w:rFonts w:ascii="Arial" w:cs="Arial" w:eastAsia="Arial" w:hAnsi="Arial"/>
                <w:sz w:val="18"/>
                <w:szCs w:val="18"/>
                <w:color w:val="auto"/>
              </w:rPr>
              <w:t>2024</w:t>
            </w:r>
          </w:p>
        </w:tc>
        <w:tc>
          <w:tcPr>
            <w:tcW w:w="2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2,086</w:t>
            </w:r>
          </w:p>
        </w:tc>
        <w:tc>
          <w:tcPr>
            <w:tcW w:w="720" w:type="dxa"/>
            <w:vAlign w:val="bottom"/>
          </w:tcPr>
          <w:p>
            <w:pPr>
              <w:spacing w:after="0"/>
              <w:rPr>
                <w:sz w:val="21"/>
                <w:szCs w:val="21"/>
                <w:color w:val="auto"/>
              </w:rPr>
            </w:pP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48,073</w:t>
            </w:r>
          </w:p>
        </w:tc>
        <w:tc>
          <w:tcPr>
            <w:tcW w:w="720" w:type="dxa"/>
            <w:vAlign w:val="bottom"/>
          </w:tcPr>
          <w:p>
            <w:pPr>
              <w:spacing w:after="0"/>
              <w:rPr>
                <w:sz w:val="23"/>
                <w:szCs w:val="23"/>
                <w:color w:val="auto"/>
              </w:rPr>
            </w:pPr>
          </w:p>
        </w:tc>
      </w:tr>
      <w:tr>
        <w:trPr>
          <w:trHeight w:val="237"/>
        </w:trPr>
        <w:tc>
          <w:tcPr>
            <w:tcW w:w="8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58,120</w:t>
            </w:r>
          </w:p>
        </w:tc>
        <w:tc>
          <w:tcPr>
            <w:tcW w:w="720" w:type="dxa"/>
            <w:vAlign w:val="bottom"/>
          </w:tcPr>
          <w:p>
            <w:pPr>
              <w:spacing w:after="0"/>
              <w:rPr>
                <w:sz w:val="20"/>
                <w:szCs w:val="20"/>
                <w:color w:val="auto"/>
              </w:rPr>
            </w:pPr>
          </w:p>
        </w:tc>
      </w:tr>
      <w:tr>
        <w:trPr>
          <w:trHeight w:val="27"/>
        </w:trPr>
        <w:tc>
          <w:tcPr>
            <w:tcW w:w="860" w:type="dxa"/>
            <w:vAlign w:val="bottom"/>
          </w:tcPr>
          <w:p>
            <w:pPr>
              <w:spacing w:after="0"/>
              <w:rPr>
                <w:sz w:val="2"/>
                <w:szCs w:val="2"/>
                <w:color w:val="auto"/>
              </w:rPr>
            </w:pPr>
          </w:p>
        </w:tc>
        <w:tc>
          <w:tcPr>
            <w:tcW w:w="720" w:type="dxa"/>
            <w:vAlign w:val="bottom"/>
          </w:tcPr>
          <w:p>
            <w:pPr>
              <w:spacing w:after="0"/>
              <w:rPr>
                <w:sz w:val="2"/>
                <w:szCs w:val="2"/>
                <w:color w:val="auto"/>
              </w:rPr>
            </w:pPr>
          </w:p>
        </w:tc>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86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imputed interest</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(22,917)</w:t>
            </w:r>
          </w:p>
        </w:tc>
        <w:tc>
          <w:tcPr>
            <w:tcW w:w="720" w:type="dxa"/>
            <w:vAlign w:val="bottom"/>
          </w:tcPr>
          <w:p>
            <w:pPr>
              <w:spacing w:after="0"/>
              <w:rPr>
                <w:sz w:val="23"/>
                <w:szCs w:val="23"/>
                <w:color w:val="auto"/>
              </w:rPr>
            </w:pPr>
          </w:p>
        </w:tc>
      </w:tr>
      <w:tr>
        <w:trPr>
          <w:trHeight w:val="257"/>
        </w:trPr>
        <w:tc>
          <w:tcPr>
            <w:tcW w:w="8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260" w:type="dxa"/>
            <w:vAlign w:val="bottom"/>
          </w:tcPr>
          <w:p>
            <w:pPr>
              <w:ind w:left="40"/>
              <w:spacing w:after="0"/>
              <w:rPr>
                <w:sz w:val="20"/>
                <w:szCs w:val="20"/>
                <w:color w:val="auto"/>
              </w:rPr>
            </w:pPr>
            <w:r>
              <w:rPr>
                <w:rFonts w:ascii="Arial" w:cs="Arial" w:eastAsia="Arial" w:hAnsi="Arial"/>
                <w:sz w:val="18"/>
                <w:szCs w:val="18"/>
                <w:color w:val="auto"/>
              </w:rPr>
              <w:t>Total lease liability - operating leases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35,203</w:t>
            </w:r>
          </w:p>
        </w:tc>
        <w:tc>
          <w:tcPr>
            <w:tcW w:w="720" w:type="dxa"/>
            <w:vAlign w:val="bottom"/>
          </w:tcPr>
          <w:p>
            <w:pPr>
              <w:spacing w:after="0"/>
              <w:rPr>
                <w:sz w:val="22"/>
                <w:szCs w:val="22"/>
                <w:color w:val="auto"/>
              </w:rPr>
            </w:pPr>
          </w:p>
        </w:tc>
      </w:tr>
      <w:tr>
        <w:trPr>
          <w:trHeight w:val="20"/>
        </w:trPr>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Future minimum payments under noncancelable land leases as of December 31, 2018 under ASC 840 were as follows (in thousands):</w:t>
      </w:r>
    </w:p>
    <w:p>
      <w:pPr>
        <w:spacing w:after="0" w:line="322" w:lineRule="exact"/>
        <w:rPr>
          <w:sz w:val="20"/>
          <w:szCs w:val="20"/>
          <w:color w:val="auto"/>
        </w:rPr>
      </w:pPr>
    </w:p>
    <w:tbl>
      <w:tblPr>
        <w:tblLayout w:type="fixed"/>
        <w:tblInd w:w="2240" w:type="dxa"/>
        <w:tblCellMar>
          <w:top w:w="0" w:type="dxa"/>
          <w:left w:w="0" w:type="dxa"/>
          <w:bottom w:w="0" w:type="dxa"/>
          <w:right w:w="0" w:type="dxa"/>
        </w:tblCellMar>
      </w:tblPr>
      <w:tr>
        <w:trPr>
          <w:trHeight w:val="206"/>
        </w:trPr>
        <w:tc>
          <w:tcPr>
            <w:tcW w:w="3560" w:type="dxa"/>
            <w:vAlign w:val="bottom"/>
          </w:tcPr>
          <w:p>
            <w:pPr>
              <w:ind w:left="40"/>
              <w:spacing w:after="0"/>
              <w:rPr>
                <w:sz w:val="20"/>
                <w:szCs w:val="20"/>
                <w:color w:val="auto"/>
              </w:rPr>
            </w:pPr>
            <w:r>
              <w:rPr>
                <w:rFonts w:ascii="Arial" w:cs="Arial" w:eastAsia="Arial" w:hAnsi="Arial"/>
                <w:sz w:val="16"/>
                <w:szCs w:val="16"/>
                <w:color w:val="auto"/>
              </w:rPr>
              <w:t>Year ending December 31:</w:t>
            </w:r>
          </w:p>
        </w:tc>
        <w:tc>
          <w:tcPr>
            <w:tcW w:w="194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33"/>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2019</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1,581</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2020</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2021</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1,680</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2022</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1,738</w:t>
            </w:r>
          </w:p>
        </w:tc>
      </w:tr>
      <w:tr>
        <w:trPr>
          <w:trHeight w:val="27"/>
        </w:trPr>
        <w:tc>
          <w:tcPr>
            <w:tcW w:w="356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2023</w:t>
            </w:r>
          </w:p>
        </w:tc>
        <w:tc>
          <w:tcPr>
            <w:tcW w:w="19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w:t>
            </w:r>
          </w:p>
        </w:tc>
      </w:tr>
      <w:tr>
        <w:trPr>
          <w:trHeight w:val="243"/>
        </w:trPr>
        <w:tc>
          <w:tcPr>
            <w:tcW w:w="3560" w:type="dxa"/>
            <w:vAlign w:val="bottom"/>
          </w:tcPr>
          <w:p>
            <w:pPr>
              <w:ind w:left="380"/>
              <w:spacing w:after="0"/>
              <w:rPr>
                <w:sz w:val="20"/>
                <w:szCs w:val="20"/>
                <w:color w:val="auto"/>
              </w:rPr>
            </w:pPr>
            <w:r>
              <w:rPr>
                <w:rFonts w:ascii="Arial" w:cs="Arial" w:eastAsia="Arial" w:hAnsi="Arial"/>
                <w:sz w:val="18"/>
                <w:szCs w:val="18"/>
                <w:color w:val="auto"/>
              </w:rPr>
              <w:t>Thereafter</w:t>
            </w:r>
          </w:p>
        </w:tc>
        <w:tc>
          <w:tcPr>
            <w:tcW w:w="19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37,521</w:t>
            </w:r>
          </w:p>
        </w:tc>
      </w:tr>
      <w:tr>
        <w:trPr>
          <w:trHeight w:val="27"/>
        </w:trPr>
        <w:tc>
          <w:tcPr>
            <w:tcW w:w="356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7"/>
        </w:trPr>
        <w:tc>
          <w:tcPr>
            <w:tcW w:w="3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lease payments</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45,939</w:t>
            </w:r>
          </w:p>
        </w:tc>
      </w:tr>
      <w:tr>
        <w:trPr>
          <w:trHeight w:val="20"/>
        </w:trPr>
        <w:tc>
          <w:tcPr>
            <w:tcW w:w="35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Subsequent Events</w:t>
      </w:r>
    </w:p>
    <w:p>
      <w:pPr>
        <w:spacing w:after="0" w:line="13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Company has evaluated subsequent events from the balance sheet date through March 30, 2020, the date at which the consolidated financial statements were available to be issued, and determined that there are no other items to disclose.</w:t>
      </w:r>
    </w:p>
    <w:p>
      <w:pPr>
        <w:spacing w:after="0" w:line="200" w:lineRule="exact"/>
        <w:rPr>
          <w:sz w:val="20"/>
          <w:szCs w:val="20"/>
          <w:color w:val="auto"/>
        </w:rPr>
      </w:pPr>
    </w:p>
    <w:p>
      <w:pPr>
        <w:spacing w:after="0" w:line="36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sectPr>
      <w:pgSz w:w="11900" w:h="16838" w:orient="portrait"/>
      <w:cols w:equalWidth="0" w:num="1">
        <w:col w:w="11060"/>
      </w:cols>
      <w:pgMar w:left="320" w:top="12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1)"/>
      <w:numFmt w:val="lowerLetter"/>
      <w:start w:val="2"/>
    </w:lvl>
  </w:abstractNum>
  <w:abstractNum w:abstractNumId="3">
    <w:nsid w:val="109CF92E"/>
    <w:multiLevelType w:val="hybridMultilevel"/>
    <w:lvl w:ilvl="0">
      <w:lvlJc w:val="left"/>
      <w:lvlText w:val="%1"/>
      <w:numFmt w:val="decimal"/>
      <w:start w:val="104"/>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
      <w:numFmt w:val="bullet"/>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
    </w:lvl>
    <w:lvl w:ilvl="1">
      <w:lvlJc w:val="left"/>
      <w:lvlText w:val="(%2)"/>
      <w:numFmt w:val="lowerLetter"/>
      <w:start w:val="1"/>
    </w:lvl>
  </w:abstractNum>
  <w:abstractNum w:abstractNumId="9">
    <w:nsid w:val="4E6AFB66"/>
    <w:multiLevelType w:val="hybridMultilevel"/>
    <w:lvl w:ilvl="0">
      <w:lvlJc w:val="left"/>
      <w:lvlText w:val="%1."/>
      <w:numFmt w:val="decimal"/>
      <w:start w:val="1"/>
    </w:lvl>
    <w:lvl w:ilvl="1">
      <w:lvlJc w:val="left"/>
      <w:lvlText w:val="(%2)"/>
      <w:numFmt w:val="lowerLetter"/>
      <w:start w:val="1"/>
    </w:lvl>
  </w:abstractNum>
  <w:abstractNum w:abstractNumId="10">
    <w:nsid w:val="25E45D32"/>
    <w:multiLevelType w:val="hybridMultilevel"/>
    <w:lvl w:ilvl="0">
      <w:lvlJc w:val="left"/>
      <w:lvlText w:val="%1."/>
      <w:numFmt w:val="decimal"/>
      <w:start w:val="1"/>
    </w:lvl>
    <w:lvl w:ilvl="1">
      <w:lvlJc w:val="left"/>
      <w:lvlText w:val="(%2)"/>
      <w:numFmt w:val="lowerLetter"/>
      <w:start w:val="1"/>
    </w:lvl>
  </w:abstractNum>
  <w:abstractNum w:abstractNumId="11">
    <w:nsid w:val="519B500D"/>
    <w:multiLevelType w:val="hybridMultilevel"/>
    <w:lvl w:ilvl="0">
      <w:lvlJc w:val="left"/>
      <w:lvlText w:val="(%1)"/>
      <w:numFmt w:val="decimal"/>
      <w:start w:val="1"/>
    </w:lvl>
  </w:abstractNum>
  <w:abstractNum w:abstractNumId="12">
    <w:nsid w:val="431BD7B7"/>
    <w:multiLevelType w:val="hybridMultilevel"/>
    <w:lvl w:ilvl="0">
      <w:lvlJc w:val="left"/>
      <w:lvlText w:val="%1"/>
      <w:numFmt w:val="lowerLetter"/>
      <w:start w:val="1"/>
    </w:lvl>
    <w:lvl w:ilvl="1">
      <w:lvlJc w:val="left"/>
      <w:lvlText w:val="(%2)"/>
      <w:numFmt w:val="lowerLetter"/>
      <w:start w:val="1"/>
    </w:lvl>
  </w:abstractNum>
  <w:abstractNum w:abstractNumId="13">
    <w:nsid w:val="3F2DBA31"/>
    <w:multiLevelType w:val="hybridMultilevel"/>
    <w:lvl w:ilvl="0">
      <w:lvlJc w:val="left"/>
      <w:lvlText w:val="(%1)"/>
      <w:numFmt w:val="lowerLetter"/>
      <w:start w:val="2"/>
    </w:lvl>
    <w:lvl w:ilvl="1">
      <w:lvlJc w:val="left"/>
      <w:lvlText w:val="%2"/>
      <w:numFmt w:val="lowerLetter"/>
      <w:start w:val="1"/>
    </w:lvl>
  </w:abstractNum>
  <w:abstractNum w:abstractNumId="14">
    <w:nsid w:val="7C83E458"/>
    <w:multiLevelType w:val="hybridMultilevel"/>
    <w:lvl w:ilvl="0">
      <w:lvlJc w:val="left"/>
      <w:lvlText w:val="(%1)"/>
      <w:numFmt w:val="lowerLetter"/>
      <w:start w:val="1"/>
    </w:lvl>
  </w:abstractNum>
  <w:abstractNum w:abstractNumId="15">
    <w:nsid w:val="257130A3"/>
    <w:multiLevelType w:val="hybridMultilevel"/>
    <w:lvl w:ilvl="0">
      <w:lvlJc w:val="left"/>
      <w:lvlText w:val="•"/>
      <w:numFmt w:val="bullet"/>
      <w:start w:val="1"/>
    </w:lvl>
  </w:abstractNum>
  <w:abstractNum w:abstractNumId="16">
    <w:nsid w:val="62BBD95A"/>
    <w:multiLevelType w:val="hybridMultilevel"/>
    <w:lvl w:ilvl="0">
      <w:lvlJc w:val="left"/>
      <w:lvlText w:val="%1."/>
      <w:numFmt w:val="decimal"/>
      <w:start w:val="20"/>
    </w:lvl>
  </w:abstractNum>
  <w:abstractNum w:abstractNumId="17">
    <w:nsid w:val="436C6125"/>
    <w:multiLevelType w:val="hybridMultilevel"/>
    <w:lvl w:ilvl="0">
      <w:lvlJc w:val="left"/>
      <w:lvlText w:val="(%1)"/>
      <w:numFmt w:val="decimal"/>
      <w:start w:val="4"/>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decimal"/>
      <w:start w:val="5"/>
    </w:lvl>
  </w:abstractNum>
  <w:abstractNum w:abstractNumId="20">
    <w:nsid w:val="721DA317"/>
    <w:multiLevelType w:val="hybridMultilevel"/>
    <w:lvl w:ilvl="0">
      <w:lvlJc w:val="left"/>
      <w:lvlText w:val="(%1)"/>
      <w:numFmt w:val="lowerLetter"/>
      <w:start w:val="4"/>
    </w:lvl>
  </w:abstractNum>
  <w:abstractNum w:abstractNumId="21">
    <w:nsid w:val="2443A858"/>
    <w:multiLevelType w:val="hybridMultilevel"/>
    <w:lvl w:ilvl="0">
      <w:lvlJc w:val="left"/>
      <w:lvlText w:val="(%1)"/>
      <w:numFmt w:val="lowerLetter"/>
      <w:start w:val="1"/>
    </w:lvl>
  </w:abstractNum>
  <w:abstractNum w:abstractNumId="22">
    <w:nsid w:val="2D1D5AE9"/>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86" Type="http://schemas.openxmlformats.org/officeDocument/2006/relationships/image" Target="media/image5.png"/><Relationship Id="rId87" Type="http://schemas.openxmlformats.org/officeDocument/2006/relationships/image" Target="media/image6.png"/><Relationship Id="rId88" Type="http://schemas.openxmlformats.org/officeDocument/2006/relationships/image" Target="media/image7.png"/><Relationship Id="rId89" Type="http://schemas.openxmlformats.org/officeDocument/2006/relationships/image" Target="media/image8.png"/><Relationship Id="rId90" Type="http://schemas.openxmlformats.org/officeDocument/2006/relationships/image" Target="media/image9.png"/><Relationship Id="rId91" Type="http://schemas.openxmlformats.org/officeDocument/2006/relationships/image" Target="media/image10.png"/><Relationship Id="rId92" Type="http://schemas.openxmlformats.org/officeDocument/2006/relationships/image" Target="media/image11.png"/><Relationship Id="rId93" Type="http://schemas.openxmlformats.org/officeDocument/2006/relationships/image" Target="media/image12.png"/><Relationship Id="rId94" Type="http://schemas.openxmlformats.org/officeDocument/2006/relationships/image" Target="media/image13.png"/><Relationship Id="rId95" Type="http://schemas.openxmlformats.org/officeDocument/2006/relationships/image" Target="media/image14.jpeg"/><Relationship Id="rId96" Type="http://schemas.openxmlformats.org/officeDocument/2006/relationships/image" Target="media/image15.png"/><Relationship Id="rId97" Type="http://schemas.openxmlformats.org/officeDocument/2006/relationships/image" Target="media/image16.png"/><Relationship Id="rId12" Type="http://schemas.openxmlformats.org/officeDocument/2006/relationships/hyperlink" Target="http://www.sec.gov/Archives/edgar/data/1567683/000110465914037090/a14-12466_1ex2d1.htm" TargetMode="External"/><Relationship Id="rId13" Type="http://schemas.openxmlformats.org/officeDocument/2006/relationships/hyperlink" Target="http://www.sec.gov/Archives/edgar/data/1567683/000110465914037090/a14-12466_1ex2d2.htm" TargetMode="External"/><Relationship Id="rId14" Type="http://schemas.openxmlformats.org/officeDocument/2006/relationships/hyperlink" Target="http://www.sec.gov/Archives/edgar/data/1567683/000110465914037090/a14-12466_1ex2d3.htm" TargetMode="External"/><Relationship Id="rId15" Type="http://schemas.openxmlformats.org/officeDocument/2006/relationships/hyperlink" Target="http://www.sec.gov/Archives/edgar/data/1567683/000110465914044820/a14-14976_1ex10d1.htm" TargetMode="External"/><Relationship Id="rId16" Type="http://schemas.openxmlformats.org/officeDocument/2006/relationships/hyperlink" Target="http://www.sec.gov/Archives/edgar/data/1567683/000156768314000020/exhibit21.htm" TargetMode="External"/><Relationship Id="rId17" Type="http://schemas.openxmlformats.org/officeDocument/2006/relationships/hyperlink" Target="http://www.sec.gov/Archives/edgar/data/1567683/000156768314000020/exhibit22.htm" TargetMode="External"/><Relationship Id="rId18" Type="http://schemas.openxmlformats.org/officeDocument/2006/relationships/hyperlink" Target="http://www.sec.gov/Archives/edgar/data/1567683/000156768315000022/yieldincex212015q2dspsaexh.htm" TargetMode="External"/><Relationship Id="rId19" Type="http://schemas.openxmlformats.org/officeDocument/2006/relationships/hyperlink" Target="http://www.sec.gov/Archives/edgar/data/1567683/000110465915066291/a15-19906_1ex2d1.htm" TargetMode="External"/><Relationship Id="rId20" Type="http://schemas.openxmlformats.org/officeDocument/2006/relationships/hyperlink" Target="http://www.sec.gov/Archives/edgar/data/1567683/000110465916138087/a16-16348_1ex2d1.htm" TargetMode="External"/><Relationship Id="rId21" Type="http://schemas.openxmlformats.org/officeDocument/2006/relationships/hyperlink" Target="http://www.sec.gov/Archives/edgar/data/1567683/000156768318000008/yieldincex210201710-k.htm" TargetMode="External"/><Relationship Id="rId22" Type="http://schemas.openxmlformats.org/officeDocument/2006/relationships/hyperlink" Target="http://www.sec.gov/Archives/edgar/data/1637757/000110465919071001/tm1924691d1_ex2-1.htm" TargetMode="External"/><Relationship Id="rId23" Type="http://schemas.openxmlformats.org/officeDocument/2006/relationships/hyperlink" Target="http://www.sec.gov/Archives/edgar/data/1637708/000104746915003411/a2224163zex-3_01a.htm" TargetMode="External"/><Relationship Id="rId24" Type="http://schemas.openxmlformats.org/officeDocument/2006/relationships/hyperlink" Target="http://www.sec.gov/Archives/edgar/data/1637708/000104746915003411/a2224163zex-3_01b.htm" TargetMode="External"/><Relationship Id="rId25" Type="http://schemas.openxmlformats.org/officeDocument/2006/relationships/hyperlink" Target="http://www.sec.gov/Archives/edgar/data/1637757/000163775719000002/clearwayllcex33201810-k.htm" TargetMode="External"/><Relationship Id="rId26" Type="http://schemas.openxmlformats.org/officeDocument/2006/relationships/hyperlink" Target="http://www.sec.gov/Archives/edgar/data/1637708/000104746915003411/a2224163zex-3_03a.htm" TargetMode="External"/><Relationship Id="rId27" Type="http://schemas.openxmlformats.org/officeDocument/2006/relationships/hyperlink" Target="http://www.sec.gov/Archives/edgar/data/1567683/000110465918055334/a18-24111_1ex10d6.htm" TargetMode="External"/><Relationship Id="rId28" Type="http://schemas.openxmlformats.org/officeDocument/2006/relationships/hyperlink" Target="http://www.sec.gov/Archives/edgar/data/1567683/000110465914056777/a14-18411_1ex4d1.htm" TargetMode="External"/><Relationship Id="rId29" Type="http://schemas.openxmlformats.org/officeDocument/2006/relationships/hyperlink" Target="http://www.sec.gov/Archives/edgar/data/1637757/000110465918060027/a18-36222_2ex4d3.htm#Exhibit4_3_105106" TargetMode="External"/><Relationship Id="rId30" Type="http://schemas.openxmlformats.org/officeDocument/2006/relationships/hyperlink" Target="http://www.sec.gov/Archives/edgar/data/1567683/000110465914080390/a14-24401_1ex4d1.htm" TargetMode="External"/><Relationship Id="rId31" Type="http://schemas.openxmlformats.org/officeDocument/2006/relationships/hyperlink" Target="http://www.sec.gov/Archives/edgar/data/1567683/000110465915015282/a15-5420_1ex4d1.htm" TargetMode="External"/><Relationship Id="rId32" Type="http://schemas.openxmlformats.org/officeDocument/2006/relationships/hyperlink" Target="http://www.sec.gov/Archives/edgar/data/1637708/000104746915003411/a2224163zex-4_07.htm" TargetMode="External"/><Relationship Id="rId33" Type="http://schemas.openxmlformats.org/officeDocument/2006/relationships/hyperlink" Target="http://www.sec.gov/Archives/edgar/data/1567683/000110465915036232/a15-11016_2ex4d1.htm" TargetMode="External"/><Relationship Id="rId34" Type="http://schemas.openxmlformats.org/officeDocument/2006/relationships/hyperlink" Target="http://www.sec.gov/Archives/edgar/data/1567683/000110465915048473/a15-14936_1ex4d1.htm" TargetMode="External"/><Relationship Id="rId35" Type="http://schemas.openxmlformats.org/officeDocument/2006/relationships/hyperlink" Target="http://www.sec.gov/Archives/edgar/data/1637757/000110465916140474/a16-16967_2ex4d1.htm" TargetMode="External"/><Relationship Id="rId36" Type="http://schemas.openxmlformats.org/officeDocument/2006/relationships/hyperlink" Target="http://www.sec.gov/Archives/edgar/data/1637757/000110465916140474/a16-16967_2ex4d3.htm" TargetMode="External"/><Relationship Id="rId37" Type="http://schemas.openxmlformats.org/officeDocument/2006/relationships/hyperlink" Target="http://www.sec.gov/Archives/edgar/data/1637757/000110465918005466/a18-5088_1ex4d1.htm#Exhibit4_1_091658" TargetMode="External"/><Relationship Id="rId38" Type="http://schemas.openxmlformats.org/officeDocument/2006/relationships/hyperlink" Target="http://www.sec.gov/Archives/edgar/data/1637757/000110465918039603/a18-15263_1ex4d1.htm" TargetMode="External"/><Relationship Id="rId39" Type="http://schemas.openxmlformats.org/officeDocument/2006/relationships/hyperlink" Target="http://www.sec.gov/Archives/edgar/data/1637757/000110465918005466/a18-5088_1ex4d2.htm#Exhibit4_2_091723" TargetMode="External"/><Relationship Id="rId40" Type="http://schemas.openxmlformats.org/officeDocument/2006/relationships/hyperlink" Target="http://www.sec.gov/Archives/edgar/data/1637757/000110465918039603/a18-15263_1ex4d2.htm" TargetMode="External"/><Relationship Id="rId41" Type="http://schemas.openxmlformats.org/officeDocument/2006/relationships/hyperlink" Target="http://www.sec.gov/Archives/edgar/data/1637757/000163775718000016/yieldincex442018q2.htm" TargetMode="External"/><Relationship Id="rId42" Type="http://schemas.openxmlformats.org/officeDocument/2006/relationships/hyperlink" Target="http://www.sec.gov/Archives/edgar/data/1567683/000110465918055585/a18-27020_1ex4d1.htm#Exhibit4_1_065610" TargetMode="External"/><Relationship Id="rId43" Type="http://schemas.openxmlformats.org/officeDocument/2006/relationships/hyperlink" Target="http://www.sec.gov/Archives/edgar/data/1567683/000110465918055585/a18-27020_1ex4d2.htm#Exhibit4_2_070017" TargetMode="External"/><Relationship Id="rId44" Type="http://schemas.openxmlformats.org/officeDocument/2006/relationships/hyperlink" Target="http://www.sec.gov/Archives/edgar/data/1637757/000110465918060027/a18-36222_2ex4d1.htm" TargetMode="External"/><Relationship Id="rId45" Type="http://schemas.openxmlformats.org/officeDocument/2006/relationships/hyperlink" Target="http://www.sec.gov/Archives/edgar/data/1637757/000110465918065129/a18-38187_1ex4d1.htm" TargetMode="External"/><Relationship Id="rId46" Type="http://schemas.openxmlformats.org/officeDocument/2006/relationships/hyperlink" Target="http://www.sec.gov/Archives/edgar/data/1637757/000110465918065129/a18-38187_1ex4d2.htm#Exhibit4_2_085140" TargetMode="External"/><Relationship Id="rId47" Type="http://schemas.openxmlformats.org/officeDocument/2006/relationships/hyperlink" Target="http://www.sec.gov/Archives/edgar/data/1637757/000110465918065129/a18-38187_1ex4d3.htm" TargetMode="External"/><Relationship Id="rId48" Type="http://schemas.openxmlformats.org/officeDocument/2006/relationships/hyperlink" Target="http://www.sec.gov/Archives/edgar/data/1637757/000110465918072577/a18-41418_1ex4d1.htm" TargetMode="External"/><Relationship Id="rId49" Type="http://schemas.openxmlformats.org/officeDocument/2006/relationships/hyperlink" Target="http://www.sec.gov/Archives/edgar/data/1637757/000110465918072577/a18-41418_1ex4d2.htm" TargetMode="External"/><Relationship Id="rId50" Type="http://schemas.openxmlformats.org/officeDocument/2006/relationships/hyperlink" Target="http://www.sec.gov/Archives/edgar/data/1637757/000110465918072577/a18-41418_1ex4d3.htm" TargetMode="External"/><Relationship Id="rId51" Type="http://schemas.openxmlformats.org/officeDocument/2006/relationships/hyperlink" Target="http://www.sec.gov/Archives/edgar/data/1637757/000141057819001210/tv529120_ex4-1.htm" TargetMode="External"/><Relationship Id="rId52" Type="http://schemas.openxmlformats.org/officeDocument/2006/relationships/hyperlink" Target="http://www.sec.gov/Archives/edgar/data/1637757/000141057819001210/tv529120_ex4-2.htm" TargetMode="External"/><Relationship Id="rId53" Type="http://schemas.openxmlformats.org/officeDocument/2006/relationships/hyperlink" Target="http://www.sec.gov/Archives/edgar/data/1637757/000141057819001210/tv529120_ex4-3.htm" TargetMode="External"/><Relationship Id="rId54" Type="http://schemas.openxmlformats.org/officeDocument/2006/relationships/hyperlink" Target="http://www.sec.gov/Archives/edgar/data/1637757/000110465919066642/tm1923650d1_ex4-1.htm" TargetMode="External"/><Relationship Id="rId55" Type="http://schemas.openxmlformats.org/officeDocument/2006/relationships/hyperlink" Target="http://www.sec.gov/Archives/edgar/data/1637757/000110465919066642/tm1923650d1_ex4-2.htm" TargetMode="External"/><Relationship Id="rId56" Type="http://schemas.openxmlformats.org/officeDocument/2006/relationships/hyperlink" Target="http://www.sec.gov/Archives/edgar/data/1637757/000110465919066642/tm1923650d1_ex4-3.htm" TargetMode="External"/><Relationship Id="rId57" Type="http://schemas.openxmlformats.org/officeDocument/2006/relationships/hyperlink" Target="http://www.sec.gov/Archives/edgar/data/1637757/000110465919072222/tm1925067d1_ex4-1.htm" TargetMode="External"/><Relationship Id="rId58" Type="http://schemas.openxmlformats.org/officeDocument/2006/relationships/hyperlink" Target="http://www.sec.gov/Archives/edgar/data/1637757/000163775720000003/clearwayllcex437201910-kro.htm" TargetMode="External"/><Relationship Id="rId59" Type="http://schemas.openxmlformats.org/officeDocument/2006/relationships/hyperlink" Target="http://www.sec.gov/Archives/edgar/data/1567683/000110465918055334/a18-24111_1ex10d5.htm#EXHIBIT10_5_051412" TargetMode="External"/><Relationship Id="rId60" Type="http://schemas.openxmlformats.org/officeDocument/2006/relationships/hyperlink" Target="http://www.sec.gov/Archives/edgar/data/1567683/000110465918055334/a18-24111_1ex10d3.htm#Exhibit10_3_095433" TargetMode="External"/><Relationship Id="rId61" Type="http://schemas.openxmlformats.org/officeDocument/2006/relationships/hyperlink" Target="http://www.sec.gov/Archives/edgar/data/1567683/000110465919008742/a19-4739_1ex10d1.htm#Exhibit99_1_092711" TargetMode="External"/><Relationship Id="rId62" Type="http://schemas.openxmlformats.org/officeDocument/2006/relationships/hyperlink" Target="http://www.sec.gov/Archives/edgar/data/1637757/000163775719000012/clearwayincex1012019q2.htm" TargetMode="External"/><Relationship Id="rId63" Type="http://schemas.openxmlformats.org/officeDocument/2006/relationships/hyperlink" Target="http://www.sec.gov/Archives/edgar/data/1637757/000110465919071001/tm1924691d1_ex10-1.htm" TargetMode="External"/><Relationship Id="rId64" Type="http://schemas.openxmlformats.org/officeDocument/2006/relationships/hyperlink" Target="http://www.sec.gov/Archives/edgar/data/1567683/000110465918055334/a18-24111_1ex10d1.htm#Exhibit10_1_072506" TargetMode="External"/><Relationship Id="rId65" Type="http://schemas.openxmlformats.org/officeDocument/2006/relationships/hyperlink" Target="http://www.sec.gov/Archives/edgar/data/1567683/000110465918055334/a18-24111_1ex10d2.htm" TargetMode="External"/><Relationship Id="rId66" Type="http://schemas.openxmlformats.org/officeDocument/2006/relationships/hyperlink" Target="http://www.sec.gov/Archives/edgar/data/1567683/000110465918055334/a18-24111_1ex10d9.htm#EXHIBIT10_9_053225" TargetMode="External"/><Relationship Id="rId67" Type="http://schemas.openxmlformats.org/officeDocument/2006/relationships/hyperlink" Target="http://www.sec.gov/Archives/edgar/data/1567683/000110465914031308/a14-11252_1ex10d1.htm" TargetMode="External"/><Relationship Id="rId68" Type="http://schemas.openxmlformats.org/officeDocument/2006/relationships/hyperlink" Target="http://www.sec.gov/Archives/edgar/data/1567683/000156768315000022/yieldincex1092015q2opllcam.htm" TargetMode="External"/><Relationship Id="rId69" Type="http://schemas.openxmlformats.org/officeDocument/2006/relationships/hyperlink" Target="http://www.sec.gov/Archives/edgar/data/1637757/000110465918008197/a18-5571_1ex10d1.htm#Exhibit10_1_093100" TargetMode="External"/><Relationship Id="rId70" Type="http://schemas.openxmlformats.org/officeDocument/2006/relationships/hyperlink" Target="http://www.sec.gov/Archives/edgar/data/1637757/000163775718000013/a101llc.htm" TargetMode="External"/><Relationship Id="rId71" Type="http://schemas.openxmlformats.org/officeDocument/2006/relationships/hyperlink" Target="http://www.sec.gov/Archives/edgar/data/1637757/000110465918071713/a18-41172_1ex10d1.htm" TargetMode="External"/><Relationship Id="rId72" Type="http://schemas.openxmlformats.org/officeDocument/2006/relationships/hyperlink" Target="http://www.sec.gov/Archives/edgar/data/1637757/000110465919075303/tm1926823d1_ex10-1.htm" TargetMode="External"/><Relationship Id="rId73" Type="http://schemas.openxmlformats.org/officeDocument/2006/relationships/hyperlink" Target="http://www.sec.gov/Archives/edgar/data/1567683/000156768315000022/yieldincex1012015q2rpv.htm" TargetMode="External"/><Relationship Id="rId74" Type="http://schemas.openxmlformats.org/officeDocument/2006/relationships/hyperlink" Target="http://www.sec.gov/Archives/edgar/data/1567683/000156768315000022/yieldincex1022015q2dgpv.htm" TargetMode="External"/><Relationship Id="rId75" Type="http://schemas.openxmlformats.org/officeDocument/2006/relationships/hyperlink" Target="http://www.sec.gov/Archives/edgar/data/1567683/000156768316000043/yieldincex1012016q1.htm" TargetMode="External"/><Relationship Id="rId76" Type="http://schemas.openxmlformats.org/officeDocument/2006/relationships/hyperlink" Target="http://www.sec.gov/Archives/edgar/data/1567683/000156768316000043/yieldincex1022016q1.htm" TargetMode="External"/><Relationship Id="rId77" Type="http://schemas.openxmlformats.org/officeDocument/2006/relationships/hyperlink" Target="http://www.sec.gov/Archives/edgar/data/1567683/000156768316000043/yieldincex1032016q1.htm" TargetMode="External"/><Relationship Id="rId78" Type="http://schemas.openxmlformats.org/officeDocument/2006/relationships/hyperlink" Target="http://www.sec.gov/Archives/edgar/data/1567683/000156768316000055/yieldincex1012016q2-rpvame.htm" TargetMode="External"/><Relationship Id="rId79" Type="http://schemas.openxmlformats.org/officeDocument/2006/relationships/hyperlink" Target="http://www.sec.gov/Archives/edgar/data/1567683/000110465916138081/a16-16348_2ex10d1.htm" TargetMode="External"/><Relationship Id="rId80" Type="http://schemas.openxmlformats.org/officeDocument/2006/relationships/hyperlink" Target="http://www.sec.gov/Archives/edgar/data/1567683/000156768318000008/yieldincex1028201710-k.htm" TargetMode="External"/><Relationship Id="rId81" Type="http://schemas.openxmlformats.org/officeDocument/2006/relationships/hyperlink" Target="http://www.sec.gov/Archives/edgar/data/1567683/000156768319000014/clearwayincex1030201810-k.htm" TargetMode="External"/><Relationship Id="rId82" Type="http://schemas.openxmlformats.org/officeDocument/2006/relationships/hyperlink" Target="http://www.sec.gov/Archives/edgar/data/1637757/000163775720000003/clearwayllcex1016201910-kr.htm" TargetMode="External"/><Relationship Id="rId83" Type="http://schemas.openxmlformats.org/officeDocument/2006/relationships/hyperlink" Target="http://www.sec.gov/Archives/edgar/data/1637757/000163775720000003/clearwayllcex1017201910-kr.htm" TargetMode="External"/><Relationship Id="rId84" Type="http://schemas.openxmlformats.org/officeDocument/2006/relationships/hyperlink" Target="http://www.sec.gov/Archives/edgar/data/1567683/000110465915038447/a15-11446_1ex10d1.htm" TargetMode="External"/><Relationship Id="rId85" Type="http://schemas.openxmlformats.org/officeDocument/2006/relationships/hyperlink" Target="http://www.sec.gov/Archives/edgar/data/1637757/000163775720000003/clearwayllcex211201910-kro.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2020-03-30T13:43:10Z</dcterms:created>
  <dcterms:modified xsi:type="dcterms:W3CDTF">2020-03-30T13:43:10Z</dcterms:modified>
</cp:coreProperties>
</file>