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us18539c2044_020119.txt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3 )</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CLEARWAY ENERGY INC CLASS A</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18539C204</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18539C204</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5100048</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5375608</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5375608</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7.4%</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CLEARWAY ENERGY INC CLASS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300 CARNEGIE CENTER, SUIT 300</w:t>
      </w:r>
    </w:p>
    <w:p>
      <w:pPr>
        <w:ind w:left="6"/>
        <w:spacing w:after="0" w:line="238" w:lineRule="auto"/>
        <w:rPr>
          <w:sz w:val="20"/>
          <w:szCs w:val="20"/>
          <w:color w:val="auto"/>
        </w:rPr>
      </w:pPr>
      <w:r>
        <w:rPr>
          <w:rFonts w:ascii="Courier New" w:cs="Courier New" w:eastAsia="Courier New" w:hAnsi="Courier New"/>
          <w:sz w:val="19"/>
          <w:szCs w:val="19"/>
          <w:color w:val="auto"/>
        </w:rPr>
        <w:t>PRINCETON NY 08540</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5375608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7.4%</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5100048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5375608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CLEARWAY ENERGY INC CLASS A.</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CLEARWAY ENERGY INC CLASS A</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1,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International Limited</w:t>
      </w:r>
    </w:p>
    <w:p>
      <w:pPr>
        <w:ind w:left="100"/>
        <w:spacing w:after="0" w:line="238" w:lineRule="auto"/>
        <w:rPr>
          <w:sz w:val="20"/>
          <w:szCs w:val="20"/>
          <w:color w:val="auto"/>
        </w:rPr>
      </w:pPr>
      <w:r>
        <w:rPr>
          <w:rFonts w:ascii="Courier New" w:cs="Courier New" w:eastAsia="Courier New" w:hAnsi="Courier New"/>
          <w:sz w:val="19"/>
          <w:szCs w:val="19"/>
          <w:color w:val="auto"/>
        </w:rPr>
        <w:t>BlackRock Advisors, LLC</w:t>
      </w:r>
    </w:p>
    <w:p>
      <w:pPr>
        <w:ind w:left="100"/>
        <w:spacing w:after="0"/>
        <w:rPr>
          <w:sz w:val="20"/>
          <w:szCs w:val="20"/>
          <w:color w:val="auto"/>
        </w:rPr>
      </w:pPr>
      <w:r>
        <w:rPr>
          <w:rFonts w:ascii="Courier New" w:cs="Courier New" w:eastAsia="Courier New" w:hAnsi="Courier New"/>
          <w:sz w:val="19"/>
          <w:szCs w:val="19"/>
          <w:color w:val="auto"/>
        </w:rPr>
        <w:t>BlackRock (Netherlands) B.V.</w:t>
      </w:r>
    </w:p>
    <w:p>
      <w:pPr>
        <w:ind w:left="100"/>
        <w:spacing w:after="0" w:line="237" w:lineRule="auto"/>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line="237" w:lineRule="auto"/>
        <w:rPr>
          <w:sz w:val="20"/>
          <w:szCs w:val="20"/>
          <w:color w:val="auto"/>
        </w:rPr>
      </w:pPr>
      <w:r>
        <w:rPr>
          <w:rFonts w:ascii="Courier New" w:cs="Courier New" w:eastAsia="Courier New" w:hAnsi="Courier New"/>
          <w:sz w:val="19"/>
          <w:szCs w:val="19"/>
          <w:color w:val="auto"/>
        </w:rPr>
        <w:t>BlackRock Financial Management, Inc.</w:t>
      </w:r>
    </w:p>
    <w:p>
      <w:pPr>
        <w:ind w:left="100"/>
        <w:spacing w:after="0"/>
        <w:rPr>
          <w:sz w:val="20"/>
          <w:szCs w:val="20"/>
          <w:color w:val="auto"/>
        </w:rPr>
      </w:pPr>
      <w:r>
        <w:rPr>
          <w:rFonts w:ascii="Courier New" w:cs="Courier New" w:eastAsia="Courier New" w:hAnsi="Courier New"/>
          <w:sz w:val="19"/>
          <w:szCs w:val="19"/>
          <w:color w:val="auto"/>
        </w:rPr>
        <w:t>BlackRock Japan Co., Ltd.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Schweiz AG</w:t>
      </w:r>
    </w:p>
    <w:p>
      <w:pPr>
        <w:ind w:left="100"/>
        <w:spacing w:after="0"/>
        <w:rPr>
          <w:sz w:val="20"/>
          <w:szCs w:val="20"/>
          <w:color w:val="auto"/>
        </w:rPr>
      </w:pPr>
      <w:r>
        <w:rPr>
          <w:rFonts w:ascii="Courier New" w:cs="Courier New" w:eastAsia="Courier New" w:hAnsi="Courier New"/>
          <w:sz w:val="19"/>
          <w:szCs w:val="19"/>
          <w:color w:val="auto"/>
        </w:rPr>
        <w:t>BlackRock Investment Management, LLC</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4"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w:t>
      </w:r>
    </w:p>
    <w:p>
      <w:pPr>
        <w:sectPr>
          <w:pgSz w:w="12240" w:h="15840" w:orient="portrait"/>
          <w:cols w:equalWidth="0" w:num="1">
            <w:col w:w="10680"/>
          </w:cols>
          <w:pgMar w:left="120" w:top="209" w:right="1440" w:bottom="0" w:gutter="0" w:footer="0" w:header="0"/>
        </w:sectPr>
      </w:pPr>
    </w:p>
    <w:bookmarkStart w:id="5" w:name="page6"/>
    <w:bookmarkEnd w:id="5"/>
    <w:p>
      <w:pPr>
        <w:ind w:right="3020"/>
        <w:spacing w:after="0" w:line="236" w:lineRule="auto"/>
        <w:rPr>
          <w:sz w:val="20"/>
          <w:szCs w:val="20"/>
          <w:color w:val="auto"/>
        </w:rPr>
      </w:pPr>
      <w:r>
        <w:rPr>
          <w:rFonts w:ascii="Courier New" w:cs="Courier New" w:eastAsia="Courier New" w:hAnsi="Courier New"/>
          <w:sz w:val="19"/>
          <w:szCs w:val="19"/>
          <w:color w:val="auto"/>
        </w:rPr>
        <w:t>Forms 3, 4, 5, 13D, 13F, 13G and 13H and any amendments to any of the Foregoing as may be required to be filed with the Securities and Exchange Commission, and delivering, furnishing or filing any</w:t>
      </w:r>
    </w:p>
    <w:p>
      <w:pPr>
        <w:spacing w:after="0" w:line="7"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2019-12-19T21:20:13Z</dcterms:created>
  <dcterms:modified xsi:type="dcterms:W3CDTF">2019-12-19T21:20:13Z</dcterms:modified>
</cp:coreProperties>
</file>