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6668d1_8k.htm"/>
      <w:bookmarkStart w:id="1" w:name="kstm2316668d1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30519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May 19,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3"/>
      <w:bookmarkEnd w:id="4"/>
      <w:r>
        <w:rPr>
          <w:rFonts w:ascii="Times New Roman;Times;Serif" w:hAnsi="Times New Roman;Times;Serif"/>
          <w:b/>
          <w:i w:val="false"/>
          <w:caps w:val="false"/>
          <w:smallCaps w:val="false"/>
          <w:sz w:val="36"/>
        </w:rPr>
        <w:t>Clearway Energy,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845" w:type="dxa"/>
        <w:jc w:val="left"/>
        <w:tblInd w:w="0" w:type="dxa"/>
        <w:tblCellMar>
          <w:top w:w="0" w:type="dxa"/>
          <w:left w:w="0" w:type="dxa"/>
          <w:bottom w:w="0" w:type="dxa"/>
          <w:right w:w="0" w:type="dxa"/>
        </w:tblCellMar>
      </w:tblPr>
      <w:tblGrid>
        <w:gridCol w:w="2735"/>
        <w:gridCol w:w="60"/>
        <w:gridCol w:w="2210"/>
        <w:gridCol w:w="60"/>
        <w:gridCol w:w="2780"/>
      </w:tblGrid>
      <w:tr>
        <w:trPr/>
        <w:tc>
          <w:tcPr>
            <w:tcW w:w="2735" w:type="dxa"/>
            <w:tcBorders/>
            <w:shd w:fill="auto" w:val="clear"/>
            <w:vAlign w:val="center"/>
          </w:tcPr>
          <w:p>
            <w:pPr>
              <w:pStyle w:val="TableContents"/>
              <w:spacing w:before="0" w:after="283"/>
              <w:jc w:val="center"/>
              <w:rPr>
                <w:b/>
                <w:sz w:val="20"/>
              </w:rPr>
            </w:pPr>
            <w:bookmarkStart w:id="5" w:name="xdx_900_edei--EntityIncorporationStateCo"/>
            <w:bookmarkEnd w:id="5"/>
            <w:r>
              <w:rPr>
                <w:b/>
                <w:sz w:val="20"/>
              </w:rPr>
              <w:t>Delaware</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b/>
                <w:sz w:val="20"/>
              </w:rPr>
            </w:pPr>
            <w:bookmarkStart w:id="6" w:name="xdx_90A_edei--EntityFileNumber_c20230519"/>
            <w:bookmarkEnd w:id="6"/>
            <w:r>
              <w:rPr>
                <w:b/>
                <w:sz w:val="20"/>
              </w:rPr>
              <w:t>001-36002</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b/>
                <w:sz w:val="20"/>
              </w:rPr>
            </w:pPr>
            <w:bookmarkStart w:id="7" w:name="xdx_903_edei--EntityTaxIdentificationNum"/>
            <w:bookmarkEnd w:id="7"/>
            <w:r>
              <w:rPr>
                <w:b/>
                <w:sz w:val="20"/>
              </w:rPr>
              <w:t>46-1777204</w:t>
            </w:r>
          </w:p>
        </w:tc>
      </w:tr>
      <w:tr>
        <w:trPr/>
        <w:tc>
          <w:tcPr>
            <w:tcW w:w="2735" w:type="dxa"/>
            <w:tcBorders/>
            <w:shd w:fill="auto" w:val="clear"/>
            <w:vAlign w:val="center"/>
          </w:tcPr>
          <w:p>
            <w:pPr>
              <w:pStyle w:val="TableContents"/>
              <w:spacing w:before="0" w:after="283"/>
              <w:jc w:val="center"/>
              <w:rPr/>
            </w:pPr>
            <w:r>
              <w:rPr/>
              <w:t>(State or other jurisdiction of</w:t>
              <w:br/>
              <w:t>incorporation)</w:t>
            </w:r>
          </w:p>
        </w:tc>
        <w:tc>
          <w:tcPr>
            <w:tcW w:w="60" w:type="dxa"/>
            <w:tcBorders/>
            <w:shd w:fill="auto" w:val="clear"/>
            <w:vAlign w:val="center"/>
          </w:tcPr>
          <w:p>
            <w:pPr>
              <w:pStyle w:val="TableContents"/>
              <w:spacing w:before="0" w:after="283"/>
              <w:jc w:val="center"/>
              <w:rPr/>
            </w:pPr>
            <w:r>
              <w:rPr/>
              <w:t> </w:t>
            </w:r>
          </w:p>
        </w:tc>
        <w:tc>
          <w:tcPr>
            <w:tcW w:w="2210"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jc w:val="center"/>
              <w:rPr/>
            </w:pPr>
            <w:r>
              <w:rPr/>
              <w:t> </w:t>
            </w:r>
          </w:p>
        </w:tc>
        <w:tc>
          <w:tcPr>
            <w:tcW w:w="2780" w:type="dxa"/>
            <w:tcBorders/>
            <w:shd w:fill="auto" w:val="clear"/>
            <w:vAlign w:val="center"/>
          </w:tcPr>
          <w:p>
            <w:pPr>
              <w:pStyle w:val="TableContents"/>
              <w:spacing w:before="0" w:after="283"/>
              <w:jc w:val="center"/>
              <w:rPr>
                <w:sz w:val="20"/>
              </w:rPr>
            </w:pPr>
            <w:r>
              <w:rPr>
                <w:sz w:val="20"/>
              </w:rPr>
              <w:t>(IRS Employer Identification No.)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300 Carnegie Center, </w:t>
      </w:r>
      <w:bookmarkStart w:id="9" w:name="xdx_90B_edei--EntityAddressAddressLine2_"/>
      <w:bookmarkEnd w:id="9"/>
      <w:r>
        <w:rPr>
          <w:rFonts w:ascii="Times New Roman;Times;Serif" w:hAnsi="Times New Roman;Times;Serif"/>
          <w:b/>
          <w:i w:val="false"/>
          <w:caps w:val="false"/>
          <w:smallCaps w:val="false"/>
          <w:sz w:val="20"/>
        </w:rPr>
        <w:t xml:space="preserve">Suite 300, </w:t>
      </w:r>
      <w:bookmarkStart w:id="10" w:name="xdx_906_edei--EntityAddressCityOrTown_c2"/>
      <w:bookmarkEnd w:id="10"/>
      <w:r>
        <w:rPr>
          <w:rFonts w:ascii="Times New Roman;Times;Serif" w:hAnsi="Times New Roman;Times;Serif"/>
          <w:b/>
          <w:i w:val="false"/>
          <w:caps w:val="false"/>
          <w:smallCaps w:val="false"/>
          <w:sz w:val="20"/>
        </w:rPr>
        <w:t xml:space="preserve">Princeton, </w:t>
      </w:r>
      <w:bookmarkStart w:id="11" w:name="xdx_902_edei--EntityAddressStateOrProvin"/>
      <w:bookmarkEnd w:id="11"/>
      <w:r>
        <w:rPr>
          <w:rFonts w:ascii="Times New Roman;Times;Serif" w:hAnsi="Times New Roman;Times;Serif"/>
          <w:b/>
          <w:i w:val="false"/>
          <w:caps w:val="false"/>
          <w:smallCaps w:val="false"/>
          <w:sz w:val="20"/>
        </w:rPr>
        <w:t xml:space="preserve">New Jersey </w:t>
      </w:r>
      <w:bookmarkStart w:id="12" w:name="xdx_901_edei--EntityAddressPostalZipCode"/>
      <w:bookmarkEnd w:id="12"/>
      <w:r>
        <w:rPr>
          <w:rFonts w:ascii="Times New Roman;Times;Serif" w:hAnsi="Times New Roman;Times;Serif"/>
          <w:b/>
          <w:i w:val="false"/>
          <w:caps w:val="false"/>
          <w:smallCaps w:val="false"/>
          <w:sz w:val="20"/>
        </w:rPr>
        <w:t>08540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30519__20"/>
      <w:bookmarkEnd w:id="13"/>
      <w:r>
        <w:rPr>
          <w:rFonts w:ascii="Times New Roman;Times;Serif" w:hAnsi="Times New Roman;Times;Serif"/>
          <w:b/>
          <w:i w:val="false"/>
          <w:caps w:val="false"/>
          <w:smallCaps w:val="false"/>
          <w:sz w:val="20"/>
        </w:rPr>
        <w:t xml:space="preserve">609) </w:t>
      </w:r>
      <w:bookmarkStart w:id="14" w:name="xdx_900_edei--LocalPhoneNumber_c20230519"/>
      <w:bookmarkEnd w:id="14"/>
      <w:r>
        <w:rPr>
          <w:rFonts w:ascii="Times New Roman;Times;Serif" w:hAnsi="Times New Roman;Times;Serif"/>
          <w:b/>
          <w:i w:val="false"/>
          <w:caps w:val="false"/>
          <w:smallCaps w:val="false"/>
          <w:sz w:val="20"/>
        </w:rPr>
        <w:t>608-1525</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7600" w:type="dxa"/>
        <w:jc w:val="left"/>
        <w:tblInd w:w="0" w:type="dxa"/>
        <w:tblCellMar>
          <w:top w:w="0" w:type="dxa"/>
          <w:left w:w="0" w:type="dxa"/>
          <w:bottom w:w="0" w:type="dxa"/>
          <w:right w:w="0" w:type="dxa"/>
        </w:tblCellMar>
      </w:tblPr>
      <w:tblGrid>
        <w:gridCol w:w="75"/>
        <w:gridCol w:w="230"/>
        <w:gridCol w:w="729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5" w:name="xdx_906_edei--WrittenCommunications_c202"/>
            <w:bookmarkEnd w:id="15"/>
            <w:r>
              <w:rPr>
                <w:caps w:val="false"/>
                <w:smallCaps w:val="false"/>
              </w:rPr>
              <w:t>☐</w:t>
            </w:r>
          </w:p>
        </w:tc>
        <w:tc>
          <w:tcPr>
            <w:tcW w:w="7295" w:type="dxa"/>
            <w:tcBorders/>
            <w:shd w:fill="auto" w:val="clear"/>
            <w:vAlign w:val="center"/>
          </w:tcPr>
          <w:p>
            <w:pPr>
              <w:pStyle w:val="TableContents"/>
              <w:spacing w:before="0" w:after="283"/>
              <w:jc w:val="both"/>
              <w:rPr>
                <w:sz w:val="20"/>
              </w:rPr>
            </w:pPr>
            <w:r>
              <w:rPr>
                <w:sz w:val="20"/>
              </w:rPr>
              <w:t>Written communications pursuant to Rule 425 under the Securities Act (17 CFR 230.425)</w:t>
            </w:r>
          </w:p>
        </w:tc>
      </w:tr>
    </w:tbl>
    <w:p>
      <w:pPr>
        <w:pStyle w:val="TextBody"/>
        <w:spacing w:before="0" w:after="0"/>
        <w:ind w:left="0" w:right="0" w:hanging="0"/>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230"/>
        <w:gridCol w:w="732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6" w:name="xdx_902_edei--SolicitingMaterial_c202305"/>
            <w:bookmarkEnd w:id="16"/>
            <w:r>
              <w:rPr>
                <w:caps w:val="false"/>
                <w:smallCaps w:val="false"/>
              </w:rPr>
              <w:t>☐</w:t>
            </w:r>
          </w:p>
        </w:tc>
        <w:tc>
          <w:tcPr>
            <w:tcW w:w="7325" w:type="dxa"/>
            <w:tcBorders/>
            <w:shd w:fill="auto" w:val="clear"/>
            <w:vAlign w:val="center"/>
          </w:tcPr>
          <w:p>
            <w:pPr>
              <w:pStyle w:val="TableContents"/>
              <w:spacing w:before="0" w:after="283"/>
              <w:jc w:val="both"/>
              <w:rPr>
                <w:sz w:val="20"/>
              </w:rPr>
            </w:pPr>
            <w:r>
              <w:rPr>
                <w:sz w:val="20"/>
              </w:rPr>
              <w:t>Soliciting material pursuant to Rule 14a-12 under the Exchange Act (17 CFR 240.14a-12)</w:t>
            </w:r>
          </w:p>
        </w:tc>
      </w:tr>
    </w:tbl>
    <w:p>
      <w:pPr>
        <w:pStyle w:val="TextBody"/>
        <w:spacing w:before="0" w:after="0"/>
        <w:ind w:left="0" w:right="0" w:hanging="0"/>
        <w:rPr>
          <w:caps w:val="false"/>
          <w:smallCaps w:val="false"/>
        </w:rPr>
      </w:pPr>
      <w:r>
        <w:rPr>
          <w:caps w:val="false"/>
          <w:smallCaps w:val="false"/>
        </w:rPr>
        <w:t> </w:t>
      </w:r>
    </w:p>
    <w:tbl>
      <w:tblPr>
        <w:tblW w:w="9370" w:type="dxa"/>
        <w:jc w:val="left"/>
        <w:tblInd w:w="0" w:type="dxa"/>
        <w:tblCellMar>
          <w:top w:w="0" w:type="dxa"/>
          <w:left w:w="0" w:type="dxa"/>
          <w:bottom w:w="0" w:type="dxa"/>
          <w:right w:w="0" w:type="dxa"/>
        </w:tblCellMar>
      </w:tblPr>
      <w:tblGrid>
        <w:gridCol w:w="75"/>
        <w:gridCol w:w="230"/>
        <w:gridCol w:w="906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7" w:name="xdx_909_edei--PreCommencementTenderOffer"/>
            <w:bookmarkEnd w:id="17"/>
            <w:r>
              <w:rPr>
                <w:caps w:val="false"/>
                <w:smallCaps w:val="false"/>
              </w:rPr>
              <w:t>☐</w:t>
            </w:r>
          </w:p>
        </w:tc>
        <w:tc>
          <w:tcPr>
            <w:tcW w:w="9065" w:type="dxa"/>
            <w:tcBorders/>
            <w:shd w:fill="auto" w:val="clear"/>
            <w:vAlign w:val="center"/>
          </w:tcPr>
          <w:p>
            <w:pPr>
              <w:pStyle w:val="TableContents"/>
              <w:spacing w:before="0" w:after="283"/>
              <w:jc w:val="both"/>
              <w:rPr>
                <w:sz w:val="20"/>
              </w:rPr>
            </w:pPr>
            <w:r>
              <w:rPr>
                <w:sz w:val="20"/>
              </w:rPr>
              <w:t>Pre-commencement communications pursuant to Rule 14d-2(b) under the Exchange Act (17 CFR 240.14d-2(b))</w:t>
            </w:r>
          </w:p>
        </w:tc>
      </w:tr>
    </w:tbl>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75"/>
        <w:gridCol w:w="230"/>
        <w:gridCol w:w="900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rPr>
                <w:caps w:val="false"/>
                <w:smallCaps w:val="false"/>
              </w:rPr>
            </w:pPr>
            <w:bookmarkStart w:id="18" w:name="xdx_907_edei--PreCommencementIssuerTende"/>
            <w:bookmarkEnd w:id="18"/>
            <w:r>
              <w:rPr>
                <w:caps w:val="false"/>
                <w:smallCaps w:val="false"/>
              </w:rPr>
              <w:t>☐</w:t>
            </w:r>
          </w:p>
        </w:tc>
        <w:tc>
          <w:tcPr>
            <w:tcW w:w="9005" w:type="dxa"/>
            <w:tcBorders/>
            <w:shd w:fill="auto" w:val="clear"/>
            <w:vAlign w:val="center"/>
          </w:tcPr>
          <w:p>
            <w:pPr>
              <w:pStyle w:val="TableContents"/>
              <w:spacing w:before="0" w:after="283"/>
              <w:jc w:val="both"/>
              <w:rPr>
                <w:sz w:val="20"/>
              </w:rPr>
            </w:pPr>
            <w:r>
              <w:rPr>
                <w:sz w:val="20"/>
              </w:rPr>
              <w:t>Pre-commencement communications pursuant to Rule 13e-4(c) under the Exchange Act (17 CFR 240.13e-4(c))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625" w:type="dxa"/>
        <w:jc w:val="left"/>
        <w:tblInd w:w="0" w:type="dxa"/>
        <w:tblCellMar>
          <w:top w:w="0" w:type="dxa"/>
          <w:left w:w="0" w:type="dxa"/>
          <w:bottom w:w="28" w:type="dxa"/>
          <w:right w:w="0" w:type="dxa"/>
        </w:tblCellMar>
      </w:tblPr>
      <w:tblGrid>
        <w:gridCol w:w="3305"/>
        <w:gridCol w:w="1610"/>
        <w:gridCol w:w="3710"/>
      </w:tblGrid>
      <w:tr>
        <w:trPr/>
        <w:tc>
          <w:tcPr>
            <w:tcW w:w="3305" w:type="dxa"/>
            <w:tcBorders>
              <w:bottom w:val="single" w:sz="8" w:space="0" w:color="000000"/>
            </w:tcBorders>
            <w:shd w:fill="auto" w:val="clear"/>
            <w:vAlign w:val="center"/>
          </w:tcPr>
          <w:p>
            <w:pPr>
              <w:pStyle w:val="TableContents"/>
              <w:spacing w:before="0" w:after="283"/>
              <w:jc w:val="center"/>
              <w:rPr>
                <w:b/>
                <w:sz w:val="20"/>
              </w:rPr>
            </w:pPr>
            <w:r>
              <w:rPr>
                <w:b/>
                <w:sz w:val="20"/>
              </w:rPr>
              <w:t>Title of each class</w:t>
            </w:r>
          </w:p>
        </w:tc>
        <w:tc>
          <w:tcPr>
            <w:tcW w:w="1610" w:type="dxa"/>
            <w:tcBorders>
              <w:bottom w:val="single" w:sz="8" w:space="0" w:color="000000"/>
            </w:tcBorders>
            <w:shd w:fill="auto" w:val="clear"/>
            <w:vAlign w:val="center"/>
          </w:tcPr>
          <w:p>
            <w:pPr>
              <w:pStyle w:val="TableContents"/>
              <w:spacing w:before="0" w:after="283"/>
              <w:jc w:val="center"/>
              <w:rPr>
                <w:b/>
                <w:sz w:val="20"/>
              </w:rPr>
            </w:pPr>
            <w:r>
              <w:rPr>
                <w:b/>
                <w:sz w:val="20"/>
              </w:rPr>
              <w:t>Trading Symbol(s)</w:t>
            </w:r>
          </w:p>
        </w:tc>
        <w:tc>
          <w:tcPr>
            <w:tcW w:w="3710" w:type="dxa"/>
            <w:tcBorders>
              <w:bottom w:val="single" w:sz="8" w:space="0" w:color="000000"/>
            </w:tcBorders>
            <w:shd w:fill="auto" w:val="clear"/>
            <w:vAlign w:val="center"/>
          </w:tcPr>
          <w:p>
            <w:pPr>
              <w:pStyle w:val="TableContents"/>
              <w:spacing w:before="0" w:after="283"/>
              <w:jc w:val="center"/>
              <w:rPr>
                <w:b/>
                <w:sz w:val="20"/>
              </w:rPr>
            </w:pPr>
            <w:r>
              <w:rPr>
                <w:b/>
                <w:sz w:val="20"/>
              </w:rPr>
              <w:t>Name of each exchange on which registered</w:t>
            </w:r>
          </w:p>
        </w:tc>
      </w:tr>
      <w:tr>
        <w:trPr/>
        <w:tc>
          <w:tcPr>
            <w:tcW w:w="3305" w:type="dxa"/>
            <w:tcBorders/>
            <w:shd w:fill="auto" w:val="clear"/>
            <w:tcMar>
              <w:bottom w:w="0" w:type="dxa"/>
            </w:tcMar>
            <w:vAlign w:val="center"/>
          </w:tcPr>
          <w:p>
            <w:pPr>
              <w:pStyle w:val="TableContents"/>
              <w:spacing w:before="0" w:after="283"/>
              <w:jc w:val="center"/>
              <w:rPr>
                <w:sz w:val="20"/>
              </w:rPr>
            </w:pPr>
            <w:bookmarkStart w:id="19" w:name="xdx_90A_edei--Security12bTitle_c20230519"/>
            <w:bookmarkEnd w:id="19"/>
            <w:r>
              <w:rPr>
                <w:sz w:val="20"/>
              </w:rPr>
              <w:t>Class A Common Stock, par value $0.01</w:t>
            </w:r>
          </w:p>
        </w:tc>
        <w:tc>
          <w:tcPr>
            <w:tcW w:w="1610" w:type="dxa"/>
            <w:tcBorders/>
            <w:shd w:fill="auto" w:val="clear"/>
            <w:tcMar>
              <w:bottom w:w="0" w:type="dxa"/>
            </w:tcMar>
            <w:vAlign w:val="center"/>
          </w:tcPr>
          <w:p>
            <w:pPr>
              <w:pStyle w:val="TableContents"/>
              <w:spacing w:before="0" w:after="283"/>
              <w:jc w:val="center"/>
              <w:rPr>
                <w:sz w:val="20"/>
              </w:rPr>
            </w:pPr>
            <w:bookmarkStart w:id="20" w:name="xdx_90F_edei--TradingSymbol_c20230519__2"/>
            <w:bookmarkEnd w:id="20"/>
            <w:r>
              <w:rPr>
                <w:sz w:val="20"/>
              </w:rPr>
              <w:t>CWEN.A</w:t>
            </w:r>
          </w:p>
        </w:tc>
        <w:tc>
          <w:tcPr>
            <w:tcW w:w="3710" w:type="dxa"/>
            <w:tcBorders/>
            <w:shd w:fill="auto" w:val="clear"/>
            <w:tcMar>
              <w:bottom w:w="0" w:type="dxa"/>
            </w:tcMar>
            <w:vAlign w:val="center"/>
          </w:tcPr>
          <w:p>
            <w:pPr>
              <w:pStyle w:val="TableContents"/>
              <w:spacing w:before="0" w:after="283"/>
              <w:jc w:val="center"/>
              <w:rPr>
                <w:sz w:val="20"/>
              </w:rPr>
            </w:pPr>
            <w:bookmarkStart w:id="21" w:name="xdx_90D_edei--SecurityExchangeName_c2023"/>
            <w:bookmarkEnd w:id="21"/>
            <w:r>
              <w:rPr>
                <w:sz w:val="20"/>
              </w:rPr>
              <w:t>New York Stock Exchange</w:t>
            </w:r>
          </w:p>
        </w:tc>
      </w:tr>
      <w:tr>
        <w:trPr/>
        <w:tc>
          <w:tcPr>
            <w:tcW w:w="3305" w:type="dxa"/>
            <w:tcBorders/>
            <w:shd w:fill="auto" w:val="clear"/>
            <w:tcMar>
              <w:bottom w:w="0" w:type="dxa"/>
            </w:tcMar>
            <w:vAlign w:val="center"/>
          </w:tcPr>
          <w:p>
            <w:pPr>
              <w:pStyle w:val="TableContents"/>
              <w:spacing w:before="0" w:after="283"/>
              <w:jc w:val="center"/>
              <w:rPr>
                <w:sz w:val="20"/>
              </w:rPr>
            </w:pPr>
            <w:bookmarkStart w:id="22" w:name="xdx_907_edei--Security12bTitle_c20230519"/>
            <w:bookmarkEnd w:id="22"/>
            <w:r>
              <w:rPr>
                <w:sz w:val="20"/>
              </w:rPr>
              <w:t>Class C Common Stock, par value $0.01</w:t>
            </w:r>
          </w:p>
        </w:tc>
        <w:tc>
          <w:tcPr>
            <w:tcW w:w="1610" w:type="dxa"/>
            <w:tcBorders/>
            <w:shd w:fill="auto" w:val="clear"/>
            <w:tcMar>
              <w:bottom w:w="0" w:type="dxa"/>
            </w:tcMar>
            <w:vAlign w:val="center"/>
          </w:tcPr>
          <w:p>
            <w:pPr>
              <w:pStyle w:val="TableContents"/>
              <w:spacing w:before="0" w:after="283"/>
              <w:jc w:val="center"/>
              <w:rPr>
                <w:sz w:val="20"/>
              </w:rPr>
            </w:pPr>
            <w:bookmarkStart w:id="23" w:name="xdx_900_edei--TradingSymbol_c20230519__2"/>
            <w:bookmarkEnd w:id="23"/>
            <w:r>
              <w:rPr>
                <w:sz w:val="20"/>
              </w:rPr>
              <w:t>CWEN</w:t>
            </w:r>
          </w:p>
        </w:tc>
        <w:tc>
          <w:tcPr>
            <w:tcW w:w="3710" w:type="dxa"/>
            <w:tcBorders/>
            <w:shd w:fill="auto" w:val="clear"/>
            <w:tcMar>
              <w:bottom w:w="0" w:type="dxa"/>
            </w:tcMar>
            <w:vAlign w:val="center"/>
          </w:tcPr>
          <w:p>
            <w:pPr>
              <w:pStyle w:val="TableContents"/>
              <w:spacing w:before="0" w:after="283"/>
              <w:jc w:val="center"/>
              <w:rPr>
                <w:sz w:val="20"/>
              </w:rPr>
            </w:pPr>
            <w:bookmarkStart w:id="24" w:name="xdx_909_edei--SecurityExchangeName_c2023"/>
            <w:bookmarkEnd w:id="24"/>
            <w:r>
              <w:rPr>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5" w:name="xdx_908_edei--EntityEmergingGrowthCompan"/>
      <w:bookmarkEnd w:id="25"/>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2023, Cedar Creek Wind Holdco LLC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 subsidiary of Clearway Energy,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 Membership Interest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with Renew Development HoldCo LLC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 affiliate of Clearway Energy Group LLC.  Pursuant to the terms of the Purchase Agreement, Purchaser will acquire from Seller 100% of the limited liability company membership interests in Cedar Creek Holdco LLC (“</w:t>
      </w:r>
      <w:r>
        <w:rPr>
          <w:rFonts w:ascii="Times New Roman;Times;Serif" w:hAnsi="Times New Roman;Times;Serif"/>
          <w:b w:val="false"/>
          <w:i w:val="false"/>
          <w:caps w:val="false"/>
          <w:smallCaps w:val="false"/>
          <w:sz w:val="20"/>
          <w:u w:val="single"/>
        </w:rPr>
        <w:t>Target Company</w:t>
      </w:r>
      <w:r>
        <w:rPr>
          <w:rFonts w:ascii="Times New Roman;Times;Serif" w:hAnsi="Times New Roman;Times;Serif"/>
          <w:b w:val="false"/>
          <w:i w:val="false"/>
          <w:caps w:val="false"/>
          <w:smallCaps w:val="false"/>
          <w:sz w:val="20"/>
        </w:rPr>
        <w:t>”), which owns 100% of the limited liability company interests in Cedar Creek TE Holdco LLC (“</w:t>
      </w:r>
      <w:r>
        <w:rPr>
          <w:rFonts w:ascii="Times New Roman;Times;Serif" w:hAnsi="Times New Roman;Times;Serif"/>
          <w:b w:val="false"/>
          <w:i w:val="false"/>
          <w:caps w:val="false"/>
          <w:smallCaps w:val="false"/>
          <w:sz w:val="20"/>
          <w:u w:val="single"/>
        </w:rPr>
        <w:t>TE HoldCo</w:t>
      </w:r>
      <w:r>
        <w:rPr>
          <w:rFonts w:ascii="Times New Roman;Times;Serif" w:hAnsi="Times New Roman;Times;Serif"/>
          <w:b w:val="false"/>
          <w:i w:val="false"/>
          <w:caps w:val="false"/>
          <w:smallCaps w:val="false"/>
          <w:sz w:val="20"/>
        </w:rPr>
        <w:t>”), which is the owner of all of the limited liability company interests in Cedar Creek Wind, LLC (the “</w:t>
      </w:r>
      <w:r>
        <w:rPr>
          <w:rFonts w:ascii="Times New Roman;Times;Serif" w:hAnsi="Times New Roman;Times;Serif"/>
          <w:b w:val="false"/>
          <w:i w:val="false"/>
          <w:caps w:val="false"/>
          <w:smallCaps w:val="false"/>
          <w:sz w:val="20"/>
          <w:u w:val="single"/>
        </w:rPr>
        <w:t>Project Company</w:t>
      </w:r>
      <w:r>
        <w:rPr>
          <w:rFonts w:ascii="Times New Roman;Times;Serif" w:hAnsi="Times New Roman;Times;Serif"/>
          <w:b w:val="false"/>
          <w:i w:val="false"/>
          <w:caps w:val="false"/>
          <w:smallCaps w:val="false"/>
          <w:sz w:val="20"/>
        </w:rPr>
        <w:t>”), for a purchase price of approximately $107 million in cash, subject to customary working capital adjustments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 The Project Company is developing and constructing an approximately 159.8 megawatt wind energy generating facility and associated infrastructure in Bingham County, Idaho. At or prior to the closing of the Transaction, an investor has agreed to make an investment in TE HoldCo, upon which the membership interests of TE HoldCo will be divided into Class A membership interests and Class B membership interests. At the closing, the investor will own all of the Class A membership interests of TE HoldCo, and the Purchaser will indirectly own all of the Class B membership interests.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and warranties and covenants made by the parties. Each of the Purchaser and the Seller are obligated, subject to certain limitations, to indemnify the other for certain customary and other specified matters, including breaches of representations and warranties, nonfulfillment or breaches of covenants and for certain liabilities and third-party claims.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 is subject to customary closing conditions and certain third-party approvals. The Company expects the Transaction to close in the first half of 2024.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does not purport to be complete and is qualified in its entirety by reference to the full text of the Purchase Agreement, a copy of which is filed as Exhibit 10.1 to this Current Report on Form 8-K (this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and is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28" w:type="dxa"/>
          <w:right w:w="0" w:type="dxa"/>
        </w:tblCellMar>
      </w:tblPr>
      <w:tblGrid>
        <w:gridCol w:w="665"/>
        <w:gridCol w:w="60"/>
        <w:gridCol w:w="9814"/>
      </w:tblGrid>
      <w:tr>
        <w:trPr/>
        <w:tc>
          <w:tcPr>
            <w:tcW w:w="665" w:type="dxa"/>
            <w:tcBorders>
              <w:bottom w:val="single" w:sz="8"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Exhibit</w:t>
              <w:br/>
              <w:t>No.</w:t>
            </w:r>
          </w:p>
        </w:tc>
        <w:tc>
          <w:tcPr>
            <w:tcW w:w="60" w:type="dxa"/>
            <w:tcBorders/>
            <w:shd w:fill="auto" w:val="clear"/>
            <w:tcMar>
              <w:bottom w:w="0" w:type="dxa"/>
            </w:tcMar>
            <w:vAlign w:val="center"/>
          </w:tcPr>
          <w:p>
            <w:pPr>
              <w:pStyle w:val="TableContents"/>
              <w:spacing w:before="0" w:after="283"/>
              <w:jc w:val="center"/>
              <w:rPr/>
            </w:pPr>
            <w:r>
              <w:rPr/>
              <w:t> </w:t>
            </w:r>
          </w:p>
        </w:tc>
        <w:tc>
          <w:tcPr>
            <w:tcW w:w="9814"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Document</w:t>
            </w:r>
          </w:p>
        </w:tc>
      </w:tr>
      <w:tr>
        <w:trPr/>
        <w:tc>
          <w:tcPr>
            <w:tcW w:w="665"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jc w:val="center"/>
              <w:rPr/>
            </w:pPr>
            <w:r>
              <w:rPr/>
              <w:t> </w:t>
            </w:r>
          </w:p>
        </w:tc>
        <w:tc>
          <w:tcPr>
            <w:tcW w:w="9814" w:type="dxa"/>
            <w:tcBorders/>
            <w:shd w:fill="auto" w:val="clear"/>
            <w:tcMar>
              <w:bottom w:w="0" w:type="dxa"/>
            </w:tcMar>
            <w:vAlign w:val="center"/>
          </w:tcPr>
          <w:p>
            <w:pPr>
              <w:pStyle w:val="TableContents"/>
              <w:spacing w:before="0" w:after="283"/>
              <w:jc w:val="center"/>
              <w:rPr/>
            </w:pPr>
            <w:r>
              <w:rPr/>
              <w:t> </w:t>
            </w:r>
          </w:p>
        </w:tc>
      </w:tr>
      <w:tr>
        <w:trPr/>
        <w:tc>
          <w:tcPr>
            <w:tcW w:w="665" w:type="dxa"/>
            <w:tcBorders/>
            <w:shd w:fill="auto" w:val="clear"/>
            <w:tcMar>
              <w:bottom w:w="0" w:type="dxa"/>
            </w:tcMar>
            <w:vAlign w:val="center"/>
          </w:tcPr>
          <w:p>
            <w:pPr>
              <w:pStyle w:val="TableContents"/>
              <w:spacing w:before="0" w:after="283"/>
              <w:rPr/>
            </w:pPr>
            <w:hyperlink w:anchor="tm2316668d1_ex10-1.htm">
              <w:r>
                <w:rPr>
                  <w:rStyle w:val="InternetLink"/>
                  <w:rFonts w:ascii="Times New Roman;Times;Serif" w:hAnsi="Times New Roman;Times;Serif"/>
                  <w:sz w:val="20"/>
                </w:rPr>
                <w:t>10.1†*</w:t>
              </w:r>
            </w:hyperlink>
          </w:p>
        </w:tc>
        <w:tc>
          <w:tcPr>
            <w:tcW w:w="60" w:type="dxa"/>
            <w:tcBorders/>
            <w:shd w:fill="auto" w:val="clear"/>
            <w:tcMar>
              <w:bottom w:w="0" w:type="dxa"/>
            </w:tcMar>
            <w:vAlign w:val="center"/>
          </w:tcPr>
          <w:p>
            <w:pPr>
              <w:pStyle w:val="TableContents"/>
              <w:spacing w:before="0" w:after="283"/>
              <w:rPr/>
            </w:pPr>
            <w:r>
              <w:rPr/>
              <w:t> </w:t>
            </w:r>
          </w:p>
        </w:tc>
        <w:tc>
          <w:tcPr>
            <w:tcW w:w="9814" w:type="dxa"/>
            <w:tcBorders/>
            <w:shd w:fill="auto" w:val="clear"/>
            <w:tcMar>
              <w:bottom w:w="0" w:type="dxa"/>
            </w:tcMar>
            <w:vAlign w:val="center"/>
          </w:tcPr>
          <w:p>
            <w:pPr>
              <w:pStyle w:val="TableContents"/>
              <w:spacing w:before="0" w:after="283"/>
              <w:rPr/>
            </w:pPr>
            <w:hyperlink w:anchor="tm2316668d1_ex10-1.htm">
              <w:r>
                <w:rPr>
                  <w:rStyle w:val="InternetLink"/>
                  <w:rFonts w:ascii="Times New Roman;Times;Serif" w:hAnsi="Times New Roman;Times;Serif"/>
                  <w:sz w:val="20"/>
                </w:rPr>
                <w:t>Membership Interest Purchase Agreement, dated as of May 19, 2023, by and between Renew Development HoldCo LLC and Cedar Creek Wind Holdco LLC.</w:t>
              </w:r>
            </w:hyperlink>
          </w:p>
        </w:tc>
      </w:tr>
      <w:tr>
        <w:trPr/>
        <w:tc>
          <w:tcPr>
            <w:tcW w:w="665" w:type="dxa"/>
            <w:tcBorders/>
            <w:shd w:fill="auto"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c>
          <w:tcPr>
            <w:tcW w:w="60" w:type="dxa"/>
            <w:tcBorders/>
            <w:shd w:fill="auto" w:val="clear"/>
            <w:tcMar>
              <w:bottom w:w="0" w:type="dxa"/>
            </w:tcMar>
            <w:vAlign w:val="center"/>
          </w:tcPr>
          <w:p>
            <w:pPr>
              <w:pStyle w:val="TableContents"/>
              <w:spacing w:before="0" w:after="283"/>
              <w:rPr/>
            </w:pPr>
            <w:r>
              <w:rPr/>
              <w:t> </w:t>
            </w:r>
          </w:p>
        </w:tc>
        <w:tc>
          <w:tcPr>
            <w:tcW w:w="9814" w:type="dxa"/>
            <w:tcBorders/>
            <w:shd w:fill="auto" w:val="clear"/>
            <w:tcMar>
              <w:bottom w:w="0" w:type="dxa"/>
            </w:tcMar>
            <w:vAlign w:val="center"/>
          </w:tcPr>
          <w:p>
            <w:pPr>
              <w:pStyle w:val="TableContents"/>
              <w:spacing w:before="0" w:after="283"/>
              <w:rPr>
                <w:rFonts w:ascii="Times New Roman;Times;Serif" w:hAnsi="Times New Roman;Times;Serif"/>
                <w:color w:val="212529"/>
                <w:sz w:val="20"/>
              </w:rPr>
            </w:pPr>
            <w:r>
              <w:rPr>
                <w:rFonts w:ascii="Times New Roman;Times;Serif" w:hAnsi="Times New Roman;Times;Serif"/>
                <w:color w:val="212529"/>
                <w:sz w:val="20"/>
              </w:rPr>
              <w:t>Cover Page Interactive Data File - the cover page XBRL tags are embedded within the Inline XBRL document.</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tbl>
      <w:tblPr>
        <w:tblW w:w="10539" w:type="dxa"/>
        <w:jc w:val="left"/>
        <w:tblInd w:w="0" w:type="dxa"/>
        <w:tblCellMar>
          <w:top w:w="0" w:type="dxa"/>
          <w:left w:w="0" w:type="dxa"/>
          <w:bottom w:w="0" w:type="dxa"/>
          <w:right w:w="0" w:type="dxa"/>
        </w:tblCellMar>
      </w:tblPr>
      <w:tblGrid>
        <w:gridCol w:w="75"/>
        <w:gridCol w:w="140"/>
        <w:gridCol w:w="10324"/>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03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Schedules and similar attachments to this Exhibit have been omitted pursuant to Item 601(a)(5) of Regulation S-K. The Company agrees to furnish supplementally a copy of any omitted schedule or exhibit to the U.S. Securities and Exchange Commission (the “</w:t>
            </w:r>
            <w:r>
              <w:rPr>
                <w:rFonts w:ascii="Times New Roman;Times;Serif" w:hAnsi="Times New Roman;Times;Serif"/>
                <w:sz w:val="20"/>
                <w:u w:val="single"/>
              </w:rPr>
              <w:t>SEC</w:t>
            </w:r>
            <w:r>
              <w:rPr>
                <w:rFonts w:ascii="Times New Roman;Times;Serif" w:hAnsi="Times New Roman;Times;Serif"/>
                <w:sz w:val="20"/>
              </w:rPr>
              <w:t>”) upon request.</w:t>
            </w:r>
          </w:p>
        </w:tc>
      </w:tr>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032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Certain portions of this Exhibit have been redacted pursuant to Item 601(b)(10)(iv) of Regulation S-K. The omitted information is (i) not material and (ii) would likely cause competitive harm to the Company if publicly disclosed.  The Company agrees to furnish supplementally an unredacted copy of this Exhibit to the SEC upon request.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5460" w:type="dxa"/>
        <w:jc w:val="left"/>
        <w:tblInd w:w="0" w:type="dxa"/>
        <w:tblCellMar>
          <w:top w:w="0" w:type="dxa"/>
          <w:left w:w="0" w:type="dxa"/>
          <w:bottom w:w="0" w:type="dxa"/>
          <w:right w:w="0" w:type="dxa"/>
        </w:tblCellMar>
      </w:tblPr>
      <w:tblGrid>
        <w:gridCol w:w="1760"/>
        <w:gridCol w:w="320"/>
        <w:gridCol w:w="3380"/>
      </w:tblGrid>
      <w:tr>
        <w:trPr/>
        <w:tc>
          <w:tcPr>
            <w:tcW w:w="1760" w:type="dxa"/>
            <w:tcBorders/>
            <w:shd w:fill="auto" w:val="clear"/>
            <w:vAlign w:val="center"/>
          </w:tcPr>
          <w:p>
            <w:pPr>
              <w:pStyle w:val="TableContents"/>
              <w:spacing w:before="0" w:after="283"/>
              <w:jc w:val="left"/>
              <w:rPr/>
            </w:pPr>
            <w:r>
              <w:rPr/>
              <w:t> </w:t>
            </w:r>
          </w:p>
        </w:tc>
        <w:tc>
          <w:tcPr>
            <w:tcW w:w="3700" w:type="dxa"/>
            <w:gridSpan w:val="2"/>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Clearway Energy, Inc.</w:t>
            </w:r>
          </w:p>
        </w:tc>
      </w:tr>
      <w:tr>
        <w:trPr/>
        <w:tc>
          <w:tcPr>
            <w:tcW w:w="1760" w:type="dxa"/>
            <w:tcBorders/>
            <w:shd w:fill="auto" w:val="clear"/>
            <w:vAlign w:val="center"/>
          </w:tcPr>
          <w:p>
            <w:pPr>
              <w:pStyle w:val="TableContents"/>
              <w:spacing w:before="0" w:after="283"/>
              <w:jc w:val="left"/>
              <w:rPr/>
            </w:pPr>
            <w:r>
              <w:rPr/>
              <w:t> </w:t>
            </w:r>
          </w:p>
        </w:tc>
        <w:tc>
          <w:tcPr>
            <w:tcW w:w="3700" w:type="dxa"/>
            <w:gridSpan w:val="2"/>
            <w:tcBorders/>
            <w:shd w:fill="auto" w:val="clear"/>
            <w:vAlign w:val="center"/>
          </w:tcPr>
          <w:p>
            <w:pPr>
              <w:pStyle w:val="TableContents"/>
              <w:spacing w:before="0" w:after="283"/>
              <w:jc w:val="both"/>
              <w:rPr/>
            </w:pPr>
            <w:r>
              <w:rPr/>
              <w:t> </w:t>
            </w:r>
          </w:p>
        </w:tc>
      </w:tr>
      <w:tr>
        <w:trPr/>
        <w:tc>
          <w:tcPr>
            <w:tcW w:w="1760"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By:</w:t>
            </w:r>
          </w:p>
        </w:tc>
        <w:tc>
          <w:tcPr>
            <w:tcW w:w="3380"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i/>
                <w:sz w:val="20"/>
              </w:rPr>
            </w:pPr>
            <w:r>
              <w:rPr>
                <w:rFonts w:ascii="Times New Roman;Times;Serif" w:hAnsi="Times New Roman;Times;Serif"/>
                <w:i/>
                <w:sz w:val="20"/>
              </w:rPr>
              <w:t>/s/ Kevin P. Malcarney</w:t>
            </w:r>
          </w:p>
        </w:tc>
      </w:tr>
      <w:tr>
        <w:trPr/>
        <w:tc>
          <w:tcPr>
            <w:tcW w:w="1760"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both"/>
              <w:rPr/>
            </w:pPr>
            <w:r>
              <w:rPr/>
              <w:t> </w:t>
            </w:r>
          </w:p>
        </w:tc>
        <w:tc>
          <w:tcPr>
            <w:tcW w:w="338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Kevin P. Malcarney</w:t>
            </w:r>
          </w:p>
        </w:tc>
      </w:tr>
      <w:tr>
        <w:trPr/>
        <w:tc>
          <w:tcPr>
            <w:tcW w:w="1760" w:type="dxa"/>
            <w:tcBorders/>
            <w:shd w:fill="auto" w:val="clear"/>
            <w:vAlign w:val="center"/>
          </w:tcPr>
          <w:p>
            <w:pPr>
              <w:pStyle w:val="TableContents"/>
              <w:spacing w:before="0" w:after="283"/>
              <w:jc w:val="left"/>
              <w:rPr/>
            </w:pPr>
            <w:r>
              <w:rPr/>
              <w:t> </w:t>
            </w:r>
          </w:p>
        </w:tc>
        <w:tc>
          <w:tcPr>
            <w:tcW w:w="320" w:type="dxa"/>
            <w:tcBorders/>
            <w:shd w:fill="auto" w:val="clear"/>
            <w:vAlign w:val="center"/>
          </w:tcPr>
          <w:p>
            <w:pPr>
              <w:pStyle w:val="TableContents"/>
              <w:spacing w:before="0" w:after="283"/>
              <w:jc w:val="both"/>
              <w:rPr/>
            </w:pPr>
            <w:r>
              <w:rPr/>
              <w:t> </w:t>
            </w:r>
          </w:p>
        </w:tc>
        <w:tc>
          <w:tcPr>
            <w:tcW w:w="338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General Counsel and Corporate Secretary</w:t>
            </w:r>
          </w:p>
        </w:tc>
      </w:tr>
      <w:tr>
        <w:trPr/>
        <w:tc>
          <w:tcPr>
            <w:tcW w:w="1760" w:type="dxa"/>
            <w:tcBorders/>
            <w:shd w:fill="auto" w:val="clear"/>
            <w:vAlign w:val="center"/>
          </w:tcPr>
          <w:p>
            <w:pPr>
              <w:pStyle w:val="TableContents"/>
              <w:spacing w:before="0" w:after="283"/>
              <w:jc w:val="left"/>
              <w:rPr/>
            </w:pPr>
            <w:r>
              <w:rPr/>
              <w:t> </w:t>
            </w:r>
          </w:p>
        </w:tc>
        <w:tc>
          <w:tcPr>
            <w:tcW w:w="3700" w:type="dxa"/>
            <w:gridSpan w:val="2"/>
            <w:tcBorders/>
            <w:shd w:fill="auto" w:val="clear"/>
            <w:vAlign w:val="center"/>
          </w:tcPr>
          <w:p>
            <w:pPr>
              <w:pStyle w:val="TableContents"/>
              <w:spacing w:before="0" w:after="283"/>
              <w:jc w:val="both"/>
              <w:rPr/>
            </w:pPr>
            <w:r>
              <w:rPr/>
              <w:t> </w:t>
            </w:r>
          </w:p>
        </w:tc>
      </w:tr>
      <w:tr>
        <w:trPr/>
        <w:tc>
          <w:tcPr>
            <w:tcW w:w="1760"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Dated: May 24, 2023</w:t>
            </w:r>
          </w:p>
        </w:tc>
        <w:tc>
          <w:tcPr>
            <w:tcW w:w="3700" w:type="dxa"/>
            <w:gridSpan w:val="2"/>
            <w:tcBorders/>
            <w:shd w:fill="auto" w:val="clear"/>
            <w:vAlign w:val="center"/>
          </w:tcPr>
          <w:p>
            <w:pPr>
              <w:pStyle w:val="TableContents"/>
              <w:spacing w:before="0" w:after="283"/>
              <w:jc w:val="both"/>
              <w:rPr/>
            </w:pPr>
            <w:r>
              <w:rPr/>
              <w:t> </w:t>
            </w:r>
          </w:p>
        </w:tc>
      </w:tr>
    </w:tbl>
    <w:p>
      <w:pPr>
        <w:pStyle w:val="TextBody"/>
        <w:rPr/>
      </w:pPr>
      <w:r>
        <w:rPr/>
        <w:t> </w:t>
      </w:r>
    </w:p>
    <w:p>
      <w:pPr>
        <w:pStyle w:val="TextBody"/>
        <w:rPr/>
      </w:pPr>
      <w:r>
        <w:rPr/>
        <w:t> </w:t>
      </w:r>
      <w:r>
        <w:br w:type="page"/>
      </w:r>
    </w:p>
    <w:p>
      <w:pPr>
        <w:pStyle w:val="TextBody"/>
        <w:jc w:val="right"/>
        <w:rPr>
          <w:b/>
        </w:rPr>
      </w:pPr>
      <w:bookmarkStart w:id="26" w:name="tm2316668d1_ex10-1.htm"/>
      <w:bookmarkStart w:id="27" w:name="kstm2316668d1_ex101"/>
      <w:bookmarkEnd w:id="26"/>
      <w:bookmarkEnd w:id="27"/>
      <w:r>
        <w:rPr>
          <w:b/>
        </w:rPr>
        <w:t>Exhibit 10.1</w:t>
      </w:r>
    </w:p>
    <w:p>
      <w:pPr>
        <w:pStyle w:val="TextBody"/>
        <w:rPr/>
      </w:pPr>
      <w:r>
        <w:rPr/>
        <w:t> </w:t>
      </w:r>
    </w:p>
    <w:p>
      <w:pPr>
        <w:pStyle w:val="TextBody"/>
        <w:jc w:val="right"/>
        <w:rPr>
          <w:b/>
          <w:i/>
        </w:rPr>
      </w:pPr>
      <w:r>
        <w:rPr>
          <w:b/>
          <w:i/>
        </w:rPr>
        <w:t>Execution Version</w:t>
      </w:r>
    </w:p>
    <w:p>
      <w:pPr>
        <w:pStyle w:val="TextBody"/>
        <w:rPr/>
      </w:pPr>
      <w:r>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portions of this Exhibit have been redacted pursuant to Item 601(b)(10) of Regulation S-K and, where applicable, have been marked with “[***]” to indicate where redactions have been made. The marked information has been redacted because it is both (i) not material and (ii) would likely cause competitive harm to the Company if publicly disclosed.</w:t>
      </w:r>
    </w:p>
    <w:p>
      <w:pPr>
        <w:pStyle w:val="TextBody"/>
        <w:rPr/>
      </w:pPr>
      <w:r>
        <w:rPr/>
        <w:t> </w:t>
      </w:r>
    </w:p>
    <w:p>
      <w:pPr>
        <w:pStyle w:val="TextBody"/>
        <w:pBdr>
          <w:top w:val="single" w:sz="8" w:space="1" w:color="000000"/>
        </w:pBdr>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respect to</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Cedar Creek Holdco LLC</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between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 Development HoldCo LLC, as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Cedar Creek Wind Holdco LLC, as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dated as of May 19,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891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spacing w:before="0" w:after="0"/>
        <w:ind w:left="0" w:right="0" w:firstLine="8910"/>
        <w:jc w:val="right"/>
        <w:rPr>
          <w:caps w:val="false"/>
          <w:smallCaps w:val="false"/>
        </w:rPr>
      </w:pPr>
      <w:r>
        <w:rPr>
          <w:caps w:val="false"/>
          <w:smallCaps w:val="false"/>
        </w:rPr>
        <w:t> </w:t>
      </w:r>
    </w:p>
    <w:tbl>
      <w:tblPr>
        <w:tblW w:w="7620" w:type="dxa"/>
        <w:jc w:val="left"/>
        <w:tblInd w:w="0" w:type="dxa"/>
        <w:tblCellMar>
          <w:top w:w="0" w:type="dxa"/>
          <w:left w:w="0" w:type="dxa"/>
          <w:bottom w:w="0" w:type="dxa"/>
          <w:right w:w="0" w:type="dxa"/>
        </w:tblCellMar>
      </w:tblPr>
      <w:tblGrid>
        <w:gridCol w:w="440"/>
        <w:gridCol w:w="6905"/>
        <w:gridCol w:w="275"/>
      </w:tblGrid>
      <w:tr>
        <w:trPr/>
        <w:tc>
          <w:tcPr>
            <w:tcW w:w="7345" w:type="dxa"/>
            <w:gridSpan w:val="2"/>
            <w:tcBorders/>
            <w:shd w:fill="auto" w:val="clear"/>
            <w:vAlign w:val="center"/>
          </w:tcPr>
          <w:p>
            <w:pPr>
              <w:pStyle w:val="TableContents"/>
              <w:spacing w:before="0" w:after="283"/>
              <w:ind w:left="0" w:right="0" w:hanging="200"/>
              <w:rPr>
                <w:rFonts w:ascii="Times New Roman;Times;Serif" w:hAnsi="Times New Roman;Times;Serif"/>
                <w:caps/>
                <w:sz w:val="20"/>
              </w:rPr>
            </w:pPr>
            <w:r>
              <w:rPr>
                <w:rFonts w:ascii="Times New Roman;Times;Serif" w:hAnsi="Times New Roman;Times;Serif"/>
                <w:caps/>
                <w:sz w:val="20"/>
              </w:rPr>
              <w:t>Article 1 DEFINITIONS AND RULES OF INTERPRETATION</w:t>
            </w:r>
          </w:p>
        </w:tc>
        <w:tc>
          <w:tcPr>
            <w:tcW w:w="275" w:type="dxa"/>
            <w:tcBorders/>
            <w:shd w:fill="auto" w:val="clear"/>
            <w:vAlign w:val="center"/>
          </w:tcPr>
          <w:p>
            <w:pPr>
              <w:pStyle w:val="TableContents"/>
              <w:spacing w:before="0" w:after="283"/>
              <w:jc w:val="right"/>
              <w:rPr>
                <w:rFonts w:ascii="Times New Roman;Times;Serif" w:hAnsi="Times New Roman;Times;Serif"/>
                <w:caps/>
                <w:sz w:val="20"/>
              </w:rPr>
            </w:pPr>
            <w:r>
              <w:rPr>
                <w:rFonts w:ascii="Times New Roman;Times;Serif" w:hAnsi="Times New Roman;Times;Serif"/>
                <w:caps/>
                <w:sz w:val="20"/>
              </w:rPr>
              <w:t>2</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1.01.</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Definitions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1.02.</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Rules of Interpretation</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7345" w:type="dxa"/>
            <w:gridSpan w:val="2"/>
            <w:tcBorders/>
            <w:shd w:fill="auto" w:val="cle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Article 2 SALE OF MEMBERSHIP INTERESTS AND CLOSING</w:t>
            </w:r>
          </w:p>
        </w:tc>
        <w:tc>
          <w:tcPr>
            <w:tcW w:w="275" w:type="dxa"/>
            <w:tcBorders/>
            <w:shd w:fill="auto" w:val="clear"/>
            <w:vAlign w:val="center"/>
          </w:tcPr>
          <w:p>
            <w:pPr>
              <w:pStyle w:val="TableContents"/>
              <w:spacing w:before="0" w:after="283"/>
              <w:jc w:val="right"/>
              <w:rPr>
                <w:rFonts w:ascii="Times New Roman;Times;Serif" w:hAnsi="Times New Roman;Times;Serif"/>
                <w:caps/>
                <w:sz w:val="20"/>
              </w:rPr>
            </w:pPr>
            <w:r>
              <w:rPr>
                <w:rFonts w:ascii="Times New Roman;Times;Serif" w:hAnsi="Times New Roman;Times;Serif"/>
                <w:caps/>
                <w:sz w:val="20"/>
              </w:rPr>
              <w:t>13</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2.01.</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Purchase and Sale</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2.02.</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Payment of Purchase Price</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2.03.</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Closing</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2.04.</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Adjusted Purchase Price Amount</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2.05.</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Certain Proceeds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2.06.</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Tax Reporting of Transaction</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7345" w:type="dxa"/>
            <w:gridSpan w:val="2"/>
            <w:tcBorders/>
            <w:shd w:fill="auto" w:val="cle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Article 3 REPRESENTATIONS AND WARRANTIES</w:t>
            </w:r>
          </w:p>
        </w:tc>
        <w:tc>
          <w:tcPr>
            <w:tcW w:w="275" w:type="dxa"/>
            <w:tcBorders/>
            <w:shd w:fill="auto" w:val="clear"/>
            <w:vAlign w:val="center"/>
          </w:tcPr>
          <w:p>
            <w:pPr>
              <w:pStyle w:val="TableContents"/>
              <w:spacing w:before="0" w:after="283"/>
              <w:jc w:val="right"/>
              <w:rPr>
                <w:rFonts w:ascii="Times New Roman;Times;Serif" w:hAnsi="Times New Roman;Times;Serif"/>
                <w:caps/>
                <w:sz w:val="20"/>
              </w:rPr>
            </w:pPr>
            <w:r>
              <w:rPr>
                <w:rFonts w:ascii="Times New Roman;Times;Serif" w:hAnsi="Times New Roman;Times;Serif"/>
                <w:caps/>
                <w:sz w:val="20"/>
              </w:rPr>
              <w:t>16</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3.01.</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Representations and Warranties with respect to Seller and the Acquired Companies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3.02.</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Representations and Warranties with Respect to Purchaser</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7345" w:type="dxa"/>
            <w:gridSpan w:val="2"/>
            <w:tcBorders/>
            <w:shd w:fill="auto" w:val="cle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Article 4 CONDITIONS PRECEDENT</w:t>
            </w:r>
          </w:p>
        </w:tc>
        <w:tc>
          <w:tcPr>
            <w:tcW w:w="275" w:type="dxa"/>
            <w:tcBorders/>
            <w:shd w:fill="auto" w:val="clear"/>
            <w:vAlign w:val="center"/>
          </w:tcPr>
          <w:p>
            <w:pPr>
              <w:pStyle w:val="TableContents"/>
              <w:spacing w:before="0" w:after="283"/>
              <w:jc w:val="right"/>
              <w:rPr>
                <w:rFonts w:ascii="Times New Roman;Times;Serif" w:hAnsi="Times New Roman;Times;Serif"/>
                <w:caps/>
                <w:sz w:val="20"/>
              </w:rPr>
            </w:pPr>
            <w:r>
              <w:rPr>
                <w:rFonts w:ascii="Times New Roman;Times;Serif" w:hAnsi="Times New Roman;Times;Serif"/>
                <w:caps/>
                <w:sz w:val="20"/>
              </w:rPr>
              <w:t>28</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4.01.</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Closing Date Conditions Precedent of the Parties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4.02.</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Closing Date Conditions Precedent of the Purchaser</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4.03.</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Closing Date Conditions Precedent of the Seller</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7345" w:type="dxa"/>
            <w:gridSpan w:val="2"/>
            <w:tcBorders/>
            <w:shd w:fill="auto" w:val="cle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Article 5 Certain Covenants</w:t>
            </w:r>
          </w:p>
        </w:tc>
        <w:tc>
          <w:tcPr>
            <w:tcW w:w="275" w:type="dxa"/>
            <w:tcBorders/>
            <w:shd w:fill="auto" w:val="clear"/>
            <w:vAlign w:val="center"/>
          </w:tcPr>
          <w:p>
            <w:pPr>
              <w:pStyle w:val="TableContents"/>
              <w:spacing w:before="0" w:after="283"/>
              <w:jc w:val="right"/>
              <w:rPr/>
            </w:pPr>
            <w:r>
              <w:rPr/>
              <w:t>29</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5.01.</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Regulatory and Other Permits</w:t>
            </w:r>
          </w:p>
        </w:tc>
        <w:tc>
          <w:tcPr>
            <w:tcW w:w="275" w:type="dxa"/>
            <w:tcBorders/>
            <w:shd w:fill="auto" w:val="clear"/>
            <w:vAlign w:val="center"/>
          </w:tcPr>
          <w:p>
            <w:pPr>
              <w:pStyle w:val="TableContents"/>
              <w:spacing w:before="0" w:after="283"/>
              <w:jc w:val="right"/>
              <w:rPr/>
            </w:pPr>
            <w:r>
              <w:rPr/>
              <w:t>29</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5.02.</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Access to Information</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5.03.</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Notification of Certain Matters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5.04.</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Conduct of Business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5.05.</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Fulfillment of Conditions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5.06.</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Further Assurances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5.07.</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Purchaser’s Substitute Support Obligations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5.08.</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Tax Matters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5.09.</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No Solicitation</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5.10.</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Purchaser Parent Guaranty</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5.11.</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Seller Parent Guaranty</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5.12.</w:t>
            </w:r>
          </w:p>
        </w:tc>
        <w:tc>
          <w:tcPr>
            <w:tcW w:w="690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Post-Execution Date Documents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shd w:fill="auto" w:val="clear"/>
            <w:vAlign w:val="center"/>
          </w:tcPr>
          <w:p>
            <w:pPr>
              <w:pStyle w:val="TableContents"/>
              <w:spacing w:before="0" w:after="283"/>
              <w:jc w:val="right"/>
              <w:rPr/>
            </w:pPr>
            <w:r>
              <w:rPr/>
              <w:t> </w:t>
            </w:r>
          </w:p>
        </w:tc>
        <w:tc>
          <w:tcPr>
            <w:tcW w:w="690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7345" w:type="dxa"/>
            <w:gridSpan w:val="2"/>
            <w:tcBorders/>
            <w:shd w:fill="auto" w:val="cle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Article 6 Indemnification</w:t>
            </w:r>
          </w:p>
        </w:tc>
        <w:tc>
          <w:tcPr>
            <w:tcW w:w="275" w:type="dxa"/>
            <w:tcBorders/>
            <w:shd w:fill="auto" w:val="clear"/>
            <w:vAlign w:val="center"/>
          </w:tcPr>
          <w:p>
            <w:pPr>
              <w:pStyle w:val="TableContents"/>
              <w:spacing w:before="0" w:after="283"/>
              <w:jc w:val="right"/>
              <w:rPr>
                <w:rFonts w:ascii="Times New Roman;Times;Serif" w:hAnsi="Times New Roman;Times;Serif"/>
                <w:caps/>
                <w:sz w:val="20"/>
              </w:rPr>
            </w:pPr>
            <w:r>
              <w:rPr>
                <w:rFonts w:ascii="Times New Roman;Times;Serif" w:hAnsi="Times New Roman;Times;Serif"/>
                <w:caps/>
                <w:sz w:val="20"/>
              </w:rPr>
              <w:t>36</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w:t>
      </w:r>
    </w:p>
    <w:p>
      <w:pPr>
        <w:pStyle w:val="TextBody"/>
        <w:spacing w:before="0" w:after="0"/>
        <w:ind w:left="0" w:right="0" w:hanging="0"/>
        <w:rPr/>
      </w:pPr>
      <w:r>
        <w:rPr/>
        <w:t> </w:t>
      </w:r>
    </w:p>
    <w:p>
      <w:pPr>
        <w:pStyle w:val="TextBody"/>
        <w:rPr/>
      </w:pPr>
      <w:r>
        <w:rPr/>
        <w:t> </w:t>
      </w:r>
    </w:p>
    <w:tbl>
      <w:tblPr>
        <w:tblW w:w="6480" w:type="dxa"/>
        <w:jc w:val="left"/>
        <w:tblInd w:w="0" w:type="dxa"/>
        <w:tblCellMar>
          <w:top w:w="0" w:type="dxa"/>
          <w:left w:w="0" w:type="dxa"/>
          <w:bottom w:w="0" w:type="dxa"/>
          <w:right w:w="0" w:type="dxa"/>
        </w:tblCellMar>
      </w:tblPr>
      <w:tblGrid>
        <w:gridCol w:w="440"/>
        <w:gridCol w:w="5765"/>
        <w:gridCol w:w="275"/>
      </w:tblGrid>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6.01.</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Indemnification by Seller</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6.02.</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Indemnification by Purchaser</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6.03.</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Survival of Representations, Warranties, Covenants and Agreements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6.04.</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Limitations on Claims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6.05.</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Procedure for Indemnification of Third Party Claims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6.06.</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Rights of the Indemnifying Party in the Defense of Third Party Claims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6.07.</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Direct Claims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6.08.</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Exclusive Remedy</w:t>
            </w:r>
          </w:p>
        </w:tc>
        <w:tc>
          <w:tcPr>
            <w:tcW w:w="275" w:type="dxa"/>
            <w:tcBorders/>
            <w:shd w:fill="auto" w:val="clear"/>
            <w:vAlign w:val="center"/>
          </w:tcPr>
          <w:p>
            <w:pPr>
              <w:pStyle w:val="TableContents"/>
              <w:spacing w:before="0" w:after="283"/>
              <w:jc w:val="right"/>
              <w:rPr/>
            </w:pPr>
            <w:r>
              <w:rPr/>
              <w:t>39</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6.09.</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Mitigations</w:t>
            </w:r>
          </w:p>
        </w:tc>
        <w:tc>
          <w:tcPr>
            <w:tcW w:w="275" w:type="dxa"/>
            <w:tcBorders/>
            <w:shd w:fill="auto" w:val="clear"/>
            <w:vAlign w:val="center"/>
          </w:tcPr>
          <w:p>
            <w:pPr>
              <w:pStyle w:val="TableContents"/>
              <w:spacing w:before="0" w:after="283"/>
              <w:jc w:val="right"/>
              <w:rPr/>
            </w:pPr>
            <w:r>
              <w:rPr/>
              <w:t>39</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6.10.</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Indemnity Treatment</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6205" w:type="dxa"/>
            <w:gridSpan w:val="2"/>
            <w:tcBorders/>
            <w:shd w:fill="auto" w:val="cle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Article 7 Termination</w:t>
            </w:r>
          </w:p>
        </w:tc>
        <w:tc>
          <w:tcPr>
            <w:tcW w:w="275" w:type="dxa"/>
            <w:tcBorders/>
            <w:shd w:fill="auto" w:val="clear"/>
            <w:vAlign w:val="center"/>
          </w:tcPr>
          <w:p>
            <w:pPr>
              <w:pStyle w:val="TableContents"/>
              <w:spacing w:before="0" w:after="283"/>
              <w:jc w:val="right"/>
              <w:rPr>
                <w:rFonts w:ascii="Times New Roman;Times;Serif" w:hAnsi="Times New Roman;Times;Serif"/>
                <w:caps/>
                <w:sz w:val="20"/>
              </w:rPr>
            </w:pPr>
            <w:r>
              <w:rPr>
                <w:rFonts w:ascii="Times New Roman;Times;Serif" w:hAnsi="Times New Roman;Times;Serif"/>
                <w:caps/>
                <w:sz w:val="20"/>
              </w:rPr>
              <w:t>40</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7.01.</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Termination</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7.02.</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Effect of Termination</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6205" w:type="dxa"/>
            <w:gridSpan w:val="2"/>
            <w:tcBorders/>
            <w:shd w:fill="auto" w:val="clear"/>
            <w:vAlign w:val="center"/>
          </w:tcPr>
          <w:p>
            <w:pPr>
              <w:pStyle w:val="TableContents"/>
              <w:spacing w:before="0" w:after="283"/>
              <w:rPr>
                <w:rFonts w:ascii="Times New Roman;Times;Serif" w:hAnsi="Times New Roman;Times;Serif"/>
                <w:caps/>
                <w:sz w:val="20"/>
              </w:rPr>
            </w:pPr>
            <w:r>
              <w:rPr>
                <w:rFonts w:ascii="Times New Roman;Times;Serif" w:hAnsi="Times New Roman;Times;Serif"/>
                <w:caps/>
                <w:sz w:val="20"/>
              </w:rPr>
              <w:t>Article 8 GENERAL PROVISIONS</w:t>
            </w:r>
          </w:p>
        </w:tc>
        <w:tc>
          <w:tcPr>
            <w:tcW w:w="275" w:type="dxa"/>
            <w:tcBorders/>
            <w:shd w:fill="auto" w:val="clear"/>
            <w:vAlign w:val="center"/>
          </w:tcPr>
          <w:p>
            <w:pPr>
              <w:pStyle w:val="TableContents"/>
              <w:spacing w:before="0" w:after="283"/>
              <w:jc w:val="right"/>
              <w:rPr>
                <w:rFonts w:ascii="Times New Roman;Times;Serif" w:hAnsi="Times New Roman;Times;Serif"/>
                <w:caps/>
                <w:sz w:val="20"/>
              </w:rPr>
            </w:pPr>
            <w:r>
              <w:rPr>
                <w:rFonts w:ascii="Times New Roman;Times;Serif" w:hAnsi="Times New Roman;Times;Serif"/>
                <w:caps/>
                <w:sz w:val="20"/>
              </w:rPr>
              <w:t>41</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8.01.</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Notices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8.02.</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Entire Agreement</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8.03.</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Specific Performance</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8.04.</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Time of the Essence</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8.05.</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Expenses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8.06.</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Confidentiality; Disclosures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8.07.</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Waiver</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8.08.</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Amendment</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8.09.</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No Third Party Beneficiary</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8.10.</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Assignment</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8.11.</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Severability</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8.12.</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Governing Law</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8.13.</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Consent to Jurisdiction</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8.14.</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Waiver of Jury Trial</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8.15.</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Limitation on Certain Damages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8.16.</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Disclosures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440" w:type="dxa"/>
            <w:tcBorders/>
            <w:shd w:fill="auto" w:val="clear"/>
            <w:vAlign w:val="center"/>
          </w:tcPr>
          <w:p>
            <w:pPr>
              <w:pStyle w:val="TableContents"/>
              <w:spacing w:before="0" w:after="283"/>
              <w:jc w:val="right"/>
              <w:rPr/>
            </w:pPr>
            <w:r>
              <w:rPr/>
              <w:t> </w:t>
            </w:r>
          </w:p>
        </w:tc>
        <w:tc>
          <w:tcPr>
            <w:tcW w:w="5765"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jc w:val="right"/>
              <w:rPr/>
            </w:pPr>
            <w:r>
              <w:rPr/>
              <w:t> </w:t>
            </w:r>
          </w:p>
        </w:tc>
      </w:tr>
      <w:tr>
        <w:trPr/>
        <w:tc>
          <w:tcPr>
            <w:tcW w:w="440" w:type="dxa"/>
            <w:tcBorders/>
            <w:shd w:fill="auto" w:val="clear"/>
            <w:vAlign w:val="center"/>
          </w:tcPr>
          <w:p>
            <w:pPr>
              <w:pStyle w:val="TableContents"/>
              <w:spacing w:before="0" w:after="283"/>
              <w:jc w:val="right"/>
              <w:rPr>
                <w:rFonts w:ascii="Times New Roman;Times;Serif" w:hAnsi="Times New Roman;Times;Serif"/>
                <w:b/>
                <w:sz w:val="20"/>
              </w:rPr>
            </w:pPr>
            <w:r>
              <w:rPr>
                <w:rFonts w:ascii="Times New Roman;Times;Serif" w:hAnsi="Times New Roman;Times;Serif"/>
                <w:b/>
                <w:sz w:val="20"/>
              </w:rPr>
              <w:t>8.17.</w:t>
            </w:r>
          </w:p>
        </w:tc>
        <w:tc>
          <w:tcPr>
            <w:tcW w:w="5765"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PDF Signature; Counterparts</w:t>
            </w:r>
          </w:p>
        </w:tc>
        <w:tc>
          <w:tcPr>
            <w:tcW w:w="275" w:type="dxa"/>
            <w:tcBorders/>
            <w:shd w:fill="auto"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44</w:t>
            </w:r>
          </w:p>
        </w:tc>
      </w:tr>
    </w:tbl>
    <w:p>
      <w:pPr>
        <w:pStyle w:val="TextBody"/>
        <w:spacing w:before="0" w:after="0"/>
        <w:ind w:left="1440" w:right="0" w:hanging="1440"/>
        <w:rPr>
          <w:caps w:val="false"/>
          <w:smallCaps w:val="false"/>
        </w:rPr>
      </w:pPr>
      <w:r>
        <w:rPr>
          <w:caps w:val="false"/>
          <w:smallCaps w:val="false"/>
        </w:rPr>
        <w:t> </w:t>
      </w:r>
    </w:p>
    <w:p>
      <w:pPr>
        <w:pStyle w:val="TextBody"/>
        <w:spacing w:before="0" w:after="0"/>
        <w:ind w:left="1440" w:right="0" w:hanging="1440"/>
        <w:jc w:val="center"/>
        <w:rPr>
          <w:sz w:val="20"/>
          <w:bdr w:val="single" w:sz="8" w:space="1" w:color="000000"/>
        </w:rPr>
      </w:pPr>
      <w:r>
        <w:rPr>
          <w:sz w:val="20"/>
          <w:bdr w:val="single" w:sz="8" w:space="1" w:color="000000"/>
        </w:rPr>
        <w:t>ii</w:t>
      </w:r>
    </w:p>
    <w:p>
      <w:pPr>
        <w:pStyle w:val="TextBody"/>
        <w:spacing w:before="0" w:after="0"/>
        <w:ind w:left="0" w:right="0" w:hanging="0"/>
        <w:rPr/>
      </w:pPr>
      <w:r>
        <w:rPr/>
        <w:t> </w:t>
      </w:r>
    </w:p>
    <w:p>
      <w:pPr>
        <w:pStyle w:val="TextBody"/>
        <w:spacing w:before="0" w:after="0"/>
        <w:ind w:left="1440" w:right="0" w:hanging="144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(continued)</w:t>
      </w:r>
      <w:r>
        <w:rPr>
          <w:rFonts w:ascii="Times New Roman;Times;Serif" w:hAnsi="Times New Roman;Times;Serif"/>
          <w:b w:val="false"/>
          <w:i w:val="false"/>
          <w:caps w:val="false"/>
          <w:smallCaps w:val="false"/>
          <w:sz w:val="20"/>
        </w:rPr>
        <w:t> </w:t>
      </w:r>
    </w:p>
    <w:p>
      <w:pPr>
        <w:pStyle w:val="TextBody"/>
        <w:spacing w:before="0" w:after="0"/>
        <w:ind w:left="1440" w:right="0" w:hanging="144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spacing w:before="0" w:after="0"/>
        <w:ind w:left="0" w:right="0" w:hanging="0"/>
        <w:rPr>
          <w:caps w:val="false"/>
          <w:smallCaps w:val="false"/>
        </w:rPr>
      </w:pPr>
      <w:r>
        <w:rPr>
          <w:caps w:val="false"/>
          <w:smallCaps w:val="false"/>
        </w:rPr>
        <w:t> </w:t>
      </w:r>
    </w:p>
    <w:tbl>
      <w:tblPr>
        <w:tblW w:w="4855" w:type="dxa"/>
        <w:jc w:val="left"/>
        <w:tblInd w:w="0" w:type="dxa"/>
        <w:tblCellMar>
          <w:top w:w="0" w:type="dxa"/>
          <w:left w:w="0" w:type="dxa"/>
          <w:bottom w:w="0" w:type="dxa"/>
          <w:right w:w="0" w:type="dxa"/>
        </w:tblCellMar>
      </w:tblPr>
      <w:tblGrid>
        <w:gridCol w:w="1190"/>
        <w:gridCol w:w="3665"/>
      </w:tblGrid>
      <w:tr>
        <w:trPr/>
        <w:tc>
          <w:tcPr>
            <w:tcW w:w="119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Exhibit A</w:t>
            </w:r>
          </w:p>
        </w:tc>
        <w:tc>
          <w:tcPr>
            <w:tcW w:w="3665"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Form of Assignment of Membership Interests</w:t>
            </w:r>
          </w:p>
        </w:tc>
      </w:tr>
      <w:tr>
        <w:trPr/>
        <w:tc>
          <w:tcPr>
            <w:tcW w:w="1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B</w:t>
            </w:r>
          </w:p>
        </w:tc>
        <w:tc>
          <w:tcPr>
            <w:tcW w:w="3665"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Form of Purchaser Parent Guaranty</w:t>
            </w:r>
          </w:p>
        </w:tc>
      </w:tr>
      <w:tr>
        <w:trPr/>
        <w:tc>
          <w:tcPr>
            <w:tcW w:w="1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C</w:t>
            </w:r>
          </w:p>
        </w:tc>
        <w:tc>
          <w:tcPr>
            <w:tcW w:w="3665"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Form of Seller Parent Guaranty</w:t>
            </w:r>
          </w:p>
        </w:tc>
      </w:tr>
      <w:tr>
        <w:trPr/>
        <w:tc>
          <w:tcPr>
            <w:tcW w:w="1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D</w:t>
            </w:r>
          </w:p>
        </w:tc>
        <w:tc>
          <w:tcPr>
            <w:tcW w:w="3665"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Form of Officer’s Certificate of Seller</w:t>
            </w:r>
          </w:p>
        </w:tc>
      </w:tr>
      <w:tr>
        <w:trPr/>
        <w:tc>
          <w:tcPr>
            <w:tcW w:w="1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E</w:t>
            </w:r>
          </w:p>
        </w:tc>
        <w:tc>
          <w:tcPr>
            <w:tcW w:w="3665"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Form of Secretary’s Certificate of Seller</w:t>
            </w:r>
          </w:p>
        </w:tc>
      </w:tr>
      <w:tr>
        <w:trPr/>
        <w:tc>
          <w:tcPr>
            <w:tcW w:w="1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F</w:t>
            </w:r>
          </w:p>
        </w:tc>
        <w:tc>
          <w:tcPr>
            <w:tcW w:w="3665"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Form of Officer’s Certificate of Purchaser</w:t>
            </w:r>
          </w:p>
        </w:tc>
      </w:tr>
      <w:tr>
        <w:trPr/>
        <w:tc>
          <w:tcPr>
            <w:tcW w:w="1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Exhibit G</w:t>
            </w:r>
          </w:p>
        </w:tc>
        <w:tc>
          <w:tcPr>
            <w:tcW w:w="3665"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Form of Secretary’s Certificate of Purchaser</w:t>
            </w:r>
          </w:p>
        </w:tc>
      </w:tr>
      <w:tr>
        <w:trPr/>
        <w:tc>
          <w:tcPr>
            <w:tcW w:w="119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283"/>
              <w:ind w:left="0" w:right="0" w:hanging="202"/>
              <w:rPr/>
            </w:pPr>
            <w:r>
              <w:rPr/>
              <w:t> </w:t>
            </w:r>
          </w:p>
        </w:tc>
      </w:tr>
      <w:tr>
        <w:trPr/>
        <w:tc>
          <w:tcPr>
            <w:tcW w:w="119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Schedules:</w:t>
            </w:r>
          </w:p>
        </w:tc>
        <w:tc>
          <w:tcPr>
            <w:tcW w:w="3665" w:type="dxa"/>
            <w:tcBorders/>
            <w:shd w:fill="auto" w:val="clear"/>
            <w:vAlign w:val="center"/>
          </w:tcPr>
          <w:p>
            <w:pPr>
              <w:pStyle w:val="TableContents"/>
              <w:spacing w:before="0" w:after="283"/>
              <w:ind w:left="0" w:right="0" w:hanging="202"/>
              <w:rPr/>
            </w:pPr>
            <w:r>
              <w:rPr/>
              <w:t> </w:t>
            </w:r>
          </w:p>
        </w:tc>
      </w:tr>
      <w:tr>
        <w:trPr/>
        <w:tc>
          <w:tcPr>
            <w:tcW w:w="119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283"/>
              <w:ind w:left="0" w:right="0" w:hanging="202"/>
              <w:rPr/>
            </w:pPr>
            <w:r>
              <w:rPr/>
              <w:t> </w:t>
            </w:r>
          </w:p>
        </w:tc>
      </w:tr>
      <w:tr>
        <w:trPr/>
        <w:tc>
          <w:tcPr>
            <w:tcW w:w="11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6.01</w:t>
            </w:r>
          </w:p>
        </w:tc>
        <w:tc>
          <w:tcPr>
            <w:tcW w:w="366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Certain Indemnification Matters</w:t>
            </w:r>
          </w:p>
        </w:tc>
      </w:tr>
    </w:tbl>
    <w:p>
      <w:pPr>
        <w:pStyle w:val="TextBody"/>
        <w:rPr/>
      </w:pPr>
      <w:r>
        <w:rPr/>
        <w:t> </w:t>
      </w:r>
    </w:p>
    <w:tbl>
      <w:tblPr>
        <w:tblW w:w="5200" w:type="dxa"/>
        <w:jc w:val="left"/>
        <w:tblInd w:w="0" w:type="dxa"/>
        <w:tblCellMar>
          <w:top w:w="0" w:type="dxa"/>
          <w:left w:w="0" w:type="dxa"/>
          <w:bottom w:w="0" w:type="dxa"/>
          <w:right w:w="0" w:type="dxa"/>
        </w:tblCellMar>
      </w:tblPr>
      <w:tblGrid>
        <w:gridCol w:w="1760"/>
        <w:gridCol w:w="3440"/>
      </w:tblGrid>
      <w:tr>
        <w:trPr/>
        <w:tc>
          <w:tcPr>
            <w:tcW w:w="5200" w:type="dxa"/>
            <w:gridSpan w:val="2"/>
            <w:tcBorders/>
            <w:shd w:fill="auto" w:val="clear"/>
            <w:vAlign w:val="center"/>
          </w:tcPr>
          <w:p>
            <w:pPr>
              <w:pStyle w:val="TableContents"/>
              <w:spacing w:before="0" w:after="283"/>
              <w:ind w:left="0" w:right="0" w:hanging="202"/>
              <w:rPr>
                <w:rFonts w:ascii="Times New Roman;Times;Serif" w:hAnsi="Times New Roman;Times;Serif"/>
                <w:b/>
                <w:sz w:val="20"/>
              </w:rPr>
            </w:pPr>
            <w:r>
              <w:rPr>
                <w:rFonts w:ascii="Times New Roman;Times;Serif" w:hAnsi="Times New Roman;Times;Serif"/>
                <w:b/>
                <w:sz w:val="20"/>
              </w:rPr>
              <w:t>Seller Disclosure Schedules:</w:t>
            </w:r>
          </w:p>
        </w:tc>
      </w:tr>
      <w:tr>
        <w:trPr/>
        <w:tc>
          <w:tcPr>
            <w:tcW w:w="17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283"/>
              <w:ind w:left="0" w:right="0" w:hanging="202"/>
              <w:rPr/>
            </w:pPr>
            <w:r>
              <w:rPr/>
              <w:t> </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1.01</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Permitted Liens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3.01(c)</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Seller Consents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3.01(e)</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Seller Approvals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3.01(f)</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Legal Proceedings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3.01(g)</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Brokers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Permitted Business Jurisdictions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3.01(i)(ii)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Permitted Equity Encumbrances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3.01(i)(iii)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Directors and Officers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3.01(i)(v)</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Permitted Options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3.01(i)(vi)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Permitted Additional Investments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3.01(i)(vii)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Permitted Additional Business Operations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3.01(j)</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Liabilities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3.01(k)</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Taxes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3.01(m)(i)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Company Contracts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3.01(m)(iii)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Company Contracts Defaults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3.01(n)(i)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Land</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3.01(n)(ii)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Permitted Real Property Agreements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3.01(n)(iii)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Real Property Rights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3.01(o)</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Insured Property Rights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3.01(p)(i)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Environmental Law Non-Compliance</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3.01(p)(iii)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Environmental Permits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3.01(p)(iv)</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Release of Hazardous Substances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3.01(q)(i)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3.01(q)(ii)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Regulatory Noncompliance</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3.01(r)</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Affiliate Transactions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3.01(s)(i)</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Intellectual Property</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3.01(t)</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Insurance</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3.01(v)</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Absence of Changes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3.01(w)</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Bank Accounts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3.01(y)</w:t>
            </w:r>
          </w:p>
        </w:tc>
        <w:tc>
          <w:tcPr>
            <w:tcW w:w="344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Support Obligations</w:t>
            </w:r>
          </w:p>
        </w:tc>
      </w:tr>
      <w:tr>
        <w:trPr/>
        <w:tc>
          <w:tcPr>
            <w:tcW w:w="17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5.04(b)</w:t>
            </w:r>
          </w:p>
        </w:tc>
        <w:tc>
          <w:tcPr>
            <w:tcW w:w="34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Conduct of Business</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iii</w:t>
      </w:r>
    </w:p>
    <w:p>
      <w:pPr>
        <w:pStyle w:val="TextBody"/>
        <w:spacing w:before="0" w:after="0"/>
        <w:ind w:left="0" w:right="0" w:hanging="0"/>
        <w:rPr/>
      </w:pPr>
      <w:r>
        <w:rPr/>
        <w:t> </w:t>
      </w:r>
    </w:p>
    <w:p>
      <w:pPr>
        <w:pStyle w:val="TextBody"/>
        <w:rPr/>
      </w:pPr>
      <w:r>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(continued)</w:t>
      </w:r>
      <w:r>
        <w:rPr>
          <w:rFonts w:ascii="Times New Roman;Times;Serif" w:hAnsi="Times New Roman;Times;Serif"/>
          <w:b w:val="false"/>
          <w:i w:val="false"/>
          <w:caps w:val="false"/>
          <w:smallCaps w:val="false"/>
          <w:sz w:val="20"/>
        </w:rPr>
        <w:t> </w:t>
      </w:r>
    </w:p>
    <w:p>
      <w:pPr>
        <w:pStyle w:val="TextBody"/>
        <w:rPr/>
      </w:pPr>
      <w:r>
        <w:rPr/>
        <w:t> </w:t>
      </w:r>
    </w:p>
    <w:tbl>
      <w:tblPr>
        <w:tblW w:w="3115" w:type="dxa"/>
        <w:jc w:val="left"/>
        <w:tblInd w:w="0" w:type="dxa"/>
        <w:tblCellMar>
          <w:top w:w="0" w:type="dxa"/>
          <w:left w:w="0" w:type="dxa"/>
          <w:bottom w:w="0" w:type="dxa"/>
          <w:right w:w="0" w:type="dxa"/>
        </w:tblCellMar>
      </w:tblPr>
      <w:tblGrid>
        <w:gridCol w:w="1415"/>
        <w:gridCol w:w="1700"/>
      </w:tblGrid>
      <w:tr>
        <w:trPr/>
        <w:tc>
          <w:tcPr>
            <w:tcW w:w="3115" w:type="dxa"/>
            <w:gridSpan w:val="2"/>
            <w:tcBorders/>
            <w:shd w:fill="auto" w:val="clear"/>
            <w:vAlign w:val="center"/>
          </w:tcPr>
          <w:p>
            <w:pPr>
              <w:pStyle w:val="TableContents"/>
              <w:spacing w:before="0" w:after="283"/>
              <w:ind w:left="0" w:right="0" w:hanging="202"/>
              <w:rPr>
                <w:rFonts w:ascii="Times New Roman;Times;Serif" w:hAnsi="Times New Roman;Times;Serif"/>
                <w:b/>
                <w:sz w:val="20"/>
              </w:rPr>
            </w:pPr>
            <w:r>
              <w:rPr>
                <w:rFonts w:ascii="Times New Roman;Times;Serif" w:hAnsi="Times New Roman;Times;Serif"/>
                <w:b/>
                <w:sz w:val="20"/>
              </w:rPr>
              <w:t>Purchaser Disclosure Schedules:</w:t>
            </w:r>
          </w:p>
        </w:tc>
      </w:tr>
      <w:tr>
        <w:trPr/>
        <w:tc>
          <w:tcPr>
            <w:tcW w:w="3115" w:type="dxa"/>
            <w:gridSpan w:val="2"/>
            <w:tcBorders/>
            <w:shd w:fill="auto" w:val="clear"/>
            <w:vAlign w:val="center"/>
          </w:tcPr>
          <w:p>
            <w:pPr>
              <w:pStyle w:val="TableContents"/>
              <w:spacing w:before="0" w:after="283"/>
              <w:ind w:left="0" w:right="0" w:hanging="202"/>
              <w:rPr/>
            </w:pPr>
            <w:r>
              <w:rPr/>
              <w:t> </w:t>
            </w:r>
          </w:p>
        </w:tc>
      </w:tr>
      <w:tr>
        <w:trPr/>
        <w:tc>
          <w:tcPr>
            <w:tcW w:w="14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3.02(c)</w:t>
            </w:r>
          </w:p>
        </w:tc>
        <w:tc>
          <w:tcPr>
            <w:tcW w:w="170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Purchaser Consents</w:t>
            </w:r>
          </w:p>
        </w:tc>
      </w:tr>
      <w:tr>
        <w:trPr/>
        <w:tc>
          <w:tcPr>
            <w:tcW w:w="14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3.02(e)</w:t>
            </w:r>
          </w:p>
        </w:tc>
        <w:tc>
          <w:tcPr>
            <w:tcW w:w="170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Permits</w:t>
            </w:r>
          </w:p>
        </w:tc>
      </w:tr>
      <w:tr>
        <w:trPr/>
        <w:tc>
          <w:tcPr>
            <w:tcW w:w="14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3.02(h)</w:t>
            </w:r>
          </w:p>
        </w:tc>
        <w:tc>
          <w:tcPr>
            <w:tcW w:w="1700" w:type="dxa"/>
            <w:tcBorders/>
            <w:shd w:fill="auto" w:val="clear"/>
            <w:vAlign w:val="center"/>
          </w:tcPr>
          <w:p>
            <w:pPr>
              <w:pStyle w:val="TableContents"/>
              <w:spacing w:before="0" w:after="283"/>
              <w:ind w:left="0" w:right="0" w:hanging="202"/>
              <w:rPr>
                <w:rFonts w:ascii="Times New Roman;Times;Serif" w:hAnsi="Times New Roman;Times;Serif"/>
                <w:sz w:val="20"/>
              </w:rPr>
            </w:pPr>
            <w:r>
              <w:rPr>
                <w:rFonts w:ascii="Times New Roman;Times;Serif" w:hAnsi="Times New Roman;Times;Serif"/>
                <w:sz w:val="20"/>
              </w:rPr>
              <w:t>Brokers</w:t>
            </w:r>
          </w:p>
        </w:tc>
      </w:tr>
      <w:tr>
        <w:trPr/>
        <w:tc>
          <w:tcPr>
            <w:tcW w:w="141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Schedule 3.02(i)</w:t>
            </w:r>
          </w:p>
        </w:tc>
        <w:tc>
          <w:tcPr>
            <w:tcW w:w="17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Purchaser Approvals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iv</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245"/>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MEMBERSHIP INTEREST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MEMBERSHIP INTEREST PURCHASE AGREEMENT (this “</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dated as of May 19, 2023 (the “</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is entered into by and between Renew Development HoldCo LLC, a Delaware limited liability company (“</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and Cedar Creek Wind Holdco LLC, a Delaware limited liability company (“</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Purchaser and Seller are referred to, collectively, as the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and each, individually, as a “</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xml:space="preserve">.” Capitalized terms not otherwise defined herein shall have the meaning given them in </w:t>
      </w:r>
      <w:r>
        <w:rPr>
          <w:rFonts w:ascii="Times New Roman;Times;Serif" w:hAnsi="Times New Roman;Times;Serif"/>
          <w:b w:val="false"/>
          <w:i/>
          <w:caps w:val="false"/>
          <w:smallCaps w:val="false"/>
          <w:sz w:val="20"/>
        </w:rPr>
        <w:t>Section 1.01</w:t>
      </w:r>
      <w:r>
        <w:rPr>
          <w:rFonts w:ascii="Times New Roman;Times;Serif" w:hAnsi="Times New Roman;Times;Serif"/>
          <w:b w:val="false"/>
          <w:i w:val="false"/>
          <w:caps w:val="false"/>
          <w:smallCaps w:val="false"/>
          <w:sz w:val="20"/>
        </w:rPr>
        <w:t xml:space="preserve">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 Seller directly owns one hundred percent (100%) of the limited liability company membership interests of Cedar Creek Holdco LLC, a Delaware limited liability company (the “</w:t>
      </w:r>
      <w:r>
        <w:rPr>
          <w:rFonts w:ascii="Times New Roman;Times;Serif" w:hAnsi="Times New Roman;Times;Serif"/>
          <w:b w:val="false"/>
          <w:i/>
          <w:caps w:val="false"/>
          <w:smallCaps w:val="false"/>
          <w:sz w:val="20"/>
        </w:rPr>
        <w:t>Target Company</w:t>
      </w:r>
      <w:r>
        <w:rPr>
          <w:rFonts w:ascii="Times New Roman;Times;Serif" w:hAnsi="Times New Roman;Times;Serif"/>
          <w:b w:val="false"/>
          <w:i w:val="false"/>
          <w:caps w:val="false"/>
          <w:smallCaps w:val="false"/>
          <w:sz w:val="20"/>
        </w:rPr>
        <w:t>”), (b) the Target Company owns one hundred percent (100%) of the limited liability company membership interests of Cedar Creek Class B Holdco LLC, a Delaware limited liability company (“</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(c) until the Tax Equity Investor (as defined below) makes its investment in Cedar Creek TE Holdco LLC, a Delaware limited liability company (“</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in accordance with the Tax Equity Agreements (as defined below), Class B HoldCo will own one hundred percent (100%) of the limited liability company membership interests of TE HoldCo, and (d) TE Holdco owns one hundred percent (100%) of the limited liability company membership interests of Cedar Creek Wind, LLC, a Delaware limited liability company (the “</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and, together with the Target Company, Class B HoldCo and TE HoldCo, the “</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Project Company is developing and constructing an approximately 159.8 MW wind energy generating facility, and associated infrastructure, located in Bingham County, Idaho (the “</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or prior to the Closing (as defined below), consistent with the provisions of the Tax Equity Agreements, (a) the Tax Equity Investor will make an investment in TE HoldCo in accordance with the Tax Equity Agreements, and (b) the limited liability company membership interests in TE HoldCo will be divided into Class A membership interests and Class B membership interests, with (i) one hundred percent (100%) of the Class A membership interests in TE HoldCo to be issued, directly or indirectly, to the Tax Equity Investor, and (ii) the portion of the limited liability company membership interests in TE HoldCo retained by Class B HoldCo to be converted into one hundred percent (100%) of the Class B membership interests in TE HoldCo;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at the Closing, and subsequent to Tax Equity Investor making its investment in TE HoldCo, Seller desires to sell, and Purchaser desires to purchase, one hundred percent (100%) of the limited liability company membership interests of the Target Company (the “</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on the terms and subject to the conditions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representations, warranties, covenants and agreements set forth herein, and for other good and valuable consideration, the receipt and sufficiency of which are hereby acknowledged, the Parties hereby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covenants, representations and warranties set forth herein, and intending to be legally bound hereby, the Parties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DEFINITIONS AND RULES OF INTERPRETATION</w:t>
      </w:r>
      <w:r>
        <w:rPr>
          <w:rFonts w:ascii="Times New Roman;Times;Serif" w:hAnsi="Times New Roman;Times;Serif"/>
          <w:b w:val="false"/>
          <w:i w:val="false"/>
          <w:caps w:val="false"/>
          <w:smallCaps w:val="false"/>
          <w:sz w:val="2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caps w:val="false"/>
          <w:smallCaps w:val="false"/>
          <w:sz w:val="20"/>
        </w:rPr>
        <w:t>Definitions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As used in this Agreement, the following defined terms have the meanings indicated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Companies</w:t>
      </w:r>
      <w:r>
        <w:rPr>
          <w:rFonts w:ascii="Times New Roman;Times;Serif" w:hAnsi="Times New Roman;Times;Serif"/>
          <w:b w:val="false"/>
          <w:i w:val="false"/>
          <w:caps w:val="false"/>
          <w:smallCaps w:val="false"/>
          <w:sz w:val="20"/>
        </w:rPr>
        <w:t>” has the meaning set forth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Acquired Interests</w:t>
      </w:r>
      <w:r>
        <w:rPr>
          <w:rFonts w:ascii="Times New Roman;Times;Serif" w:hAnsi="Times New Roman;Times;Serif"/>
          <w:b w:val="false"/>
          <w:i w:val="false"/>
          <w:caps w:val="false"/>
          <w:smallCaps w:val="false"/>
          <w:sz w:val="20"/>
        </w:rPr>
        <w:t>” has the meaning set forth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5.09</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Action or Proceeding</w:t>
      </w:r>
      <w:r>
        <w:rPr>
          <w:rFonts w:ascii="Times New Roman;Times;Serif" w:hAnsi="Times New Roman;Times;Serif"/>
          <w:b w:val="false"/>
          <w:i w:val="false"/>
          <w:caps w:val="false"/>
          <w:smallCaps w:val="false"/>
          <w:sz w:val="20"/>
        </w:rPr>
        <w:t>” means any action, suit, proceeding, arbitration or investigation by or before any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2.04(b)</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Adjusted Purchase Price Model</w:t>
      </w:r>
      <w:r>
        <w:rPr>
          <w:rFonts w:ascii="Times New Roman;Times;Serif" w:hAnsi="Times New Roman;Times;Serif"/>
          <w:b w:val="false"/>
          <w:i w:val="false"/>
          <w:caps w:val="false"/>
          <w:smallCaps w:val="false"/>
          <w:sz w:val="20"/>
        </w:rPr>
        <w:t>” means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of a specified Person means any other Person that directly or indirectly through one or more intermediaries Controls, is Controlled by or is under common Control with the Person specified. For the purposes of this Agreement,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CEG, Seller and the direct or indirect subsidiaries of each (other than Clearway Energy, Inc., and its direct or indirect subsidiaries), on the one hand,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Clearway Energy, Inc., Clearway Energy LLC, Purchaser Parent, Purchaser and the direct or indirect subsidiaries of each, on the other hand, shall not be considered “Affiliates,”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with respect to Purchaser, “Affiliates” shall be limited to Clearway Energy Inc. and its subsidiaries,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with respect to Seller, “Affiliates” shall be limited to Clearway Energy Group LLC and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Agreement</w:t>
      </w:r>
      <w:r>
        <w:rPr>
          <w:rFonts w:ascii="Times New Roman;Times;Serif" w:hAnsi="Times New Roman;Times;Serif"/>
          <w:b w:val="false"/>
          <w:i w:val="false"/>
          <w:caps w:val="false"/>
          <w:smallCaps w:val="false"/>
          <w:sz w:val="20"/>
        </w:rPr>
        <w:t>” has the meaning set forth in the preamble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1.01(b)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Ancillary Documents</w:t>
      </w:r>
      <w:r>
        <w:rPr>
          <w:rFonts w:ascii="Times New Roman;Times;Serif" w:hAnsi="Times New Roman;Times;Serif"/>
          <w:b w:val="false"/>
          <w:i w:val="false"/>
          <w:caps w:val="false"/>
          <w:smallCaps w:val="false"/>
          <w:sz w:val="20"/>
        </w:rPr>
        <w:t xml:space="preserve">” means (a) the Assignment of Membership Interests and (b) the respective certificates to be executed and delivered at the Closing by Purchaser pursuant to </w:t>
      </w:r>
      <w:r>
        <w:rPr>
          <w:rFonts w:ascii="Times New Roman;Times;Serif" w:hAnsi="Times New Roman;Times;Serif"/>
          <w:b w:val="false"/>
          <w:i/>
          <w:caps w:val="false"/>
          <w:smallCaps w:val="false"/>
          <w:sz w:val="20"/>
        </w:rPr>
        <w:t>Section 4.03(c) </w:t>
      </w:r>
      <w:r>
        <w:rPr>
          <w:rFonts w:ascii="Times New Roman;Times;Serif" w:hAnsi="Times New Roman;Times;Serif"/>
          <w:b w:val="false"/>
          <w:i w:val="false"/>
          <w:caps w:val="false"/>
          <w:smallCaps w:val="false"/>
          <w:sz w:val="20"/>
        </w:rPr>
        <w:t xml:space="preserve">or by Seller pursuant to </w:t>
      </w:r>
      <w:r>
        <w:rPr>
          <w:rFonts w:ascii="Times New Roman;Times;Serif" w:hAnsi="Times New Roman;Times;Serif"/>
          <w:b w:val="false"/>
          <w:i/>
          <w:caps w:val="false"/>
          <w:smallCaps w:val="false"/>
          <w:sz w:val="20"/>
        </w:rPr>
        <w:t>Section 4.02(d)</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5.08(b)</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Appraisal</w:t>
      </w:r>
      <w:r>
        <w:rPr>
          <w:rFonts w:ascii="Times New Roman;Times;Serif" w:hAnsi="Times New Roman;Times;Serif"/>
          <w:b w:val="false"/>
          <w:i w:val="false"/>
          <w:caps w:val="false"/>
          <w:smallCaps w:val="false"/>
          <w:sz w:val="20"/>
        </w:rPr>
        <w:t>” has the meaning set forth in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Assignment of Membership Interests</w:t>
      </w:r>
      <w:r>
        <w:rPr>
          <w:rFonts w:ascii="Times New Roman;Times;Serif" w:hAnsi="Times New Roman;Times;Serif"/>
          <w:b w:val="false"/>
          <w:i w:val="false"/>
          <w:caps w:val="false"/>
          <w:smallCaps w:val="false"/>
          <w:sz w:val="20"/>
        </w:rPr>
        <w:t xml:space="preserve">” means the Assignment and Assumption Agreement, in substantially the form of </w:t>
      </w:r>
      <w:r>
        <w:rPr>
          <w:rFonts w:ascii="Times New Roman;Times;Serif" w:hAnsi="Times New Roman;Times;Serif"/>
          <w:b w:val="false"/>
          <w:i/>
          <w:caps w:val="false"/>
          <w:smallCaps w:val="false"/>
          <w:sz w:val="20"/>
        </w:rPr>
        <w:t>Exhibit A</w:t>
      </w:r>
      <w:r>
        <w:rPr>
          <w:rFonts w:ascii="Times New Roman;Times;Serif" w:hAnsi="Times New Roman;Times;Serif"/>
          <w:b w:val="false"/>
          <w:i w:val="false"/>
          <w:caps w:val="false"/>
          <w:smallCaps w:val="false"/>
          <w:sz w:val="20"/>
        </w:rPr>
        <w:t xml:space="preserve"> attached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3.01(u)</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Case Model</w:t>
      </w:r>
      <w:r>
        <w:rPr>
          <w:rFonts w:ascii="Times New Roman;Times;Serif" w:hAnsi="Times New Roman;Times;Serif"/>
          <w:b w:val="false"/>
          <w:i w:val="false"/>
          <w:caps w:val="false"/>
          <w:smallCaps w:val="false"/>
          <w:sz w:val="20"/>
        </w:rPr>
        <w:t>” means the financial projections with respect to the Project in file “Cedar Creek – CWEN External – 05-17-2023 - SEND”.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Base 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Business Day</w:t>
      </w:r>
      <w:r>
        <w:rPr>
          <w:rFonts w:ascii="Times New Roman;Times;Serif" w:hAnsi="Times New Roman;Times;Serif"/>
          <w:b w:val="false"/>
          <w:i w:val="false"/>
          <w:caps w:val="false"/>
          <w:smallCaps w:val="false"/>
          <w:sz w:val="20"/>
        </w:rPr>
        <w:t>” means a day other than Saturday, Sunday or any day on which banks located in the State of New York are authorized or obligated to close.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CEG</w:t>
      </w:r>
      <w:r>
        <w:rPr>
          <w:rFonts w:ascii="Times New Roman;Times;Serif" w:hAnsi="Times New Roman;Times;Serif"/>
          <w:b w:val="false"/>
          <w:i w:val="false"/>
          <w:caps w:val="false"/>
          <w:smallCaps w:val="false"/>
          <w:sz w:val="20"/>
        </w:rPr>
        <w:t>” means Clearway Energy Group LLC, 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Class B Holdco</w:t>
      </w:r>
      <w:r>
        <w:rPr>
          <w:rFonts w:ascii="Times New Roman;Times;Serif" w:hAnsi="Times New Roman;Times;Serif"/>
          <w:b w:val="false"/>
          <w:i w:val="false"/>
          <w:caps w:val="false"/>
          <w:smallCaps w:val="false"/>
          <w:sz w:val="20"/>
        </w:rPr>
        <w:t>” has the meaning set forth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2.03(a)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Endorsement</w:t>
      </w:r>
      <w:r>
        <w:rPr>
          <w:rFonts w:ascii="Times New Roman;Times;Serif" w:hAnsi="Times New Roman;Times;Serif"/>
          <w:b w:val="false"/>
          <w:i w:val="false"/>
          <w:caps w:val="false"/>
          <w:smallCaps w:val="false"/>
          <w:sz w:val="20"/>
        </w:rPr>
        <w:t>” means (a) a date down endorsement to the Execution Date Title Policy and (b) an ALTA 15.1 endorsement naming Purchaser as an additional insured.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5.03</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means the Internal Revenue Code of 1986 and the rules and regulations promulgated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3.01(m)(i)</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Constitutive Documents</w:t>
      </w:r>
      <w:r>
        <w:rPr>
          <w:rFonts w:ascii="Times New Roman;Times;Serif" w:hAnsi="Times New Roman;Times;Serif"/>
          <w:b w:val="false"/>
          <w:i w:val="false"/>
          <w:caps w:val="false"/>
          <w:smallCaps w:val="false"/>
          <w:sz w:val="20"/>
        </w:rPr>
        <w:t>” means the certificate of formation and the limited liability company agreement or partnership agreement of a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Contract</w:t>
      </w:r>
      <w:r>
        <w:rPr>
          <w:rFonts w:ascii="Times New Roman;Times;Serif" w:hAnsi="Times New Roman;Times;Serif"/>
          <w:b w:val="false"/>
          <w:i w:val="false"/>
          <w:caps w:val="false"/>
          <w:smallCaps w:val="false"/>
          <w:sz w:val="20"/>
        </w:rPr>
        <w:t>” means any agreement, purchase order, commitment, evidence of Indebtedness, mortgage, indenture, security agreement or other contract entered into by a Person or by which a Person or any of its assets are bound.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Control</w:t>
      </w:r>
      <w:r>
        <w:rPr>
          <w:rFonts w:ascii="Times New Roman;Times;Serif" w:hAnsi="Times New Roman;Times;Serif"/>
          <w:b w:val="false"/>
          <w:i w:val="false"/>
          <w:caps w:val="false"/>
          <w:smallCaps w:val="false"/>
          <w:sz w:val="20"/>
        </w:rPr>
        <w:t>” of a Person means the power, directly or indirectly, to direct or cause the direction of the management or policies of such Person (whether through ownership of securities or partnership or other ownership interests, by contract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Delay Damages</w:t>
      </w:r>
      <w:r>
        <w:rPr>
          <w:rFonts w:ascii="Times New Roman;Times;Serif" w:hAnsi="Times New Roman;Times;Serif"/>
          <w:b w:val="false"/>
          <w:i w:val="false"/>
          <w:caps w:val="false"/>
          <w:smallCaps w:val="false"/>
          <w:sz w:val="20"/>
        </w:rPr>
        <w:t>” means any “Delay Damages” (as defined in the PPA) paid by the Project Company pursuant to Section 2.3 of the PPA.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Disclosure Schedules</w:t>
      </w:r>
      <w:r>
        <w:rPr>
          <w:rFonts w:ascii="Times New Roman;Times;Serif" w:hAnsi="Times New Roman;Times;Serif"/>
          <w:b w:val="false"/>
          <w:i w:val="false"/>
          <w:caps w:val="false"/>
          <w:smallCaps w:val="false"/>
          <w:sz w:val="20"/>
        </w:rPr>
        <w:t>” means the schedules to Seller’s and Purchaser’s representations and warranties of even date herewith delivered in connection with the execution and delivery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Employee Plan</w:t>
      </w:r>
      <w:r>
        <w:rPr>
          <w:rFonts w:ascii="Times New Roman;Times;Serif" w:hAnsi="Times New Roman;Times;Serif"/>
          <w:b w:val="false"/>
          <w:i w:val="false"/>
          <w:caps w:val="false"/>
          <w:smallCaps w:val="false"/>
          <w:sz w:val="20"/>
        </w:rPr>
        <w:t>” means any “employee benefit plan,” as such term is defined in Section 3(3) of ERISA, that is (or when in effect was) subject to any provision of ERISA, including Title IV of ERISA, and is or was sponsored, maintained or contributed to by Seller, any Acquired Company or any ERISA Affiliate.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Attributes</w:t>
      </w:r>
      <w:r>
        <w:rPr>
          <w:rFonts w:ascii="Times New Roman;Times;Serif" w:hAnsi="Times New Roman;Times;Serif"/>
          <w:b w:val="false"/>
          <w:i w:val="false"/>
          <w:caps w:val="false"/>
          <w:smallCaps w:val="false"/>
          <w:sz w:val="20"/>
        </w:rPr>
        <w:t>” means all environmental air quality credits, green credits, carbon credits, emissions reduction credits, certificates, tags, offsets, allowances or similar products or rights, howsoever entitled: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resulting from the avoidance of the emission of any gas, chemical or other substance, including mercury, nitrogen oxide, sulfur dioxide, carbon dioxide, carbon monoxide, particulate matter or similar pollutants or contaminants of air, water or soil, gas, chemical or other substance;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attributable to the generation, purchase, sale or use of renewable energy generated or use of renewable generation technologies by the Project, or otherwise attributable to the Project, including any renewable energy credits (“</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 means all applicable Laws relating to the environment, or the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the Clean Air Act, the Federal Water Pollution Control Act (including the Clean Water Act and the Oil Pollution Act), the Safe Drinking Water Act, the Federal Solid Waste Disposal Act (including the Resource Conservation and Recovery Act of 1976), the Comprehensive Environmental Response, Compensation, and Liability Act, the Toxic Substances Control Act, the Federal Insecticide, Fungicide and Rodenticide Act, the Emergency Planning and Community Right-to-Know Act, the Occupational Safety and Health Act (to the extent relating to human exposure to Hazardous Substances) and any other federal, state or local Laws now or hereafter existing relating to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w:t>
      </w:r>
      <w:r>
        <w:rPr>
          <w:rFonts w:ascii="Times New Roman;Times;Serif" w:hAnsi="Times New Roman;Times;Serif"/>
          <w:b w:val="false"/>
          <w:i w:val="false"/>
          <w:caps w:val="false"/>
          <w:smallCaps w:val="false"/>
          <w:sz w:val="20"/>
        </w:rPr>
        <w:t>” means that certain Engineering, Procurement and Construction (EPC) Agreement, dated as of October 14, 2022, by and between the Project Company and the EPC Contractor, as amended by that certain Change Order No. 1, dated as of March 10,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EPC Contractor</w:t>
      </w:r>
      <w:r>
        <w:rPr>
          <w:rFonts w:ascii="Times New Roman;Times;Serif" w:hAnsi="Times New Roman;Times;Serif"/>
          <w:b w:val="false"/>
          <w:i w:val="false"/>
          <w:caps w:val="false"/>
          <w:smallCaps w:val="false"/>
          <w:sz w:val="20"/>
        </w:rPr>
        <w:t>” means Wanzek Construction, Inc., a North Dakota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Equity Capital Contribution Account</w:t>
      </w:r>
      <w:r>
        <w:rPr>
          <w:rFonts w:ascii="Times New Roman;Times;Serif" w:hAnsi="Times New Roman;Times;Serif"/>
          <w:b w:val="false"/>
          <w:i w:val="false"/>
          <w:caps w:val="false"/>
          <w:smallCaps w:val="false"/>
          <w:sz w:val="20"/>
        </w:rPr>
        <w:t>” has the meaning set forth in the Financing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ERISA Affiliate</w:t>
      </w:r>
      <w:r>
        <w:rPr>
          <w:rFonts w:ascii="Times New Roman;Times;Serif" w:hAnsi="Times New Roman;Times;Serif"/>
          <w:b w:val="false"/>
          <w:i w:val="false"/>
          <w:caps w:val="false"/>
          <w:smallCaps w:val="false"/>
          <w:sz w:val="20"/>
        </w:rPr>
        <w:t xml:space="preserve">” means any entity, trade or business that is a member of a group described in Section 414(b), (c), (m) or (o) of the Code or Section 4001(b)(1) of ERISA that includes Seller or the Acquired Companies or that is a member of the same “controlled group” as Seller pursuant to Section 4001(a)(14) of ERISA;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Acquired Companies shall not be considered to be ERISA Affiliates from and after the Closing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w:t>
      </w:r>
      <w:r>
        <w:rPr>
          <w:rFonts w:ascii="Times New Roman;Times;Serif" w:hAnsi="Times New Roman;Times;Serif"/>
          <w:b w:val="false"/>
          <w:i w:val="false"/>
          <w:caps w:val="false"/>
          <w:smallCaps w:val="false"/>
          <w:sz w:val="20"/>
        </w:rPr>
        <w:t>” has the meaning set forth in the preamble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Execution Date Title Policy</w:t>
      </w:r>
      <w:r>
        <w:rPr>
          <w:rFonts w:ascii="Times New Roman;Times;Serif" w:hAnsi="Times New Roman;Times;Serif"/>
          <w:b w:val="false"/>
          <w:i w:val="false"/>
          <w:caps w:val="false"/>
          <w:smallCaps w:val="false"/>
          <w:sz w:val="20"/>
        </w:rPr>
        <w:t>” means each of that certain Owner’s Policy of Title Insurance in favor of the Project Company, dated March 10, 2023 and issued by the Title Company under Policy No. 0-0000-077229790.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Exempt Wholesale Generator</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EWG</w:t>
      </w:r>
      <w:r>
        <w:rPr>
          <w:rFonts w:ascii="Times New Roman;Times;Serif" w:hAnsi="Times New Roman;Times;Serif"/>
          <w:b w:val="false"/>
          <w:i w:val="false"/>
          <w:caps w:val="false"/>
          <w:smallCaps w:val="false"/>
          <w:sz w:val="20"/>
        </w:rPr>
        <w:t>” has the meaning given to such term in PUHCA.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FERC</w:t>
      </w:r>
      <w:r>
        <w:rPr>
          <w:rFonts w:ascii="Times New Roman;Times;Serif" w:hAnsi="Times New Roman;Times;Serif"/>
          <w:b w:val="false"/>
          <w:i w:val="false"/>
          <w:caps w:val="false"/>
          <w:smallCaps w:val="false"/>
          <w:sz w:val="20"/>
        </w:rPr>
        <w:t>” means the Federal Energy Regulatory Commission.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Agreement</w:t>
      </w:r>
      <w:r>
        <w:rPr>
          <w:rFonts w:ascii="Times New Roman;Times;Serif" w:hAnsi="Times New Roman;Times;Serif"/>
          <w:b w:val="false"/>
          <w:i w:val="false"/>
          <w:caps w:val="false"/>
          <w:smallCaps w:val="false"/>
          <w:sz w:val="20"/>
        </w:rPr>
        <w:t>” means that certain Financing Agreement, dated as of March 10, 2023, by and among Class B Holdco, the Project Company, KeyBank National Association, as administrative agent and as collateral agent, and the lenders and issuing banks from time to time party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Financing Documents</w:t>
      </w:r>
      <w:r>
        <w:rPr>
          <w:rFonts w:ascii="Times New Roman;Times;Serif" w:hAnsi="Times New Roman;Times;Serif"/>
          <w:b w:val="false"/>
          <w:i w:val="false"/>
          <w:caps w:val="false"/>
          <w:smallCaps w:val="false"/>
          <w:sz w:val="20"/>
        </w:rPr>
        <w:t>” means, collectively: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“Financing Documents” (as defined in the Financing Agreement)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FPA</w:t>
      </w:r>
      <w:r>
        <w:rPr>
          <w:rFonts w:ascii="Times New Roman;Times;Serif" w:hAnsi="Times New Roman;Times;Serif"/>
          <w:b w:val="false"/>
          <w:i w:val="false"/>
          <w:caps w:val="false"/>
          <w:smallCaps w:val="false"/>
          <w:sz w:val="20"/>
        </w:rPr>
        <w:t>” means the Federal Power Act and all rules and regulations adopted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Fraudulent Action</w:t>
      </w:r>
      <w:r>
        <w:rPr>
          <w:rFonts w:ascii="Times New Roman;Times;Serif" w:hAnsi="Times New Roman;Times;Serif"/>
          <w:b w:val="false"/>
          <w:i w:val="false"/>
          <w:caps w:val="false"/>
          <w:smallCaps w:val="false"/>
          <w:sz w:val="20"/>
        </w:rPr>
        <w:t>” means, with respect to the applicable Party, any fraud, intentional breach, intentional misrepresentation (excluding negligent misrepresentation) or intentional omission by such Party or any Representative of such Party in connection with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Funding Date</w:t>
      </w:r>
      <w:r>
        <w:rPr>
          <w:rFonts w:ascii="Times New Roman;Times;Serif" w:hAnsi="Times New Roman;Times;Serif"/>
          <w:b w:val="false"/>
          <w:i w:val="false"/>
          <w:caps w:val="false"/>
          <w:smallCaps w:val="false"/>
          <w:sz w:val="20"/>
        </w:rPr>
        <w:t>” has the meaning set forth in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consistently applied throughout the relevant periods.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Approval</w:t>
      </w:r>
      <w:r>
        <w:rPr>
          <w:rFonts w:ascii="Times New Roman;Times;Serif" w:hAnsi="Times New Roman;Times;Serif"/>
          <w:b w:val="false"/>
          <w:i w:val="false"/>
          <w:caps w:val="false"/>
          <w:smallCaps w:val="false"/>
          <w:sz w:val="20"/>
        </w:rPr>
        <w:t>” means any consent or approval required by any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Governmental Authority</w:t>
      </w:r>
      <w:r>
        <w:rPr>
          <w:rFonts w:ascii="Times New Roman;Times;Serif" w:hAnsi="Times New Roman;Times;Serif"/>
          <w:b w:val="false"/>
          <w:i w:val="false"/>
          <w:caps w:val="false"/>
          <w:smallCaps w:val="false"/>
          <w:sz w:val="20"/>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IPUC, and the Regional Entity, or any court or governmental tribunal.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Hazardous Substances</w:t>
      </w:r>
      <w:r>
        <w:rPr>
          <w:rFonts w:ascii="Times New Roman;Times;Serif" w:hAnsi="Times New Roman;Times;Serif"/>
          <w:b w:val="false"/>
          <w:i w:val="false"/>
          <w:caps w:val="false"/>
          <w:smallCaps w:val="false"/>
          <w:sz w:val="20"/>
        </w:rPr>
        <w:t>” means any substance, element, compound or mixture, whether solid, liquid or gaseous: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which is defined as “hazardous waste” or “hazardous substance” or “pollutant” or “contaminant” under any Environmental Law;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which is otherwise hazardous and is subject to regulation by any Governmental Authority;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petroleum hydrocarbons (other than naturally occurring petroleum hydrocarbons);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polychlorinated biphenyls (PCBs);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asbestos-containing materials (other than naturally occurring asbestos); (f) per or poly fluoroalkyl substances; or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radioactive materials (other than naturally occurring radioactive materials).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Indebtedness</w:t>
      </w:r>
      <w:r>
        <w:rPr>
          <w:rFonts w:ascii="Times New Roman;Times;Serif" w:hAnsi="Times New Roman;Times;Serif"/>
          <w:b w:val="false"/>
          <w:i w:val="false"/>
          <w:caps w:val="false"/>
          <w:smallCaps w:val="false"/>
          <w:sz w:val="20"/>
        </w:rPr>
        <w:t>” means all obligations of a Person: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for borrowed money;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evidenced by notes, bonds, debentures or similar instruments;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for the deferred purchase price of goods or services (other than trade payables or accruals incurred in the ordinary course of business and not past due);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under capital leases;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secured by a Lien on the assets of such Person, whether or not such obligation has been assumed by such Person;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with respect to reimbursement obligations for letters of credit and other similar instruments (whether or not drawn);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in the nature of guaranties of the obligations described in clauses (a) through (f) above of any other Person or as to which such Person has an obligation substantially the economic equivalent of a guaranty;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for unpaid interest, prepayment penalties, premiums, costs and fees that would arise or become due as a result of the prepayment of any of the obligations referred to in the foregoing clauses (a) through (g); 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 respect of any other amount properly characterized as indebtedness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Indemnified Party</w:t>
      </w:r>
      <w:r>
        <w:rPr>
          <w:rFonts w:ascii="Times New Roman;Times;Serif" w:hAnsi="Times New Roman;Times;Serif"/>
          <w:b w:val="false"/>
          <w:i w:val="false"/>
          <w:caps w:val="false"/>
          <w:smallCaps w:val="false"/>
          <w:sz w:val="20"/>
        </w:rPr>
        <w:t xml:space="preserve">” means any Person claiming indemnification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Indemnifying Party</w:t>
      </w:r>
      <w:r>
        <w:rPr>
          <w:rFonts w:ascii="Times New Roman;Times;Serif" w:hAnsi="Times New Roman;Times;Serif"/>
          <w:b w:val="false"/>
          <w:i w:val="false"/>
          <w:caps w:val="false"/>
          <w:smallCaps w:val="false"/>
          <w:sz w:val="20"/>
        </w:rPr>
        <w:t xml:space="preserve">” means any Person against whom a claim for indemnification is being asserted under any provision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3.01(o)</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IPUC</w:t>
      </w:r>
      <w:r>
        <w:rPr>
          <w:rFonts w:ascii="Times New Roman;Times;Serif" w:hAnsi="Times New Roman;Times;Serif"/>
          <w:b w:val="false"/>
          <w:i w:val="false"/>
          <w:caps w:val="false"/>
          <w:smallCaps w:val="false"/>
          <w:sz w:val="20"/>
        </w:rPr>
        <w:t>” means the Idaho Public Utilities Commission.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Knowledge</w:t>
      </w:r>
      <w:r>
        <w:rPr>
          <w:rFonts w:ascii="Times New Roman;Times;Serif" w:hAnsi="Times New Roman;Times;Serif"/>
          <w:b w:val="false"/>
          <w:i w:val="false"/>
          <w:caps w:val="false"/>
          <w:smallCaps w:val="false"/>
          <w:sz w:val="20"/>
        </w:rPr>
        <w:t>” means the actual knowledge of (a) in the case of Seller, [***], and (b) in the case of Purchaser, [***], in each case, after reasonable inquiry of their direct reports.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3.01(n)(i)</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Law</w:t>
      </w:r>
      <w:r>
        <w:rPr>
          <w:rFonts w:ascii="Times New Roman;Times;Serif" w:hAnsi="Times New Roman;Times;Serif"/>
          <w:b w:val="false"/>
          <w:i w:val="false"/>
          <w:caps w:val="false"/>
          <w:smallCaps w:val="false"/>
          <w:sz w:val="20"/>
        </w:rPr>
        <w:t>” means all laws, statutes, treaties, rules, injunctions, judgments, decrees, writs, orders, codes, ordinances, standards, regulations, restrictions, executive orders, official guidelines, policies, directives, interpretations, permits or other pronouncements, in each case, having the effect of law of any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Liabilities</w:t>
      </w:r>
      <w:r>
        <w:rPr>
          <w:rFonts w:ascii="Times New Roman;Times;Serif" w:hAnsi="Times New Roman;Times;Serif"/>
          <w:b w:val="false"/>
          <w:i w:val="false"/>
          <w:caps w:val="false"/>
          <w:smallCaps w:val="false"/>
          <w:sz w:val="20"/>
        </w:rPr>
        <w:t>” means any liability, Indebtedness, obligation, commitment, or expense, in each case, requiring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payment of a monetary amount;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type or fulfillment of an obligation, and in each case whether accrued, absolute, contingent, asserted, matured, unmatured, secured or unsecured.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Lien</w:t>
      </w:r>
      <w:r>
        <w:rPr>
          <w:rFonts w:ascii="Times New Roman;Times;Serif" w:hAnsi="Times New Roman;Times;Serif"/>
          <w:b w:val="false"/>
          <w:i w:val="false"/>
          <w:caps w:val="false"/>
          <w:smallCaps w:val="false"/>
          <w:sz w:val="20"/>
        </w:rPr>
        <w:t>” means any lien, mortgage, pledge, security interest, charge or encumbrance of any kind (including any conditional sale or other title retention agreement, any lease in the nature thereof, and any agreement to give any lien or security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Losses</w:t>
      </w:r>
      <w:r>
        <w:rPr>
          <w:rFonts w:ascii="Times New Roman;Times;Serif" w:hAnsi="Times New Roman;Times;Serif"/>
          <w:b w:val="false"/>
          <w:i w:val="false"/>
          <w:caps w:val="false"/>
          <w:smallCaps w:val="false"/>
          <w:sz w:val="20"/>
        </w:rPr>
        <w:t xml:space="preserve">” means any and all claims (including third-party and inter-party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 except as otherwise provided in </w:t>
      </w:r>
      <w:r>
        <w:rPr>
          <w:rFonts w:ascii="Times New Roman;Times;Serif" w:hAnsi="Times New Roman;Times;Serif"/>
          <w:b w:val="false"/>
          <w:i/>
          <w:caps w:val="false"/>
          <w:smallCaps w:val="false"/>
          <w:sz w:val="20"/>
        </w:rPr>
        <w:t>Section 8.15</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Major Project Change</w:t>
      </w:r>
      <w:r>
        <w:rPr>
          <w:rFonts w:ascii="Times New Roman;Times;Serif" w:hAnsi="Times New Roman;Times;Serif"/>
          <w:b w:val="false"/>
          <w:i w:val="false"/>
          <w:caps w:val="false"/>
          <w:smallCaps w:val="false"/>
          <w:sz w:val="20"/>
        </w:rPr>
        <w:t>” means a: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delay in the construction of the Project that is reasonably likely to result in a material delay in achieving commercial operations of the Project;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material increase in the costs of, or liability to, the Project or any Acquired Company that will not be borne by Seller or otherwise paid, extinguished or fully satisfied as of the Closing Date;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to the extent not taken into account in the Base Case Model, any fact, event, circumstance, condition or change that has a material adverse effect on the expected generation from or operating cost of the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Material Adverse Effect</w:t>
      </w:r>
      <w:r>
        <w:rPr>
          <w:rFonts w:ascii="Times New Roman;Times;Serif" w:hAnsi="Times New Roman;Times;Serif"/>
          <w:b w:val="false"/>
          <w:i w:val="false"/>
          <w:caps w:val="false"/>
          <w:smallCaps w:val="false"/>
          <w:sz w:val="20"/>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the Project or the Acquired Companies, taken as a whole;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none of the following shall be or will be at the Closing Date deemed to constitute and shall not be taken into account in determining the occurrence of a Material Adverse Effect: any fact, event, circumstance, condition, change or effect resulting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economic change generally affecting the international, national or regional electric generating industry or wholesale markets for electric power;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economic change in markets for commodities or supplies, including electric power, as applicable, used in connection with any Acquired Company;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any change in general regulatory or political conditions, including any engagements of hostilities, acts of war or terrorist activities, natural disasters or weather-related events or changes imposed by a Governmental Authority associated with additional security;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any change in any Laws (including Environmental Laws), industry standards generally affecting the industry or markets in which any Acquired Company operates or GAAP;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any change in the financial condition of any Acquired Company caused by the transactions contemplated by this Agreement;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actions to be taken pursuant to or in accordance with this Agreement; or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the announcement or pendency of the transactions contemplated hereby, including any labor union activities or disputes;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the Acquired Companies, taken as whole, as compared to similarly situated businesses in the same industry and in the same geographical area, which shall be deemed to include the State of Idaho.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MBR Authorization</w:t>
      </w:r>
      <w:r>
        <w:rPr>
          <w:rFonts w:ascii="Times New Roman;Times;Serif" w:hAnsi="Times New Roman;Times;Serif"/>
          <w:b w:val="false"/>
          <w:i w:val="false"/>
          <w:caps w:val="false"/>
          <w:smallCaps w:val="false"/>
          <w:sz w:val="20"/>
        </w:rPr>
        <w:t>” means a final order issued by FERC: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authorizing the wholesale sale of electric energy, capacity, and specified ancillary services at market-based rates pursuant to Section 205 of the FPA;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accepting a tariff pertaining to such sales;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granting waivers of regulations and blanket authorizations customarily granted by FERC to an entity that makes wholesale sales of electric energy, capacity, and specified ancillary services at market-based rates, including blanket approval for the issuance of securities and assumption of liabilities under Section 204 of the FPA.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MW</w:t>
      </w:r>
      <w:r>
        <w:rPr>
          <w:rFonts w:ascii="Times New Roman;Times;Serif" w:hAnsi="Times New Roman;Times;Serif"/>
          <w:b w:val="false"/>
          <w:i w:val="false"/>
          <w:caps w:val="false"/>
          <w:smallCaps w:val="false"/>
          <w:sz w:val="20"/>
        </w:rPr>
        <w:t>” means megawatt (alternating current).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NERC” </w:t>
      </w:r>
      <w:r>
        <w:rPr>
          <w:rFonts w:ascii="Times New Roman;Times;Serif" w:hAnsi="Times New Roman;Times;Serif"/>
          <w:b w:val="false"/>
          <w:i w:val="false"/>
          <w:caps w:val="false"/>
          <w:smallCaps w:val="false"/>
          <w:sz w:val="20"/>
        </w:rPr>
        <w:t>means the North American Electric Reliability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with respect to any Person means any security, right, subscription, warrant, option, “phantom” stock right or other Contract that gives the right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Order</w:t>
      </w:r>
      <w:r>
        <w:rPr>
          <w:rFonts w:ascii="Times New Roman;Times;Serif" w:hAnsi="Times New Roman;Times;Serif"/>
          <w:b w:val="false"/>
          <w:i w:val="false"/>
          <w:caps w:val="false"/>
          <w:smallCaps w:val="false"/>
          <w:sz w:val="20"/>
        </w:rPr>
        <w:t>” means any writ, judgment, injunction, ruling, decision, order or similar direction of any Governmental Authority, whether preliminary or final.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xml:space="preserve">” has the meaning set forth on </w:t>
      </w:r>
      <w:r>
        <w:rPr>
          <w:rFonts w:ascii="Times New Roman;Times;Serif" w:hAnsi="Times New Roman;Times;Serif"/>
          <w:b w:val="false"/>
          <w:i/>
          <w:caps w:val="false"/>
          <w:smallCaps w:val="false"/>
          <w:sz w:val="20"/>
        </w:rPr>
        <w:t>Section 7.01(b)</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Party</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Parties</w:t>
      </w:r>
      <w:r>
        <w:rPr>
          <w:rFonts w:ascii="Times New Roman;Times;Serif" w:hAnsi="Times New Roman;Times;Serif"/>
          <w:b w:val="false"/>
          <w:i w:val="false"/>
          <w:caps w:val="false"/>
          <w:smallCaps w:val="false"/>
          <w:sz w:val="20"/>
        </w:rPr>
        <w:t>” has the meaning set forth in the preamble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w:t>
      </w:r>
      <w:r>
        <w:rPr>
          <w:rFonts w:ascii="Times New Roman;Times;Serif" w:hAnsi="Times New Roman;Times;Serif"/>
          <w:b w:val="false"/>
          <w:i w:val="false"/>
          <w:caps w:val="false"/>
          <w:smallCaps w:val="false"/>
          <w:sz w:val="20"/>
        </w:rPr>
        <w:t>” means all licenses, permits, consents, authorizations, approvals, ratifications, certifications, exemptions, variances, exceptions and similar consents granted or issued by or from, and filings and registrations with or delivered to, any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Equity Encumbrances</w:t>
      </w:r>
      <w:r>
        <w:rPr>
          <w:rFonts w:ascii="Times New Roman;Times;Serif" w:hAnsi="Times New Roman;Times;Serif"/>
          <w:b w:val="false"/>
          <w:i w:val="false"/>
          <w:caps w:val="false"/>
          <w:smallCaps w:val="false"/>
          <w:sz w:val="20"/>
        </w:rPr>
        <w:t>” means: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those restrictions on transfer imposed by applicable securities laws;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or restrictions imposed on transfers set forth in the Constitutive Documents of the issuer;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Liens created pursuant to, and securing any Indebtedness under, the Financing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Exceptions</w:t>
      </w:r>
      <w:r>
        <w:rPr>
          <w:rFonts w:ascii="Times New Roman;Times;Serif" w:hAnsi="Times New Roman;Times;Serif"/>
          <w:b w:val="false"/>
          <w:i w:val="false"/>
          <w:caps w:val="false"/>
          <w:smallCaps w:val="false"/>
          <w:sz w:val="20"/>
        </w:rPr>
        <w:t>” means, with respect to the Real Property Rights,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Liens for Taxes, which are not due and payable as of the Closing Date or, if due, are: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building codes and zoning ordinances and other Laws of any Governmental Authority heretofore, now or hereafter enacted, made or issued by any such Governmental Authority affecting the Real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easements, rights-of-way, covenants, conditions, restrictions, reservations, licenses, agreements and other similar matters which would not reasonably be expected to, in the aggregate, have a Material Adverse Effect on the use and enjoyment of the Real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with respect to the ownership, mining, extraction and removal of minerals, of whatever kind and character (including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inchoate mechanic’s and materialmen’s liens for construction in progress and workmen’s, repairmen’s, warehousemen’s and carrier’s liens arising in the ordinary course of business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are being contested in good faith through appropriate proceedings and as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Permitted Lien</w:t>
      </w:r>
      <w:r>
        <w:rPr>
          <w:rFonts w:ascii="Times New Roman;Times;Serif" w:hAnsi="Times New Roman;Times;Serif"/>
          <w:b w:val="false"/>
          <w:i w:val="false"/>
          <w:caps w:val="false"/>
          <w:smallCaps w:val="false"/>
          <w:sz w:val="20"/>
        </w:rPr>
        <w:t>” means any: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mechanic’s, laborer’s, workmen’s, repairmen’s and carrier’s Liens, including all statutory Liens: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relating to obligations as to which there is no existing default on the part of the Acquired Companies;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that Seller is contesting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as applicable;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Liens for Taxes, assessments and other governmental charges not yet due and payable or, if due: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not delinquent;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being contested in good faith through appropriate proceedings and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 and as to which adequate reserves in accordance with GAAP have been taken on the books of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good faith deposits in connection with bids, tenders, leases, contracts or other agreements, including rent security deposits;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pledges or deposits to secure public or statutory obligations or appeal bonds;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in the case of personal property owned or held by the Acquired Companies, covenants and other restrictions in the Company Contracts; (</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any Liens relating to or arising from the Financing Documents; (</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any encumbrance or exception reflected in any Title Policy; (</w:t>
      </w:r>
      <w:r>
        <w:rPr>
          <w:rFonts w:ascii="Times New Roman;Times;Serif" w:hAnsi="Times New Roman;Times;Serif"/>
          <w:b w:val="false"/>
          <w:i/>
          <w:caps w:val="false"/>
          <w:smallCaps w:val="false"/>
          <w:sz w:val="20"/>
        </w:rPr>
        <w:t>h</w:t>
      </w:r>
      <w:r>
        <w:rPr>
          <w:rFonts w:ascii="Times New Roman;Times;Serif" w:hAnsi="Times New Roman;Times;Serif"/>
          <w:b w:val="false"/>
          <w:i w:val="false"/>
          <w:caps w:val="false"/>
          <w:smallCaps w:val="false"/>
          <w:sz w:val="20"/>
        </w:rPr>
        <w:t xml:space="preserve">) Liens against the assets of any Acquired Company that would not, individually or in the aggregate, interfere in any material adverse respect with the ability of such Acquired Company to use the property encumbered thereby for its intended purpose in connection with the Project; and (i) any other Liens set forth on </w:t>
      </w:r>
      <w:r>
        <w:rPr>
          <w:rFonts w:ascii="Times New Roman;Times;Serif" w:hAnsi="Times New Roman;Times;Serif"/>
          <w:b w:val="false"/>
          <w:i/>
          <w:caps w:val="false"/>
          <w:smallCaps w:val="false"/>
          <w:sz w:val="20"/>
        </w:rPr>
        <w:t>Schedule 1.01</w:t>
      </w:r>
      <w:r>
        <w:rPr>
          <w:rFonts w:ascii="Times New Roman;Times;Serif" w:hAnsi="Times New Roman;Times;Serif"/>
          <w:b w:val="false"/>
          <w:i w:val="false"/>
          <w:caps w:val="false"/>
          <w:smallCaps w:val="false"/>
          <w:sz w:val="20"/>
        </w:rPr>
        <w:t xml:space="preserve"> of the Disclosure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general partnership, limited partnership, proprietorship, other business, entity, organization, trust, union, association or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Placed-In-Service</w:t>
      </w:r>
      <w:r>
        <w:rPr>
          <w:rFonts w:ascii="Times New Roman;Times;Serif" w:hAnsi="Times New Roman;Times;Serif"/>
          <w:b w:val="false"/>
          <w:i w:val="false"/>
          <w:caps w:val="false"/>
          <w:smallCaps w:val="false"/>
          <w:sz w:val="20"/>
        </w:rPr>
        <w:t>” has the meaning set forth in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PPA</w:t>
      </w:r>
      <w:r>
        <w:rPr>
          <w:rFonts w:ascii="Times New Roman;Times;Serif" w:hAnsi="Times New Roman;Times;Serif"/>
          <w:b w:val="false"/>
          <w:i w:val="false"/>
          <w:caps w:val="false"/>
          <w:smallCaps w:val="false"/>
          <w:sz w:val="20"/>
        </w:rPr>
        <w:t>” means that certain Power Purchase Agreement, dated October 10, 2022, between the Project Company and PacifiCorp.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caps w:val="false"/>
          <w:smallCaps w:val="false"/>
        </w:rPr>
      </w:pPr>
      <w:r>
        <w:rPr>
          <w:caps w:val="false"/>
          <w:smallCaps w:val="false"/>
        </w:rPr>
        <w:t>“</w:t>
      </w:r>
      <w:r>
        <w:rPr>
          <w:rFonts w:ascii="Times New Roman;Times;Serif" w:hAnsi="Times New Roman;Times;Serif"/>
          <w:b w:val="false"/>
          <w:i/>
          <w:caps w:val="false"/>
          <w:smallCaps w:val="false"/>
          <w:sz w:val="20"/>
        </w:rPr>
        <w:t>Pricing Adjustments</w:t>
      </w:r>
      <w:r>
        <w:rPr>
          <w:rFonts w:ascii="Times New Roman;Times;Serif" w:hAnsi="Times New Roman;Times;Serif"/>
          <w:b w:val="false"/>
          <w:i w:val="false"/>
          <w:caps w:val="false"/>
          <w:smallCaps w:val="false"/>
          <w:sz w:val="20"/>
        </w:rPr>
        <w:t>” means, as of the Funding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Base Case Model shall be updated to reflect the actual date of the Funding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Base Case Model shall be updated to reflect the actual date on which Placed-In-Service occurred in respect of the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Base Case Model shall be updated to reflect: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for the Project, the fair market value set forth in the Appraisal bring-down delivered in respect of the Funding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for the Project, any adjustment in cost allocation, depreciation and amortization recovery periods, amortization and depreciation methods and rates and amount of depreciation and amortization expense or allowance, as confirmed by the Appraisal bring-down delivered in connection with the Funding Date;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for the Project, any adjustment to degradation or the monthly annual generation, as reflected in the bring downs of the “Independent Engineer Report” (as defined in the Tax Equity ECCA);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for the Project, to the extent revised in the bring-down of any “Independent Engineer Report” (as defined in the Tax Equity ECCA), availability and the energy estimate, as mutually agreed by Purchaser and Seller; (</w:t>
      </w:r>
      <w:r>
        <w:rPr>
          <w:rFonts w:ascii="Times New Roman;Times;Serif" w:hAnsi="Times New Roman;Times;Serif"/>
          <w:b w:val="false"/>
          <w:i/>
          <w:caps w:val="false"/>
          <w:smallCaps w:val="false"/>
          <w:sz w:val="20"/>
        </w:rPr>
        <w:t>v</w:t>
      </w:r>
      <w:r>
        <w:rPr>
          <w:rFonts w:ascii="Times New Roman;Times;Serif" w:hAnsi="Times New Roman;Times;Serif"/>
          <w:b w:val="false"/>
          <w:i w:val="false"/>
          <w:caps w:val="false"/>
          <w:smallCaps w:val="false"/>
          <w:sz w:val="20"/>
        </w:rPr>
        <w:t>) for the Project, any adjustment to operation and maintenance fees and expenses to the extent identified in the “Independent Engineer Report” (as defined in the Tax Equity ECCA); and (</w:t>
      </w:r>
      <w:r>
        <w:rPr>
          <w:rFonts w:ascii="Times New Roman;Times;Serif" w:hAnsi="Times New Roman;Times;Serif"/>
          <w:b w:val="false"/>
          <w:i/>
          <w:caps w:val="false"/>
          <w:smallCaps w:val="false"/>
          <w:sz w:val="20"/>
        </w:rPr>
        <w:t>vi</w:t>
      </w:r>
      <w:r>
        <w:rPr>
          <w:rFonts w:ascii="Times New Roman;Times;Serif" w:hAnsi="Times New Roman;Times;Serif"/>
          <w:b w:val="false"/>
          <w:i w:val="false"/>
          <w:caps w:val="false"/>
          <w:smallCaps w:val="false"/>
          <w:sz w:val="20"/>
        </w:rPr>
        <w:t>) any adjustment in state or local Taxes that apply to the Project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energy price, the tenor of the PPA, and the timing of receipt of payments under the PPA shall be adjusted to the extent that, prior to the Funding Date, the PPA has been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Amendments to or additional “Transaction Documents” (as defined in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Property tax expenses and franchise tax (if any) for the Project shall be updated.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Insurance expenses shall be updated to reflect the costs of insurance to be obtained and maintained for the Project, to the extent not yet in place, based on final advice from the “Insurance Consultant” (as defined in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“Domestic Content Bonus Credits” (as defined in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w:t>
      </w:r>
      <w:r>
        <w:rPr>
          <w:rFonts w:ascii="Times New Roman;Times;Serif" w:hAnsi="Times New Roman;Times;Serif"/>
          <w:b w:val="false"/>
          <w:i w:val="false"/>
          <w:caps w:val="false"/>
          <w:smallCaps w:val="false"/>
          <w:sz w:val="20"/>
        </w:rPr>
        <w:t>” has the meaning set forth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 Company</w:t>
      </w:r>
      <w:r>
        <w:rPr>
          <w:rFonts w:ascii="Times New Roman;Times;Serif" w:hAnsi="Times New Roman;Times;Serif"/>
          <w:b w:val="false"/>
          <w:i w:val="false"/>
          <w:caps w:val="false"/>
          <w:smallCaps w:val="false"/>
          <w:sz w:val="20"/>
        </w:rPr>
        <w:t>” has the meaning set forth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3.01(aa)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Prudent Industry Practices</w:t>
      </w:r>
      <w:r>
        <w:rPr>
          <w:rFonts w:ascii="Times New Roman;Times;Serif" w:hAnsi="Times New Roman;Times;Serif"/>
          <w:b w:val="false"/>
          <w:i w:val="false"/>
          <w:caps w:val="false"/>
          <w:smallCaps w:val="false"/>
          <w:sz w:val="20"/>
        </w:rPr>
        <w:t>” means those practices, methods, standards and procedures as are commonly used by a significant portion of those providing operating services on wind facilities of a type and size similar to the Project, which in the exercise of reasonable judgment and in the light of the facts known at the time the decision was made, are considered good, safe and prudent practice in connection with the design, manufacture and construction and use of electrical and other equipment, facilities, equipment and improvements, with commensurate standards of safety, performance, dependability, efficiency and economy.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PUHCA</w:t>
      </w:r>
      <w:r>
        <w:rPr>
          <w:rFonts w:ascii="Times New Roman;Times;Serif" w:hAnsi="Times New Roman;Times;Serif"/>
          <w:b w:val="false"/>
          <w:i w:val="false"/>
          <w:caps w:val="false"/>
          <w:smallCaps w:val="false"/>
          <w:sz w:val="20"/>
        </w:rPr>
        <w:t>” means the Public Utility Holding Company Act of 2005 and the implementing regulations of the FERC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2.02.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w:t>
      </w:r>
      <w:r>
        <w:rPr>
          <w:rFonts w:ascii="Times New Roman;Times;Serif" w:hAnsi="Times New Roman;Times;Serif"/>
          <w:b w:val="false"/>
          <w:i w:val="false"/>
          <w:caps w:val="false"/>
          <w:smallCaps w:val="false"/>
          <w:sz w:val="20"/>
        </w:rPr>
        <w:t>” has the meaning set forth in the preamble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Indemnified Parties</w:t>
      </w:r>
      <w:r>
        <w:rPr>
          <w:rFonts w:ascii="Times New Roman;Times;Serif" w:hAnsi="Times New Roman;Times;Serif"/>
          <w:b w:val="false"/>
          <w:i w:val="false"/>
          <w:caps w:val="false"/>
          <w:smallCaps w:val="false"/>
          <w:sz w:val="20"/>
        </w:rPr>
        <w:t>” means Purchaser and its Representatives.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w:t>
      </w:r>
      <w:r>
        <w:rPr>
          <w:rFonts w:ascii="Times New Roman;Times;Serif" w:hAnsi="Times New Roman;Times;Serif"/>
          <w:b w:val="false"/>
          <w:i w:val="false"/>
          <w:caps w:val="false"/>
          <w:smallCaps w:val="false"/>
          <w:sz w:val="20"/>
        </w:rPr>
        <w:t>” means Clearway Energy Operating LLC, 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Parent Guaranty</w:t>
      </w:r>
      <w:r>
        <w:rPr>
          <w:rFonts w:ascii="Times New Roman;Times;Serif" w:hAnsi="Times New Roman;Times;Serif"/>
          <w:b w:val="false"/>
          <w:i w:val="false"/>
          <w:caps w:val="false"/>
          <w:smallCaps w:val="false"/>
          <w:sz w:val="20"/>
        </w:rPr>
        <w:t xml:space="preserve">” means the Purchaser Parent Guaranty dated as of the Execution Date and issued by the Purchaser Parent, in the form of </w:t>
      </w:r>
      <w:r>
        <w:rPr>
          <w:rFonts w:ascii="Times New Roman;Times;Serif" w:hAnsi="Times New Roman;Times;Serif"/>
          <w:b w:val="false"/>
          <w:i/>
          <w:caps w:val="false"/>
          <w:smallCaps w:val="false"/>
          <w:sz w:val="20"/>
        </w:rPr>
        <w:t>Exhibit B</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Purchaser Tax Equity Guaranty</w:t>
      </w:r>
      <w:r>
        <w:rPr>
          <w:rFonts w:ascii="Times New Roman;Times;Serif" w:hAnsi="Times New Roman;Times;Serif"/>
          <w:b w:val="false"/>
          <w:i w:val="false"/>
          <w:caps w:val="false"/>
          <w:smallCaps w:val="false"/>
          <w:sz w:val="20"/>
        </w:rPr>
        <w:t xml:space="preserve">” means that certain Guaranty Agreement to be entered into on or around the Closing Date by Purchaser Parent, on behalf of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Real Property Rights</w:t>
      </w:r>
      <w:r>
        <w:rPr>
          <w:rFonts w:ascii="Times New Roman;Times;Serif" w:hAnsi="Times New Roman;Times;Serif"/>
          <w:b w:val="false"/>
          <w:i w:val="false"/>
          <w:caps w:val="false"/>
          <w:smallCaps w:val="false"/>
          <w:sz w:val="20"/>
        </w:rPr>
        <w:t>” means all real property rights and interests of the Acquired Companies, including all fee interests, options, leases, easements, land use rights, access easements, transmission line easements, rights to ingress and egress, any and all bids, grants, awards, applications, rights to negotiate and all other rights relating to the Land.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RECs</w:t>
      </w:r>
      <w:r>
        <w:rPr>
          <w:rFonts w:ascii="Times New Roman;Times;Serif" w:hAnsi="Times New Roman;Times;Serif"/>
          <w:b w:val="false"/>
          <w:i w:val="false"/>
          <w:caps w:val="false"/>
          <w:smallCaps w:val="false"/>
          <w:sz w:val="20"/>
        </w:rPr>
        <w:t>” has the meaning set forth in the definition of “Environmental Attributes.”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Regional Entity” </w:t>
      </w:r>
      <w:r>
        <w:rPr>
          <w:rFonts w:ascii="Times New Roman;Times;Serif" w:hAnsi="Times New Roman;Times;Serif"/>
          <w:b w:val="false"/>
          <w:i w:val="false"/>
          <w:caps w:val="false"/>
          <w:smallCaps w:val="false"/>
          <w:sz w:val="20"/>
        </w:rPr>
        <w:t>means the Western Electricity Coordinating Council.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Release</w:t>
      </w:r>
      <w:r>
        <w:rPr>
          <w:rFonts w:ascii="Times New Roman;Times;Serif" w:hAnsi="Times New Roman;Times;Serif"/>
          <w:b w:val="false"/>
          <w:i w:val="false"/>
          <w:caps w:val="false"/>
          <w:smallCaps w:val="false"/>
          <w:sz w:val="20"/>
        </w:rPr>
        <w:t>” means any release, spill, emission, leaking, pumping, pouring, injection, deposit, disposal, emptying, escaping, discharge, dispersal, dumping, leaching or migration of Hazardous Substances into or upon any land, water or air, including the movement of Hazardous Substances through or in any land, water or air, including the Land.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means, for the Project: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“Independent Engineer Report” (as defined in the Tax Equity ECCA);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the “Environmental Report” (as defined in the Tax Equity ECCA);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“Insurance Report” (as defined in the Tax Equity ECCA);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the “Wind Report” (as defined in the Tax Equity ECCA); and (</w:t>
      </w:r>
      <w:r>
        <w:rPr>
          <w:rFonts w:ascii="Times New Roman;Times;Serif" w:hAnsi="Times New Roman;Times;Serif"/>
          <w:b w:val="false"/>
          <w:i/>
          <w:caps w:val="false"/>
          <w:smallCaps w:val="false"/>
          <w:sz w:val="20"/>
        </w:rPr>
        <w:t>e</w:t>
      </w:r>
      <w:r>
        <w:rPr>
          <w:rFonts w:ascii="Times New Roman;Times;Serif" w:hAnsi="Times New Roman;Times;Serif"/>
          <w:b w:val="false"/>
          <w:i w:val="false"/>
          <w:caps w:val="false"/>
          <w:smallCaps w:val="false"/>
          <w:sz w:val="20"/>
        </w:rPr>
        <w:t>) the “Market Consultant’s Report” (as defined in the Tax Equity ECCA) in each case, including any bring downs of such reports delivered pursuant to the Tax Equity ECCA as of the Closing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Representatives</w:t>
      </w:r>
      <w:r>
        <w:rPr>
          <w:rFonts w:ascii="Times New Roman;Times;Serif" w:hAnsi="Times New Roman;Times;Serif"/>
          <w:b w:val="false"/>
          <w:i w:val="false"/>
          <w:caps w:val="false"/>
          <w:smallCaps w:val="false"/>
          <w:sz w:val="20"/>
        </w:rPr>
        <w:t>” means with respect to any Person, the officers, directors, employees, counsel, accountants, financing advisors, consultants and agents of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5.07(b)</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w:t>
      </w:r>
      <w:r>
        <w:rPr>
          <w:rFonts w:ascii="Times New Roman;Times;Serif" w:hAnsi="Times New Roman;Times;Serif"/>
          <w:b w:val="false"/>
          <w:i w:val="false"/>
          <w:caps w:val="false"/>
          <w:smallCaps w:val="false"/>
          <w:sz w:val="20"/>
        </w:rPr>
        <w:t>” has the meaning set forth in the preamble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3.01(c)</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Indemnified Parties</w:t>
      </w:r>
      <w:r>
        <w:rPr>
          <w:rFonts w:ascii="Times New Roman;Times;Serif" w:hAnsi="Times New Roman;Times;Serif"/>
          <w:b w:val="false"/>
          <w:i w:val="false"/>
          <w:caps w:val="false"/>
          <w:smallCaps w:val="false"/>
          <w:sz w:val="20"/>
        </w:rPr>
        <w:t>” means Seller and each of its Representatives.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w:t>
      </w:r>
      <w:r>
        <w:rPr>
          <w:rFonts w:ascii="Times New Roman;Times;Serif" w:hAnsi="Times New Roman;Times;Serif"/>
          <w:b w:val="false"/>
          <w:i w:val="false"/>
          <w:caps w:val="false"/>
          <w:smallCaps w:val="false"/>
          <w:sz w:val="20"/>
        </w:rPr>
        <w:t>” means Clearway Renew LLC, 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Parent Guaranty</w:t>
      </w:r>
      <w:r>
        <w:rPr>
          <w:rFonts w:ascii="Times New Roman;Times;Serif" w:hAnsi="Times New Roman;Times;Serif"/>
          <w:b w:val="false"/>
          <w:i w:val="false"/>
          <w:caps w:val="false"/>
          <w:smallCaps w:val="false"/>
          <w:sz w:val="20"/>
        </w:rPr>
        <w:t xml:space="preserve">” means that guaranty of Seller Parent dated as of the Execution Date and attached hereto as </w:t>
      </w:r>
      <w:r>
        <w:rPr>
          <w:rFonts w:ascii="Times New Roman;Times;Serif" w:hAnsi="Times New Roman;Times;Serif"/>
          <w:b w:val="false"/>
          <w:i/>
          <w:caps w:val="false"/>
          <w:smallCaps w:val="false"/>
          <w:sz w:val="20"/>
        </w:rPr>
        <w:t>Exhibit C</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Seller Tax Equity Guaranty</w:t>
      </w:r>
      <w:r>
        <w:rPr>
          <w:rFonts w:ascii="Times New Roman;Times;Serif" w:hAnsi="Times New Roman;Times;Serif"/>
          <w:b w:val="false"/>
          <w:i w:val="false"/>
          <w:caps w:val="false"/>
          <w:smallCaps w:val="false"/>
          <w:sz w:val="20"/>
        </w:rPr>
        <w:t xml:space="preserve">” means that certain Guaranty Agreement to be entered into pursuant to the Tax Equity ECCA by Clearway Renew, LLC (or another Affiliate of Seller) on behalf of Class B Holdco, in favor of the Tax Equity Investor,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or of any other nation or any jurisdiction therein, together with any obligations for the Taxes of any other Person, whether as successor, a member of a group, indemnitor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Agreements</w:t>
      </w:r>
      <w:r>
        <w:rPr>
          <w:rFonts w:ascii="Times New Roman;Times;Serif" w:hAnsi="Times New Roman;Times;Serif"/>
          <w:b w:val="false"/>
          <w:i w:val="false"/>
          <w:caps w:val="false"/>
          <w:smallCaps w:val="false"/>
          <w:sz w:val="20"/>
        </w:rPr>
        <w:t>” means, collectively, the Tax Equity ECCA, the Tax Equity LLCA, Seller Tax Equity Guaranty and Purchaser Tax Equity Guaranty.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Documents</w:t>
      </w:r>
      <w:r>
        <w:rPr>
          <w:rFonts w:ascii="Times New Roman;Times;Serif" w:hAnsi="Times New Roman;Times;Serif"/>
          <w:b w:val="false"/>
          <w:i w:val="false"/>
          <w:caps w:val="false"/>
          <w:smallCaps w:val="false"/>
          <w:sz w:val="20"/>
        </w:rPr>
        <w:t xml:space="preserve">” means each of the Tax Equity Agreements and each other agreement or certificate to be executed and delivered pursuant to the Tax Equity ECCA or the Tax Equity LLCA, in each case, pursuant to the terms and subject to the conditions of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ECCA</w:t>
      </w:r>
      <w:r>
        <w:rPr>
          <w:rFonts w:ascii="Times New Roman;Times;Serif" w:hAnsi="Times New Roman;Times;Serif"/>
          <w:b w:val="false"/>
          <w:i w:val="false"/>
          <w:caps w:val="false"/>
          <w:smallCaps w:val="false"/>
          <w:sz w:val="20"/>
        </w:rPr>
        <w:t xml:space="preserve">” means that certain Equity Capital Contribution Agreement, to be entered into by and between the Tax Equity Investor and Class B Holdco, the form of which shall be subject to Purchaser’s approval pursuant to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Investor</w:t>
      </w:r>
      <w:r>
        <w:rPr>
          <w:rFonts w:ascii="Times New Roman;Times;Serif" w:hAnsi="Times New Roman;Times;Serif"/>
          <w:b w:val="false"/>
          <w:i w:val="false"/>
          <w:caps w:val="false"/>
          <w:smallCaps w:val="false"/>
          <w:sz w:val="20"/>
        </w:rPr>
        <w:t>” means Wells Fargo Bank, N.A.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LLCA</w:t>
      </w:r>
      <w:r>
        <w:rPr>
          <w:rFonts w:ascii="Times New Roman;Times;Serif" w:hAnsi="Times New Roman;Times;Serif"/>
          <w:b w:val="false"/>
          <w:i w:val="false"/>
          <w:caps w:val="false"/>
          <w:smallCaps w:val="false"/>
          <w:sz w:val="20"/>
        </w:rPr>
        <w:t xml:space="preserve">” means that certain Amended and Restated Limited Liability Company Agreement of TE HoldCo, to be entered into between Class B HoldCo and the Tax Equity Investor, the form of which shall be subject to Purchaser’s approval pursuant to </w:t>
      </w:r>
      <w:r>
        <w:rPr>
          <w:rFonts w:ascii="Times New Roman;Times;Serif" w:hAnsi="Times New Roman;Times;Serif"/>
          <w:b w:val="false"/>
          <w:i/>
          <w:caps w:val="false"/>
          <w:smallCaps w:val="false"/>
          <w:sz w:val="20"/>
        </w:rPr>
        <w:t>Section 5.12(a).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Model</w:t>
      </w:r>
      <w:r>
        <w:rPr>
          <w:rFonts w:ascii="Times New Roman;Times;Serif" w:hAnsi="Times New Roman;Times;Serif"/>
          <w:b w:val="false"/>
          <w:i w:val="false"/>
          <w:caps w:val="false"/>
          <w:smallCaps w:val="false"/>
          <w:sz w:val="20"/>
        </w:rPr>
        <w:t xml:space="preserve">” means the “Base Case Model” as defined in and updated pursuant to the Tax Equity ECCA, the initial form of which shall be subject to Purchaser’s approval pursuant to </w:t>
      </w:r>
      <w:r>
        <w:rPr>
          <w:rFonts w:ascii="Times New Roman;Times;Serif" w:hAnsi="Times New Roman;Times;Serif"/>
          <w:b w:val="false"/>
          <w:i/>
          <w:caps w:val="false"/>
          <w:smallCaps w:val="false"/>
          <w:sz w:val="20"/>
        </w:rPr>
        <w:t>Section 5.12(a).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Return</w:t>
      </w:r>
      <w:r>
        <w:rPr>
          <w:rFonts w:ascii="Times New Roman;Times;Serif" w:hAnsi="Times New Roman;Times;Serif"/>
          <w:b w:val="false"/>
          <w:i w:val="false"/>
          <w:caps w:val="false"/>
          <w:smallCaps w:val="false"/>
          <w:sz w:val="20"/>
        </w:rPr>
        <w:t>” means any report, form, return, statement or other information (including any amendments) supplied to or filed with, or required to be supplied to or filed with a Governmental Authority by a Person with respect to Taxes, including information returns, any amendments thereof or schedule or attachment thereto and any documents with respect to or accompanying requests for the extension of time in which to file any such report, form, return, statement or 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caps w:val="false"/>
          <w:smallCaps w:val="false"/>
          <w:sz w:val="20"/>
        </w:rPr>
        <w:t>Section 5.12(a)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TE HoldCo</w:t>
      </w:r>
      <w:r>
        <w:rPr>
          <w:rFonts w:ascii="Times New Roman;Times;Serif" w:hAnsi="Times New Roman;Times;Serif"/>
          <w:b w:val="false"/>
          <w:i w:val="false"/>
          <w:caps w:val="false"/>
          <w:smallCaps w:val="false"/>
          <w:sz w:val="20"/>
        </w:rPr>
        <w:t>” has the meaning set forth in the recitals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Company</w:t>
      </w:r>
      <w:r>
        <w:rPr>
          <w:rFonts w:ascii="Times New Roman;Times;Serif" w:hAnsi="Times New Roman;Times;Serif"/>
          <w:b w:val="false"/>
          <w:i w:val="false"/>
          <w:caps w:val="false"/>
          <w:smallCaps w:val="false"/>
          <w:sz w:val="20"/>
        </w:rPr>
        <w:t>” means Stewart Title Guaranty Company, or another nationally-recognized title insurance company reasonably acceptable to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Policy</w:t>
      </w:r>
      <w:r>
        <w:rPr>
          <w:rFonts w:ascii="Times New Roman;Times;Serif" w:hAnsi="Times New Roman;Times;Serif"/>
          <w:b w:val="false"/>
          <w:i w:val="false"/>
          <w:caps w:val="false"/>
          <w:smallCaps w:val="false"/>
          <w:sz w:val="20"/>
        </w:rPr>
        <w:t>” means the Owner’s Policy for an ALTA 2006 extended coverage owner’s policy of title insurance, issued by the Title Company in favor of the Project Company or otherwise in form and substance reasonably acceptable to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Title Proforma</w:t>
      </w:r>
      <w:r>
        <w:rPr>
          <w:rFonts w:ascii="Times New Roman;Times;Serif" w:hAnsi="Times New Roman;Times;Serif"/>
          <w:b w:val="false"/>
          <w:i w:val="false"/>
          <w:caps w:val="false"/>
          <w:smallCaps w:val="false"/>
          <w:sz w:val="20"/>
        </w:rPr>
        <w:t>” means, for the Project, that certain pro forma Title Policy to be delivered to the Tax Equity Investor pursuant to the Tax Equity ECCA, in form and substance reasonably acceptable to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Documents</w:t>
      </w:r>
      <w:r>
        <w:rPr>
          <w:rFonts w:ascii="Times New Roman;Times;Serif" w:hAnsi="Times New Roman;Times;Serif"/>
          <w:b w:val="false"/>
          <w:i w:val="false"/>
          <w:caps w:val="false"/>
          <w:smallCaps w:val="false"/>
          <w:sz w:val="20"/>
        </w:rPr>
        <w:t>” means this Agreement and the Ancillary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Transaction Expenses</w:t>
      </w:r>
      <w:r>
        <w:rPr>
          <w:rFonts w:ascii="Times New Roman;Times;Serif" w:hAnsi="Times New Roman;Times;Serif"/>
          <w:b w:val="false"/>
          <w:i w:val="false"/>
          <w:caps w:val="false"/>
          <w:smallCaps w:val="false"/>
          <w:sz w:val="20"/>
        </w:rPr>
        <w:t>” means (a) all unpaid costs, fees and expenses as of Closing for the negotiation, execution or delivery of this Agreement or any Transaction Document, or for the performance of the actions required at the consummation of the Closing existing on or prior to the Closing Date, but only to the extent such costs, fees and expenses are payable or reimbursable by the Target Company or any Acquired Company, including the fees, costs, disbursements and expenses of advisors with respect thereto, (b) all liabilities of the Target Company or any Acquired Company under or in connection with any severance or retention arrangements, stay bonuses, incentive bonuses, transaction bonuses, termination and change of control arrangements and similar obligations that exist on or prior to the Closing Date and that are owed or that will be triggered, either automatically or in combination with any other event, in whole or in part by the consummation of the Closing, and (c) all fees and expenses, if any, incurred by the Target Company or any Acquired Company on or prior to the Closing Date in connection with obtaining the Seller Consents.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Transfer Taxes</w:t>
      </w:r>
      <w:r>
        <w:rPr>
          <w:rFonts w:ascii="Times New Roman;Times;Serif" w:hAnsi="Times New Roman;Times;Serif"/>
          <w:b w:val="false"/>
          <w:i w:val="false"/>
          <w:caps w:val="false"/>
          <w:smallCaps w:val="false"/>
          <w:sz w:val="20"/>
        </w:rPr>
        <w:t>” means any and all transfer Taxes (excluding Taxes measured in whole or in part by net income), including sales, use, real property transfer, recording, documentary, stamp, registration, stock, excise, conveyance, gross receipts, business and occupation, securities transactions, notarial, filing, permit, license, authorization and similar Taxes, fees, duties, levies, customs, tariffs, imposts, assessments, obligations and charges.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Treasury Regulations</w:t>
      </w:r>
      <w:r>
        <w:rPr>
          <w:rFonts w:ascii="Times New Roman;Times;Serif" w:hAnsi="Times New Roman;Times;Serif"/>
          <w:b w:val="false"/>
          <w:i w:val="false"/>
          <w:caps w:val="false"/>
          <w:smallCaps w:val="false"/>
          <w:sz w:val="20"/>
        </w:rPr>
        <w:t>” means the final and temporary regulations promulgated by the U.S. Department of Treasury under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caps w:val="false"/>
          <w:smallCaps w:val="false"/>
          <w:sz w:val="20"/>
        </w:rPr>
        <w:t>Rules of Interpretation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As used herein, the singular shall include the plural, the masculine gender shall include the feminine and neuter and the neuter gender shall include the masculine and feminine unless the context otherwise indicates.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References</w:t>
      </w:r>
      <w:r>
        <w:rPr>
          <w:rFonts w:ascii="Times New Roman;Times;Serif" w:hAnsi="Times New Roman;Times;Serif"/>
          <w:b w:val="false"/>
          <w:i w:val="false"/>
          <w:caps w:val="false"/>
          <w:smallCaps w:val="false"/>
          <w:sz w:val="20"/>
        </w:rPr>
        <w:t>. References to Articles and Sections are intended to refer to Articles and Sections of this Agreement, and all references to Annexes, Exhibits and Schedules are intended to refer to Annexes, Exhibits and Schedules attached to this Agreement, each of which is made a part of this Agreement for all purposes. The terms “include,” “includes” and “including” mean “including, without limitation” and “including but not limited to.” Any date specified for action that is not a Business Day shall mean the first Business Day after such date. Any reference to a Person shall be deemed to include such Person’s successors and permitted assigns. Any reference to any document or documents shall be deemed to refer to such document or documents as amended, modified, supplemented or replaced from time to time in accordance with the terms of this Agreement. References to Laws refer to such Laws as they may be amended from time to time, and references to particular provisions of a Law include any corresponding provisions of any succeeding Law. The words “herein,” “hereof” and “hereunder” and words of similar import shall refer to this Agreement as a whole and not to any particular section or subsection of this Agreement. References to money refer to legal currency of the United States of America.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Accounting Terms</w:t>
      </w:r>
      <w:r>
        <w:rPr>
          <w:rFonts w:ascii="Times New Roman;Times;Serif" w:hAnsi="Times New Roman;Times;Serif"/>
          <w:b w:val="false"/>
          <w:i w:val="false"/>
          <w:caps w:val="false"/>
          <w:smallCaps w:val="false"/>
          <w:sz w:val="20"/>
        </w:rPr>
        <w:t>. As used in this Agreement and in any certificate or other documents made or delivered pursuant hereto, accounting terms not defined in this Agreement or in any such certificate or other document, and accounting terms partly defined in this Agreement or in any such certificate or other document to the extent not defined, will have the respective meanings given to them under GAAP. To the extent that the definitions of accounting terms in this Agreement or in any such certificate or other document are inconsistent with the meanings of such terms under GAAP, the definitions contained in this Agreement or in any such certificate or other document will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SALE OF MEMBERSHIP INTERESTS AND CLOSING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2.01.       </w:t>
      </w:r>
      <w:r>
        <w:rPr>
          <w:rFonts w:ascii="Times New Roman;Times;Serif" w:hAnsi="Times New Roman;Times;Serif"/>
          <w:b/>
          <w:i/>
          <w:caps w:val="false"/>
          <w:smallCaps w:val="false"/>
          <w:sz w:val="20"/>
        </w:rPr>
        <w:t>Purchase and Sale</w:t>
      </w:r>
      <w:r>
        <w:rPr>
          <w:rFonts w:ascii="Times New Roman;Times;Serif" w:hAnsi="Times New Roman;Times;Serif"/>
          <w:b w:val="false"/>
          <w:i w:val="false"/>
          <w:caps w:val="false"/>
          <w:smallCaps w:val="false"/>
          <w:sz w:val="20"/>
        </w:rPr>
        <w:t xml:space="preserve">. Seller agrees to sell to Purchaser, and Purchaser agrees to purchase from Seller, all of the right, title and interest of Seller in and to the Acquired Interests at the Closing on the terms and subject to the conditions set forth in this Agreement. In consideration for the sale, transfer and delivery of all of the Acquired Interests to Purchaser, Purchaser shall pay to Seller, or otherwise contribute in the manner specified pursuant to the Financing Agreement, in either case, in accordance with </w:t>
      </w:r>
      <w:r>
        <w:rPr>
          <w:rFonts w:ascii="Times New Roman;Times;Serif" w:hAnsi="Times New Roman;Times;Serif"/>
          <w:b w:val="false"/>
          <w:i/>
          <w:caps w:val="false"/>
          <w:smallCaps w:val="false"/>
          <w:sz w:val="20"/>
        </w:rPr>
        <w:t>Section 2.02</w:t>
      </w:r>
      <w:r>
        <w:rPr>
          <w:rFonts w:ascii="Times New Roman;Times;Serif" w:hAnsi="Times New Roman;Times;Serif"/>
          <w:b w:val="false"/>
          <w:i w:val="false"/>
          <w:caps w:val="false"/>
          <w:smallCaps w:val="false"/>
          <w:sz w:val="20"/>
        </w:rPr>
        <w:t>, an aggregate amount equal to One Hundred Six Million Nine Hundred Seventy Thousand Three Hundred Twenty-One and 20/100 Dollars ($106,970,321.20) (the “</w:t>
      </w:r>
      <w:r>
        <w:rPr>
          <w:rFonts w:ascii="Times New Roman;Times;Serif" w:hAnsi="Times New Roman;Times;Serif"/>
          <w:b w:val="false"/>
          <w:i/>
          <w:caps w:val="false"/>
          <w:smallCaps w:val="false"/>
          <w:sz w:val="20"/>
        </w:rPr>
        <w:t>Base Purchase Price</w:t>
      </w:r>
      <w:r>
        <w:rPr>
          <w:rFonts w:ascii="Times New Roman;Times;Serif" w:hAnsi="Times New Roman;Times;Serif"/>
          <w:b w:val="false"/>
          <w:i w:val="false"/>
          <w:caps w:val="false"/>
          <w:smallCaps w:val="false"/>
          <w:sz w:val="20"/>
        </w:rPr>
        <w:t xml:space="preserve">”), subject to adjustment in accordance with </w:t>
      </w:r>
      <w:r>
        <w:rPr>
          <w:rFonts w:ascii="Times New Roman;Times;Serif" w:hAnsi="Times New Roman;Times;Serif"/>
          <w:b w:val="false"/>
          <w:i/>
          <w:caps w:val="false"/>
          <w:smallCaps w:val="false"/>
          <w:sz w:val="20"/>
        </w:rPr>
        <w:t>Section 2.04(a)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       </w:t>
      </w:r>
      <w:r>
        <w:rPr>
          <w:rFonts w:ascii="Times New Roman;Times;Serif" w:hAnsi="Times New Roman;Times;Serif"/>
          <w:b/>
          <w:i/>
          <w:caps w:val="false"/>
          <w:smallCaps w:val="false"/>
          <w:sz w:val="20"/>
        </w:rPr>
        <w:t>Payment of Purchase Price</w:t>
      </w:r>
      <w:r>
        <w:rPr>
          <w:rFonts w:ascii="Times New Roman;Times;Serif" w:hAnsi="Times New Roman;Times;Serif"/>
          <w:b w:val="false"/>
          <w:i w:val="false"/>
          <w:caps w:val="false"/>
          <w:smallCaps w:val="false"/>
          <w:sz w:val="20"/>
        </w:rPr>
        <w:t xml:space="preserve">. Upon the terms and subject to the conditions hereinafter set forth, in consideration of the delivery by Seller of the Acquired Interests, Purchaser shall pay to Seller at the Closing an amount equal to the Base Purchase Price, as adjusted pursuant to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(such amount, the “</w:t>
      </w:r>
      <w:r>
        <w:rPr>
          <w:rFonts w:ascii="Times New Roman;Times;Serif" w:hAnsi="Times New Roman;Times;Serif"/>
          <w:b w:val="false"/>
          <w:i/>
          <w:caps w:val="false"/>
          <w:smallCaps w:val="false"/>
          <w:sz w:val="20"/>
        </w:rPr>
        <w:t>Purchase Price</w:t>
      </w:r>
      <w:r>
        <w:rPr>
          <w:rFonts w:ascii="Times New Roman;Times;Serif" w:hAnsi="Times New Roman;Times;Serif"/>
          <w:b w:val="false"/>
          <w:i w:val="false"/>
          <w:caps w:val="false"/>
          <w:smallCaps w:val="false"/>
          <w:sz w:val="20"/>
        </w:rPr>
        <w:t>”). Payment of the Purchase Price shall be made by wire transfer of immediately available funds to the Equity Capital Contribution Account (for application in accordance with Section 7.5 of the Financing Agreement), or such other account or accounts as designated by Seller, in each case, in accordance with written notice delivered by Seller to Purchaser not less than two (2) Business Days prior to the Closing Date. For the avoidance of doubt, on the “Discharge Date” (as defined in the Financing Agreement), the Parties agree that any amounts remaining on deposit in the Equity Capital Contribution Account, as contemplated by Section 7.5 of the Financing Agreement, shall be promptly transferred to Seller (or its designee).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2.03.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the closing of the transactions described in </w:t>
      </w:r>
      <w:r>
        <w:rPr>
          <w:rFonts w:ascii="Times New Roman;Times;Serif" w:hAnsi="Times New Roman;Times;Serif"/>
          <w:b w:val="false"/>
          <w:i/>
          <w:caps w:val="false"/>
          <w:smallCaps w:val="false"/>
          <w:sz w:val="20"/>
        </w:rPr>
        <w:t>Section 2.01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will take place remotely via the electronic exchange of documents and signatures no later than: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two (2) Business Days following the fulfillment or waiver of the conditions set forth in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xml:space="preserve"> (other than those conditions that by their nature are to be satisfied on the Closing Date);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such other time as may be determined by mutual agreement of Seller and Purchaser (the day on which the Closing takes place being the “</w:t>
      </w:r>
      <w:r>
        <w:rPr>
          <w:rFonts w:ascii="Times New Roman;Times;Serif" w:hAnsi="Times New Roman;Times;Serif"/>
          <w:b w:val="false"/>
          <w:i/>
          <w:caps w:val="false"/>
          <w:smallCaps w:val="false"/>
          <w:sz w:val="20"/>
        </w:rPr>
        <w:t>Closing Date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Closing, the following shall occur: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Purchaser shall pay the Purchase Price by wire transfer of immediately available funds to the account or accounts as designated by Seller in writing pursuant to </w:t>
      </w:r>
      <w:r>
        <w:rPr>
          <w:rFonts w:ascii="Times New Roman;Times;Serif" w:hAnsi="Times New Roman;Times;Serif"/>
          <w:b w:val="false"/>
          <w:i/>
          <w:caps w:val="false"/>
          <w:smallCaps w:val="false"/>
          <w:sz w:val="20"/>
        </w:rPr>
        <w:t>Section 2.02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Party shall deliver, or cause to be delivered, to the other Party the certificates and other deliverables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execution by both Parties of the Assignment of Membership Interests and all other agreements, documents, instruments or certificates required to be delivered at or prior to the Closing pursuant to </w:t>
      </w:r>
      <w:r>
        <w:rPr>
          <w:rFonts w:ascii="Times New Roman;Times;Serif" w:hAnsi="Times New Roman;Times;Serif"/>
          <w:b w:val="false"/>
          <w:i/>
          <w:caps w:val="false"/>
          <w:smallCaps w:val="false"/>
          <w:sz w:val="20"/>
        </w:rPr>
        <w:t>Article 4</w:t>
      </w:r>
      <w:r>
        <w:rPr>
          <w:rFonts w:ascii="Times New Roman;Times;Serif" w:hAnsi="Times New Roman;Times;Serif"/>
          <w:b w:val="false"/>
          <w:i w:val="false"/>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applicable, Seller shall deliver to Purchaser a certificate or certificates representing the Acquired Interests, duly endorsed for transfer to Purchaser or accompanied by one or more membership interests powers duly endorsed for transfer to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2.04.       </w:t>
      </w:r>
      <w:r>
        <w:rPr>
          <w:rFonts w:ascii="Times New Roman;Times;Serif" w:hAnsi="Times New Roman;Times;Serif"/>
          <w:b/>
          <w:i/>
          <w:caps w:val="false"/>
          <w:smallCaps w:val="false"/>
          <w:sz w:val="20"/>
        </w:rPr>
        <w:t>Adjusted Purchase Price Amount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as of the Funding Date, the Adjusted Purchase Price Amount is positive, the Base Purchase Price shall be increased by the Adjusted Purchase Price Amount. If, as of the Substantial Completion Funding Date, the Adjusted Purchase Price Amount is negative, the Base Purchase Price shall be decreased by the absolute value of the Adjusted Purchase Price Amount. Any adjustment made under this </w:t>
      </w:r>
      <w:r>
        <w:rPr>
          <w:rFonts w:ascii="Times New Roman;Times;Serif" w:hAnsi="Times New Roman;Times;Serif"/>
          <w:b w:val="false"/>
          <w:i/>
          <w:caps w:val="false"/>
          <w:smallCaps w:val="false"/>
          <w:sz w:val="20"/>
        </w:rPr>
        <w:t>Section 2.04</w:t>
      </w:r>
      <w:r>
        <w:rPr>
          <w:rFonts w:ascii="Times New Roman;Times;Serif" w:hAnsi="Times New Roman;Times;Serif"/>
          <w:b w:val="false"/>
          <w:i w:val="false"/>
          <w:caps w:val="false"/>
          <w:smallCaps w:val="false"/>
          <w:sz w:val="20"/>
        </w:rPr>
        <w:t xml:space="preserve"> will be treated as an adjustment to the Base Purchase Price for Tax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Adjusted Purchase Price Amount</w:t>
      </w:r>
      <w:r>
        <w:rPr>
          <w:rFonts w:ascii="Times New Roman;Times;Serif" w:hAnsi="Times New Roman;Times;Serif"/>
          <w:b w:val="false"/>
          <w:i w:val="false"/>
          <w:caps w:val="false"/>
          <w:smallCaps w:val="false"/>
          <w:sz w:val="20"/>
        </w:rPr>
        <w:t xml:space="preserve">” shall equal (i) the number set forth in the tab entitled “PP Adj” of the Adjusted Purchase Price Model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any Transaction Expense of any Acquired Company as of the Closing Date (except to the extent such Transaction Expense has already been applied as a reduction against the Adjusted Purchase Price Amount pursuant to the Adjusted Purchase Price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2.05.       </w:t>
      </w:r>
      <w:r>
        <w:rPr>
          <w:rFonts w:ascii="Times New Roman;Times;Serif" w:hAnsi="Times New Roman;Times;Serif"/>
          <w:b/>
          <w:i/>
          <w:caps w:val="false"/>
          <w:smallCaps w:val="false"/>
          <w:sz w:val="20"/>
        </w:rPr>
        <w:t>Certain Proceeds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Notwithstanding anything herein to the contrary, in the event that anytime following the Closing Date, Purchaser (if Purchaser receives any such payment separately and not from any Acquired Company) or any Acquired Company receives any payment with respect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liquidated damages received in connection with the development, design, construction, installation or commissioning of the Project through “Substantial Completion” (as such term is defined in the EPC Contract), and that are not contemplated to be receivable by any Acquired Company in the Base Case Model, including liquidated damages received as a deduction or as a setoff from amounts otherwise payable by the Project Company under any contract to which it is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provided that term conversion or full repayment of the loans under the Financing Documents has occurred, (i) the proceeds of any loan drawn under the Financing Documents on or prior to the date that is six (6) months after the Funding Date, or (ii) any proceeds received under the Tax Equity Documents on or prior to the date that is six (6) months after the Funding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the occurrence of the “Discharge Date” (as defined in the Financing Agreement), all amounts remaining on deposit in the Equity Capital Contribution Account;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not already included in the Base Case Model, any amount received by any Acquired Company in respect of the reimbursement for any cost or expense incurred by or on behalf of such Acquired Company in connection with the development, design, construction, installation or commissioning of the Project through “Substantial Completion” (as such term is defined in the EPC Contract), including any reimbursement of amounts paid under any interconnection agreement or related contract, or any engineering, procurement and construction agreement, in each case, in respect of the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amounts released from any completion escrow account, or otherwise from reserves, in each case, funded by or on behalf of Seller or, prior to the Closing, any Acquired Company;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not already included in the Base Case Model, net proceeds from the sale of all test energy generated prior to Closing with respect to any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such amount shall be immediately refunded or paid by Purchaser or the applicable Acquired Company to Seller or its designee.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2.06.       </w:t>
      </w:r>
      <w:r>
        <w:rPr>
          <w:rFonts w:ascii="Times New Roman;Times;Serif" w:hAnsi="Times New Roman;Times;Serif"/>
          <w:b/>
          <w:i/>
          <w:caps w:val="false"/>
          <w:smallCaps w:val="false"/>
          <w:sz w:val="20"/>
        </w:rPr>
        <w:t>Tax Reporting of Transaction</w:t>
      </w:r>
      <w:r>
        <w:rPr>
          <w:rFonts w:ascii="Times New Roman;Times;Serif" w:hAnsi="Times New Roman;Times;Serif"/>
          <w:b w:val="false"/>
          <w:i/>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federal income tax purposes, the Parties acknowledge that for U.S. federal, and applicable state and local income Tax purposes the transactions contemplated by this Agreement will be treated as a sale by Seller and a purchase by Purchaser of a partnership interest in TE Holdco.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agree that, for U.S. federal income Tax purposes, and any applicable state or local income Tax purposes, the Purchase Price, as adjusted under this Agreement, plus any Liabilities or other items treated as amounts realized for U.S. federal income Tax purposes, shall be allocated among the Assets in accordance with Section 1060 of the Code and the Treasury Regulations promulgated thereunder (including the application of Sections 741, 751, 752, and 755 of the Code), including for purposes of the statement required under Treasury Regulation Section 1.751-1(a)(3) and in each case in a manner consistent with the Appraisal and the related cost segregation report obtained pursuant to the Tax Equity Agreements (the “</w:t>
      </w:r>
      <w:r>
        <w:rPr>
          <w:rFonts w:ascii="Times New Roman;Times;Serif" w:hAnsi="Times New Roman;Times;Serif"/>
          <w:b w:val="false"/>
          <w:i/>
          <w:caps w:val="false"/>
          <w:smallCaps w:val="false"/>
          <w:sz w:val="20"/>
        </w:rPr>
        <w:t>Allocation Schedule</w:t>
      </w:r>
      <w:r>
        <w:rPr>
          <w:rFonts w:ascii="Times New Roman;Times;Serif" w:hAnsi="Times New Roman;Times;Serif"/>
          <w:b w:val="false"/>
          <w:i w:val="false"/>
          <w:caps w:val="false"/>
          <w:smallCaps w:val="false"/>
          <w:sz w:val="20"/>
        </w:rPr>
        <w:t xml:space="preserve">”). On or before the 30th day after the Closing Date, Purchaser shall deliver to Seller its proposed Allocation Schedule for Seller’s review and comment. Purchaser will work in good faith to incorporate Seller’s reasonable comments, at which time the Allocation Schedule shall become binding for the Parties. Seller, Purchaser and their respective Affiliates shall report the transactions contemplated hereby on all Tax Returns, including IRS Form 8594, in a manner consistent with the Allocation Schedule. Seller and Purchaser agree to: (i) be bound by the Allocation Schedule agreed upon under this </w:t>
      </w:r>
      <w:r>
        <w:rPr>
          <w:rFonts w:ascii="Times New Roman;Times;Serif" w:hAnsi="Times New Roman;Times;Serif"/>
          <w:b w:val="false"/>
          <w:i/>
          <w:caps w:val="false"/>
          <w:smallCaps w:val="false"/>
          <w:sz w:val="20"/>
        </w:rPr>
        <w:t>Section 2.06(b)</w:t>
      </w:r>
      <w:r>
        <w:rPr>
          <w:rFonts w:ascii="Times New Roman;Times;Serif" w:hAnsi="Times New Roman;Times;Serif"/>
          <w:b w:val="false"/>
          <w:i w:val="false"/>
          <w:caps w:val="false"/>
          <w:smallCaps w:val="false"/>
          <w:sz w:val="20"/>
        </w:rPr>
        <w:t>; (ii) prepare and file, and cause their respective Affiliates to prepare and file, all Tax Returns (including IRS Form 8594) in a manner consistent with the Allocation Schedule; and (iii) take no position, and cause their respective Affiliates to take no position, inconsistent with the Allocation Schedule in any Tax Return, except as required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3.01.       </w:t>
      </w:r>
      <w:r>
        <w:rPr>
          <w:rFonts w:ascii="Times New Roman;Times;Serif" w:hAnsi="Times New Roman;Times;Serif"/>
          <w:b/>
          <w:i/>
          <w:caps w:val="false"/>
          <w:smallCaps w:val="false"/>
          <w:sz w:val="20"/>
        </w:rPr>
        <w:t>Representations and Warranties with respect to Seller and the Acquired Companies</w:t>
      </w:r>
      <w:r>
        <w:rPr>
          <w:rFonts w:ascii="Times New Roman;Times;Serif" w:hAnsi="Times New Roman;Times;Serif"/>
          <w:b w:val="false"/>
          <w:i w:val="false"/>
          <w:caps w:val="false"/>
          <w:smallCaps w:val="false"/>
          <w:sz w:val="20"/>
        </w:rPr>
        <w:t>. Seller hereby represents and warrants to Purchaser, as of the Execution Date and the Closing Date, as follows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representation and warranty set forth in this </w:t>
      </w:r>
      <w:r>
        <w:rPr>
          <w:rFonts w:ascii="Times New Roman;Times;Serif" w:hAnsi="Times New Roman;Times;Serif"/>
          <w:b w:val="false"/>
          <w:i/>
          <w:caps w:val="false"/>
          <w:smallCaps w:val="false"/>
          <w:sz w:val="20"/>
        </w:rPr>
        <w:t xml:space="preserve">Section 3.01 </w:t>
      </w:r>
      <w:r>
        <w:rPr>
          <w:rFonts w:ascii="Times New Roman;Times;Serif" w:hAnsi="Times New Roman;Times;Serif"/>
          <w:b w:val="false"/>
          <w:i w:val="false"/>
          <w:caps w:val="false"/>
          <w:smallCaps w:val="false"/>
          <w:sz w:val="20"/>
        </w:rPr>
        <w:t>and expressly stated to be made only as of a specified date shall be made solely as of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val="false"/>
          <w:caps w:val="false"/>
          <w:smallCaps w:val="false"/>
          <w:sz w:val="20"/>
        </w:rPr>
        <w:t>. Seller is a limited liability company duly formed, validly existing and in good standing under the Laws of the State of Delaware. Seller has full power and authority to execute and deliver this Agreement and the other Transaction Documents to be executed and delivered by Seller hereunder, and to perform its obligations hereunder and thereunder and to consummate the transactions contemplated hereby and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val="false"/>
          <w:caps w:val="false"/>
          <w:smallCaps w:val="false"/>
          <w:sz w:val="20"/>
        </w:rPr>
        <w:t>. All actions or proceedings necessary to authorize the execution and delivery by Seller of this Agreement and the other Transaction Documents, and the performance by Seller of its obligations hereunder and thereunder have been duly and validly taken. This Agreement and, at the Closing, each other Transaction Document, has been duly and validly executed and delivered by Seller and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3.01(c)</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Seller Consents</w:t>
      </w:r>
      <w:r>
        <w:rPr>
          <w:rFonts w:ascii="Times New Roman;Times;Serif" w:hAnsi="Times New Roman;Times;Serif"/>
          <w:b w:val="false"/>
          <w:i w:val="false"/>
          <w:caps w:val="false"/>
          <w:smallCaps w:val="false"/>
          <w:sz w:val="20"/>
        </w:rPr>
        <w:t>”), and except as would not, individually or in the aggregate, reasonably be expected to be materially adverse to (i) the ability of Seller to consummate the transactions contemplated by this Agreement or to perform its obligations hereunder, or (ii) the Acquired Companies, taken as a whole,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val="false"/>
          <w:caps w:val="false"/>
          <w:smallCaps w:val="false"/>
          <w:sz w:val="20"/>
        </w:rPr>
        <w:t>. The execution, delivery and performance of this Agreement and the other Transaction Documents by Seller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the Constitutive Documents of Seller or any Acquired Company or any material Contract to which Seller, or any Company Contract to which any Acquired Company,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Acquired Interests, any equity interests of any Acquired Company or any assets or properties of any Acquired Company;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Seller or any Acquired Company or any rights or benefits are to be received by any Person, under any Contract to which Seller or any Acquired Company is a party;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violate in any material respect any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Regulatory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3.01(e) </w:t>
      </w:r>
      <w:r>
        <w:rPr>
          <w:rFonts w:ascii="Times New Roman;Times;Serif" w:hAnsi="Times New Roman;Times;Serif"/>
          <w:b w:val="false"/>
          <w:i w:val="false"/>
          <w:caps w:val="false"/>
          <w:smallCaps w:val="false"/>
          <w:sz w:val="20"/>
        </w:rPr>
        <w:t>of the Disclosure Schedules (“</w:t>
      </w:r>
      <w:r>
        <w:rPr>
          <w:rFonts w:ascii="Times New Roman;Times;Serif" w:hAnsi="Times New Roman;Times;Serif"/>
          <w:b w:val="false"/>
          <w:i/>
          <w:caps w:val="false"/>
          <w:smallCaps w:val="false"/>
          <w:sz w:val="20"/>
        </w:rPr>
        <w:t>Seller Approvals</w:t>
      </w:r>
      <w:r>
        <w:rPr>
          <w:rFonts w:ascii="Times New Roman;Times;Serif" w:hAnsi="Times New Roman;Times;Serif"/>
          <w:b w:val="false"/>
          <w:i w:val="false"/>
          <w:caps w:val="false"/>
          <w:smallCaps w:val="false"/>
          <w:sz w:val="20"/>
        </w:rPr>
        <w:t>”), no Governmental Approval is required on the part of Seller or any Acquired Company in connection with the execution, delivery and performance of this Agreement or the consummation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caps w:val="false"/>
          <w:smallCaps w:val="false"/>
          <w:sz w:val="20"/>
        </w:rPr>
        <w:t>Schedule 3.01(f)</w:t>
      </w:r>
      <w:r>
        <w:rPr>
          <w:rFonts w:ascii="Times New Roman;Times;Serif" w:hAnsi="Times New Roman;Times;Serif"/>
          <w:b w:val="false"/>
          <w:i w:val="false"/>
          <w:caps w:val="false"/>
          <w:smallCaps w:val="false"/>
          <w:sz w:val="20"/>
        </w:rPr>
        <w:t xml:space="preserve"> of the Disclosure Schedules, and except for Actions or Proceedings in respect of Environmental Laws that are governed exclusively by </w:t>
      </w:r>
      <w:r>
        <w:rPr>
          <w:rFonts w:ascii="Times New Roman;Times;Serif" w:hAnsi="Times New Roman;Times;Serif"/>
          <w:b w:val="false"/>
          <w:i/>
          <w:caps w:val="false"/>
          <w:smallCaps w:val="false"/>
          <w:sz w:val="20"/>
        </w:rPr>
        <w:t>Section 3.01(p)(ii)</w:t>
      </w:r>
      <w:r>
        <w:rPr>
          <w:rFonts w:ascii="Times New Roman;Times;Serif" w:hAnsi="Times New Roman;Times;Serif"/>
          <w:b w:val="false"/>
          <w:i w:val="false"/>
          <w:caps w:val="false"/>
          <w:smallCaps w:val="false"/>
          <w:sz w:val="20"/>
        </w:rPr>
        <w:t>, there are no Actions or Proceedings pending or, to the Knowledge of Seller, threatened as of the Execution Date against Seller or any Acquired Company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affect Seller or any Acquired Company, or any of their assets or properties (including the Project), except, solely in respect of Seller, which would not reasonably be expected to have a material adverse effect on Seller’s ability to perform under this Agreement;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would reasonably be expected to result in the issuance of an Order restraining, enjoining or otherwise prohibiting or making illegal the consummation of any of the transactions contemplated by this Agreement. None of Seller or any Acquired Company is subject to any Order which materially restricts the operation of its business or which would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3.01(g)</w:t>
      </w:r>
      <w:r>
        <w:rPr>
          <w:rFonts w:ascii="Times New Roman;Times;Serif" w:hAnsi="Times New Roman;Times;Serif"/>
          <w:b w:val="false"/>
          <w:i w:val="false"/>
          <w:caps w:val="false"/>
          <w:smallCaps w:val="false"/>
          <w:sz w:val="20"/>
        </w:rPr>
        <w:t> of the Disclosure Schedules, no Person has any claim against Seller or any Acquired Company for a finder’s fee, brokerage commission or similar payment directly or indirectly in connection with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xml:space="preserve">. Neither Seller nor any Acquired Company is in material violation of any material Law or Order applicable to the Acquired Companies or the Project, or by which any of the Acquired Interests are bound or subject. Notwithstanding the foregoing, compliance with Environmental Laws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None of Seller nor any Acquired Company has received notice from any Governmental Authority of any material violation of any material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Company and the Acquired Companies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Acquired Company is a limited liability company validly existing and in good standing under the Laws of Delaware, and has full power and authority to conduct its business as and to the extent now conducted and to own, use and lease its assets. Each Acquired Company is duly qualified, licensed or admitted to do business and is in good standing in the applicable jurisdictions specified in </w:t>
      </w:r>
      <w:r>
        <w:rPr>
          <w:rFonts w:ascii="Times New Roman;Times;Serif" w:hAnsi="Times New Roman;Times;Serif"/>
          <w:b w:val="false"/>
          <w:i/>
          <w:caps w:val="false"/>
          <w:smallCaps w:val="false"/>
          <w:sz w:val="20"/>
        </w:rPr>
        <w:t>Schedule 3.01(i)</w:t>
      </w:r>
      <w:r>
        <w:rPr>
          <w:rFonts w:ascii="Times New Roman;Times;Serif" w:hAnsi="Times New Roman;Times;Serif"/>
          <w:b w:val="false"/>
          <w:i w:val="false"/>
          <w:caps w:val="false"/>
          <w:smallCaps w:val="false"/>
          <w:sz w:val="20"/>
        </w:rPr>
        <w:t> of the Disclosure Schedules, which are the only jurisdictions in which the ownership, use or leasing of such Acquired Company’s assets, or the conduct or nature of its businesses, makes such qualification, licensing or admission necessary, except in those jurisdictions where the failure to be so qualified, licensed or admitted to do business would not reasonably be expected to result 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issued and outstanding Acquired Interests are owned directly, beneficially and of record by Seller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xml:space="preserve"> of the Disclosure Schedules and for the ownership by the Tax Equity Investor following the consummation of the transactions contemplated by the Tax Equity ECCA, all of the issued and outstanding equity interests of the Acquired Companies (other than the Target Company) are owned directly or indirectly, beneficially and of record by the Target Company, free and clear of all Liens, other than Permitted Equity Encumbrances and except as set forth on </w:t>
      </w:r>
      <w:r>
        <w:rPr>
          <w:rFonts w:ascii="Times New Roman;Times;Serif" w:hAnsi="Times New Roman;Times;Serif"/>
          <w:b w:val="false"/>
          <w:i/>
          <w:caps w:val="false"/>
          <w:smallCaps w:val="false"/>
          <w:sz w:val="20"/>
        </w:rPr>
        <w:t>Schedule 3.01(i)(ii)</w:t>
      </w:r>
      <w:r>
        <w:rPr>
          <w:rFonts w:ascii="Times New Roman;Times;Serif" w:hAnsi="Times New Roman;Times;Serif"/>
          <w:b w:val="false"/>
          <w:i w:val="false"/>
          <w:caps w:val="false"/>
          <w:smallCaps w:val="false"/>
          <w:sz w:val="20"/>
        </w:rPr>
        <w:t> of the Disclosure Schedules. All of the equity interests of the Acquired Companies have been duly authorized, validly issued and are fully paid and non-assessable and have been issued in compliance with federal and state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name of each director and officer (or similar positions) of each Acquired Company, and the position with such Acquired Company held by each, are listed in </w:t>
      </w:r>
      <w:r>
        <w:rPr>
          <w:rFonts w:ascii="Times New Roman;Times;Serif" w:hAnsi="Times New Roman;Times;Serif"/>
          <w:b w:val="false"/>
          <w:i/>
          <w:caps w:val="false"/>
          <w:smallCaps w:val="false"/>
          <w:sz w:val="20"/>
        </w:rPr>
        <w:t>Schedule 3.01(i)(iii) </w:t>
      </w:r>
      <w:r>
        <w:rPr>
          <w:rFonts w:ascii="Times New Roman;Times;Serif" w:hAnsi="Times New Roman;Times;Serif"/>
          <w:b w:val="false"/>
          <w:i w:val="false"/>
          <w:caps w:val="false"/>
          <w:smallCaps w:val="false"/>
          <w:sz w:val="20"/>
        </w:rPr>
        <w:t>of the Disclosure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Seller has, prior to the execution of this Agreement, delivered to Purchaser true and complete copies of the Constitutive Documents of each Acquired Company as in effect on the Execution Date.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Except as set forth in Part I of </w:t>
      </w:r>
      <w:r>
        <w:rPr>
          <w:rFonts w:ascii="Times New Roman;Times;Serif" w:hAnsi="Times New Roman;Times;Serif"/>
          <w:b w:val="false"/>
          <w:i/>
          <w:caps w:val="false"/>
          <w:smallCaps w:val="false"/>
          <w:sz w:val="20"/>
        </w:rPr>
        <w:t>Schedule 3.01(i)(v) </w:t>
      </w:r>
      <w:r>
        <w:rPr>
          <w:rFonts w:ascii="Times New Roman;Times;Serif" w:hAnsi="Times New Roman;Times;Serif"/>
          <w:b w:val="false"/>
          <w:i w:val="false"/>
          <w:caps w:val="false"/>
          <w:smallCaps w:val="false"/>
          <w:sz w:val="20"/>
        </w:rPr>
        <w:t>of the Disclosure Schedules, there are no outstanding Options issued or granted by, or binding upon, any Acquired Company for any Person to purchase or sell or otherwise acquire or dispose of any equity interest or other security or interest in any such Acquired Company.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as set forth in the Tax Equity Agreements, the Financing Documents or the Constitutive Documents of any Acquired Company,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as provided pursuant to this Agreement,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as set forth in Part II of </w:t>
      </w:r>
      <w:r>
        <w:rPr>
          <w:rFonts w:ascii="Times New Roman;Times;Serif" w:hAnsi="Times New Roman;Times;Serif"/>
          <w:b w:val="false"/>
          <w:i/>
          <w:caps w:val="false"/>
          <w:smallCaps w:val="false"/>
          <w:sz w:val="20"/>
        </w:rPr>
        <w:t>Schedule 3.01(i)(v)</w:t>
      </w:r>
      <w:r>
        <w:rPr>
          <w:rFonts w:ascii="Times New Roman;Times;Serif" w:hAnsi="Times New Roman;Times;Serif"/>
          <w:b w:val="false"/>
          <w:i w:val="false"/>
          <w:caps w:val="false"/>
          <w:smallCaps w:val="false"/>
          <w:sz w:val="20"/>
        </w:rPr>
        <w:t> of the Disclosure Schedules, none of the Acquired Interests or the membership interests of the Acquired Companies are subject to any voting trust or voting trust agreement, voting agreement, pledge agreement, buy-sell agreement, right of first refusal, preemptive right or proxy.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set forth on </w:t>
      </w:r>
      <w:r>
        <w:rPr>
          <w:rFonts w:ascii="Times New Roman;Times;Serif" w:hAnsi="Times New Roman;Times;Serif"/>
          <w:b w:val="false"/>
          <w:i/>
          <w:caps w:val="false"/>
          <w:smallCaps w:val="false"/>
          <w:sz w:val="20"/>
        </w:rPr>
        <w:t>Schedule 3.01(i)(vi)</w:t>
      </w:r>
      <w:r>
        <w:rPr>
          <w:rFonts w:ascii="Times New Roman;Times;Serif" w:hAnsi="Times New Roman;Times;Serif"/>
          <w:b w:val="false"/>
          <w:i w:val="false"/>
          <w:caps w:val="false"/>
          <w:smallCaps w:val="false"/>
          <w:sz w:val="20"/>
        </w:rPr>
        <w:t> of the Disclosure Schedules, no Acquired Company has any subsidiaries, equity interests, interests in joint ventures or general or limited partnerships or other investment or portfolio assets of a similar nature.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Except as set forth on </w:t>
      </w:r>
      <w:r>
        <w:rPr>
          <w:rFonts w:ascii="Times New Roman;Times;Serif" w:hAnsi="Times New Roman;Times;Serif"/>
          <w:b w:val="false"/>
          <w:i/>
          <w:caps w:val="false"/>
          <w:smallCaps w:val="false"/>
          <w:sz w:val="20"/>
        </w:rPr>
        <w:t>Schedule 3.01(i)(vii)</w:t>
      </w:r>
      <w:r>
        <w:rPr>
          <w:rFonts w:ascii="Times New Roman;Times;Serif" w:hAnsi="Times New Roman;Times;Serif"/>
          <w:b w:val="false"/>
          <w:i w:val="false"/>
          <w:caps w:val="false"/>
          <w:smallCaps w:val="false"/>
          <w:sz w:val="20"/>
        </w:rPr>
        <w:t> of the Disclosure Schedules, no Acquired Company conducts: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business other than the development, ownership, operation and management of the Project;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operations other than those incidental to the ownership, operation, and management of the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books and records of the each Acquired Company are: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 all material respects, accurate and complete and have been maintained in accordance with good business practices;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state in reasonable detail and accurately and fairly reflect the activities and transactions of such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The execution and delivery by Seller of the Assignment of Membership Interests;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other than Permitted Equity Encumbrances.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No Undisclosed Liabilities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Acquired Company has any material liability or obligation that would be required to be disclosed on a balance sheet prepared in accordance with GAAP, except for the liabilities and obligations of the Acquired Companies: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incurred in the ordinary course of business consistent with past practice;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that constitute amounts payable under the Company Contracts expressly provided for under existing Company Contracts that have not arisen from a breach thereof or thereunder;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under the Financing Documents; or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xml:space="preserve">) as set forth in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All of the Indebtedness of each Acquired Company, other than Indebtedness under the Financing Documents, is listed on </w:t>
      </w:r>
      <w:r>
        <w:rPr>
          <w:rFonts w:ascii="Times New Roman;Times;Serif" w:hAnsi="Times New Roman;Times;Serif"/>
          <w:b w:val="false"/>
          <w:i/>
          <w:caps w:val="false"/>
          <w:smallCaps w:val="false"/>
          <w:sz w:val="20"/>
        </w:rPr>
        <w:t>Schedule 3.01(j)</w:t>
      </w:r>
      <w:r>
        <w:rPr>
          <w:rFonts w:ascii="Times New Roman;Times;Serif" w:hAnsi="Times New Roman;Times;Serif"/>
          <w:b w:val="false"/>
          <w:i w:val="false"/>
          <w:caps w:val="false"/>
          <w:smallCaps w:val="false"/>
          <w:sz w:val="20"/>
        </w:rPr>
        <w:t> of the Disclosure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since the date of formation of each Acquired Company,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federal and all other material Tax Returns required to be filed by or with respect to each such Acquired Company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any Acquired Company (or income attributable thereto), and Seller, Affiliates of Seller, and the Acquired Companies have paid, or made adequate provisions for the payment of, all Taxes, assessments and other charges due or claimed to be due (regardless of whether shown on any Tax Return) from any such Acquired Company or for which any Acquired Company or Purchaser could be held liable.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Actions or Proceedings currently pending or threatened in writing against the Acquired Companies or related to their business operations by any Governmental Authority for the assessment or collection of Taxes;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audits or other examinations of any Tax Return of the Acquired Companies (or income attributable thereto) in progress nor has Seller, any Affiliate of Seller or the Acquired Companies been notified in writing of any request for examination with respect to the Acquired Companies;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claims for assessment or collection of Taxes that have been asserted in writing against Seller or any Affiliate of Seller with respect to the Acquired Companies (or the income attributable thereto); or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xml:space="preserve">) matters under discussion with any Governmental Authority regarding claims for assessment or collection of Taxes against the Acquired Companies (or income attributable thereto). There are no outstanding agreements, waivers or consents extending the statutory period of limitations applicable to any Tax of the Acquired Companies, and, except as set forth on </w:t>
      </w:r>
      <w:r>
        <w:rPr>
          <w:rFonts w:ascii="Times New Roman;Times;Serif" w:hAnsi="Times New Roman;Times;Serif"/>
          <w:b w:val="false"/>
          <w:i/>
          <w:caps w:val="false"/>
          <w:smallCaps w:val="false"/>
          <w:sz w:val="20"/>
        </w:rPr>
        <w:t>Schedule 3.01(k)</w:t>
      </w:r>
      <w:r>
        <w:rPr>
          <w:rFonts w:ascii="Times New Roman;Times;Serif" w:hAnsi="Times New Roman;Times;Serif"/>
          <w:b w:val="false"/>
          <w:i w:val="false"/>
          <w:caps w:val="false"/>
          <w:smallCaps w:val="false"/>
          <w:sz w:val="20"/>
        </w:rPr>
        <w:t> of the Disclosure Schedules, no Acquired Company has requested any extension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Seller (or, if Seller is a disregarded entity, Seller’s regarded owner for U.S. federal income tax purposes) is not a “foreign person” within the meaning of Code Sections 1445(b)(2) and 1446(f).</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Acquired Companies have been properly classified for federal and state income Tax purposes either as disregarded entities or partnerships under Treasury Regulations Section 301.7701-2 and -3 and neither Seller nor any Affiliate of Seller has made or caused to be made any election for any Tax purposes to classify any Acquired Company other than as a disregarded entity or partnership.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Acquired Company is a party to any Tax allocation, Tax sharing or other similar agreement, other than customary Tax indemnification or other provisions contained in any credit or other ordinary course commercial agreements the primary purpose of which is not Taxes (including, for the avoidance of doubt, the Material Contracts and the Tax Equity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Target Company has never entered into or been a party to any “reportable transaction,” as defined in Section 1.6011-4(b) of the Treasury Regulations.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None of the property owned by any Acquired Company is “tax exempt use property” within the meaning of Section 168(h) of the Code or “tax exempt bond financed property” within the meaning of Code Section 168(g)(5) (for the avoidance of doubt, other than as a result of Purchaser’s treatment as an indirect owner of such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Employees</w:t>
      </w:r>
      <w:r>
        <w:rPr>
          <w:rFonts w:ascii="Times New Roman;Times;Serif" w:hAnsi="Times New Roman;Times;Serif"/>
          <w:b w:val="false"/>
          <w:i w:val="false"/>
          <w:caps w:val="false"/>
          <w:smallCaps w:val="false"/>
          <w:sz w:val="20"/>
        </w:rPr>
        <w:t>. No Acquired Company has, nor has ever had, any employees or any Liability, actual or contingent, with respect to any Employee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Company Contracts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contains a true, correct and complete list of all material Contracts, and amendments, modifications and supplements thereto, to which any Acquired Company is a party or by which any Acquired Company or any of its assets or properties are bound (collectively, the “</w:t>
      </w:r>
      <w:r>
        <w:rPr>
          <w:rFonts w:ascii="Times New Roman;Times;Serif" w:hAnsi="Times New Roman;Times;Serif"/>
          <w:b w:val="false"/>
          <w:i/>
          <w:caps w:val="false"/>
          <w:smallCaps w:val="false"/>
          <w:sz w:val="20"/>
        </w:rPr>
        <w:t>Company Contracts</w:t>
      </w:r>
      <w:r>
        <w:rPr>
          <w:rFonts w:ascii="Times New Roman;Times;Serif" w:hAnsi="Times New Roman;Times;Serif"/>
          <w:b w:val="false"/>
          <w:i w:val="false"/>
          <w:caps w:val="false"/>
          <w:smallCaps w:val="false"/>
          <w:sz w:val="20"/>
        </w:rPr>
        <w:t>”) including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Contracts for the purchase, exchange or sale of electric power, capacity, ancillary services or Environmental Attributes;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Contracts for the transmission of electric power;</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interconnection Contracts for electricity;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Contracts with Seller or any of its Affiliates (other than any other Acquired Company); and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Contracts relating to the Acquired Interests or membership interests of any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Seller has provided Purchaser with, or access to, true, correct and complete copies of all the Company Contracts required to be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xml:space="preserve"> of the Disclosure Schedules and the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and all amendments, modifications and supplements thereto. Each Company Contract constitutes the legal, valid, binding and enforceable obligation of the Acquired Company party thereto and to the Knowledge of Seller, the other parties thereto, except as may be limited 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bankruptcy, insolvency, reorganization, moratorium and other similar laws of general application affecting the rights and remedies of creditors;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general principles of equity (regardless of whether such enforcement is considered in a proceeding in equity or at law). Each Company Contract is in full force and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Except as disclosed on </w:t>
      </w:r>
      <w:r>
        <w:rPr>
          <w:rFonts w:ascii="Times New Roman;Times;Serif" w:hAnsi="Times New Roman;Times;Serif"/>
          <w:b w:val="false"/>
          <w:i/>
          <w:caps w:val="false"/>
          <w:smallCaps w:val="false"/>
          <w:sz w:val="20"/>
        </w:rPr>
        <w:t>Schedule 3.01(m)(iii)</w:t>
      </w:r>
      <w:r>
        <w:rPr>
          <w:rFonts w:ascii="Times New Roman;Times;Serif" w:hAnsi="Times New Roman;Times;Serif"/>
          <w:b w:val="false"/>
          <w:i w:val="false"/>
          <w:caps w:val="false"/>
          <w:smallCaps w:val="false"/>
          <w:sz w:val="20"/>
        </w:rPr>
        <w:t> of the Disclosure Schedules, no Acquired Company or, to the Knowledge of Seller, the other parties thereto, is in material violation or material breach of or material default under any Company Contract to which it is a party.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None of Seller or any Acquired Company has given or received notice or other written communication regarding any actual, alleged, possible or potential material violation or material breach with respect to any material provision of, or any material default under, or intent to cancel or terminate, any Company Contract, which violation, breach or default has not been remedied, cured or waived or for which any such intent to cancel or terminate has been withdrawn.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Real Property</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3.01(n)(i)</w:t>
      </w:r>
      <w:r>
        <w:rPr>
          <w:rFonts w:ascii="Times New Roman;Times;Serif" w:hAnsi="Times New Roman;Times;Serif"/>
          <w:b w:val="false"/>
          <w:i w:val="false"/>
          <w:caps w:val="false"/>
          <w:smallCaps w:val="false"/>
          <w:sz w:val="20"/>
        </w:rPr>
        <w:t> of the Disclosure Schedules lists all Real Property Rights of any Acquired Company, the real property in which any Acquired Company has Real Property Rights, and appurtenances thereto (collectively, the “</w:t>
      </w:r>
      <w:r>
        <w:rPr>
          <w:rFonts w:ascii="Times New Roman;Times;Serif" w:hAnsi="Times New Roman;Times;Serif"/>
          <w:b w:val="false"/>
          <w:i/>
          <w:caps w:val="false"/>
          <w:smallCaps w:val="false"/>
          <w:sz w:val="20"/>
        </w:rPr>
        <w:t>Land</w:t>
      </w:r>
      <w:r>
        <w:rPr>
          <w:rFonts w:ascii="Times New Roman;Times;Serif" w:hAnsi="Times New Roman;Times;Serif"/>
          <w:b w:val="false"/>
          <w:i w:val="false"/>
          <w:caps w:val="false"/>
          <w:smallCaps w:val="false"/>
          <w:sz w:val="20"/>
        </w:rPr>
        <w:t>”). The Project Company has a good and valid fee, leasehold, easement, access, license, or right of way interests, as applicable, in the Land required or associated with the Project, free and clear of all Liens, except: (A) for Permitted Exceptions; (B) as disclosed in the Title Proforma delivered by Seller to Purchaser on or before the Closing Date; and (C) as disclosed in the Title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3.01(n)(ii)</w:t>
      </w:r>
      <w:r>
        <w:rPr>
          <w:rFonts w:ascii="Times New Roman;Times;Serif" w:hAnsi="Times New Roman;Times;Serif"/>
          <w:b w:val="false"/>
          <w:i w:val="false"/>
          <w:caps w:val="false"/>
          <w:smallCaps w:val="false"/>
          <w:sz w:val="20"/>
        </w:rPr>
        <w:t> of the Disclosure Schedules, no Acquired Company has entered into any assignment, lease, license, sublease, easement or other agreement granting to any Person any right to the possession, use, occupancy or enjoyment of the Land.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No Acquired Company has caused or suffered to exist any easement, right-of-way, covenant, condition, restriction, reservation, license, agreement or other similar matter that would materially interfere with the operation of the Project or the business of the Acquired Companies in respect of the Real Property Rights, except as set forth on Part 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in the Title Proforma or in the Title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Part II of </w:t>
      </w:r>
      <w:r>
        <w:rPr>
          <w:rFonts w:ascii="Times New Roman;Times;Serif" w:hAnsi="Times New Roman;Times;Serif"/>
          <w:b w:val="false"/>
          <w:i/>
          <w:caps w:val="false"/>
          <w:smallCaps w:val="false"/>
          <w:sz w:val="20"/>
        </w:rPr>
        <w:t>Schedule 3.01(n)(iii)</w:t>
      </w:r>
      <w:r>
        <w:rPr>
          <w:rFonts w:ascii="Times New Roman;Times;Serif" w:hAnsi="Times New Roman;Times;Serif"/>
          <w:b w:val="false"/>
          <w:i w:val="false"/>
          <w:caps w:val="false"/>
          <w:smallCaps w:val="false"/>
          <w:sz w:val="20"/>
        </w:rPr>
        <w:t> of the Disclosure Schedules, the Real Property Rights are all the real property rights necessary for the Acquired Companies to develop, construct, own and operate the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None of Seller or any Acquired Company has received any written notice of: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condemnation, eminent domain or similar governmental proceeding materially affecting, individually or in the aggregate, the Project;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zoning, ordinance, building, fire, health or safety code violations materially affecting the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Title Policy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3.01(o)</w:t>
      </w:r>
      <w:r>
        <w:rPr>
          <w:rFonts w:ascii="Times New Roman;Times;Serif" w:hAnsi="Times New Roman;Times;Serif"/>
          <w:b w:val="false"/>
          <w:i w:val="false"/>
          <w:caps w:val="false"/>
          <w:smallCaps w:val="false"/>
          <w:sz w:val="20"/>
        </w:rPr>
        <w:t> of the Disclosure Schedules lists all Real Property Rights insured by the Title Policy (the “</w:t>
      </w:r>
      <w:r>
        <w:rPr>
          <w:rFonts w:ascii="Times New Roman;Times;Serif" w:hAnsi="Times New Roman;Times;Serif"/>
          <w:b w:val="false"/>
          <w:i/>
          <w:caps w:val="false"/>
          <w:smallCaps w:val="false"/>
          <w:sz w:val="20"/>
        </w:rPr>
        <w:t>Insured Property Rights</w:t>
      </w:r>
      <w:r>
        <w:rPr>
          <w:rFonts w:ascii="Times New Roman;Times;Serif" w:hAnsi="Times New Roman;Times;Serif"/>
          <w:b w:val="false"/>
          <w:i w:val="false"/>
          <w:caps w:val="false"/>
          <w:smallCaps w:val="false"/>
          <w:sz w:val="20"/>
        </w:rPr>
        <w:t>”). As of the Execution Date, Seller has provided to Purchaser a true and correct copy of the Execution Date Title Policy covering the Insured Property Rights. As of the Closing Date, Seller has provided to Purchaser copies of the pro forma Closing Date Endorsements, and true and correct copy of the Title Pro Forma covering the Insured Property Rights. The Insured Property Rights are subject only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Permitted Exceptions;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matters disclosed in the Title Policy;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matters consented to in writing by Purchaser (which consent shall not be unreasonably withheld, conditioned or delayed).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Environmental</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Except as set forth on </w:t>
      </w:r>
      <w:r>
        <w:rPr>
          <w:rFonts w:ascii="Times New Roman;Times;Serif" w:hAnsi="Times New Roman;Times;Serif"/>
          <w:b w:val="false"/>
          <w:i/>
          <w:caps w:val="false"/>
          <w:smallCaps w:val="false"/>
          <w:sz w:val="20"/>
        </w:rPr>
        <w:t>Schedule 3.01(p)(i)</w:t>
      </w:r>
      <w:r>
        <w:rPr>
          <w:rFonts w:ascii="Times New Roman;Times;Serif" w:hAnsi="Times New Roman;Times;Serif"/>
          <w:b w:val="false"/>
          <w:i w:val="false"/>
          <w:caps w:val="false"/>
          <w:smallCaps w:val="false"/>
          <w:sz w:val="20"/>
        </w:rPr>
        <w:t> of the Disclosure Schedules, the Acquired Companies are in compliance with all Environmental Laws, except to the extent that any such non-compliance would not reasonably be expected to have a Material Adverse Effect. There is no material violation of any Environmental Law or other material Liability arising under any Environmental Law with respect to the Project or the Land.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Actions or Proceedings pending or, to the Knowledge of Seller, threatened as of the Execution Date against Seller (solely in respect of the Project or the Acquired Companies), or the Acquired Companies, relating to any material violation of Environmental Law. None of Seller or any Acquired Company has received written notice from any Governmental Authority of any material violation of any Environmental Law in respect of the Project or the Acquired Companies (other than those violations that have been resolved or remedied).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xml:space="preserve"> of the Disclosure Schedules sets forth all material Permits required pursuant to any Environmental Law to be acquired or held by or for the benefit of Seller or Acquired Companies for the development, construction, ownership, use or operation of the Land or the business of the Acquired Companies as currently conducted. Except as set forth in </w:t>
      </w:r>
      <w:r>
        <w:rPr>
          <w:rFonts w:ascii="Times New Roman;Times;Serif" w:hAnsi="Times New Roman;Times;Serif"/>
          <w:b w:val="false"/>
          <w:i/>
          <w:caps w:val="false"/>
          <w:smallCaps w:val="false"/>
          <w:sz w:val="20"/>
        </w:rPr>
        <w:t>Schedule 3.01(p)(iii)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Except as set forth on </w:t>
      </w:r>
      <w:r>
        <w:rPr>
          <w:rFonts w:ascii="Times New Roman;Times;Serif" w:hAnsi="Times New Roman;Times;Serif"/>
          <w:b w:val="false"/>
          <w:i/>
          <w:caps w:val="false"/>
          <w:smallCaps w:val="false"/>
          <w:sz w:val="20"/>
        </w:rPr>
        <w:t>Schedule 3.01(p)(iv)</w:t>
      </w:r>
      <w:r>
        <w:rPr>
          <w:rFonts w:ascii="Times New Roman;Times;Serif" w:hAnsi="Times New Roman;Times;Serif"/>
          <w:b w:val="false"/>
          <w:i w:val="false"/>
          <w:caps w:val="false"/>
          <w:smallCaps w:val="false"/>
          <w:sz w:val="20"/>
        </w:rPr>
        <w:t> of the Disclosure Schedules, 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the Acquired Companies as currently conducted that would be reasonably expected to trigger any obligation of Seller or the Acquired Companies under Environmental Laws to report, investigate, remove or remediate such Release, or that would be reasonably expected to result in a material liability or interfere materially with the development, construction, ownership or operations of the Project.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Seller has made available to Purchaser all material environmental reports, assessments and documents that are in the possession of Seller or the Acquired Companies and that relate to actual or potential material Liabilities under Environmental Laws with respect to the Project or the Land.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xml:space="preserve"> of the Disclosure Schedules sets forth all material Permits required pursuant to any Law to be acquired or held by or for the benefit of Seller or the Acquired Companies in connection with the development, construction, ownership, maintenance, or operation of the Project, except for those required by the Environmental Laws, which are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xml:space="preserve">, or those of a type that are ministerial in nature and routinely granted on application and for which none of Seller or the Acquired Companies has reason to believe will not be obtained in due course. Except as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 such Permits have been obtained in a timely manner and are presently maintained in full force and effect in the name of an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Except as set forth on </w:t>
      </w:r>
      <w:r>
        <w:rPr>
          <w:rFonts w:ascii="Times New Roman;Times;Serif" w:hAnsi="Times New Roman;Times;Serif"/>
          <w:b w:val="false"/>
          <w:i/>
          <w:caps w:val="false"/>
          <w:smallCaps w:val="false"/>
          <w:sz w:val="20"/>
        </w:rPr>
        <w:t>Schedule 3.01(q)(ii)</w:t>
      </w:r>
      <w:r>
        <w:rPr>
          <w:rFonts w:ascii="Times New Roman;Times;Serif" w:hAnsi="Times New Roman;Times;Serif"/>
          <w:b w:val="false"/>
          <w:i w:val="false"/>
          <w:caps w:val="false"/>
          <w:smallCaps w:val="false"/>
          <w:sz w:val="20"/>
        </w:rPr>
        <w:t xml:space="preserve"> of the Disclosure Schedules, and except as relates to compliance with Environmental Laws which is exclusively and solely governed by </w:t>
      </w:r>
      <w:r>
        <w:rPr>
          <w:rFonts w:ascii="Times New Roman;Times;Serif" w:hAnsi="Times New Roman;Times;Serif"/>
          <w:b w:val="false"/>
          <w:i/>
          <w:caps w:val="false"/>
          <w:smallCaps w:val="false"/>
          <w:sz w:val="20"/>
        </w:rPr>
        <w:t>Section 3.01(p)</w:t>
      </w:r>
      <w:r>
        <w:rPr>
          <w:rFonts w:ascii="Times New Roman;Times;Serif" w:hAnsi="Times New Roman;Times;Serif"/>
          <w:b w:val="false"/>
          <w:i w:val="false"/>
          <w:caps w:val="false"/>
          <w:smallCaps w:val="false"/>
          <w:sz w:val="20"/>
        </w:rPr>
        <w:t>, Seller and the Acquired Companies are in material compliance with each such Permit, and in compliance with the FPA and PUHCA, except where the failure to so comply would not reasonably be expected to have a Material Adverse Effect, and have received no written notice of violation or noncompliance from any Governmental Authority which violation or noncompliance has not been remedied or any written notice or claim asserting or alleging that any such Permit: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not in full force and effect;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is subject to any Action or Proceeding or unsatisfied condition, in each case of clause (A) and (B) which has not been remedied or resolved.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There are no proceedings pending or, to the Knowledge of Seller, threatened which would reasonably be expected to result in the modification, revocation or termination of any material Permit set forth in </w:t>
      </w:r>
      <w:r>
        <w:rPr>
          <w:rFonts w:ascii="Times New Roman;Times;Serif" w:hAnsi="Times New Roman;Times;Serif"/>
          <w:b w:val="false"/>
          <w:i/>
          <w:caps w:val="false"/>
          <w:smallCaps w:val="false"/>
          <w:sz w:val="20"/>
        </w:rPr>
        <w:t>Schedule 3.01(q)(i)</w:t>
      </w:r>
      <w:r>
        <w:rPr>
          <w:rFonts w:ascii="Times New Roman;Times;Serif" w:hAnsi="Times New Roman;Times;Serif"/>
          <w:b w:val="false"/>
          <w:i w:val="false"/>
          <w:caps w:val="false"/>
          <w:smallCaps w:val="false"/>
          <w:sz w:val="20"/>
        </w:rPr>
        <w:t> of the Disclosure Schedules.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Affiliate Transactions</w:t>
      </w:r>
      <w:r>
        <w:rPr>
          <w:rFonts w:ascii="Times New Roman;Times;Serif" w:hAnsi="Times New Roman;Times;Serif"/>
          <w:b w:val="false"/>
          <w:i w:val="false"/>
          <w:caps w:val="false"/>
          <w:smallCaps w:val="false"/>
          <w:sz w:val="20"/>
        </w:rPr>
        <w:t>. Except for: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transactions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disclosed on </w:t>
      </w:r>
      <w:r>
        <w:rPr>
          <w:rFonts w:ascii="Times New Roman;Times;Serif" w:hAnsi="Times New Roman;Times;Serif"/>
          <w:b w:val="false"/>
          <w:i/>
          <w:caps w:val="false"/>
          <w:smallCaps w:val="false"/>
          <w:sz w:val="20"/>
        </w:rPr>
        <w:t>Schedule 3.01(r)</w:t>
      </w:r>
      <w:r>
        <w:rPr>
          <w:rFonts w:ascii="Times New Roman;Times;Serif" w:hAnsi="Times New Roman;Times;Serif"/>
          <w:b w:val="false"/>
          <w:i w:val="false"/>
          <w:caps w:val="false"/>
          <w:smallCaps w:val="false"/>
          <w:sz w:val="20"/>
        </w:rPr>
        <w:t> of the Disclosure Schedules;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under the Company Contracts disclosed on </w:t>
      </w:r>
      <w:r>
        <w:rPr>
          <w:rFonts w:ascii="Times New Roman;Times;Serif" w:hAnsi="Times New Roman;Times;Serif"/>
          <w:b w:val="false"/>
          <w:i/>
          <w:caps w:val="false"/>
          <w:smallCaps w:val="false"/>
          <w:sz w:val="20"/>
        </w:rPr>
        <w:t>Schedule 3.01(m)(i)</w:t>
      </w:r>
      <w:r>
        <w:rPr>
          <w:rFonts w:ascii="Times New Roman;Times;Serif" w:hAnsi="Times New Roman;Times;Serif"/>
          <w:b w:val="false"/>
          <w:i w:val="false"/>
          <w:caps w:val="false"/>
          <w:smallCaps w:val="false"/>
          <w:sz w:val="20"/>
        </w:rPr>
        <w:t> of the Disclosure Schedules;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this Agreement, there are no existing or pending transactions, Contracts or Liabilities between or among any Acquired Company on the one hand, and Seller or any of Seller’s Affiliates (other than any other Acquired Company), or any officer or director of Seller or any of Seller’s Affiliates, on the other hand.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To the Knowledge of Seller, except as set forth in </w:t>
      </w:r>
      <w:r>
        <w:rPr>
          <w:rFonts w:ascii="Times New Roman;Times;Serif" w:hAnsi="Times New Roman;Times;Serif"/>
          <w:b w:val="false"/>
          <w:i/>
          <w:caps w:val="false"/>
          <w:smallCaps w:val="false"/>
          <w:sz w:val="20"/>
        </w:rPr>
        <w:t>Schedule 3.01(s)(i) </w:t>
      </w:r>
      <w:r>
        <w:rPr>
          <w:rFonts w:ascii="Times New Roman;Times;Serif" w:hAnsi="Times New Roman;Times;Serif"/>
          <w:b w:val="false"/>
          <w:i w:val="false"/>
          <w:caps w:val="false"/>
          <w:smallCaps w:val="false"/>
          <w:sz w:val="20"/>
        </w:rPr>
        <w:t>of the Disclosure Schedules, there is not now and has not been during the past three (3) years any infringement or misappropriation by Seller of any valid patent, trademark, trade name, servicemark, copyright, trade secret or similar intellectual property which relates to the Acquired Interests or the assets of the Acquired Companies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the Acquired Companies and which is owned by any third party and which, in each case, would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Acquired Company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the Acquired Companies that would reasonably be expected to have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contains a true, correct and complete list of all insurance policies as of the Execution Date that insure the assets and properties and business of the Acquired Companies or affect or relate to the ownership of any of the assets and properties the Acquired Companies. Seller has delivered to Purchaser detailed summaries of all the insurance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all of which are in full force and effect. None of Seller or any Acquired Company has received any notice with respect to the assets and properties and business of the Acquired Companies from any insurer under any insurance policy applicable to the assets and properties and business of the Acquired Companies disclaiming coverage, reserving rights with respect to a particular claim or such policy in general or canceling any such policy. All premiums due and payable under all such policies have been paid and the terms of such policies have been complied with by Seller and the Acquired Companies, as applicable, in all material respects. The insurance maintained by or on behalf of the Acquired Companies is adequate to comply with all Laws and Company Contracts. Except as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Times;Serif" w:hAnsi="Times New Roman;Times;Serif"/>
          <w:b w:val="false"/>
          <w:i/>
          <w:caps w:val="false"/>
          <w:smallCaps w:val="false"/>
          <w:sz w:val="20"/>
        </w:rPr>
        <w:t>Schedule 3.01(t)</w:t>
      </w:r>
      <w:r>
        <w:rPr>
          <w:rFonts w:ascii="Times New Roman;Times;Serif" w:hAnsi="Times New Roman;Times;Serif"/>
          <w:b w:val="false"/>
          <w:i w:val="false"/>
          <w:caps w:val="false"/>
          <w:smallCaps w:val="false"/>
          <w:sz w:val="20"/>
        </w:rPr>
        <w:t> of the Disclosure Schedules to continue in all material respects after the Closing Date. Furthermore, at the expiration of such policies, Seller expects the aforementioned policies to be renewed with terms substantially identical to those described in the policies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Balance Sheets</w:t>
      </w:r>
      <w:r>
        <w:rPr>
          <w:rFonts w:ascii="Times New Roman;Times;Serif" w:hAnsi="Times New Roman;Times;Serif"/>
          <w:b w:val="false"/>
          <w:i w:val="false"/>
          <w:caps w:val="false"/>
          <w:smallCaps w:val="false"/>
          <w:sz w:val="20"/>
        </w:rPr>
        <w:t>. Seller has previously delivered to Purchaser true, correct and complete copies of the unaudited balance sheet (the “</w:t>
      </w:r>
      <w:r>
        <w:rPr>
          <w:rFonts w:ascii="Times New Roman;Times;Serif" w:hAnsi="Times New Roman;Times;Serif"/>
          <w:b w:val="false"/>
          <w:i/>
          <w:caps w:val="false"/>
          <w:smallCaps w:val="false"/>
          <w:sz w:val="20"/>
        </w:rPr>
        <w:t>Balance Sheets</w:t>
      </w:r>
      <w:r>
        <w:rPr>
          <w:rFonts w:ascii="Times New Roman;Times;Serif" w:hAnsi="Times New Roman;Times;Serif"/>
          <w:b w:val="false"/>
          <w:i w:val="false"/>
          <w:caps w:val="false"/>
          <w:smallCaps w:val="false"/>
          <w:sz w:val="20"/>
        </w:rPr>
        <w:t>”) of the Acquired Companies, on a stand-alone basis, for the quarter ended March 31, 2023 (the “</w:t>
      </w:r>
      <w:r>
        <w:rPr>
          <w:rFonts w:ascii="Times New Roman;Times;Serif" w:hAnsi="Times New Roman;Times;Serif"/>
          <w:b w:val="false"/>
          <w:i/>
          <w:caps w:val="false"/>
          <w:smallCaps w:val="false"/>
          <w:sz w:val="20"/>
        </w:rPr>
        <w:t>Balance Sheets Date</w:t>
      </w:r>
      <w:r>
        <w:rPr>
          <w:rFonts w:ascii="Times New Roman;Times;Serif" w:hAnsi="Times New Roman;Times;Serif"/>
          <w:b w:val="false"/>
          <w:i w:val="false"/>
          <w:caps w:val="false"/>
          <w:smallCaps w:val="false"/>
          <w:sz w:val="20"/>
        </w:rPr>
        <w:t>”). The Balance Sheets: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fairly present, in all material respects, the consolidated or stand-alone financial position and results, as applicable, of operations of the Acquired Companies covered thereby, as of the Balance Sheets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have been prepared in accordance with GAAP consistently applied during the period(s) involved except as otherwise noted therein, subject to normal and recurring year-end adjustments that have not been and are not expected to be material in amount;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have been prepared from the books and records of the Acquired Companies covered thereby.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Absence of Changes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3.01(v)</w:t>
      </w:r>
      <w:r>
        <w:rPr>
          <w:rFonts w:ascii="Times New Roman;Times;Serif" w:hAnsi="Times New Roman;Times;Serif"/>
          <w:b w:val="false"/>
          <w:i w:val="false"/>
          <w:caps w:val="false"/>
          <w:smallCaps w:val="false"/>
          <w:sz w:val="20"/>
        </w:rPr>
        <w:t> of the Disclosure Schedules, between the Balance Sheets Date (except as otherwise indicated in subparagraph (vii) below) and the Execution Date, there has not been:</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repurchase, redemption or other acquisition of any equity interests of any Acquired Company or any interests convertible into equity interests of any Acquired Company or any other change in the capitalization or ownership of any Acquired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merger of any Acquired Company into or with any other Person, consolidation of any Acquired Company with any other Person or acquisition by any Acquired Company of all or substantially all of the business or assets of any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action by any Acquired Company or any commitment entered into by any member of any Acquired Company with respect to or in contemplation of any liquidation, dissolution, recapitalization, reorganization or other winding up of its business or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material change in accounting policies or practices (including any change in depreciation or amortization policies) of any Acquired Company, except as required under GAAP;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sale, lease (as lessor), transfer or other disposal of (including any transfers to any of its Affiliates), or mortgage or pledge, or imposition of any Lien on, any of assets or properties of any Acquired Company, or interests therein, other than: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inventory and personal property sold or otherwise disposed of in the ordinary course of business;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Permitted Liens;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creation, incurrence, assumption or guarantee, or agreement to create, incur, assume or guarantee any Indebtedness for borrowed money or entry into any “keep well” or other agreement to maintain the financial condition of another Person, or any arrangement having the economic effect of any of the foregoing (including entering into, as lessee, any capitalized lease obligations as defined in Statement of Financial Accounting Standards No. 13), in each case, by any Acquired Company;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event, circumstance, condition or change relating or with respect to any Acquired Company that would reasonably be expected to have, individually or in the aggregate,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Bank Accounts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Schedule 3.01(w)</w:t>
      </w:r>
      <w:r>
        <w:rPr>
          <w:rFonts w:ascii="Times New Roman;Times;Serif" w:hAnsi="Times New Roman;Times;Serif"/>
          <w:b w:val="false"/>
          <w:i w:val="false"/>
          <w:caps w:val="false"/>
          <w:smallCaps w:val="false"/>
          <w:sz w:val="20"/>
        </w:rPr>
        <w:t> of the Disclosure Schedules sets forth the names and locations of banks, trust companies and other financial institutions at which any Acquired Company maintains bank accounts or safe deposit boxes, in each case listing the type of account, the account number, and the names of all Persons authorized to draw thereupon or who have access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Regulatory Status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of the date that the Project Company first delivers test energy, the Project Company shall be an “Exempt Wholesale Generator.” As an Exempt Wholesale Generator, the Project Company is exempt from PUHCA to the extent provided for in 18 C.F.R. § 366.7(e), except as otherwise may be applicable under Section 1265 of PUHCA.</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of the date the Project Company first delivers test energy, each Acquired Company that directly or indirectly owns any equity interests in the Project Company will become a “holding company,” as defined in PUHCA, solely with respect to its direct or indirect, as applicable, ownership of the Project Company and, therefore, each such Acquired Company is entitled to the exemptions and waivers set forth in at 18 C.F.R. § 366.3(a). The Project Company is not a “holding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of the Closing Date, Purchaser, solely by virtue of its indirect ownership of the Project Company, will not be subject to, or will not lose the exemption from: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regulation under PUHCA as an “electric utility company,” a “public utility company,” or a “holding company,” or an “affiliate” or “subsidiary company” as defined under PUHCA, except to the extent such regulation under PUHCA applies to a “holding company” solely with respect to an Exempt Wholesale Generator;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as a “public utility” under the FPA;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regulation by the IPUC as a “public utility” or an “electrical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Acquired Company is subject to regulation as a “public utility” as that term is defined under FPA Section 201(e). As of the date that the Project Company first delivers test energy, the Project Company shall have received MBR Authorization. No Acquired Company is subject to regulation by the IPUC as a “public utility” or, other than the Project Company, an “electrical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Support Obligations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be required to use commercially reasonable efforts to replace and/or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xml:space="preserve"> of the Disclosure Schedules sets forth a true, complete and correct list of all the Support Obligations for which Purchaser shall not be required to replace or effect the release of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Reports</w:t>
      </w:r>
      <w:r>
        <w:rPr>
          <w:rFonts w:ascii="Times New Roman;Times;Serif" w:hAnsi="Times New Roman;Times;Serif"/>
          <w:b w:val="false"/>
          <w:i w:val="false"/>
          <w:caps w:val="false"/>
          <w:smallCaps w:val="false"/>
          <w:sz w:val="20"/>
        </w:rPr>
        <w:t>. Seller has made available to Purchaser true, complete and correct copies of all Reports delivered pursuant to the Tax Equity ECCA as of the Execution Date. As of the Closing Date, Seller has made available to Purchaser true, correct and complete copies of all Reports that were not made available to Purchaser on the Execution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Projections</w:t>
      </w:r>
      <w:r>
        <w:rPr>
          <w:rFonts w:ascii="Times New Roman;Times;Serif" w:hAnsi="Times New Roman;Times;Serif"/>
          <w:b w:val="false"/>
          <w:i w:val="false"/>
          <w:caps w:val="false"/>
          <w:smallCaps w:val="false"/>
          <w:sz w:val="20"/>
        </w:rPr>
        <w:t>. Seller has prepared the financial projections for the Acquired Companies, which are reflected in the Base Case Model (the “</w:t>
      </w:r>
      <w:r>
        <w:rPr>
          <w:rFonts w:ascii="Times New Roman;Times;Serif" w:hAnsi="Times New Roman;Times;Serif"/>
          <w:b w:val="false"/>
          <w:i/>
          <w:caps w:val="false"/>
          <w:smallCaps w:val="false"/>
          <w:sz w:val="20"/>
        </w:rPr>
        <w:t>Projections</w:t>
      </w:r>
      <w:r>
        <w:rPr>
          <w:rFonts w:ascii="Times New Roman;Times;Serif" w:hAnsi="Times New Roman;Times;Serif"/>
          <w:b w:val="false"/>
          <w:i w:val="false"/>
          <w:caps w:val="false"/>
          <w:smallCaps w:val="false"/>
          <w:sz w:val="20"/>
        </w:rPr>
        <w:t>”), in good faith. To the Knowledge of Seller, the Projections: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are based on reasonable assumptions;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reflect all material payments to be made by the Acquired Companies to Seller or its Affiliates; and (iii) as to operation and maintenance expenses, are consistent in all material respects with Prudent Industry Practices.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Solvency</w:t>
      </w:r>
      <w:r>
        <w:rPr>
          <w:rFonts w:ascii="Times New Roman;Times;Serif" w:hAnsi="Times New Roman;Times;Serif"/>
          <w:b w:val="false"/>
          <w:i w:val="false"/>
          <w:caps w:val="false"/>
          <w:smallCaps w:val="false"/>
          <w:sz w:val="20"/>
        </w:rPr>
        <w:t>. There are no bankruptcy, reorganization or receivership proceedings pending against, being contemplated by or, to the Knowledge of Seller, threatened in writing against, Seller or any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No Other Warranties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sz w:val="20"/>
        </w:rPr>
        <w:t xml:space="preserve">Except for the warranties set forth herein, the Acquired Interests are being sold hereunder on an “as is,” “where is” basis. The warranties set forth herein are exclusive and are in lieu of all other warranties, whether statutory, written or oral, express or implied; Seller provides no other warranties with respect to the Acquired Interests, the Project,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or the assets of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including implied warranties of merchantability and fitness for a particular purpose, and warranties arising from course of dealing or usage of trade, all of which are expressly disclaimed. Except as expressly set forth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Seller makes no representation or warranty to Purchaser with respect to any financial projections, forecasts or forward looking statements of any kind or nature whatsoever relating to the Project, the </w:t>
      </w:r>
      <w:r>
        <w:rPr>
          <w:rFonts w:ascii="Times New Roman;Times;Serif" w:hAnsi="Times New Roman;Times;Serif"/>
          <w:b w:val="false"/>
          <w:i w:val="false"/>
          <w:caps w:val="false"/>
          <w:smallCaps w:val="false"/>
          <w:sz w:val="20"/>
        </w:rPr>
        <w:t>ACQUIRED COMPANIES</w:t>
      </w:r>
      <w:r>
        <w:rPr>
          <w:rFonts w:ascii="Times New Roman;Times;Serif" w:hAnsi="Times New Roman;Times;Serif"/>
          <w:b w:val="false"/>
          <w:i w:val="false"/>
          <w:caps/>
          <w:sz w:val="20"/>
        </w:rPr>
        <w:t xml:space="preserve">, the assets of the </w:t>
      </w:r>
      <w:r>
        <w:rPr>
          <w:rFonts w:ascii="Times New Roman;Times;Serif" w:hAnsi="Times New Roman;Times;Serif"/>
          <w:b w:val="false"/>
          <w:i w:val="false"/>
          <w:caps w:val="false"/>
          <w:smallCaps w:val="false"/>
          <w:sz w:val="20"/>
        </w:rPr>
        <w:t xml:space="preserve">ACQUIRED COMPANIES </w:t>
      </w:r>
      <w:r>
        <w:rPr>
          <w:rFonts w:ascii="Times New Roman;Times;Serif" w:hAnsi="Times New Roman;Times;Serif"/>
          <w:b w:val="false"/>
          <w:i w:val="false"/>
          <w:caps/>
          <w:sz w:val="20"/>
        </w:rPr>
        <w:t>or the Acquired Interests.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3.02.       </w:t>
      </w:r>
      <w:r>
        <w:rPr>
          <w:rFonts w:ascii="Times New Roman;Times;Serif" w:hAnsi="Times New Roman;Times;Serif"/>
          <w:b/>
          <w:i/>
          <w:caps w:val="false"/>
          <w:smallCaps w:val="false"/>
          <w:sz w:val="20"/>
        </w:rPr>
        <w:t>Representations and Warranties with Respect to Purchaser</w:t>
      </w:r>
      <w:r>
        <w:rPr>
          <w:rFonts w:ascii="Times New Roman;Times;Serif" w:hAnsi="Times New Roman;Times;Serif"/>
          <w:b w:val="false"/>
          <w:i w:val="false"/>
          <w:caps w:val="false"/>
          <w:smallCaps w:val="false"/>
          <w:sz w:val="20"/>
        </w:rPr>
        <w:t>. Purchaser hereby represents and warrants to Seller, as of the Execution Date and the Closing Date, as follows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any representation and warranty set forth in this </w:t>
      </w:r>
      <w:r>
        <w:rPr>
          <w:rFonts w:ascii="Times New Roman;Times;Serif" w:hAnsi="Times New Roman;Times;Serif"/>
          <w:b w:val="false"/>
          <w:i/>
          <w:caps w:val="false"/>
          <w:smallCaps w:val="false"/>
          <w:sz w:val="20"/>
        </w:rPr>
        <w:t>Section 3.02</w:t>
      </w:r>
      <w:r>
        <w:rPr>
          <w:rFonts w:ascii="Times New Roman;Times;Serif" w:hAnsi="Times New Roman;Times;Serif"/>
          <w:b w:val="false"/>
          <w:i w:val="false"/>
          <w:caps w:val="false"/>
          <w:smallCaps w:val="false"/>
          <w:sz w:val="20"/>
        </w:rPr>
        <w:t xml:space="preserve"> and expressly stated to be made only as of a specified date shall be made solely as of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Authority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constitutes the legal, valid and binding obligations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No Consent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Except as disclosed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of the Disclosure Schedules, and except as would not, individually or in the aggregate,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No Conflicts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execution, delivery and performance of this Agreement by Purchaser does not and will not: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conflict with, result in a breach of, or constitute a default under, Purchaser’s Constitutive Documents, or any material Contract to which Purchaser is a party;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result in the creation of any Lien upon any of the assets or properties of Purchaser;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Permits and Filings</w:t>
      </w:r>
      <w:r>
        <w:rPr>
          <w:rFonts w:ascii="Times New Roman;Times;Serif" w:hAnsi="Times New Roman;Times;Serif"/>
          <w:b w:val="false"/>
          <w:i w:val="false"/>
          <w:caps w:val="false"/>
          <w:smallCaps w:val="false"/>
          <w:sz w:val="20"/>
        </w:rPr>
        <w:t xml:space="preserve">. Except as disclosed on </w:t>
      </w:r>
      <w:r>
        <w:rPr>
          <w:rFonts w:ascii="Times New Roman;Times;Serif" w:hAnsi="Times New Roman;Times;Serif"/>
          <w:b w:val="false"/>
          <w:i/>
          <w:caps w:val="false"/>
          <w:smallCaps w:val="false"/>
          <w:sz w:val="20"/>
        </w:rPr>
        <w:t>Schedule 3.02(e)</w:t>
      </w:r>
      <w:r>
        <w:rPr>
          <w:rFonts w:ascii="Times New Roman;Times;Serif" w:hAnsi="Times New Roman;Times;Serif"/>
          <w:b w:val="false"/>
          <w:i w:val="false"/>
          <w:caps w:val="false"/>
          <w:smallCaps w:val="false"/>
          <w:sz w:val="20"/>
        </w:rPr>
        <w:t> of the Disclosure Schedules, no Permit is required on the part of Purchaser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Legal Proceedings</w:t>
      </w:r>
      <w:r>
        <w:rPr>
          <w:rFonts w:ascii="Times New Roman;Times;Serif" w:hAnsi="Times New Roman;Times;Serif"/>
          <w:b w:val="false"/>
          <w:i w:val="false"/>
          <w:caps w:val="false"/>
          <w:smallCaps w:val="false"/>
          <w:sz w:val="20"/>
        </w:rPr>
        <w:t>. There are no Actions or Proceedings pending or, to the knowledge of Purchaser, threatened as of the Execution Date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Purchase for Investment</w:t>
      </w:r>
      <w:r>
        <w:rPr>
          <w:rFonts w:ascii="Times New Roman;Times;Serif" w:hAnsi="Times New Roman;Times;Serif"/>
          <w:b w:val="false"/>
          <w:i w:val="false"/>
          <w:caps w:val="false"/>
          <w:smallCaps w:val="false"/>
          <w:sz w:val="20"/>
        </w:rPr>
        <w:t>. Purchaser: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is acquiring the Acquired Interests for its own account and not with a view to distribution;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is an “accredited investor” as such term is defined in Rule 501(a) under the Securities Act of 1933;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has sufficient knowledge and experience in financial and business matters so as to be able to evaluate the merits and risk of an investment in the Acquired Interests and is able financially to bear the risks thereof; and (</w:t>
      </w:r>
      <w:r>
        <w:rPr>
          <w:rFonts w:ascii="Times New Roman;Times;Serif" w:hAnsi="Times New Roman;Times;Serif"/>
          <w:b w:val="false"/>
          <w:i/>
          <w:caps w:val="false"/>
          <w:smallCaps w:val="false"/>
          <w:sz w:val="20"/>
        </w:rPr>
        <w:t>iv</w:t>
      </w:r>
      <w:r>
        <w:rPr>
          <w:rFonts w:ascii="Times New Roman;Times;Serif" w:hAnsi="Times New Roman;Times;Serif"/>
          <w:b w:val="false"/>
          <w:i w:val="false"/>
          <w:caps w:val="false"/>
          <w:smallCaps w:val="false"/>
          <w:sz w:val="20"/>
        </w:rPr>
        <w:t>) 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Brokers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3.02(h)</w:t>
      </w:r>
      <w:r>
        <w:rPr>
          <w:rFonts w:ascii="Times New Roman;Times;Serif" w:hAnsi="Times New Roman;Times;Serif"/>
          <w:b w:val="false"/>
          <w:i w:val="false"/>
          <w:caps w:val="false"/>
          <w:smallCaps w:val="false"/>
          <w:sz w:val="20"/>
        </w:rPr>
        <w:t> of the Disclosure Schedules, no Person has any claim against Purchaser for a finder’s fee, brokerage commission or similar payment directly or indirectly in connection with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Governmental Approvals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or which have already been obtained, no Governmental Approval is required on the part of Purchaser in connection with the execution, delivery and performance of this Agreement or the consummation of the transactions contemplated hereby.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Compliance with Laws</w:t>
      </w:r>
      <w:r>
        <w:rPr>
          <w:rFonts w:ascii="Times New Roman;Times;Serif" w:hAnsi="Times New Roman;Times;Serif"/>
          <w:b w:val="false"/>
          <w:i w:val="false"/>
          <w:caps w:val="false"/>
          <w:smallCaps w:val="false"/>
          <w:sz w:val="20"/>
        </w:rPr>
        <w:t>. Purchaser is not in material violation of any Law except where any such material violation would not in the aggregate reasonably be expected to have a material adverse effect on Purchaser’s ability to satisfy its obligations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Due Diligence</w:t>
      </w:r>
      <w:r>
        <w:rPr>
          <w:rFonts w:ascii="Times New Roman;Times;Serif" w:hAnsi="Times New Roman;Times;Serif"/>
          <w:b w:val="false"/>
          <w:i w:val="false"/>
          <w:caps w:val="false"/>
          <w:smallCaps w:val="false"/>
          <w:sz w:val="20"/>
        </w:rPr>
        <w:t xml:space="preserve">. Purchaser, or its Representatives, have had the opportunity to conduct all such due diligence investigations of the Acquired Interests, the Acquired Companies and the Project as they deemed necessary or advisable in connection with entering into this Agreement and the related documents and the transactions contemplated hereby and thereby. </w:t>
      </w:r>
      <w:r>
        <w:rPr>
          <w:rFonts w:ascii="Times New Roman;Times;Serif" w:hAnsi="Times New Roman;Times;Serif"/>
          <w:b w:val="false"/>
          <w:i w:val="false"/>
          <w:caps/>
          <w:sz w:val="20"/>
        </w:rPr>
        <w:t xml:space="preserve">Purchaser has relied solely on its independent investigation and the representations and warranties made by Seller in </w:t>
      </w:r>
      <w:r>
        <w:rPr>
          <w:rFonts w:ascii="Times New Roman;Times;Serif" w:hAnsi="Times New Roman;Times;Serif"/>
          <w:b w:val="false"/>
          <w:i/>
          <w:caps/>
          <w:sz w:val="20"/>
        </w:rPr>
        <w:t>Section 3.01</w:t>
      </w:r>
      <w:r>
        <w:rPr>
          <w:rFonts w:ascii="Times New Roman;Times;Serif" w:hAnsi="Times New Roman;Times;Serif"/>
          <w:b w:val="false"/>
          <w:i w:val="false"/>
          <w:caps/>
          <w:sz w:val="20"/>
        </w:rPr>
        <w:t xml:space="preserve"> in making its decision to acquire the Acquired Interests and has not relied on any other statements or advice from Seller or its Representatives.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CONDITIONS PRECEDENT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4.01.       </w:t>
      </w:r>
      <w:r>
        <w:rPr>
          <w:rFonts w:ascii="Times New Roman;Times;Serif" w:hAnsi="Times New Roman;Times;Serif"/>
          <w:b/>
          <w:i/>
          <w:caps w:val="false"/>
          <w:smallCaps w:val="false"/>
          <w:sz w:val="20"/>
        </w:rPr>
        <w:t>Closing Date Conditions Precedent of the Parties</w:t>
      </w:r>
      <w:r>
        <w:rPr>
          <w:rFonts w:ascii="Times New Roman;Times;Serif" w:hAnsi="Times New Roman;Times;Serif"/>
          <w:b w:val="false"/>
          <w:i w:val="false"/>
          <w:caps w:val="false"/>
          <w:smallCaps w:val="false"/>
          <w:sz w:val="20"/>
        </w:rPr>
        <w:t>. The obligations of each Party to consummate the Closing are subject to the fulfillment (or waiver by the applicable Party), at or before the Closing, by the applicable Party of each of the following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Tax Equity Financing</w:t>
      </w:r>
      <w:r>
        <w:rPr>
          <w:rFonts w:ascii="Times New Roman;Times;Serif" w:hAnsi="Times New Roman;Times;Serif"/>
          <w:b w:val="false"/>
          <w:i w:val="false"/>
          <w:caps w:val="false"/>
          <w:smallCaps w:val="false"/>
          <w:sz w:val="20"/>
        </w:rPr>
        <w:t>. The Funding Date with regards to the Project under the Tax Equity ECCA shall have occurred.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Approvals/Consents</w:t>
      </w:r>
      <w:r>
        <w:rPr>
          <w:rFonts w:ascii="Times New Roman;Times;Serif" w:hAnsi="Times New Roman;Times;Serif"/>
          <w:b w:val="false"/>
          <w:i w:val="false"/>
          <w:caps w:val="false"/>
          <w:smallCaps w:val="false"/>
          <w:sz w:val="20"/>
        </w:rPr>
        <w:t xml:space="preserve">. All consents of Purchaser specified on </w:t>
      </w:r>
      <w:r>
        <w:rPr>
          <w:rFonts w:ascii="Times New Roman;Times;Serif" w:hAnsi="Times New Roman;Times;Serif"/>
          <w:b w:val="false"/>
          <w:i/>
          <w:caps w:val="false"/>
          <w:smallCaps w:val="false"/>
          <w:sz w:val="20"/>
        </w:rPr>
        <w:t>Schedule 3.02(c)</w:t>
      </w:r>
      <w:r>
        <w:rPr>
          <w:rFonts w:ascii="Times New Roman;Times;Serif" w:hAnsi="Times New Roman;Times;Serif"/>
          <w:b w:val="false"/>
          <w:i w:val="false"/>
          <w:caps w:val="false"/>
          <w:smallCaps w:val="false"/>
          <w:sz w:val="20"/>
        </w:rPr>
        <w:t xml:space="preserve"> of the Disclosure Schedules and all approvals of Purchaser specified in </w:t>
      </w:r>
      <w:r>
        <w:rPr>
          <w:rFonts w:ascii="Times New Roman;Times;Serif" w:hAnsi="Times New Roman;Times;Serif"/>
          <w:b w:val="false"/>
          <w:i/>
          <w:caps w:val="false"/>
          <w:smallCaps w:val="false"/>
          <w:sz w:val="20"/>
        </w:rPr>
        <w:t>Schedule 3.02(i)</w:t>
      </w:r>
      <w:r>
        <w:rPr>
          <w:rFonts w:ascii="Times New Roman;Times;Serif" w:hAnsi="Times New Roman;Times;Serif"/>
          <w:b w:val="false"/>
          <w:i w:val="false"/>
          <w:caps w:val="false"/>
          <w:smallCaps w:val="false"/>
          <w:sz w:val="20"/>
        </w:rPr>
        <w:t> of the Disclosure Schedules shall have been obtained by Purchaser; and all Seller Approvals and Seller Consents shall have been obtained by Seller and shall in each case be in full force and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There will not exist on the Closing Date any condition or fact that, individually or in the aggregate, has or would reasonably be expected to result in a Material Adverse Effect.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4.02.       </w:t>
      </w:r>
      <w:r>
        <w:rPr>
          <w:rFonts w:ascii="Times New Roman;Times;Serif" w:hAnsi="Times New Roman;Times;Serif"/>
          <w:b/>
          <w:i/>
          <w:caps w:val="false"/>
          <w:smallCaps w:val="false"/>
          <w:sz w:val="20"/>
        </w:rPr>
        <w:t>Closing Date Conditions Precedent of the Purchaser</w:t>
      </w:r>
      <w:r>
        <w:rPr>
          <w:rFonts w:ascii="Times New Roman;Times;Serif" w:hAnsi="Times New Roman;Times;Serif"/>
          <w:b w:val="false"/>
          <w:i w:val="false"/>
          <w:caps w:val="false"/>
          <w:smallCaps w:val="false"/>
          <w:sz w:val="20"/>
        </w:rPr>
        <w:t>. The obligations of the Purchaser to consummate the Closing are subject to the fulfillment (or waiver by the Purchaser ), at or before the Closing, by the applicable Party of each of the following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Seller Representations and Warranties</w:t>
      </w:r>
      <w:r>
        <w:rPr>
          <w:rFonts w:ascii="Times New Roman;Times;Serif" w:hAnsi="Times New Roman;Times;Serif"/>
          <w:b w:val="false"/>
          <w:i w:val="false"/>
          <w:caps w:val="false"/>
          <w:smallCaps w:val="false"/>
          <w:sz w:val="20"/>
        </w:rPr>
        <w:t>. The representations and warranties made by Seller in this Agreement shall be true and correct in all material respects (except that (i) each Fundamental Representation made by Seller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Seller Covenants</w:t>
      </w:r>
      <w:r>
        <w:rPr>
          <w:rFonts w:ascii="Times New Roman;Times;Serif" w:hAnsi="Times New Roman;Times;Serif"/>
          <w:b w:val="false"/>
          <w:i w:val="false"/>
          <w:caps w:val="false"/>
          <w:smallCaps w:val="false"/>
          <w:sz w:val="20"/>
        </w:rPr>
        <w:t>. The covenants and obligations required by this Agreement to be performed or complied with by Seller at or before the Closing Date have been duly performed or complied with in all material respects.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Withholding Certificate</w:t>
      </w:r>
      <w:r>
        <w:rPr>
          <w:rFonts w:ascii="Times New Roman;Times;Serif" w:hAnsi="Times New Roman;Times;Serif"/>
          <w:b w:val="false"/>
          <w:i w:val="false"/>
          <w:caps w:val="false"/>
          <w:smallCaps w:val="false"/>
          <w:sz w:val="20"/>
        </w:rPr>
        <w:t xml:space="preserve">. Seller shall have delivered to Purchaser a valid, properly executed IRS Form W-9 (or, if Seller is an entity treated as disregarded as separate from its owner for federal income tax purposes, Seller’s regarded owner for federal income tax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Purchaser’s (and the Target Company’s) sole right if Seller fails to provide such IRS Form W-9 shall be to make appropriate withholdings under Sections 1445 and 1446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Seller shall have delivered to Purchaser: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 certificate, dated as of the Closing Date and executed by an authorized officer of Seller substantially in the form and to the effect of </w:t>
      </w:r>
      <w:r>
        <w:rPr>
          <w:rFonts w:ascii="Times New Roman;Times;Serif" w:hAnsi="Times New Roman;Times;Serif"/>
          <w:b w:val="false"/>
          <w:i/>
          <w:caps w:val="false"/>
          <w:smallCaps w:val="false"/>
          <w:sz w:val="20"/>
        </w:rPr>
        <w:t>Exhibit 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 certificate, dated as of the Closing Date and executed by the Secretary of Seller substantially in the form and to the effect of </w:t>
      </w:r>
      <w:r>
        <w:rPr>
          <w:rFonts w:ascii="Times New Roman;Times;Serif" w:hAnsi="Times New Roman;Times;Serif"/>
          <w:b w:val="false"/>
          <w:i/>
          <w:caps w:val="false"/>
          <w:smallCaps w:val="false"/>
          <w:sz w:val="20"/>
        </w:rPr>
        <w:t>Exhibit 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a commitment by the Title Company to issue the Closing Date Endorsements; and (</w:t>
      </w:r>
      <w:r>
        <w:rPr>
          <w:rFonts w:ascii="Times New Roman;Times;Serif" w:hAnsi="Times New Roman;Times;Serif"/>
          <w:b w:val="false"/>
          <w:i/>
          <w:caps w:val="false"/>
          <w:smallCaps w:val="false"/>
          <w:sz w:val="20"/>
        </w:rPr>
        <w:t>D</w:t>
      </w:r>
      <w:r>
        <w:rPr>
          <w:rFonts w:ascii="Times New Roman;Times;Serif" w:hAnsi="Times New Roman;Times;Serif"/>
          <w:b w:val="false"/>
          <w:i w:val="false"/>
          <w:caps w:val="false"/>
          <w:smallCaps w:val="false"/>
          <w:sz w:val="20"/>
        </w:rPr>
        <w:t>) copies of all recorded documents referred to, or listed as exceptions to title in, the Closing Date Endorsements.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Seller Tax Equity Guaranty</w:t>
      </w:r>
      <w:r>
        <w:rPr>
          <w:rFonts w:ascii="Times New Roman;Times;Serif" w:hAnsi="Times New Roman;Times;Serif"/>
          <w:b w:val="false"/>
          <w:i w:val="false"/>
          <w:caps w:val="false"/>
          <w:smallCaps w:val="false"/>
          <w:sz w:val="20"/>
        </w:rPr>
        <w:t>. Simultaneously with or prior to the Closing, Seller Parent shall have executed, and delivered to Purchaser, the Seller Tax Equity Guaranty.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4.03.       </w:t>
      </w:r>
      <w:r>
        <w:rPr>
          <w:rFonts w:ascii="Times New Roman;Times;Serif" w:hAnsi="Times New Roman;Times;Serif"/>
          <w:b/>
          <w:i/>
          <w:caps w:val="false"/>
          <w:smallCaps w:val="false"/>
          <w:sz w:val="20"/>
        </w:rPr>
        <w:t>Closing Date Conditions Precedent of the Seller</w:t>
      </w:r>
      <w:r>
        <w:rPr>
          <w:rFonts w:ascii="Times New Roman;Times;Serif" w:hAnsi="Times New Roman;Times;Serif"/>
          <w:b w:val="false"/>
          <w:i w:val="false"/>
          <w:caps w:val="false"/>
          <w:smallCaps w:val="false"/>
          <w:sz w:val="20"/>
        </w:rPr>
        <w:t>. The obligations of the Seller to consummate the Closing are subject to the fulfillment (or waiver by the Seller), at or before the Closing, by the applicable Party of each of the following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Purchaser Representations and Warranties</w:t>
      </w:r>
      <w:r>
        <w:rPr>
          <w:rFonts w:ascii="Times New Roman;Times;Serif" w:hAnsi="Times New Roman;Times;Serif"/>
          <w:b w:val="false"/>
          <w:i w:val="false"/>
          <w:caps w:val="false"/>
          <w:smallCaps w:val="false"/>
          <w:sz w:val="20"/>
        </w:rPr>
        <w:t>. The representations and warranties made by Purchaser in this Agreement shall be true and correct in all material respects (except (i) each Fundamental Representation made by Purchaser shall be true and correct in all respects and (ii) any of such representations and warranties that are qualified by materiality, including by reference to Material Adverse Effect, shall be true and correct in all respects) on and as of the Closing Date as though such representations and warranties were made on and as of the Closing Date, except to the extent such representations and warranties expressly relate to an earlier date, in which case as of such earlier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Purchaser Covenants</w:t>
      </w:r>
      <w:r>
        <w:rPr>
          <w:rFonts w:ascii="Times New Roman;Times;Serif" w:hAnsi="Times New Roman;Times;Serif"/>
          <w:b w:val="false"/>
          <w:i w:val="false"/>
          <w:caps w:val="false"/>
          <w:smallCaps w:val="false"/>
          <w:sz w:val="20"/>
        </w:rPr>
        <w:t>. The covenants and obligations required by this Agreement to be performed or complied with by Purchaser at or before the Closing Date have been duly performed or complied with in all material respects.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Certificates</w:t>
      </w:r>
      <w:r>
        <w:rPr>
          <w:rFonts w:ascii="Times New Roman;Times;Serif" w:hAnsi="Times New Roman;Times;Serif"/>
          <w:b w:val="false"/>
          <w:i w:val="false"/>
          <w:caps w:val="false"/>
          <w:smallCaps w:val="false"/>
          <w:sz w:val="20"/>
        </w:rPr>
        <w:t>. Purchaser shall have delivered to Seller: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a certificate, dated as of the Closing Date and executed by an authorized officer of Purchaser substantially in the form and to the effect of </w:t>
      </w:r>
      <w:r>
        <w:rPr>
          <w:rFonts w:ascii="Times New Roman;Times;Serif" w:hAnsi="Times New Roman;Times;Serif"/>
          <w:b w:val="false"/>
          <w:i/>
          <w:caps w:val="false"/>
          <w:smallCaps w:val="false"/>
          <w:sz w:val="20"/>
        </w:rPr>
        <w:t>Exhibit F</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a certificate, dated as of the Closing Date and executed by the Secretary of Purchaser substantially in the form and to the effect of </w:t>
      </w:r>
      <w:r>
        <w:rPr>
          <w:rFonts w:ascii="Times New Roman;Times;Serif" w:hAnsi="Times New Roman;Times;Serif"/>
          <w:b w:val="false"/>
          <w:i/>
          <w:caps w:val="false"/>
          <w:smallCaps w:val="false"/>
          <w:sz w:val="20"/>
        </w:rPr>
        <w:t>Exhibit G</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Purchaser Tax Equity Guaranty</w:t>
      </w:r>
      <w:r>
        <w:rPr>
          <w:rFonts w:ascii="Times New Roman;Times;Serif" w:hAnsi="Times New Roman;Times;Serif"/>
          <w:b w:val="false"/>
          <w:i w:val="false"/>
          <w:caps w:val="false"/>
          <w:smallCaps w:val="false"/>
          <w:sz w:val="20"/>
        </w:rPr>
        <w:t>. Simultaneously with or prior to the Closing, Purchaser Parent shall have executed, and delivered to the Tax Equity Investor, the Purchaser Tax Equity Guaranty.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Certain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5.01.       </w:t>
      </w:r>
      <w:r>
        <w:rPr>
          <w:rFonts w:ascii="Times New Roman;Times;Serif" w:hAnsi="Times New Roman;Times;Serif"/>
          <w:b/>
          <w:i/>
          <w:caps w:val="false"/>
          <w:smallCaps w:val="false"/>
          <w:sz w:val="20"/>
        </w:rPr>
        <w:t>Regulatory and Other Permits</w:t>
      </w:r>
      <w:r>
        <w:rPr>
          <w:rFonts w:ascii="Times New Roman;Times;Serif" w:hAnsi="Times New Roman;Times;Serif"/>
          <w:b w:val="false"/>
          <w:i w:val="false"/>
          <w:caps w:val="false"/>
          <w:smallCaps w:val="false"/>
          <w:sz w:val="20"/>
        </w:rPr>
        <w:t xml:space="preserve">. Following the Execution Date, Seller shall, or shall cause the Acquired Companies to, as promptly as practicable, use commercially reasonable efforts to make all filings with all Governmental Authorities and other Persons required by Seller or its Affiliates to consummate the transactions contemplated hereby and shall use commercially reasonable efforts to obtain as promptly as practicable all Permits and all consents, approvals or actions of all Governmental Authorities and other Persons necessary to consummate the transactions contemplated hereby, including the Seller Approvals and Seller Consents. Without limiting the generality of the foregoing, prior to the first sale of test power from the Project, the Project Company shall have obtained EWG status. Seller shall promptly provide Purchaser with a copy of any filing, Order or other document delivered to or received from any Governmental Authority or other Person relating to the obtaining of any such Permits, consents, approvals or actions of Governmental Authorities and other Persons for the Project. Seller shall provide a status report to Purchaser upon the reasonable request of Purchaser. Seller shall use commercially reasonable efforts not to cause its Representatives, or the Acquired Companies or other Affiliates of Seller or any of their respective Representatives, to take any action which would reasonably be expected to materially and adversely affect the likelihood of any approval or consent required to consummate the transactions contemplated hereby. Seller shall bear its own costs and legal fees contemplated by this </w:t>
      </w:r>
      <w:r>
        <w:rPr>
          <w:rFonts w:ascii="Times New Roman;Times;Serif" w:hAnsi="Times New Roman;Times;Serif"/>
          <w:b w:val="false"/>
          <w:i/>
          <w:caps w:val="false"/>
          <w:smallCaps w:val="false"/>
          <w:sz w:val="20"/>
        </w:rPr>
        <w:t>Section 5.01</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5.02.       </w:t>
      </w:r>
      <w:r>
        <w:rPr>
          <w:rFonts w:ascii="Times New Roman;Times;Serif" w:hAnsi="Times New Roman;Times;Serif"/>
          <w:b/>
          <w:i/>
          <w:caps w:val="false"/>
          <w:smallCaps w:val="false"/>
          <w:sz w:val="20"/>
        </w:rPr>
        <w:t>Access to Information</w:t>
      </w:r>
      <w:r>
        <w:rPr>
          <w:rFonts w:ascii="Times New Roman;Times;Serif" w:hAnsi="Times New Roman;Times;Serif"/>
          <w:b w:val="false"/>
          <w:i w:val="false"/>
          <w:caps w:val="false"/>
          <w:smallCaps w:val="false"/>
          <w:sz w:val="20"/>
        </w:rPr>
        <w:t>. From the Execution Date and continuing until the earlier of the termination of this Agreement or the Closing Date (the “</w:t>
      </w:r>
      <w:r>
        <w:rPr>
          <w:rFonts w:ascii="Times New Roman;Times;Serif" w:hAnsi="Times New Roman;Times;Serif"/>
          <w:b w:val="false"/>
          <w:i/>
          <w:caps w:val="false"/>
          <w:smallCaps w:val="false"/>
          <w:sz w:val="20"/>
        </w:rPr>
        <w:t>Interim Period</w:t>
      </w:r>
      <w:r>
        <w:rPr>
          <w:rFonts w:ascii="Times New Roman;Times;Serif" w:hAnsi="Times New Roman;Times;Serif"/>
          <w:b w:val="false"/>
          <w:i w:val="false"/>
          <w:caps w:val="false"/>
          <w:smallCaps w:val="false"/>
          <w:sz w:val="20"/>
        </w:rPr>
        <w:t xml:space="preserve">”), Seller shall at all reasonable times and upon reasonable prior notice during regular business hours make the properties, assets, books and records pertaining to the Acquired Companies, the Acquired Interests or the Project reasonably available for examination, inspection and review by Purchaser and its Representatives;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Purchaser and its Representatives shall be subject to customary confidentiality undertakings with respect to any such information or access made available;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for any site visit or access, Purchaser and its Representatives will agree to comply with all safety and other policies and procedures disclosed to it while conducting such visit or access;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Purchaser’s and its Representatives’ inspections and examinations shall not unreasonably disrupt the normal operations of Seller, the Acquired Companies or the Project and shall be at Purchaser’s sole cost and expense;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neither Purchaser, nor any of its Affiliates or Representatives, shall conduct any intrusive environmental site assessment or activities with respect to the Acquired Companies or their properties without the prior written consent of Seller.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5.03.       </w:t>
      </w:r>
      <w:r>
        <w:rPr>
          <w:rFonts w:ascii="Times New Roman;Times;Serif" w:hAnsi="Times New Roman;Times;Serif"/>
          <w:b/>
          <w:i/>
          <w:caps w:val="false"/>
          <w:smallCaps w:val="false"/>
          <w:sz w:val="20"/>
        </w:rPr>
        <w:t>Notification of Certain Matters</w:t>
      </w:r>
      <w:r>
        <w:rPr>
          <w:rFonts w:ascii="Times New Roman;Times;Serif" w:hAnsi="Times New Roman;Times;Serif"/>
          <w:b w:val="false"/>
          <w:i w:val="false"/>
          <w:caps w:val="false"/>
          <w:smallCaps w:val="false"/>
          <w:sz w:val="20"/>
        </w:rPr>
        <w:t>. Seller shall have the right to deliver to Purchaser, not later than ten (10) Business Days prior to the Closing Date, a supplement to the Disclosure Schedules (the “</w:t>
      </w:r>
      <w:r>
        <w:rPr>
          <w:rFonts w:ascii="Times New Roman;Times;Serif" w:hAnsi="Times New Roman;Times;Serif"/>
          <w:b w:val="false"/>
          <w:i/>
          <w:caps w:val="false"/>
          <w:smallCaps w:val="false"/>
          <w:sz w:val="20"/>
        </w:rPr>
        <w:t>Closing Date Schedule Supplement</w:t>
      </w:r>
      <w:r>
        <w:rPr>
          <w:rFonts w:ascii="Times New Roman;Times;Serif" w:hAnsi="Times New Roman;Times;Serif"/>
          <w:b w:val="false"/>
          <w:i w:val="false"/>
          <w:caps w:val="false"/>
          <w:smallCaps w:val="false"/>
          <w:sz w:val="20"/>
        </w:rPr>
        <w:t xml:space="preserve">”) to disclose any matter arising after the date hereof, that, if existing at or arising prior to the date hereof, would have been required to be set forth in the Disclosure Schedules for the representations and warranties of Seller set forth herein to be true and correct as of the date hereof, and the Disclosure Schedules shall be deemed to be modified, supplemented and amended to include the items listed in the Closing Date Schedule Supplement for all purposes hereunder, other than to cure any breach or inaccuracy of any representation or warranty of Seller contained in this Agreement for purposes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If any item set forth in the Closing Date Schedule Supplement discloses any event, circumstance or development that, individually or in the aggregate when taken together with other previously disclosed events, circumstances or developments, would prevent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xml:space="preserve"> (other than those conditions related to the bring-down of representations and warranties) to be satisfied, then Purchaser may terminate this Agreement by delivering notice of termination to Seller within ten (10) Business Days of its receipt of the Closing Date Schedule Supplement;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Purchaser does not deliver such notice within such ten (10) Business Day period, then Purchaser shall be deemed to have irrevocably waived its right to terminate this Agreement with respect to such item and its right to not consummate the transactions contemplated hereby with respect to such item, in each case, after giving effect to such item under any of the conditions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but shall not be deemed to have irrevocably waived its right to indemnification under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with respect to such item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updates shall not give rise to any right of indemnification to the extent such updates are solely to reflect the execution of any Tax Equity Document pursuant to and in accordance with </w:t>
      </w:r>
      <w:r>
        <w:rPr>
          <w:rFonts w:ascii="Times New Roman;Times;Serif" w:hAnsi="Times New Roman;Times;Serif"/>
          <w:b w:val="false"/>
          <w:i/>
          <w:caps w:val="false"/>
          <w:smallCaps w:val="false"/>
          <w:sz w:val="20"/>
        </w:rPr>
        <w:t>Section 5.12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5.04.       </w:t>
      </w:r>
      <w:r>
        <w:rPr>
          <w:rFonts w:ascii="Times New Roman;Times;Serif" w:hAnsi="Times New Roman;Times;Serif"/>
          <w:b/>
          <w:i/>
          <w:caps w:val="false"/>
          <w:smallCaps w:val="false"/>
          <w:sz w:val="20"/>
        </w:rPr>
        <w:t>Conduct of Business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During the Interim Period,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xml:space="preserve">, Seller shall cause each Acquired Company to operate and carry on its business in the ordinary course and substantially as operated prior to the Execution Date. Without limiting the foregoing, and subject to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Seller shall cause each Acquired Company to perform in all material respects the Company Contracts to which such Acquired Company is a party and use commercially reasonable efforts consistent with good business practice to preserve the goodwill of the suppliers, contractors, lenders, Governmental Authorities, licensors, customers, distributors and others having business relations with the Acquired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w:t>
      </w:r>
      <w:r>
        <w:rPr>
          <w:rFonts w:ascii="Times New Roman;Times;Serif" w:hAnsi="Times New Roman;Times;Serif"/>
          <w:b w:val="false"/>
          <w:i/>
          <w:caps w:val="false"/>
          <w:smallCaps w:val="false"/>
          <w:sz w:val="20"/>
        </w:rPr>
        <w:t>Section 5.04(a)</w:t>
      </w:r>
      <w:r>
        <w:rPr>
          <w:rFonts w:ascii="Times New Roman;Times;Serif" w:hAnsi="Times New Roman;Times;Serif"/>
          <w:b w:val="false"/>
          <w:i w:val="false"/>
          <w:caps w:val="false"/>
          <w:smallCaps w:val="false"/>
          <w:sz w:val="20"/>
        </w:rPr>
        <w:t>, except: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as set forth on </w:t>
      </w:r>
      <w:r>
        <w:rPr>
          <w:rFonts w:ascii="Times New Roman;Times;Serif" w:hAnsi="Times New Roman;Times;Serif"/>
          <w:b w:val="false"/>
          <w:i/>
          <w:caps w:val="false"/>
          <w:smallCaps w:val="false"/>
          <w:sz w:val="20"/>
        </w:rPr>
        <w:t>Schedule 5.04(b)</w:t>
      </w:r>
      <w:r>
        <w:rPr>
          <w:rFonts w:ascii="Times New Roman;Times;Serif" w:hAnsi="Times New Roman;Times;Serif"/>
          <w:b w:val="false"/>
          <w:i w:val="false"/>
          <w:caps w:val="false"/>
          <w:smallCaps w:val="false"/>
          <w:sz w:val="20"/>
        </w:rPr>
        <w:t> of the Disclosure Schedules;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as would not be reasonably likely to cause a Major Project Change (with respect to clauses (F), (G), (I), and (N) of this </w:t>
      </w:r>
      <w:r>
        <w:rPr>
          <w:rFonts w:ascii="Times New Roman;Times;Serif" w:hAnsi="Times New Roman;Times;Serif"/>
          <w:b w:val="false"/>
          <w:i/>
          <w:caps w:val="false"/>
          <w:smallCaps w:val="false"/>
          <w:sz w:val="20"/>
        </w:rPr>
        <w:t>Section 5.04(b)</w:t>
      </w:r>
      <w:r>
        <w:rPr>
          <w:rFonts w:ascii="Times New Roman;Times;Serif" w:hAnsi="Times New Roman;Times;Serif"/>
          <w:b w:val="false"/>
          <w:i w:val="false"/>
          <w:caps w:val="false"/>
          <w:smallCaps w:val="false"/>
          <w:sz w:val="20"/>
        </w:rPr>
        <w:t> only);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with the express written approval of Purchaser, such approval not to be unreasonably withheld or delayed, during the Interim Period, Seller shall cause each Acquired Company not 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transfer any of the Acquired Interests to any Person or create or suffer to exist any Lien upon the Acquired Interests other than the Permitted Equity Encumbrances;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 grant, deliver or sell or authorize or propose to issue, grant, deliver or sell, or purchase or propose to purchase, any of its equity securities (other than the sale and delivery of the Acquired Interests pursuant to this Agreement and the issuance of membership interests in TE HoldCo pursuant to the Tax Equity ECCA), options, warrants, calls, rights, exchangeable or convertible securities, commitments or agreements of any character, written or oral, obligating it to issue, deliver, sell, repurchase or redeem, or cause to be issued, delivered, sold, repurchased or redeemed, any of its equity securities (other than this Agreement and the Tax Equity ECCA);</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declare, set aside or pay any dividends on or make any other distributions in respect of the Acquired Interests, or combine, split or reclassify any of the Acquired Interests or issue or authorize the issuance of any other securities in respect of, in lieu of or in substitution for any of the Acquired Interests, other than distributions to Seller of any loan proceeds received under the Financing Agreement (in accordance therewith) or any other amounts described in </w:t>
      </w:r>
      <w:r>
        <w:rPr>
          <w:rFonts w:ascii="Times New Roman;Times;Serif" w:hAnsi="Times New Roman;Times;Serif"/>
          <w:b w:val="false"/>
          <w:i/>
          <w:caps w:val="false"/>
          <w:smallCaps w:val="false"/>
          <w:sz w:val="20"/>
          <w:u w:val="single"/>
        </w:rPr>
        <w:t>Section 2.05</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any action or enter into any commitment with respect to or in contemplation of any liquidation, dissolution, recapitalization, reorganization or other winding up of business or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open or establish any new accounts with financial institutions, other than as required by the Financing Documents or the Tax Equity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material change in its business or operations, except such changes as may be required to comply with any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any material capital expenditures (or enter into any Contracts in respect of material capital expenditures) other than as contemplated by the Company Contracts or the Tax Equity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merge Company or any Acquired Company into or with any other Person or consolidate Company or any Acquired Company with any other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enter into any Contract for the purchase of real property or any interests therein, other than as contemplated by the Tax Equity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acquire, or enter into any Contract for any acquisitions (by merger, consolidation, or acquisition of stock or assets or any other business combination), of any Person or business or any division thereof, other than as contemplated by the Tax Equity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sell, lease (as lessor), transfer or otherwise dispose of (including any transfers to any of its Affiliates), or mortgage or pledge, or impose or suffer to be imposed any Lien on, any of its assets or properties, other than: (</w:t>
      </w:r>
      <w:r>
        <w:rPr>
          <w:rFonts w:ascii="Times New Roman;Times;Serif" w:hAnsi="Times New Roman;Times;Serif"/>
          <w:b w:val="false"/>
          <w:i/>
          <w:caps w:val="false"/>
          <w:smallCaps w:val="false"/>
          <w:sz w:val="20"/>
        </w:rPr>
        <w:t>1</w:t>
      </w:r>
      <w:r>
        <w:rPr>
          <w:rFonts w:ascii="Times New Roman;Times;Serif" w:hAnsi="Times New Roman;Times;Serif"/>
          <w:b w:val="false"/>
          <w:i w:val="false"/>
          <w:caps w:val="false"/>
          <w:smallCaps w:val="false"/>
          <w:sz w:val="20"/>
        </w:rPr>
        <w:t>) inventory and personal property sold or otherwise disposed of in the ordinary course of business; (</w:t>
      </w:r>
      <w:r>
        <w:rPr>
          <w:rFonts w:ascii="Times New Roman;Times;Serif" w:hAnsi="Times New Roman;Times;Serif"/>
          <w:b w:val="false"/>
          <w:i/>
          <w:caps w:val="false"/>
          <w:smallCaps w:val="false"/>
          <w:sz w:val="20"/>
        </w:rPr>
        <w:t>2</w:t>
      </w:r>
      <w:r>
        <w:rPr>
          <w:rFonts w:ascii="Times New Roman;Times;Serif" w:hAnsi="Times New Roman;Times;Serif"/>
          <w:b w:val="false"/>
          <w:i w:val="false"/>
          <w:caps w:val="false"/>
          <w:smallCaps w:val="false"/>
          <w:sz w:val="20"/>
        </w:rPr>
        <w:t>) Permitted Liens; or (3) as contemplated by the Financing Documents or the Tax Equity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create, incur, assume or guarantee, or agree to create, incur, assume or guarantee, any Indebtedness for borrowed money, or enter into any “keep well” or other agreement to maintain the financial condition of another Person or into any arrangement having the economic effect of any of the foregoing (including entering into, as lessee, any capitalized lease obligations as defined in Statement of Financial Accounting Standards No. 13), other than any Indebtedness arising from the Financing Agreement or any of the Financing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make any loans or advances to any Person (other than another Acquired Company), except in the ordinary course of business consistent with past practice;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for the execution of the Tax Equity Agreements, enter into any Contract that would constitute a Company Contract or amend, modify, grant a waiver in respect of, cancel or consent to the termination of any Company Contract other than any amendment, modification or waiver which is not material to such Company Contract and is otherwise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enter into or adversely amend, modify or waive any rights under, in each case, in any material respect, any material Contract (or series of related Contracts) with Seller or any Affiliate of Seller other than the entry into or amendment, modification, or waiver of any such Contracts on an arms’ length basis which are not in the aggregate materially adverse to the business of Target Company or any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make any material change in accounting policies or practices (including any change in depreciation or amortization policies) of Company or any Acquired Company, except as required under GAAP or if such change would not have a material adverse effect on Purchaser, or revalue any of the Target Company’s or any Acquired Company’s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 each case, except as required by any Tax Equity Document, make or change any material Tax election, change an annual accounting period, adopt or change any accounting method with respect to Taxes, file any material amended Tax Return, or enter into any closing agreement (as described in Section 7121 of the Code), settle or compromise any proceeding with respect to any material Tax claim or assessment, surrender any right to claim a material refund of Taxes, consent to any extension or waiver of the limitation period applicable to any material Tax claim or assessment relating to the Target Company or any other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pay, discharge, settle or satisfy any claims, liabilities or obligations prior to the same being due in excess of $50,000 in the aggregate other than as due and payable in the ordinary course under material Contracts;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hire any employees or adopt any Employee Plans;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except as contemplated pursuant to the Tax Equity Agreements, enter into any joint venture;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fail to maintain insurance coverage substantially equivalent to its insurance coverage as in effect on the date hereof;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otherwise make any commitment to do any of the foregoing in this </w:t>
      </w:r>
      <w:r>
        <w:rPr>
          <w:rFonts w:ascii="Times New Roman;Times;Serif" w:hAnsi="Times New Roman;Times;Serif"/>
          <w:b w:val="false"/>
          <w:i/>
          <w:caps w:val="false"/>
          <w:smallCaps w:val="false"/>
          <w:sz w:val="20"/>
        </w:rPr>
        <w:t>Section 5.04</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Seller may permit the Acquired Companies to take commercially reasonable actions with respect to emergency situations so long as Seller shall, upon receipt of notice of any such actions, promptly inform Purchaser of any such actions taken outside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5.05.       </w:t>
      </w:r>
      <w:r>
        <w:rPr>
          <w:rFonts w:ascii="Times New Roman;Times;Serif" w:hAnsi="Times New Roman;Times;Serif"/>
          <w:b/>
          <w:i/>
          <w:caps w:val="false"/>
          <w:smallCaps w:val="false"/>
          <w:sz w:val="20"/>
        </w:rPr>
        <w:t>Fulfillment of Conditions</w:t>
      </w:r>
      <w:r>
        <w:rPr>
          <w:rFonts w:ascii="Times New Roman;Times;Serif" w:hAnsi="Times New Roman;Times;Serif"/>
          <w:b w:val="false"/>
          <w:i w:val="false"/>
          <w:caps w:val="false"/>
          <w:smallCaps w:val="false"/>
          <w:sz w:val="20"/>
        </w:rPr>
        <w:t>. Each Party shall take all commercially reasonable steps necessary or desirable, and proceed diligently and in good faith, to satisfy each condition to the obligations of the other Party contained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5.06.       </w:t>
      </w:r>
      <w:r>
        <w:rPr>
          <w:rFonts w:ascii="Times New Roman;Times;Serif" w:hAnsi="Times New Roman;Times;Serif"/>
          <w:b/>
          <w:i/>
          <w:caps w:val="false"/>
          <w:smallCaps w:val="false"/>
          <w:sz w:val="20"/>
        </w:rPr>
        <w:t>Further Assurances</w:t>
      </w:r>
      <w:r>
        <w:rPr>
          <w:rFonts w:ascii="Times New Roman;Times;Serif" w:hAnsi="Times New Roman;Times;Serif"/>
          <w:b w:val="false"/>
          <w:i w:val="false"/>
          <w:caps w:val="false"/>
          <w:smallCaps w:val="false"/>
          <w:sz w:val="20"/>
        </w:rPr>
        <w:t xml:space="preserve">. During the Interim Period, each Party shall use its commercially reasonable efforts to execute and deliver, or cause to be executed and delivered, all such documents and instruments and shall take, or cause to be taken, all such further or other actions as may be necessary to consummate the transactions contemplated by this Agreement, including such actions at its expense as are necessary in connection with obtaining or providing any third-party consents or notices and all Governmental Approvals required to be obtained by Seller. During the Interim Period, each Party shall cooperate with the other Party and provide any information regarding such Party necessary to assist the other Party in making any filings or applications or providing notices required to be made with any Governmental Authority. Notwithstanding anything to the contrary contained in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if the Parties are in an adversarial relationship in litigation or arbitration, the furnishing of any documents or information in accordance herewith shall be solely subject to applicable rules relating to discovery and the remainder of this </w:t>
      </w:r>
      <w:r>
        <w:rPr>
          <w:rFonts w:ascii="Times New Roman;Times;Serif" w:hAnsi="Times New Roman;Times;Serif"/>
          <w:b w:val="false"/>
          <w:i/>
          <w:caps w:val="false"/>
          <w:smallCaps w:val="false"/>
          <w:sz w:val="20"/>
        </w:rPr>
        <w:t>Section 5.06</w:t>
      </w:r>
      <w:r>
        <w:rPr>
          <w:rFonts w:ascii="Times New Roman;Times;Serif" w:hAnsi="Times New Roman;Times;Serif"/>
          <w:b w:val="false"/>
          <w:i w:val="false"/>
          <w:caps w:val="false"/>
          <w:smallCaps w:val="false"/>
          <w:sz w:val="20"/>
        </w:rPr>
        <w:t xml:space="preserve"> shall not apply.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5.07.       </w:t>
      </w:r>
      <w:r>
        <w:rPr>
          <w:rFonts w:ascii="Times New Roman;Times;Serif" w:hAnsi="Times New Roman;Times;Serif"/>
          <w:b/>
          <w:i/>
          <w:caps w:val="false"/>
          <w:smallCaps w:val="false"/>
          <w:sz w:val="20"/>
        </w:rPr>
        <w:t>Purchaser’s Substitute Support Obligations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Purchaser acknowledges that Seller and certain Affiliates have provided certain credit support pursuant to the support obligations and related agreements described on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(the “</w:t>
      </w:r>
      <w:r>
        <w:rPr>
          <w:rFonts w:ascii="Times New Roman;Times;Serif" w:hAnsi="Times New Roman;Times;Serif"/>
          <w:b w:val="false"/>
          <w:i/>
          <w:caps w:val="false"/>
          <w:smallCaps w:val="false"/>
          <w:sz w:val="20"/>
        </w:rPr>
        <w:t>Support Obligations</w:t>
      </w:r>
      <w:r>
        <w:rPr>
          <w:rFonts w:ascii="Times New Roman;Times;Serif" w:hAnsi="Times New Roman;Times;Serif"/>
          <w:b w:val="false"/>
          <w:i w:val="false"/>
          <w:caps w:val="false"/>
          <w:smallCaps w:val="false"/>
          <w:sz w:val="20"/>
        </w:rPr>
        <w:t xml:space="preserve">”). From the Execution Date and continuing until the earlier of the termination of this Agreement or the replacement or release of each Support Obligation set forth on Part 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Purchaser shall use commercially reasonable efforts to negotiate a replacement of each such Support Obligation (each, a “</w:t>
      </w:r>
      <w:r>
        <w:rPr>
          <w:rFonts w:ascii="Times New Roman;Times;Serif" w:hAnsi="Times New Roman;Times;Serif"/>
          <w:b w:val="false"/>
          <w:i/>
          <w:caps w:val="false"/>
          <w:smallCaps w:val="false"/>
          <w:sz w:val="20"/>
        </w:rPr>
        <w:t>Substitute Support Obligation</w:t>
      </w:r>
      <w:r>
        <w:rPr>
          <w:rFonts w:ascii="Times New Roman;Times;Serif" w:hAnsi="Times New Roman;Times;Serif"/>
          <w:b w:val="false"/>
          <w:i w:val="false"/>
          <w:caps w:val="false"/>
          <w:smallCaps w:val="false"/>
          <w:sz w:val="20"/>
        </w:rPr>
        <w:t>”) with the beneficiary thereof or to effect the complete and unconditional release of each such Support Obligation in a manner reasonably satisfactory to Purchaser, Seller and the beneficiary thereof, including by means of a letter of credit, escrow, posting a bond or cash deposit or other arrangements. The effective date of the Substitute Support Obligations shall be no earlier than the Closing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Execution Date and continuing until the earlier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termination of this Agreement;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effective date of the applicable Substitute Support Obligation, if any;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date such Support Obligation is no longer required to be maintained under the applicable Company Contract, Seller shall, and shall cause its Affiliates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maintain each Support Obligation in full force and effect in accordance with the requirements under the applicable Company Contract;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perform all of its obligations under each Support Obligation;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not amend, modify, grant a waiver in respect of, cancel or consent to the termination of any Support Obligation;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solely to the extent that a Support Obligation cannot be released, terminated or replaced by Purchaser at or prior to the Closing or is set forth on Part II of </w:t>
      </w:r>
      <w:r>
        <w:rPr>
          <w:rFonts w:ascii="Times New Roman;Times;Serif" w:hAnsi="Times New Roman;Times;Serif"/>
          <w:b w:val="false"/>
          <w:i/>
          <w:caps w:val="false"/>
          <w:smallCaps w:val="false"/>
          <w:sz w:val="20"/>
        </w:rPr>
        <w:t>Schedule 3.01(y)</w:t>
      </w:r>
      <w:r>
        <w:rPr>
          <w:rFonts w:ascii="Times New Roman;Times;Serif" w:hAnsi="Times New Roman;Times;Serif"/>
          <w:b w:val="false"/>
          <w:i w:val="false"/>
          <w:caps w:val="false"/>
          <w:smallCaps w:val="false"/>
          <w:sz w:val="20"/>
        </w:rPr>
        <w:t> of the Disclosure Schedules (each, a “</w:t>
      </w:r>
      <w:r>
        <w:rPr>
          <w:rFonts w:ascii="Times New Roman;Times;Serif" w:hAnsi="Times New Roman;Times;Serif"/>
          <w:b w:val="false"/>
          <w:i/>
          <w:caps w:val="false"/>
          <w:smallCaps w:val="false"/>
          <w:sz w:val="20"/>
        </w:rPr>
        <w:t>Retained Support Obligation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caps w:val="false"/>
          <w:smallCaps w:val="false"/>
          <w:sz w:val="20"/>
        </w:rPr>
        <w:t>Section 5.07(c)</w:t>
      </w:r>
      <w:r>
        <w:rPr>
          <w:rFonts w:ascii="Times New Roman;Times;Serif" w:hAnsi="Times New Roman;Times;Serif"/>
          <w:b w:val="false"/>
          <w:i w:val="false"/>
          <w:caps w:val="false"/>
          <w:smallCaps w:val="false"/>
          <w:sz w:val="20"/>
        </w:rPr>
        <w:t> below, Seller shall, and shall cause its Affiliates to, perform its obligations with respect to each such Support Obligation.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there is a Retained Support Obligation, Purchaser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indemnify and hold harmless Seller and its Affiliates (as applicable) from and against any and all Losses that may be suffered, incurred or sustained by any of them or to which any of them become subject, resulting from a claim on any such Retained Support Obligation after the Closing Date and arising out of or relating to the business, operations, properties, assets or obligations of any Acquired Company conducted, existing or arising after the Closing (including as a result of any draw or demand for or making of any payment by Seller or any such Affiliate of Seller under any Retained Support Obligation);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diligently continue to seek the release, termination and replacement of such Retained Support Obligation as required pursuant to </w:t>
      </w:r>
      <w:r>
        <w:rPr>
          <w:rFonts w:ascii="Times New Roman;Times;Serif" w:hAnsi="Times New Roman;Times;Serif"/>
          <w:b w:val="false"/>
          <w:i/>
          <w:caps w:val="false"/>
          <w:smallCaps w:val="false"/>
          <w:sz w:val="20"/>
        </w:rPr>
        <w:t>Section 5.07(a)</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reimburse Seller or its Affiliates (as applicable) for the actual out-of-pocket costs of, and fees paid by, Seller or its Affiliates in maintaining such Retained Support Obligation accruing at any time after the Closing and until such time as such Retained Support Obligation is replaced;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Purchaser’s indemnification obligations under clause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shall not affect Seller’s indemnification obligations under </w:t>
      </w:r>
      <w:r>
        <w:rPr>
          <w:rFonts w:ascii="Times New Roman;Times;Serif" w:hAnsi="Times New Roman;Times;Serif"/>
          <w:b w:val="false"/>
          <w:i/>
          <w:caps w:val="false"/>
          <w:smallCaps w:val="false"/>
          <w:sz w:val="20"/>
        </w:rPr>
        <w:t>Section 5.07(d)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Following the replacement of a Support Obligation by Purchaser for the Project pursuant to a Substitute Support Obligation, Seller shall indemnify and hold harmless Purchaser and its Affiliates (as applicable) from and against any and all Losses that may be suffered, incurred or sustained by any of them or to which any of them become subject, resulting from a claim on any such Substitute Support Obligation and arising out of or relating to the business, operations, properties, assets or obligations of any Acquired Company conducted, existing or arising at or prior to the Closing (including as a result of any draw or demand for or making of any payment by Purchaser or any such Affiliate of Purchaser under any Substitute Support Obligation).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5.08.       </w:t>
      </w:r>
      <w:r>
        <w:rPr>
          <w:rFonts w:ascii="Times New Roman;Times;Serif" w:hAnsi="Times New Roman;Times;Serif"/>
          <w:b/>
          <w:i/>
          <w:caps w:val="false"/>
          <w:smallCaps w:val="false"/>
          <w:sz w:val="20"/>
        </w:rPr>
        <w:t>Tax Matters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Transfer Taxes, if any, arising out of or in connection with the consummation of the transactions contemplated by this Agreement shall be shared equally by Purchaser and Seller. The Party required by Law to file a Transfer Taxes Tax Return in connection with any transaction or action contemplated by this Agreement will do so within the time period required by Law and inform the other Party of its share and provide a copy of the return, but will first use commercially reasonable efforts to provide such Tax Returns to the other Party at least ten (10) Business Days prior to the date such Tax Returns are due to be filed and the Parties will work in good faith to resolve any disagreement with respect to such Tax Returns.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real property Taxes, personal property Taxes and similar obligations of any Acquired Company imposed by any Governmental Authority that are due or become due for Tax periods within which the Closing Date occurs shall be apportioned between Seller for the pre-Closing Date period (which shall include the Closing Date), on the one hand, and the applicable Acquired Company for the post-Closing Date period, on the other hand, as of the Closing Date, based upon the actual number of days of the Tax period that have elapsed before and after the Closing Date, and any income Taxes imposed on any Acquired Company shall be allocated between the pre-Closing Date period and the post-Closing Date period as though a taxable year of the applicable Acquired Company has ended on (and includes) the Closing Date (collectively, the “</w:t>
      </w:r>
      <w:r>
        <w:rPr>
          <w:rFonts w:ascii="Times New Roman;Times;Serif" w:hAnsi="Times New Roman;Times;Serif"/>
          <w:b w:val="false"/>
          <w:i/>
          <w:caps w:val="false"/>
          <w:smallCaps w:val="false"/>
          <w:sz w:val="20"/>
        </w:rPr>
        <w:t>Apportioned Obligations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Seller shall be responsible for the portion of any Apportioned Obligations attributable to the period ending on (and including) the Closing Date. The Target Company (or the applicable Acquired Companies) shall be responsible for the portion of such Apportioned Obligations attributable to the period beginning after the Closing Date. Each Party shall cooperate in assuring that Apportioned Obligations that are the responsibility of Seller pursuant to the preceding sentences are paid by Seller, and that Apportioned Obligations that are the responsibility of the any Acquired Company pursuant to the preceding sentence shall be paid by such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If any refund, rebate or similar payment is received by any Acquired Company for any real property Taxes, personal property Taxes or similar obligations referred to above that are Apportioned Obligations, such refund shall be apportioned between Seller and the applicable Acquired Company as aforesaid on the basis of the obligations of the Acquired Companies during the applicable Tax period. Any refund, rebate or similar payment received by any Acquired Company for any income Tax or Transfer Tax (other than Transfer Taxes governed under </w:t>
      </w:r>
      <w:r>
        <w:rPr>
          <w:rFonts w:ascii="Times New Roman;Times;Serif" w:hAnsi="Times New Roman;Times;Serif"/>
          <w:b w:val="false"/>
          <w:i/>
          <w:caps w:val="false"/>
          <w:smallCaps w:val="false"/>
          <w:sz w:val="20"/>
        </w:rPr>
        <w:t>Section 5.08(a)</w:t>
      </w:r>
      <w:r>
        <w:rPr>
          <w:rFonts w:ascii="Times New Roman;Times;Serif" w:hAnsi="Times New Roman;Times;Serif"/>
          <w:b w:val="false"/>
          <w:i w:val="false"/>
          <w:caps w:val="false"/>
          <w:smallCaps w:val="false"/>
          <w:sz w:val="20"/>
        </w:rPr>
        <w:t>) attributable to the pre-Closing Date period, as determined above, shall be for the benefit of Seller; and any such refund, rebate or similar payment attributable to the post-Closing Date period, as determined above, shall be for the benefit of the applicable Acquired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any Taxes with respect to which the taxable period (or portion thereof) of the applicable Acquired Company ends on or before the Closing Date, Seller shall, at its sole cost and expense, timely prepare and file with the appropriate authorities all Tax Returns required to be filed by the applicable Acquired Company, and pay or cause to be paid all Taxes shown to be due thereon. After the Closing Date, each Acquired Company shall, at its sole cost and expense, timely prepare and file, or cause to be timely prepared and filed, with the appropriate authorities all other Tax Returns required to be filed by such Acquired Company, and pay all Taxes shown to be due thereon.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Seller shall have the right to represent any Acquired Company with respect to any Tax claims or audits for Tax periods ending on or before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 respect to any such Tax claims or audits, (A) Seller shall keep Purchaser reasonably and timely informed with respect to the commencement, status and nature of any such Tax claim or audit, (B) Purchaser shall have the right to participate in (but not to settle) any such Tax claim or audit at its expense, (C) Seller shall not settle any such Tax claims or audits without the consent of Purchaser, which consent shall not be unreasonably withheld, conditioned or delayed and (D) Purchaser shall promptly, and shall to the extent they have the power to do so cause such Acquired Company to promptly, file any powers of attorney or other documents required or reasonably requested by Seller to allow Seller to represent such Acquired Company in such Tax claims or audits.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Seller and Purchaser shall reasonably cooperate, and shall cause their respective Affiliates, employees and agents reasonably to cooperate, in preparing and filing all Tax Returns of each Acquired Company, including maintaining and making available to each other all records that are necessary for the preparation of any Tax Returns that the Party is required to file under this </w:t>
      </w:r>
      <w:r>
        <w:rPr>
          <w:rFonts w:ascii="Times New Roman;Times;Serif" w:hAnsi="Times New Roman;Times;Serif"/>
          <w:b w:val="false"/>
          <w:i/>
          <w:caps w:val="false"/>
          <w:smallCaps w:val="false"/>
          <w:sz w:val="20"/>
        </w:rPr>
        <w:t>Section 5.08</w:t>
      </w:r>
      <w:r>
        <w:rPr>
          <w:rFonts w:ascii="Times New Roman;Times;Serif" w:hAnsi="Times New Roman;Times;Serif"/>
          <w:b w:val="false"/>
          <w:i w:val="false"/>
          <w:caps w:val="false"/>
          <w:smallCaps w:val="false"/>
          <w:sz w:val="20"/>
        </w:rPr>
        <w:t>, and in resolving all Actions or Proceedings, and audits or examinations with respect to such Tax Returns.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5.09.       </w:t>
      </w:r>
      <w:r>
        <w:rPr>
          <w:rFonts w:ascii="Times New Roman;Times;Serif" w:hAnsi="Times New Roman;Times;Serif"/>
          <w:b/>
          <w:i/>
          <w:caps w:val="false"/>
          <w:smallCaps w:val="false"/>
          <w:sz w:val="20"/>
        </w:rPr>
        <w:t>No Solicitation</w:t>
      </w:r>
      <w:r>
        <w:rPr>
          <w:rFonts w:ascii="Times New Roman;Times;Serif" w:hAnsi="Times New Roman;Times;Serif"/>
          <w:b w:val="false"/>
          <w:i w:val="false"/>
          <w:caps w:val="false"/>
          <w:smallCaps w:val="false"/>
          <w:sz w:val="20"/>
        </w:rPr>
        <w:t>. Until the Closing or, if earlier, termination of this Agreement, Seller shall not, and shall not authorize or permit the Acquired Companies, any of their Affiliates or any of their Representatives to, directly or indirectly: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encourage, solicit, initiate, facilitate or continue inquiries regarding an Acquisition Proposal;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enter into discussions or negotiations with, or provide any information to, any Person concerning a possible Acquisition Proposal;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enter into any agreements or other instruments (whether or not binding) regarding an Acquisition Proposal. Seller shall immediately cease and cause to be terminated, and shall cause the Acquired Companies, any of their Affiliates and all of their Representatives to immediately cease and cause to be terminated, all existing discussions or negotiations with any Persons conducted heretofore with respect to, or that could lead to, an Acquisition Proposal. For purposes hereof, “</w:t>
      </w:r>
      <w:r>
        <w:rPr>
          <w:rFonts w:ascii="Times New Roman;Times;Serif" w:hAnsi="Times New Roman;Times;Serif"/>
          <w:b w:val="false"/>
          <w:i/>
          <w:caps w:val="false"/>
          <w:smallCaps w:val="false"/>
          <w:sz w:val="20"/>
        </w:rPr>
        <w:t>Acquisition Proposal</w:t>
      </w:r>
      <w:r>
        <w:rPr>
          <w:rFonts w:ascii="Times New Roman;Times;Serif" w:hAnsi="Times New Roman;Times;Serif"/>
          <w:b w:val="false"/>
          <w:i w:val="false"/>
          <w:caps w:val="false"/>
          <w:smallCaps w:val="false"/>
          <w:sz w:val="20"/>
        </w:rPr>
        <w:t>” shall mean (other than with respect to the transactions contemplated by the Financing Documents) any inquiry, proposal or offer from any Person concerning: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 merger, consolidation, liquidation, recapitalization, share exchange or other business combination transaction involving the Acquired Companies;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issuance or acquisition of equity securities of the Acquired Companies;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sale, lease, exchange or other disposition of any significant portion of the Acquired Companies’ properties or assets.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5.10.       </w:t>
      </w:r>
      <w:r>
        <w:rPr>
          <w:rFonts w:ascii="Times New Roman;Times;Serif" w:hAnsi="Times New Roman;Times;Serif"/>
          <w:b/>
          <w:i/>
          <w:caps w:val="false"/>
          <w:smallCaps w:val="false"/>
          <w:sz w:val="20"/>
        </w:rPr>
        <w:t>Purchaser Parent Guaranty</w:t>
      </w:r>
      <w:r>
        <w:rPr>
          <w:rFonts w:ascii="Times New Roman;Times;Serif" w:hAnsi="Times New Roman;Times;Serif"/>
          <w:b w:val="false"/>
          <w:i w:val="false"/>
          <w:caps w:val="false"/>
          <w:smallCaps w:val="false"/>
          <w:sz w:val="20"/>
        </w:rPr>
        <w:t>. Purchaser shall, concurrently with the execution and delivery of this Agreement, cause to be executed and delivered to Seller the Purchaser Parent Guaranty.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5.11.       </w:t>
      </w:r>
      <w:r>
        <w:rPr>
          <w:rFonts w:ascii="Times New Roman;Times;Serif" w:hAnsi="Times New Roman;Times;Serif"/>
          <w:b/>
          <w:i/>
          <w:caps w:val="false"/>
          <w:smallCaps w:val="false"/>
          <w:sz w:val="20"/>
        </w:rPr>
        <w:t>Seller Parent Guaranty</w:t>
      </w:r>
      <w:r>
        <w:rPr>
          <w:rFonts w:ascii="Times New Roman;Times;Serif" w:hAnsi="Times New Roman;Times;Serif"/>
          <w:b w:val="false"/>
          <w:i w:val="false"/>
          <w:caps w:val="false"/>
          <w:smallCaps w:val="false"/>
          <w:sz w:val="20"/>
        </w:rPr>
        <w:t>. Seller shall, concurrently with the execution and delivery of this Agreement, cause to be executed and delivered to Purchaser the Seller Parent Guaranty.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5.12.       </w:t>
      </w:r>
      <w:r>
        <w:rPr>
          <w:rFonts w:ascii="Times New Roman;Times;Serif" w:hAnsi="Times New Roman;Times;Serif"/>
          <w:b/>
          <w:i/>
          <w:caps w:val="false"/>
          <w:smallCaps w:val="false"/>
          <w:sz w:val="20"/>
        </w:rPr>
        <w:t>Post-Execution Date Documents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soon as practicable following the Execution Date, Seller shall enter into (or shall cause the Target Company or the applicable Acquired Company to enter into) the Tax Equity ECCA, and the other Tax Equity Documents to be entered into upon the execution of the Tax Equity ECCA (the execution of the foregoing, the “</w:t>
      </w:r>
      <w:r>
        <w:rPr>
          <w:rFonts w:ascii="Times New Roman;Times;Serif" w:hAnsi="Times New Roman;Times;Serif"/>
          <w:b w:val="false"/>
          <w:i/>
          <w:caps w:val="false"/>
          <w:smallCaps w:val="false"/>
          <w:sz w:val="20"/>
        </w:rPr>
        <w:t>Tax Equity Signing</w:t>
      </w:r>
      <w:r>
        <w:rPr>
          <w:rFonts w:ascii="Times New Roman;Times;Serif" w:hAnsi="Times New Roman;Times;Serif"/>
          <w:b w:val="false"/>
          <w:i w:val="false"/>
          <w:caps w:val="false"/>
          <w:smallCaps w:val="false"/>
          <w:sz w:val="20"/>
        </w:rPr>
        <w:t>”). The form of the Tax Equity ECCA, along with each schedule, exhibit or annex thereto (including the form of each other Tax Equity Agreement) and the initial form of the Tax Equity Model, in each case, shall be subject to the prior written consent of Purchaser (which consent shall not be unreasonably withheld or delayed, except that such consent may be withheld in Purchaser’s sole discretion with respect to the Purchaser Tax Equity Guaranty and the initial Tax Equity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Following the Tax Equity Signing, Seller shall promptly provide to Purchaser true, complete and correct copies of each such Contract or document, including any schedule, exhibit or annex thereto, and, with respect to the Tax Equity ECCA, the following documents delivered pursuant to Section 4.01 of the Tax Equity ECCA: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Tax Equity Model,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Reports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the Title Proforma.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Indemnification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6.01.       </w:t>
      </w:r>
      <w:r>
        <w:rPr>
          <w:rFonts w:ascii="Times New Roman;Times;Serif" w:hAnsi="Times New Roman;Times;Serif"/>
          <w:b/>
          <w:i/>
          <w:caps w:val="false"/>
          <w:smallCaps w:val="false"/>
          <w:sz w:val="20"/>
        </w:rPr>
        <w:t>Indemnification by Seller</w:t>
      </w:r>
      <w:r>
        <w:rPr>
          <w:rFonts w:ascii="Times New Roman;Times;Serif" w:hAnsi="Times New Roman;Times;Serif"/>
          <w:b w:val="false"/>
          <w:i w:val="false"/>
          <w:caps w:val="false"/>
          <w:smallCaps w:val="false"/>
          <w:sz w:val="20"/>
        </w:rPr>
        <w:t xml:space="preserve">.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 any breach of any representation, warranty, covenant, agreement or obligation made by Seller in this Agreement or any certificate delivered by Seller pursuant to this Agreement (with any breach and the calculation of any Losses therefrom determined without regard to any Material Adverse Effect or other materiality qualifier), (b)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or (c) except to the extent included in the calculation of the Purchase Price, any Transaction Expense of any Acquired Company as of the Closing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foregoing indemnity shall not apply to Losses to the extent caused by the gross negligence or willful misconduct of Purchaser Indemnified Parties or their agents, officers, employees or contractors. If a Purchaser Indemnified Party has recovered any Losses pursuant to one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such Purchaser Indemnified Party shall not be entitled to recover the same Losses under another subsection of this </w:t>
      </w:r>
      <w:r>
        <w:rPr>
          <w:rFonts w:ascii="Times New Roman;Times;Serif" w:hAnsi="Times New Roman;Times;Serif"/>
          <w:b w:val="false"/>
          <w:i/>
          <w:caps w:val="false"/>
          <w:smallCaps w:val="false"/>
          <w:sz w:val="20"/>
        </w:rPr>
        <w:t>Section 6.01</w:t>
      </w:r>
      <w:r>
        <w:rPr>
          <w:rFonts w:ascii="Times New Roman;Times;Serif" w:hAnsi="Times New Roman;Times;Serif"/>
          <w:b w:val="false"/>
          <w:i w:val="false"/>
          <w:caps w:val="false"/>
          <w:smallCaps w:val="false"/>
          <w:sz w:val="20"/>
        </w:rPr>
        <w:t xml:space="preserve"> or any other contract or agreement related to the Project between Purchaser or any of its Affiliates, on the one hand, and Seller or any of its Affiliates, on the other hand.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6.02.       </w:t>
      </w:r>
      <w:r>
        <w:rPr>
          <w:rFonts w:ascii="Times New Roman;Times;Serif" w:hAnsi="Times New Roman;Times;Serif"/>
          <w:b/>
          <w:i/>
          <w:caps w:val="false"/>
          <w:smallCaps w:val="false"/>
          <w:sz w:val="20"/>
        </w:rPr>
        <w:t>Indemnification by Purchaser</w:t>
      </w:r>
      <w:r>
        <w:rPr>
          <w:rFonts w:ascii="Times New Roman;Times;Serif" w:hAnsi="Times New Roman;Times;Serif"/>
          <w:b w:val="false"/>
          <w:i w:val="false"/>
          <w:caps w:val="false"/>
          <w:smallCaps w:val="false"/>
          <w:sz w:val="20"/>
        </w:rPr>
        <w:t xml:space="preserve">.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indemnity shall not apply to Losses to the extent caused by the gross negligence or willful misconduct of Seller Indemnified Parties or their agents, officers, employees or contractors. If a Seller Indemnified Party has recovered any Losses pursuant to one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such Seller Indemnified Party shall not be entitled to recover the same Losses under another subsection of this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or any other contract or agreement related to the Project between Seller or any of its Affiliates, on the one hand, and Purchaser or any of its Affiliates, on the other hand.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6.03.       </w:t>
      </w:r>
      <w:r>
        <w:rPr>
          <w:rFonts w:ascii="Times New Roman;Times;Serif" w:hAnsi="Times New Roman;Times;Serif"/>
          <w:b/>
          <w:i/>
          <w:caps w:val="false"/>
          <w:smallCaps w:val="false"/>
          <w:sz w:val="20"/>
        </w:rPr>
        <w:t>Survival of Representations, Warranties, Covenants and Agreements</w:t>
      </w:r>
      <w:r>
        <w:rPr>
          <w:rFonts w:ascii="Times New Roman;Times;Serif" w:hAnsi="Times New Roman;Times;Serif"/>
          <w:b w:val="false"/>
          <w:i w:val="false"/>
          <w:caps w:val="false"/>
          <w:smallCaps w:val="false"/>
          <w:sz w:val="20"/>
        </w:rPr>
        <w:t xml:space="preserve">. The representations, warranties, covenants, agreements and obligations of Seller and Purchaser contained in this Agreement are material, were relied on by such Parties, and will survive the Closing Date as provided in this </w:t>
      </w:r>
      <w:r>
        <w:rPr>
          <w:rFonts w:ascii="Times New Roman;Times;Serif" w:hAnsi="Times New Roman;Times;Serif"/>
          <w:b w:val="false"/>
          <w:i/>
          <w:caps w:val="false"/>
          <w:smallCaps w:val="false"/>
          <w:sz w:val="20"/>
        </w:rPr>
        <w:t>Section 6.03</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for twelve (12) months after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the representations and warranties contained in </w:t>
      </w:r>
      <w:r>
        <w:rPr>
          <w:rFonts w:ascii="Times New Roman;Times;Serif" w:hAnsi="Times New Roman;Times;Serif"/>
          <w:b w:val="false"/>
          <w:i/>
          <w:caps w:val="false"/>
          <w:smallCaps w:val="false"/>
          <w:sz w:val="20"/>
        </w:rPr>
        <w:t>Section 3.01(a)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3.01(b) </w:t>
      </w:r>
      <w:r>
        <w:rPr>
          <w:rFonts w:ascii="Times New Roman;Times;Serif" w:hAnsi="Times New Roman;Times;Serif"/>
          <w:b w:val="false"/>
          <w:i w:val="false"/>
          <w:caps w:val="false"/>
          <w:smallCaps w:val="false"/>
          <w:sz w:val="20"/>
        </w:rPr>
        <w:t xml:space="preserve">(Authority), </w:t>
      </w:r>
      <w:r>
        <w:rPr>
          <w:rFonts w:ascii="Times New Roman;Times;Serif" w:hAnsi="Times New Roman;Times;Serif"/>
          <w:b w:val="false"/>
          <w:i/>
          <w:caps w:val="false"/>
          <w:smallCaps w:val="false"/>
          <w:sz w:val="20"/>
        </w:rPr>
        <w:t>Section 3.01(g)</w:t>
      </w:r>
      <w:r>
        <w:rPr>
          <w:rFonts w:ascii="Times New Roman;Times;Serif" w:hAnsi="Times New Roman;Times;Serif"/>
          <w:b w:val="false"/>
          <w:i w:val="false"/>
          <w:caps w:val="false"/>
          <w:smallCaps w:val="false"/>
          <w:sz w:val="20"/>
        </w:rPr>
        <w:t xml:space="preserve"> (Brokers), </w:t>
      </w:r>
      <w:r>
        <w:rPr>
          <w:rFonts w:ascii="Times New Roman;Times;Serif" w:hAnsi="Times New Roman;Times;Serif"/>
          <w:b w:val="false"/>
          <w:i/>
          <w:caps w:val="false"/>
          <w:smallCaps w:val="false"/>
          <w:sz w:val="20"/>
        </w:rPr>
        <w:t>Section 3.01(i)(i)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Section 3.01(i)(v)</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Section 3.01(i)(ix)</w:t>
      </w:r>
      <w:r>
        <w:rPr>
          <w:rFonts w:ascii="Times New Roman;Times;Serif" w:hAnsi="Times New Roman;Times;Serif"/>
          <w:b w:val="false"/>
          <w:i w:val="false"/>
          <w:caps w:val="false"/>
          <w:smallCaps w:val="false"/>
          <w:sz w:val="20"/>
        </w:rPr>
        <w:t xml:space="preserve"> (Company and the Acquired Companies), </w:t>
      </w:r>
      <w:r>
        <w:rPr>
          <w:rFonts w:ascii="Times New Roman;Times;Serif" w:hAnsi="Times New Roman;Times;Serif"/>
          <w:b w:val="false"/>
          <w:i/>
          <w:caps w:val="false"/>
          <w:smallCaps w:val="false"/>
          <w:sz w:val="20"/>
        </w:rPr>
        <w:t>Section 3.02(a)</w:t>
      </w:r>
      <w:r>
        <w:rPr>
          <w:rFonts w:ascii="Times New Roman;Times;Serif" w:hAnsi="Times New Roman;Times;Serif"/>
          <w:b w:val="false"/>
          <w:i w:val="false"/>
          <w:caps w:val="false"/>
          <w:smallCaps w:val="false"/>
          <w:sz w:val="20"/>
        </w:rPr>
        <w:t xml:space="preserve"> (Existence), </w:t>
      </w:r>
      <w:r>
        <w:rPr>
          <w:rFonts w:ascii="Times New Roman;Times;Serif" w:hAnsi="Times New Roman;Times;Serif"/>
          <w:b w:val="false"/>
          <w:i/>
          <w:caps w:val="false"/>
          <w:smallCaps w:val="false"/>
          <w:sz w:val="20"/>
        </w:rPr>
        <w:t>Section 3.02(b)</w:t>
      </w:r>
      <w:r>
        <w:rPr>
          <w:rFonts w:ascii="Times New Roman;Times;Serif" w:hAnsi="Times New Roman;Times;Serif"/>
          <w:b w:val="false"/>
          <w:i w:val="false"/>
          <w:caps w:val="false"/>
          <w:smallCaps w:val="false"/>
          <w:sz w:val="20"/>
        </w:rPr>
        <w:t xml:space="preserve"> (Authority) and </w:t>
      </w:r>
      <w:r>
        <w:rPr>
          <w:rFonts w:ascii="Times New Roman;Times;Serif" w:hAnsi="Times New Roman;Times;Serif"/>
          <w:b w:val="false"/>
          <w:i/>
          <w:caps w:val="false"/>
          <w:smallCaps w:val="false"/>
          <w:sz w:val="20"/>
        </w:rPr>
        <w:t>Section 3.02(h)</w:t>
      </w:r>
      <w:r>
        <w:rPr>
          <w:rFonts w:ascii="Times New Roman;Times;Serif" w:hAnsi="Times New Roman;Times;Serif"/>
          <w:b w:val="false"/>
          <w:i w:val="false"/>
          <w:caps w:val="false"/>
          <w:smallCaps w:val="false"/>
          <w:sz w:val="20"/>
        </w:rPr>
        <w:t> (Brokers) (collectively, the “</w:t>
      </w:r>
      <w:r>
        <w:rPr>
          <w:rFonts w:ascii="Times New Roman;Times;Serif" w:hAnsi="Times New Roman;Times;Serif"/>
          <w:b w:val="false"/>
          <w:i/>
          <w:caps w:val="false"/>
          <w:smallCaps w:val="false"/>
          <w:sz w:val="20"/>
        </w:rPr>
        <w:t>Fundamental Representations</w:t>
      </w:r>
      <w:r>
        <w:rPr>
          <w:rFonts w:ascii="Times New Roman;Times;Serif" w:hAnsi="Times New Roman;Times;Serif"/>
          <w:b w:val="false"/>
          <w:i w:val="false"/>
          <w:caps w:val="false"/>
          <w:smallCaps w:val="false"/>
          <w:sz w:val="20"/>
        </w:rPr>
        <w:t>”) shall survive the Closing for five (5) years after the Closing Date;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representations and warranties in </w:t>
      </w:r>
      <w:r>
        <w:rPr>
          <w:rFonts w:ascii="Times New Roman;Times;Serif" w:hAnsi="Times New Roman;Times;Serif"/>
          <w:b w:val="false"/>
          <w:i/>
          <w:caps w:val="false"/>
          <w:smallCaps w:val="false"/>
          <w:sz w:val="20"/>
        </w:rPr>
        <w:t>Section 3.01(k)</w:t>
      </w:r>
      <w:r>
        <w:rPr>
          <w:rFonts w:ascii="Times New Roman;Times;Serif" w:hAnsi="Times New Roman;Times;Serif"/>
          <w:b w:val="false"/>
          <w:i w:val="false"/>
          <w:caps w:val="false"/>
          <w:smallCaps w:val="false"/>
          <w:sz w:val="20"/>
        </w:rPr>
        <w:t xml:space="preserve"> (Taxes) shall survive the Closing until thirty (30) days after the expiration of the applicable Tax statute of limitations. The indemnity obligations of Seller pursuant to </w:t>
      </w:r>
      <w:r>
        <w:rPr>
          <w:rFonts w:ascii="Times New Roman;Times;Serif" w:hAnsi="Times New Roman;Times;Serif"/>
          <w:b w:val="false"/>
          <w:i/>
          <w:caps w:val="false"/>
          <w:smallCaps w:val="false"/>
          <w:sz w:val="20"/>
        </w:rPr>
        <w:t>Section 6.01(b)</w:t>
      </w:r>
      <w:r>
        <w:rPr>
          <w:rFonts w:ascii="Times New Roman;Times;Serif" w:hAnsi="Times New Roman;Times;Serif"/>
          <w:b w:val="false"/>
          <w:i w:val="false"/>
          <w:caps w:val="false"/>
          <w:smallCaps w:val="false"/>
          <w:sz w:val="20"/>
        </w:rPr>
        <w:t xml:space="preserve"> shall survive until (A) as to item 1 in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any right of a counterparty of the Project Company to receive Delay Damages has expired or been terminated and (B) as to item 2 in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xml:space="preserve"> until the Tax Equity Guaranty has expired or been terminated and any claims thereunder are fully and finally resolved and no longer subject to appeal or rehearing. The other covenants, agreements and obligations in this Agreement to be performed shall survive until the date on which they have been fully performed. No claim under this Agreement may be made unless such Party shall have delivered, with respect to any claim under </w:t>
      </w:r>
      <w:r>
        <w:rPr>
          <w:rFonts w:ascii="Times New Roman;Times;Serif" w:hAnsi="Times New Roman;Times;Serif"/>
          <w:b w:val="false"/>
          <w:i/>
          <w:caps w:val="false"/>
          <w:smallCaps w:val="false"/>
          <w:sz w:val="20"/>
        </w:rPr>
        <w:t xml:space="preserve">Section 6.01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caps w:val="false"/>
          <w:smallCaps w:val="false"/>
          <w:sz w:val="20"/>
        </w:rPr>
        <w:t>Section 6.02</w:t>
      </w:r>
      <w:r>
        <w:rPr>
          <w:rFonts w:ascii="Times New Roman;Times;Serif" w:hAnsi="Times New Roman;Times;Serif"/>
          <w:b w:val="false"/>
          <w:i w:val="false"/>
          <w:caps w:val="false"/>
          <w:smallCaps w:val="false"/>
          <w:sz w:val="20"/>
        </w:rPr>
        <w:t xml:space="preserve">, a written notice of claim prior to the applicable survival expiration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written notice for a claim of indemnification has been provided by the Indemnified Party pursuant to </w:t>
      </w:r>
      <w:r>
        <w:rPr>
          <w:rFonts w:ascii="Times New Roman;Times;Serif" w:hAnsi="Times New Roman;Times;Serif"/>
          <w:b w:val="false"/>
          <w:i/>
          <w:caps w:val="false"/>
          <w:smallCaps w:val="false"/>
          <w:sz w:val="20"/>
        </w:rPr>
        <w:t>Section 6.04(a)</w:t>
      </w:r>
      <w:r>
        <w:rPr>
          <w:rFonts w:ascii="Times New Roman;Times;Serif" w:hAnsi="Times New Roman;Times;Serif"/>
          <w:b w:val="false"/>
          <w:i w:val="false"/>
          <w:caps w:val="false"/>
          <w:smallCaps w:val="false"/>
          <w:sz w:val="20"/>
        </w:rPr>
        <w:t xml:space="preserve"> on or prior to the applicable survival expiration date, then the obligation of the Indemnifying Party to indemnify the Indemnified Party pursuant to this </w:t>
      </w:r>
      <w:r>
        <w:rPr>
          <w:rFonts w:ascii="Times New Roman;Times;Serif" w:hAnsi="Times New Roman;Times;Serif"/>
          <w:b w:val="false"/>
          <w:i/>
          <w:caps w:val="false"/>
          <w:smallCaps w:val="false"/>
          <w:sz w:val="20"/>
        </w:rPr>
        <w:t xml:space="preserve">Article 6 </w:t>
      </w:r>
      <w:r>
        <w:rPr>
          <w:rFonts w:ascii="Times New Roman;Times;Serif" w:hAnsi="Times New Roman;Times;Serif"/>
          <w:b w:val="false"/>
          <w:i w:val="false"/>
          <w:caps w:val="false"/>
          <w:smallCaps w:val="false"/>
          <w:sz w:val="20"/>
        </w:rPr>
        <w:t>shall survive with respect to such claim until such claim is finally resolved.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6.04.       </w:t>
      </w:r>
      <w:r>
        <w:rPr>
          <w:rFonts w:ascii="Times New Roman;Times;Serif" w:hAnsi="Times New Roman;Times;Serif"/>
          <w:b/>
          <w:i/>
          <w:caps w:val="false"/>
          <w:smallCaps w:val="false"/>
          <w:sz w:val="20"/>
        </w:rPr>
        <w:t>Limitations on Claims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 Indemnifying Party shall have no obligation to indemnify an Indemnified Party until the aggregate amount of all Losses incurred that are subject to indemnification by such Indemnifying Party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equal or exceed [***] of the Purchase Price (the “</w:t>
      </w:r>
      <w:r>
        <w:rPr>
          <w:rFonts w:ascii="Times New Roman;Times;Serif" w:hAnsi="Times New Roman;Times;Serif"/>
          <w:b w:val="false"/>
          <w:i/>
          <w:caps w:val="false"/>
          <w:smallCaps w:val="false"/>
          <w:sz w:val="20"/>
        </w:rPr>
        <w:t>Deductible</w:t>
      </w:r>
      <w:r>
        <w:rPr>
          <w:rFonts w:ascii="Times New Roman;Times;Serif" w:hAnsi="Times New Roman;Times;Serif"/>
          <w:b w:val="false"/>
          <w:i w:val="false"/>
          <w:caps w:val="false"/>
          <w:smallCaps w:val="false"/>
          <w:sz w:val="20"/>
        </w:rPr>
        <w:t xml:space="preserve">”) in which event the Indemnifying Party shall be liable for Losses only to the extent they are in excess of the Deductible;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Deductible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a breach of any Fundamental Representations.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aggregate liability of the Seller Indemnifying Parties and the Purchaser Indemnifying Parties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resulting from any claims under any breaches of representations or warranties herein and in any certificates delivered pursuant hereto shall be limited to an amount equal to [***] of the Purchase Price (the “</w:t>
      </w:r>
      <w:r>
        <w:rPr>
          <w:rFonts w:ascii="Times New Roman;Times;Serif" w:hAnsi="Times New Roman;Times;Serif"/>
          <w:b w:val="false"/>
          <w:i/>
          <w:caps w:val="false"/>
          <w:smallCaps w:val="false"/>
          <w:sz w:val="20"/>
        </w:rPr>
        <w:t>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Cap shall not apply to Losses resulting from, arising out of or relating to: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Fraudulent Action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a breach of the Fundamental Representations;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the aggregate liability of the Seller Indemnifying Parties or the Purchaser Indemnifying Parties, as applicable, resulting from breaches of representations or warranties (including Fundamental Representations), covenants, agreements or obligations made in this Agreement or in any certificates delivered pursuant hereto (including, for the avoidance of doubt, in respect of the matters referenced on </w:t>
      </w:r>
      <w:r>
        <w:rPr>
          <w:rFonts w:ascii="Times New Roman;Times;Serif" w:hAnsi="Times New Roman;Times;Serif"/>
          <w:b w:val="false"/>
          <w:i/>
          <w:caps w:val="false"/>
          <w:smallCaps w:val="false"/>
          <w:sz w:val="20"/>
        </w:rPr>
        <w:t>Schedule 6.01</w:t>
      </w:r>
      <w:r>
        <w:rPr>
          <w:rFonts w:ascii="Times New Roman;Times;Serif" w:hAnsi="Times New Roman;Times;Serif"/>
          <w:b w:val="false"/>
          <w:i w:val="false"/>
          <w:caps w:val="false"/>
          <w:smallCaps w:val="false"/>
          <w:sz w:val="20"/>
        </w:rPr>
        <w:t>), shall be limited to an amount equal to the Purchase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amount of any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will be reduced by the amount of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any actual recovery under insurance policies that provide coverage,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any actual recovery of reimbursement, indemnification or payment from any third Person, and (</w:t>
      </w:r>
      <w:r>
        <w:rPr>
          <w:rFonts w:ascii="Times New Roman;Times;Serif" w:hAnsi="Times New Roman;Times;Serif"/>
          <w:b w:val="false"/>
          <w:i/>
          <w:caps w:val="false"/>
          <w:smallCaps w:val="false"/>
          <w:sz w:val="20"/>
        </w:rPr>
        <w:t>iii</w:t>
      </w:r>
      <w:r>
        <w:rPr>
          <w:rFonts w:ascii="Times New Roman;Times;Serif" w:hAnsi="Times New Roman;Times;Serif"/>
          <w:b w:val="false"/>
          <w:i w:val="false"/>
          <w:caps w:val="false"/>
          <w:smallCaps w:val="false"/>
          <w:sz w:val="20"/>
        </w:rPr>
        <w:t xml:space="preserve">) the amount of any Tax benefit (which for this purpose means any reduction in cash Taxes payable that would otherwise be due or the receipt of a refund of Taxes by the Indemnified Parties (or, in the case of an Indemnified Party that is either a disregarded entity, partnership or other pass-through entity for U.S. federal income tax purposes, the ultimate taxpayer(s) with respect to such entity), in each case only with respect to the taxable year in which the Loss was incurred or paid) to the Indemnified Party in respect of such claim or the facts or events giving rise to such indemnity obligation. If the Indemnified Party realizes such payment or Tax benefit after the date on which an indemnity payment has been made to the Indemnified Party, the Indemnified Party shall promptly make payment to the Indemnifying Party in an amount equal to such payment or Tax benefit;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payment shall not exceed the amount of the indemnity 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neither Purchaser nor Seller shall be obligated to indemnify any Seller Indemnified Party or Purchaser Indemnified Party, as applicable, for any Losses to the extent such Loss, or the economic effect of the event or circumstance giving rise to such Loss, is accounted for in the determination of the Adjusted Purchase Price pursuant to the Adjusted Purchase Price Model.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6.05.       </w:t>
      </w:r>
      <w:r>
        <w:rPr>
          <w:rFonts w:ascii="Times New Roman;Times;Serif" w:hAnsi="Times New Roman;Times;Serif"/>
          <w:b/>
          <w:i/>
          <w:caps w:val="false"/>
          <w:smallCaps w:val="false"/>
          <w:sz w:val="20"/>
        </w:rPr>
        <w:t>Procedure for Indemnification of Third Party Claims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Whenever any claim by a third party shall arise for indemnification under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xml:space="preserve">. If the Indemnified Party has assumed the defense of any claim by a third party which may give rise to indemnity hereunder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Indemnified Party shall not settle, consent to the entry of a judgment of or compromise such claim without the prior written consent (which consent shall not be unreasonably withheld or delayed) of the Indemnifying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6.06.       </w:t>
      </w:r>
      <w:r>
        <w:rPr>
          <w:rFonts w:ascii="Times New Roman;Times;Serif" w:hAnsi="Times New Roman;Times;Serif"/>
          <w:b/>
          <w:i/>
          <w:caps w:val="false"/>
          <w:smallCaps w:val="false"/>
          <w:sz w:val="20"/>
        </w:rPr>
        <w:t>Rights of the Indemnifying Party in the Defense of Third Party Claims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Right to Assume the Defense</w:t>
      </w:r>
      <w:r>
        <w:rPr>
          <w:rFonts w:ascii="Times New Roman;Times;Serif" w:hAnsi="Times New Roman;Times;Serif"/>
          <w:b w:val="false"/>
          <w:i w:val="false"/>
          <w:caps w:val="false"/>
          <w:smallCaps w:val="false"/>
          <w:sz w:val="20"/>
        </w:rPr>
        <w:t>.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Procedure</w:t>
      </w:r>
      <w:r>
        <w:rPr>
          <w:rFonts w:ascii="Times New Roman;Times;Serif" w:hAnsi="Times New Roman;Times;Serif"/>
          <w:b w:val="false"/>
          <w:i w:val="false"/>
          <w:caps w:val="false"/>
          <w:smallCaps w:val="false"/>
          <w:sz w:val="20"/>
        </w:rPr>
        <w:t>. If the Indemnifying Party assumes the defense of any such claim, the Indemnifying Party shall: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select counsel reasonably acceptable to the Indemnified Party to conduct the defense of such claim;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 of Losses</w:t>
      </w:r>
      <w:r>
        <w:rPr>
          <w:rFonts w:ascii="Times New Roman;Times;Serif" w:hAnsi="Times New Roman;Times;Serif"/>
          <w:b w:val="false"/>
          <w:i w:val="false"/>
          <w:caps w:val="false"/>
          <w:smallCaps w:val="false"/>
          <w:sz w:val="20"/>
        </w:rPr>
        <w:t>. The Indemnifying Party shall not consent to a settlement of or the entry of any judgment arising from, any such claim or legal proceeding, without the prior written consent of the Indemnified Party (which consent shall not be unreasonably withheld or delayed).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Decline to Assume the Defense</w:t>
      </w:r>
      <w:r>
        <w:rPr>
          <w:rFonts w:ascii="Times New Roman;Times;Serif" w:hAnsi="Times New Roman;Times;Serif"/>
          <w:b w:val="false"/>
          <w:i w:val="false"/>
          <w:caps w:val="false"/>
          <w:smallCaps w:val="false"/>
          <w:sz w:val="20"/>
        </w:rPr>
        <w:t>. The Indemnified Party may defend against any such claim, at the sole cost and expense of the Indemnifying Party, in such manner as it may deem reasonably appropriate, including settling such claim in accordance with the terms hereof, if: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the Indemnifying Party does not assume the defense of any such claim resulting therefrom within thirty (30) days after the date the Indemnifying Party is notified of such claim by the Indemnified Party; or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the Indemnified Party reasonably concludes that the Indemnifying Party is: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not diligently defending the Indemnified Party;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not contesting such claim in good faith through appropriate proceedings;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has not taken such action (including the posting of a bond, deposit or other security) as may be necessary to prevent any action to foreclose a Lien against or attachment of any asset or property of the Indemnified Party for payment of such claim;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this clause (ii), the Indemnified Party will provide written notice to the Indemnifying Party of Indemnified Party’s conclusion, and Indemnifying Party shall have failed to take the applicable actions within thirty (30) days of such written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6.07.       </w:t>
      </w:r>
      <w:r>
        <w:rPr>
          <w:rFonts w:ascii="Times New Roman;Times;Serif" w:hAnsi="Times New Roman;Times;Serif"/>
          <w:b/>
          <w:i/>
          <w:caps w:val="false"/>
          <w:smallCaps w:val="false"/>
          <w:sz w:val="20"/>
        </w:rPr>
        <w:t>Direct Claims</w:t>
      </w:r>
      <w:r>
        <w:rPr>
          <w:rFonts w:ascii="Times New Roman;Times;Serif" w:hAnsi="Times New Roman;Times;Serif"/>
          <w:b w:val="false"/>
          <w:i w:val="false"/>
          <w:caps w:val="false"/>
          <w:smallCaps w:val="false"/>
          <w:sz w:val="20"/>
        </w:rPr>
        <w:t xml:space="preserve">.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Indemnifying Party does notify the Indemnified Party that it disputes such claim within the required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against the Indemnifying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6.08.       </w:t>
      </w:r>
      <w:r>
        <w:rPr>
          <w:rFonts w:ascii="Times New Roman;Times;Serif" w:hAnsi="Times New Roman;Times;Serif"/>
          <w:b/>
          <w:i/>
          <w:caps w:val="false"/>
          <w:smallCaps w:val="false"/>
          <w:sz w:val="20"/>
        </w:rPr>
        <w:t>Exclusive Remedy</w:t>
      </w:r>
      <w:r>
        <w:rPr>
          <w:rFonts w:ascii="Times New Roman;Times;Serif" w:hAnsi="Times New Roman;Times;Serif"/>
          <w:b w:val="false"/>
          <w:i w:val="false"/>
          <w:caps w:val="false"/>
          <w:smallCaps w:val="false"/>
          <w:sz w:val="20"/>
        </w:rPr>
        <w:t xml:space="preserve">. Absent any Fraudulent Action, the indemnities set forth in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be the exclusive remedies of Purchaser and Seller and their respective members, officers, directors, employees, agents and Affiliates due to misrepresentation, breach of warranty, nonfulfillment or failure to perform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6.09.       </w:t>
      </w:r>
      <w:r>
        <w:rPr>
          <w:rFonts w:ascii="Times New Roman;Times;Serif" w:hAnsi="Times New Roman;Times;Serif"/>
          <w:b/>
          <w:i/>
          <w:caps w:val="false"/>
          <w:smallCaps w:val="false"/>
          <w:sz w:val="20"/>
        </w:rPr>
        <w:t>Mitigations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Parties agrees to take all commercially reasonable steps to mitigate their respective Losses upon and after becoming aware of any event or condition which would reasonably be expected to give rise to any Losses that are indemnifiable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making any payment to the Indemnified Party for any indemnification claim pursuant to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6.10.       </w:t>
      </w:r>
      <w:r>
        <w:rPr>
          <w:rFonts w:ascii="Times New Roman;Times;Serif" w:hAnsi="Times New Roman;Times;Serif"/>
          <w:b/>
          <w:i/>
          <w:caps w:val="false"/>
          <w:smallCaps w:val="false"/>
          <w:sz w:val="20"/>
        </w:rPr>
        <w:t>Indemnity Treatment</w:t>
      </w:r>
      <w:r>
        <w:rPr>
          <w:rFonts w:ascii="Times New Roman;Times;Serif" w:hAnsi="Times New Roman;Times;Serif"/>
          <w:b w:val="false"/>
          <w:i w:val="false"/>
          <w:caps w:val="false"/>
          <w:smallCaps w:val="false"/>
          <w:sz w:val="20"/>
        </w:rPr>
        <w:t xml:space="preserve">. Any amount of indemnification payable pursuant to the provisions of this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shall, to the extent permitted by law, be treated as an adjustment to the Purchase Price (as determined for all relevant Tax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7.01.        </w:t>
      </w:r>
      <w:r>
        <w:rPr>
          <w:rFonts w:ascii="Times New Roman;Times;Serif" w:hAnsi="Times New Roman;Times;Serif"/>
          <w:b/>
          <w:i/>
          <w:caps w:val="false"/>
          <w:smallCaps w:val="false"/>
          <w:sz w:val="20"/>
        </w:rPr>
        <w:t>Termination</w:t>
      </w:r>
      <w:r>
        <w:rPr>
          <w:rFonts w:ascii="Times New Roman;Times;Serif" w:hAnsi="Times New Roman;Times;Serif"/>
          <w:b w:val="false"/>
          <w:i w:val="false"/>
          <w:caps w:val="false"/>
          <w:smallCaps w:val="false"/>
          <w:sz w:val="20"/>
        </w:rPr>
        <w:t>. This Agreement may be terminated at any time prior to the Closing Date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Seller and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either Party if the Closing has not occurred on or before December 31, 2024 (the “</w:t>
      </w:r>
      <w:r>
        <w:rPr>
          <w:rFonts w:ascii="Times New Roman;Times;Serif" w:hAnsi="Times New Roman;Times;Serif"/>
          <w:b w:val="false"/>
          <w:i/>
          <w:caps w:val="false"/>
          <w:smallCaps w:val="false"/>
          <w:sz w:val="20"/>
        </w:rPr>
        <w:t>Outside Date</w:t>
      </w:r>
      <w:r>
        <w:rPr>
          <w:rFonts w:ascii="Times New Roman;Times;Serif" w:hAnsi="Times New Roman;Times;Serif"/>
          <w:b w:val="false"/>
          <w:i w:val="false"/>
          <w:caps w:val="false"/>
          <w:smallCaps w:val="false"/>
          <w:sz w:val="20"/>
        </w:rPr>
        <w:t>”), and the failure to reach the Closing Date was not caused by a breach of this Agreement by the terminating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Purchaser if there has been a breach by Seller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either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is a breach of Seller’s obligations to transfer the Acquired Interests at Closing in accordance with this Agreement;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at the end of such thirty (30) day period, Seller is endeavoring in good faith, and proceeding diligently, to cure such breach, Seller shall have an additional thirty (30) days in which to effect such cure;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Seller if there has been a breach by Purchaser of any representation, warranty, covenant or agreement contained in this Agreement that: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xml:space="preserve">) would result in a failure of a condition set forth in </w:t>
      </w:r>
      <w:r>
        <w:rPr>
          <w:rFonts w:ascii="Times New Roman;Times;Serif" w:hAnsi="Times New Roman;Times;Serif"/>
          <w:b w:val="false"/>
          <w:i/>
          <w:caps w:val="false"/>
          <w:smallCaps w:val="false"/>
          <w:sz w:val="20"/>
        </w:rPr>
        <w:t>Section 4.01</w:t>
      </w:r>
      <w:r>
        <w:rPr>
          <w:rFonts w:ascii="Times New Roman;Times;Serif" w:hAnsi="Times New Roman;Times;Serif"/>
          <w:b w:val="false"/>
          <w:i w:val="false"/>
          <w:caps w:val="false"/>
          <w:smallCaps w:val="false"/>
          <w:sz w:val="20"/>
        </w:rPr>
        <w:t>, as applicable;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such breach has not been cured, or by its nature cannot be cured, within thirty (30) days following written notification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at the end of such thirty (30) day period, Purchaser is endeavoring in good faith, and proceeding diligently, to cure such breach, Purchaser shall have an additional thirty (30) days in which to effect such cure.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7.02.       </w:t>
      </w:r>
      <w:r>
        <w:rPr>
          <w:rFonts w:ascii="Times New Roman;Times;Serif" w:hAnsi="Times New Roman;Times;Serif"/>
          <w:b/>
          <w:i/>
          <w:caps w:val="false"/>
          <w:smallCaps w:val="false"/>
          <w:sz w:val="20"/>
        </w:rPr>
        <w:t>Effect of Termination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validly terminated pursuant to </w:t>
      </w:r>
      <w:r>
        <w:rPr>
          <w:rFonts w:ascii="Times New Roman;Times;Serif" w:hAnsi="Times New Roman;Times;Serif"/>
          <w:b w:val="false"/>
          <w:i/>
          <w:caps w:val="false"/>
          <w:smallCaps w:val="false"/>
          <w:sz w:val="20"/>
        </w:rPr>
        <w:t>Section 7.01</w:t>
      </w:r>
      <w:r>
        <w:rPr>
          <w:rFonts w:ascii="Times New Roman;Times;Serif" w:hAnsi="Times New Roman;Times;Serif"/>
          <w:b w:val="false"/>
          <w:i w:val="false"/>
          <w:caps w:val="false"/>
          <w:smallCaps w:val="false"/>
          <w:sz w:val="20"/>
        </w:rPr>
        <w:t xml:space="preserve">, this Agreement will forthwith become null and void, and there will be no liability or obligation on the part of either Purchaser or Seller (or any of their respective Representatives or Affiliates) in respect of this Agreement, except that the applicable portions of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and the entirety of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Article 8</w:t>
      </w:r>
      <w:r>
        <w:rPr>
          <w:rFonts w:ascii="Times New Roman;Times;Serif" w:hAnsi="Times New Roman;Times;Serif"/>
          <w:b w:val="false"/>
          <w:i w:val="false"/>
          <w:caps w:val="false"/>
          <w:smallCaps w:val="false"/>
          <w:sz w:val="20"/>
        </w:rPr>
        <w:t xml:space="preserve"> will continue to apply following any 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nothing in this </w:t>
      </w:r>
      <w:r>
        <w:rPr>
          <w:rFonts w:ascii="Times New Roman;Times;Serif" w:hAnsi="Times New Roman;Times;Serif"/>
          <w:b w:val="false"/>
          <w:i/>
          <w:caps w:val="false"/>
          <w:smallCaps w:val="false"/>
          <w:sz w:val="20"/>
        </w:rPr>
        <w:t>Section 7.02</w:t>
      </w:r>
      <w:r>
        <w:rPr>
          <w:rFonts w:ascii="Times New Roman;Times;Serif" w:hAnsi="Times New Roman;Times;Serif"/>
          <w:b w:val="false"/>
          <w:i w:val="false"/>
          <w:caps w:val="false"/>
          <w:smallCaps w:val="false"/>
          <w:sz w:val="20"/>
        </w:rPr>
        <w:t xml:space="preserve"> shall release any Party from liability for any breach of this Agreement by such Party prior to the termination of this Agreement (and any attempted termination by the breaching Party shall be void).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termination of this Agreement by a Party for any reason: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 Purchaser shall return all documents and other materials of Seller relating to the Target Company and the Acquired Companies, the assets or properties of the Target Company and the Acquired Companies and the transactions contemplated hereby; and (</w:t>
      </w:r>
      <w:r>
        <w:rPr>
          <w:rFonts w:ascii="Times New Roman;Times;Serif" w:hAnsi="Times New Roman;Times;Serif"/>
          <w:b w:val="false"/>
          <w:i/>
          <w:caps w:val="false"/>
          <w:smallCaps w:val="false"/>
          <w:sz w:val="20"/>
        </w:rPr>
        <w:t>ii</w:t>
      </w:r>
      <w:r>
        <w:rPr>
          <w:rFonts w:ascii="Times New Roman;Times;Serif" w:hAnsi="Times New Roman;Times;Serif"/>
          <w:b w:val="false"/>
          <w:i w:val="false"/>
          <w:caps w:val="false"/>
          <w:smallCaps w:val="false"/>
          <w:sz w:val="20"/>
        </w:rPr>
        <w:t xml:space="preserve">) Seller shall return all documents and other materials of Purchaser relating to the transactions contemplated hereby. Each Party shall also return to the other Party any information relating to the Parties to this Agreement furnished by one Party to the other, whether obtained before or after the execution of this Agreement. All information received by each Party with respect to the Target Company, the Acquired Companies, the assets of the Target Company, the assets of the Acquired Companies or the other Party shall remain subject to the provisions of </w:t>
      </w:r>
      <w:r>
        <w:rPr>
          <w:rFonts w:ascii="Times New Roman;Times;Serif" w:hAnsi="Times New Roman;Times;Serif"/>
          <w:b w:val="false"/>
          <w:i/>
          <w:caps w:val="false"/>
          <w:smallCaps w:val="false"/>
          <w:sz w:val="20"/>
        </w:rPr>
        <w:t>Section 8.06</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GENERAL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8.01.       </w:t>
      </w:r>
      <w:r>
        <w:rPr>
          <w:rFonts w:ascii="Times New Roman;Times;Serif" w:hAnsi="Times New Roman;Times;Serif"/>
          <w:b/>
          <w:i/>
          <w:caps w:val="false"/>
          <w:smallCaps w:val="false"/>
          <w:sz w:val="20"/>
        </w:rPr>
        <w:t>Notices</w:t>
      </w:r>
      <w:r>
        <w:rPr>
          <w:rFonts w:ascii="Times New Roman;Times;Serif" w:hAnsi="Times New Roman;Times;Serif"/>
          <w:b w:val="false"/>
          <w:i w:val="false"/>
          <w:caps w:val="false"/>
          <w:smallCaps w:val="false"/>
          <w:sz w:val="20"/>
        </w:rPr>
        <w:t>. All notices, requests and other communications hereunder must be in writing and will be deemed to have been duly given only if delivered personally, by email, by reputable national overnight courier service or by registered or certified mail (postage prepaid) to the Parties at the following addresses or email addresses, as applicable:</w:t>
      </w:r>
    </w:p>
    <w:p>
      <w:pPr>
        <w:pStyle w:val="TextBody"/>
        <w:spacing w:before="0" w:after="0"/>
        <w:ind w:left="0" w:right="0" w:hanging="0"/>
        <w:rPr>
          <w:caps w:val="false"/>
          <w:smallCaps w:val="false"/>
        </w:rPr>
      </w:pPr>
      <w:r>
        <w:rPr>
          <w:caps w:val="false"/>
          <w:smallCaps w:val="false"/>
        </w:rPr>
        <w:t> </w:t>
      </w:r>
    </w:p>
    <w:tbl>
      <w:tblPr>
        <w:tblW w:w="4645" w:type="dxa"/>
        <w:jc w:val="left"/>
        <w:tblInd w:w="0" w:type="dxa"/>
        <w:tblCellMar>
          <w:top w:w="0" w:type="dxa"/>
          <w:left w:w="0" w:type="dxa"/>
          <w:bottom w:w="0" w:type="dxa"/>
          <w:right w:w="0" w:type="dxa"/>
        </w:tblCellMar>
      </w:tblPr>
      <w:tblGrid>
        <w:gridCol w:w="75"/>
        <w:gridCol w:w="1490"/>
        <w:gridCol w:w="3080"/>
      </w:tblGrid>
      <w:tr>
        <w:trPr/>
        <w:tc>
          <w:tcPr>
            <w:tcW w:w="75"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Purchaser, to:</w:t>
            </w:r>
          </w:p>
        </w:tc>
        <w:tc>
          <w:tcPr>
            <w:tcW w:w="30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Cedar Creek Wind Holdco LLC</w:t>
              <w:br/>
              <w:t>c/o Clearway Energy, Inc.</w:t>
              <w:br/>
              <w:t>300 Carnegie Center Drive, Suite 300</w:t>
              <w:br/>
              <w:t>Princeton, NJ 08540</w:t>
              <w:br/>
              <w:t>Attn: [***]</w:t>
              <w:br/>
              <w:t>Email: [***]</w:t>
            </w:r>
          </w:p>
        </w:tc>
      </w:tr>
      <w:tr>
        <w:trPr/>
        <w:tc>
          <w:tcPr>
            <w:tcW w:w="75"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caps w:val="false"/>
                <w:smallCaps w:val="false"/>
              </w:rPr>
            </w:pPr>
            <w:r>
              <w:rPr>
                <w:caps w:val="false"/>
                <w:smallCaps w:val="false"/>
              </w:rPr>
              <w:t> </w:t>
            </w:r>
          </w:p>
        </w:tc>
        <w:tc>
          <w:tcPr>
            <w:tcW w:w="308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Seller, to:</w:t>
            </w:r>
          </w:p>
        </w:tc>
        <w:tc>
          <w:tcPr>
            <w:tcW w:w="30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Development HoldCo LLC</w:t>
              <w:br/>
              <w:t>[***]</w:t>
              <w:br/>
              <w:t>Attention: [***]</w:t>
              <w:br/>
              <w:t>E-mail: [***]</w:t>
            </w:r>
          </w:p>
        </w:tc>
      </w:tr>
      <w:tr>
        <w:trPr/>
        <w:tc>
          <w:tcPr>
            <w:tcW w:w="75"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caps w:val="false"/>
                <w:smallCaps w:val="false"/>
              </w:rPr>
            </w:pPr>
            <w:r>
              <w:rPr>
                <w:caps w:val="false"/>
                <w:smallCaps w:val="false"/>
              </w:rPr>
              <w:t> </w:t>
            </w:r>
          </w:p>
        </w:tc>
        <w:tc>
          <w:tcPr>
            <w:tcW w:w="308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tc>
        <w:tc>
          <w:tcPr>
            <w:tcW w:w="30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Development HoldCo LLC</w:t>
              <w:br/>
              <w:t>[***]</w:t>
              <w:br/>
              <w:t>Attention: [***]</w:t>
              <w:br/>
              <w:t>E-mail: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requests and other communications will be deemed given upon the first to occur of such item having been: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delivered personally (or refusal of delivery)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xml:space="preserve">) delivered by confirmed email transmission to the email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or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xml:space="preserve">) delivered (or refusal of such delivery) by registered or certified mail (postage prepaid) or by reputable national overnight courier service in the manner described above to the address provided in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xml:space="preserve"> (in each case regardless of whether such notice, request or other communication is received by any other Person to whom a copy of such notice, request or other communication is to be delivered pursuant to this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Any Party from time to time may change its address, email address or other information for the purpose of notices to that Party by giving notice specifying such change to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8.02.       </w:t>
      </w:r>
      <w:r>
        <w:rPr>
          <w:rFonts w:ascii="Times New Roman;Times;Serif" w:hAnsi="Times New Roman;Times;Serif"/>
          <w:b/>
          <w:i/>
          <w:caps w:val="false"/>
          <w:smallCaps w:val="false"/>
          <w:sz w:val="20"/>
        </w:rPr>
        <w:t>Entire Agreement</w:t>
      </w:r>
      <w:r>
        <w:rPr>
          <w:rFonts w:ascii="Times New Roman;Times;Serif" w:hAnsi="Times New Roman;Times;Serif"/>
          <w:b w:val="false"/>
          <w:i w:val="false"/>
          <w:caps w:val="false"/>
          <w:smallCaps w:val="false"/>
          <w:sz w:val="20"/>
        </w:rPr>
        <w:t>. This Agreement and the documents referenced herein supersede all prior discussions and agreements, whether oral or written, between the Parties with respect to the subject matter hereof, and contain the entire agreement between the Parties with respect to the subject matter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8.03.       </w:t>
      </w:r>
      <w:r>
        <w:rPr>
          <w:rFonts w:ascii="Times New Roman;Times;Serif" w:hAnsi="Times New Roman;Times;Serif"/>
          <w:b/>
          <w:i/>
          <w:caps w:val="false"/>
          <w:smallCaps w:val="false"/>
          <w:sz w:val="20"/>
        </w:rPr>
        <w:t>Specific Performance</w:t>
      </w:r>
      <w:r>
        <w:rPr>
          <w:rFonts w:ascii="Times New Roman;Times;Serif" w:hAnsi="Times New Roman;Times;Serif"/>
          <w:b w:val="false"/>
          <w:i w:val="false"/>
          <w:caps w:val="false"/>
          <w:smallCaps w:val="false"/>
          <w:sz w:val="20"/>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8.04.       </w:t>
      </w:r>
      <w:r>
        <w:rPr>
          <w:rFonts w:ascii="Times New Roman;Times;Serif" w:hAnsi="Times New Roman;Times;Serif"/>
          <w:b/>
          <w:i/>
          <w:caps w:val="false"/>
          <w:smallCaps w:val="false"/>
          <w:sz w:val="20"/>
        </w:rPr>
        <w:t>Time of the Essence</w:t>
      </w:r>
      <w:r>
        <w:rPr>
          <w:rFonts w:ascii="Times New Roman;Times;Serif" w:hAnsi="Times New Roman;Times;Serif"/>
          <w:b w:val="false"/>
          <w:i w:val="false"/>
          <w:caps w:val="false"/>
          <w:smallCaps w:val="false"/>
          <w:sz w:val="20"/>
        </w:rPr>
        <w:t>. Time is of the essence with regard to all duties and time periods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8.05.       </w:t>
      </w:r>
      <w:r>
        <w:rPr>
          <w:rFonts w:ascii="Times New Roman;Times;Serif" w:hAnsi="Times New Roman;Times;Serif"/>
          <w:b/>
          <w:i/>
          <w:caps w:val="false"/>
          <w:smallCaps w:val="false"/>
          <w:sz w:val="20"/>
        </w:rPr>
        <w:t>Expenses</w:t>
      </w:r>
      <w:r>
        <w:rPr>
          <w:rFonts w:ascii="Times New Roman;Times;Serif" w:hAnsi="Times New Roman;Times;Serif"/>
          <w:b w:val="false"/>
          <w:i w:val="false"/>
          <w:caps w:val="false"/>
          <w:smallCaps w:val="false"/>
          <w:sz w:val="20"/>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8.06.       </w:t>
      </w:r>
      <w:r>
        <w:rPr>
          <w:rFonts w:ascii="Times New Roman;Times;Serif" w:hAnsi="Times New Roman;Times;Serif"/>
          <w:b/>
          <w:i/>
          <w:caps w:val="false"/>
          <w:smallCaps w:val="false"/>
          <w:sz w:val="20"/>
        </w:rPr>
        <w:t>Confidentiality; Disclosures</w:t>
      </w:r>
      <w:r>
        <w:rPr>
          <w:rFonts w:ascii="Times New Roman;Times;Serif" w:hAnsi="Times New Roman;Times;Serif"/>
          <w:b w:val="false"/>
          <w:i w:val="false"/>
          <w:caps w:val="false"/>
          <w:smallCaps w:val="false"/>
          <w:sz w:val="20"/>
        </w:rPr>
        <w:t>. This Agreement is confidential, and neither Party shall disclose the terms and conditions of this Agreement to any other Person (other than such Party’s Affiliates and its and their respective officers, directors, employees, representatives, agents and advisors) or issue, or permit any of its Affiliates to issue, any press release or otherwise make any public statements or announcements regarding this Agreement or the transactions contemplated by this Agreement without the prior written consent (which consent will not be unreasonably withheld, conditioned or delayed) of the other Party, except as otherwise determined to be necessary or appropriate to comply with applicable Law or any rules or regulations of any supervisory authority, regulatory authority or other Governmental Authority having jurisdiction over it or any of its Affiliates (including the Securities and Exchange Commission and the New York Stock Exchange), in which case, the Party required to make such disclosure or issue such press release or public announcement shall use reasonable efforts to provide the other Party a reasonable opportunity to comment on such disclosure, press release or public announcement in advance thereof. Notwithstanding the foregoing, nothing contained in this Agreement shall limit either Party’s (or either Party’s respective Affiliates’) rights to disclose the existence of this Agreement and the general nature of the transactions described herein on any earnings call or in similar discussions with financial media or analysts, stockholders and other members of the investment community.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8.07.      </w:t>
      </w:r>
      <w:r>
        <w:rPr>
          <w:rFonts w:ascii="Times New Roman;Times;Serif" w:hAnsi="Times New Roman;Times;Serif"/>
          <w:b/>
          <w:i/>
          <w:caps w:val="false"/>
          <w:smallCaps w:val="false"/>
          <w:sz w:val="20"/>
        </w:rPr>
        <w:t>Waiver</w:t>
      </w:r>
      <w:r>
        <w:rPr>
          <w:rFonts w:ascii="Times New Roman;Times;Serif" w:hAnsi="Times New Roman;Times;Serif"/>
          <w:b w:val="false"/>
          <w:i w:val="false"/>
          <w:caps w:val="false"/>
          <w:smallCaps w:val="false"/>
          <w:sz w:val="20"/>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8.08.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only by a written instrument duly executed by or on behalf of each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8.09.       </w:t>
      </w:r>
      <w:r>
        <w:rPr>
          <w:rFonts w:ascii="Times New Roman;Times;Serif" w:hAnsi="Times New Roman;Times;Serif"/>
          <w:b/>
          <w:i/>
          <w:caps w:val="false"/>
          <w:smallCaps w:val="false"/>
          <w:sz w:val="20"/>
        </w:rPr>
        <w:t>No Third Party Beneficiary</w:t>
      </w:r>
      <w:r>
        <w:rPr>
          <w:rFonts w:ascii="Times New Roman;Times;Serif" w:hAnsi="Times New Roman;Times;Serif"/>
          <w:b w:val="false"/>
          <w:i w:val="false"/>
          <w:caps w:val="false"/>
          <w:smallCaps w:val="false"/>
          <w:sz w:val="20"/>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Times;Serif" w:hAnsi="Times New Roman;Times;Serif"/>
          <w:b w:val="false"/>
          <w:i/>
          <w:caps w:val="false"/>
          <w:smallCaps w:val="false"/>
          <w:sz w:val="20"/>
        </w:rPr>
        <w:t>Article 6</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8.10.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xml:space="preserve">. The obligations of the Parties under this Agreement are not assignable without the prior written consent of the other Party, which such Party may withhold in its discretion;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Purchaser may assign this Agreement, including the right to acquire the Acquired Interests, without the prior written consent of Seller, to: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any Affiliate of Purchaser, or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any financial institution providing purchase money or other financing to Purchaser from time to time as collateral security for such financing, in each case so long as Purchaser remains fully liable for its obligations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8.11.       </w:t>
      </w:r>
      <w:r>
        <w:rPr>
          <w:rFonts w:ascii="Times New Roman;Times;Serif" w:hAnsi="Times New Roman;Times;Serif"/>
          <w:b/>
          <w:i/>
          <w:caps w:val="false"/>
          <w:smallCaps w:val="false"/>
          <w:sz w:val="20"/>
        </w:rPr>
        <w:t>Severability</w:t>
      </w:r>
      <w:r>
        <w:rPr>
          <w:rFonts w:ascii="Times New Roman;Times;Serif" w:hAnsi="Times New Roman;Times;Serif"/>
          <w:b w:val="false"/>
          <w:i w:val="false"/>
          <w:caps w:val="false"/>
          <w:smallCaps w:val="false"/>
          <w:sz w:val="20"/>
        </w:rPr>
        <w:t>. If any provision of this Agreement is held to be illegal, invalid or unenforceable under any present or future Law, and if the rights or obligations of any Party under this Agreement shall not be materially and adversely affected thereby: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such provision shall be fully severable; (</w:t>
      </w:r>
      <w:r>
        <w:rPr>
          <w:rFonts w:ascii="Times New Roman;Times;Serif" w:hAnsi="Times New Roman;Times;Serif"/>
          <w:b w:val="false"/>
          <w:i/>
          <w:caps w:val="false"/>
          <w:smallCaps w:val="false"/>
          <w:sz w:val="20"/>
        </w:rPr>
        <w:t>b</w:t>
      </w:r>
      <w:r>
        <w:rPr>
          <w:rFonts w:ascii="Times New Roman;Times;Serif" w:hAnsi="Times New Roman;Times;Serif"/>
          <w:b w:val="false"/>
          <w:i w:val="false"/>
          <w:caps w:val="false"/>
          <w:smallCaps w:val="false"/>
          <w:sz w:val="20"/>
        </w:rPr>
        <w:t>) this Agreement shall be construed and enforced as if such illegal, invalid or unenforceable provision had never comprised a part hereof; and (</w:t>
      </w:r>
      <w:r>
        <w:rPr>
          <w:rFonts w:ascii="Times New Roman;Times;Serif" w:hAnsi="Times New Roman;Times;Serif"/>
          <w:b w:val="false"/>
          <w:i/>
          <w:caps w:val="false"/>
          <w:smallCaps w:val="false"/>
          <w:sz w:val="20"/>
        </w:rPr>
        <w:t>c</w:t>
      </w:r>
      <w:r>
        <w:rPr>
          <w:rFonts w:ascii="Times New Roman;Times;Serif" w:hAnsi="Times New Roman;Times;Serif"/>
          <w:b w:val="false"/>
          <w:i w:val="false"/>
          <w:caps w:val="false"/>
          <w:smallCaps w:val="false"/>
          <w:sz w:val="20"/>
        </w:rPr>
        <w:t>) the remaining provisions of this Agreement shall remain in full force and effect and shall not be affected by the illegal, invalid or unenforceable provision or by its severance here from.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8.12.       </w:t>
      </w:r>
      <w:r>
        <w:rPr>
          <w:rFonts w:ascii="Times New Roman;Times;Serif" w:hAnsi="Times New Roman;Times;Serif"/>
          <w:b/>
          <w:i/>
          <w:caps w:val="false"/>
          <w:smallCaps w:val="false"/>
          <w:sz w:val="20"/>
        </w:rPr>
        <w:t>Governing Law</w:t>
      </w:r>
      <w:r>
        <w:rPr>
          <w:rFonts w:ascii="Times New Roman;Times;Serif" w:hAnsi="Times New Roman;Times;Serif"/>
          <w:b w:val="false"/>
          <w:i w:val="false"/>
          <w:caps w:val="false"/>
          <w:smallCaps w:val="false"/>
          <w:sz w:val="20"/>
        </w:rPr>
        <w:t>. THIS AGREEMENT AND ALL DISPUTES AND CONTROVERSIES ARISING HEREUNDER SHALL BE GOVERNED BY AND CONSTRUED IN ALL RESPECTS IN ACCORDANCE WITH THE LAWS OF THE STATE OF NEW YORK WITHOUT GIVING EFFECT TO THE CONFLICTS OF LAWS PRINCIPLES THEREOF EXCEPT FOR SECTIONS 5-1401 AND 5-1402 OF THE NEW YORK GENERAL OBLIGATIONS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8.13.       </w:t>
      </w:r>
      <w:r>
        <w:rPr>
          <w:rFonts w:ascii="Times New Roman;Times;Serif" w:hAnsi="Times New Roman;Times;Serif"/>
          <w:b/>
          <w:i/>
          <w:caps w:val="false"/>
          <w:smallCaps w:val="false"/>
          <w:sz w:val="20"/>
        </w:rPr>
        <w:t>Consent to Jurisdiction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irrevocably and unconditionally waives, to the fullest extent it may legally and effectively do so: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objection which it may now or hereafter have to the laying of venue of any Action or Proceeding arising out of or relating to this Agreement or any related matter in any New York state or federal court located in New York County;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defense of an inconvenient forum to the maintenance of such Action or Proceeding in any such court.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Party hereto irrevocably consents to service of process by registered mail, return receipt requested, as provided in </w:t>
      </w:r>
      <w:r>
        <w:rPr>
          <w:rFonts w:ascii="Times New Roman;Times;Serif" w:hAnsi="Times New Roman;Times;Serif"/>
          <w:b w:val="false"/>
          <w:i/>
          <w:caps w:val="false"/>
          <w:smallCaps w:val="false"/>
          <w:sz w:val="20"/>
        </w:rPr>
        <w:t>Section 8.01</w:t>
      </w:r>
      <w:r>
        <w:rPr>
          <w:rFonts w:ascii="Times New Roman;Times;Serif" w:hAnsi="Times New Roman;Times;Serif"/>
          <w:b w:val="false"/>
          <w:i w:val="false"/>
          <w:caps w:val="false"/>
          <w:smallCaps w:val="false"/>
          <w:sz w:val="20"/>
        </w:rPr>
        <w:t>. Nothing in this Agreement will affect the right of any Party hereto to serve process in any other manner permitted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8.14.            </w:t>
      </w:r>
      <w:r>
        <w:rPr>
          <w:rFonts w:ascii="Times New Roman;Times;Serif" w:hAnsi="Times New Roman;Times;Serif"/>
          <w:b/>
          <w:i/>
          <w:caps w:val="false"/>
          <w:smallCaps w:val="false"/>
          <w:sz w:val="20"/>
        </w:rPr>
        <w:t>Waiver of Jury Trial</w:t>
      </w:r>
      <w:r>
        <w:rPr>
          <w:rFonts w:ascii="Times New Roman;Times;Serif" w:hAnsi="Times New Roman;Times;Serif"/>
          <w:b w:val="false"/>
          <w:i w:val="false"/>
          <w:caps w:val="false"/>
          <w:smallCaps w:val="false"/>
          <w:sz w:val="20"/>
        </w:rPr>
        <w:t>. TO THE FULLEST EXTENT PERMITTED BY LAW, EACH PARTY HEREBY WAIVES ALL RIGHTS TO A TRIAL BY JURY IN ANY LEGAL ACTION TO ENFORCE OR INTERPRET THE PROVISIONS OF THIS AGREEMENT OR THAT OTHERWISE RELATES TO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8.15.            </w:t>
      </w:r>
      <w:r>
        <w:rPr>
          <w:rFonts w:ascii="Times New Roman;Times;Serif" w:hAnsi="Times New Roman;Times;Serif"/>
          <w:b/>
          <w:i/>
          <w:caps w:val="false"/>
          <w:smallCaps w:val="false"/>
          <w:sz w:val="20"/>
        </w:rPr>
        <w:t>Limitation on Certain Damages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NOTWITHSTANDING ANYTHING IN THIS AGREEMENT TO THE CONTRARY, NO PARTY SHALL BE LIABLE TO ANY OTHER PARTY FOR ANY CONSEQUENTIAL, SPECIAL, INDIRECT, SPECULATIVE, EXEMPLARY, OR PUNITIVE DAMAGES (COLLECTIVELY, “</w:t>
      </w:r>
      <w:r>
        <w:rPr>
          <w:rFonts w:ascii="Times New Roman;Times;Serif" w:hAnsi="Times New Roman;Times;Serif"/>
          <w:b w:val="false"/>
          <w:i/>
          <w:caps w:val="false"/>
          <w:smallCaps w:val="false"/>
          <w:sz w:val="20"/>
        </w:rPr>
        <w:t>CONSEQUENTIAL DAMAGES</w:t>
      </w:r>
      <w:r>
        <w:rPr>
          <w:rFonts w:ascii="Times New Roman;Times;Serif" w:hAnsi="Times New Roman;Times;Serif"/>
          <w:b w:val="false"/>
          <w:i w:val="false"/>
          <w:caps w:val="false"/>
          <w:smallCaps w:val="false"/>
          <w:sz w:val="20"/>
        </w:rPr>
        <w:t xml:space="preserve">”) FOR ANY REASON WITH RESPECT TO ANY MATTER ARISING OUT OF OR RELATING TO THIS AGREEMENT, WHETHER BASED ON STATUTE, CONTRACT, TORT OR OTHERWISE AND WHETHER OR NOT ARISING FROM THE OTHER PARTY’S SOLE, JOINT OR CONCURRENT NEGLIGENCE, STRICT LIABILITY OR OTHER FAULT;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LOSSES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8.16.       </w:t>
      </w:r>
      <w:r>
        <w:rPr>
          <w:rFonts w:ascii="Times New Roman;Times;Serif" w:hAnsi="Times New Roman;Times;Serif"/>
          <w:b/>
          <w:i/>
          <w:caps w:val="false"/>
          <w:smallCaps w:val="false"/>
          <w:sz w:val="20"/>
        </w:rPr>
        <w:t>Disclosures</w:t>
      </w:r>
      <w:r>
        <w:rPr>
          <w:rFonts w:ascii="Times New Roman;Times;Serif" w:hAnsi="Times New Roman;Times;Serif"/>
          <w:b w:val="false"/>
          <w:i w:val="false"/>
          <w:caps w:val="false"/>
          <w:smallCaps w:val="false"/>
          <w:sz w:val="20"/>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Neither the specification of any dollar amount in any representation nor the mere inclusion of any item in a schedule or in the Disclosure Schedules as an exception to a representation or warranty shall be deemed an admission by a Party that such item represents a material fact, event or circumstance or that such item is reasonably likely to result in a Material Adverse Effect on, the Target Company, the Acquired Companies or Purchaser.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8.17.       </w:t>
      </w:r>
      <w:r>
        <w:rPr>
          <w:rFonts w:ascii="Times New Roman;Times;Serif" w:hAnsi="Times New Roman;Times;Serif"/>
          <w:b/>
          <w:i/>
          <w:caps w:val="false"/>
          <w:smallCaps w:val="false"/>
          <w:sz w:val="20"/>
        </w:rPr>
        <w:t>PDF Signature; Counterparts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This Agreement may be executed by PDF signature in any number of counterparts, each of which will be deemed an original, but all of which together will constitute one and the same instrument.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Membership Interest Purchase Agreement to be executed and delivered by their duly authorized officers as of the date first above written.</w:t>
      </w:r>
    </w:p>
    <w:p>
      <w:pPr>
        <w:pStyle w:val="TextBody"/>
        <w:spacing w:before="0" w:after="0"/>
        <w:ind w:left="0" w:right="0" w:hanging="0"/>
        <w:rPr>
          <w:caps w:val="false"/>
          <w:smallCaps w:val="false"/>
        </w:rPr>
      </w:pPr>
      <w:r>
        <w:rPr>
          <w:caps w:val="false"/>
          <w:smallCaps w:val="false"/>
        </w:rPr>
        <w:t> </w:t>
      </w:r>
    </w:p>
    <w:tbl>
      <w:tblPr>
        <w:tblW w:w="4774" w:type="dxa"/>
        <w:jc w:val="left"/>
        <w:tblInd w:w="0" w:type="dxa"/>
        <w:tblCellMar>
          <w:top w:w="0" w:type="dxa"/>
          <w:left w:w="0" w:type="dxa"/>
          <w:bottom w:w="0" w:type="dxa"/>
          <w:right w:w="0" w:type="dxa"/>
        </w:tblCellMar>
      </w:tblPr>
      <w:tblGrid>
        <w:gridCol w:w="75"/>
        <w:gridCol w:w="666"/>
        <w:gridCol w:w="4033"/>
      </w:tblGrid>
      <w:tr>
        <w:trPr/>
        <w:tc>
          <w:tcPr>
            <w:tcW w:w="75" w:type="dxa"/>
            <w:tcBorders/>
            <w:shd w:fill="auto" w:val="clear"/>
            <w:vAlign w:val="center"/>
          </w:tcPr>
          <w:p>
            <w:pPr>
              <w:pStyle w:val="TableContents"/>
              <w:spacing w:before="0" w:after="283"/>
              <w:jc w:val="left"/>
              <w:rPr/>
            </w:pPr>
            <w:r>
              <w:rPr/>
              <w:t> </w:t>
            </w:r>
          </w:p>
        </w:tc>
        <w:tc>
          <w:tcPr>
            <w:tcW w:w="4699" w:type="dxa"/>
            <w:gridSpan w:val="2"/>
            <w:tcBorders/>
            <w:shd w:fill="auto" w:val="clear"/>
            <w:vAlign w:val="center"/>
          </w:tcPr>
          <w:p>
            <w:pPr>
              <w:pStyle w:val="TableContents"/>
              <w:spacing w:before="0" w:after="283"/>
              <w:jc w:val="both"/>
              <w:rPr>
                <w:b/>
              </w:rPr>
            </w:pPr>
            <w:r>
              <w:rPr>
                <w:b/>
              </w:rPr>
              <w:t>Seller:</w:t>
            </w:r>
          </w:p>
        </w:tc>
      </w:tr>
      <w:tr>
        <w:trPr/>
        <w:tc>
          <w:tcPr>
            <w:tcW w:w="75" w:type="dxa"/>
            <w:tcBorders/>
            <w:shd w:fill="auto" w:val="clear"/>
            <w:vAlign w:val="center"/>
          </w:tcPr>
          <w:p>
            <w:pPr>
              <w:pStyle w:val="TableContents"/>
              <w:spacing w:before="0" w:after="283"/>
              <w:jc w:val="left"/>
              <w:rPr/>
            </w:pPr>
            <w:r>
              <w:rPr/>
              <w:t> </w:t>
            </w:r>
          </w:p>
        </w:tc>
        <w:tc>
          <w:tcPr>
            <w:tcW w:w="469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left"/>
              <w:rPr/>
            </w:pPr>
            <w:r>
              <w:rPr/>
              <w:t> </w:t>
            </w:r>
          </w:p>
        </w:tc>
        <w:tc>
          <w:tcPr>
            <w:tcW w:w="4699" w:type="dxa"/>
            <w:gridSpan w:val="2"/>
            <w:tcBorders/>
            <w:shd w:fill="auto" w:val="clear"/>
            <w:vAlign w:val="center"/>
          </w:tcPr>
          <w:p>
            <w:pPr>
              <w:pStyle w:val="TableContents"/>
              <w:spacing w:before="0" w:after="283"/>
              <w:jc w:val="both"/>
              <w:rPr>
                <w:b/>
              </w:rPr>
            </w:pPr>
            <w:r>
              <w:rPr>
                <w:b/>
              </w:rPr>
              <w:t>RENEW DEVELOPMENT HOLDCO LLC,</w:t>
            </w:r>
          </w:p>
        </w:tc>
      </w:tr>
      <w:tr>
        <w:trPr/>
        <w:tc>
          <w:tcPr>
            <w:tcW w:w="75" w:type="dxa"/>
            <w:tcBorders/>
            <w:shd w:fill="auto" w:val="clear"/>
            <w:vAlign w:val="center"/>
          </w:tcPr>
          <w:p>
            <w:pPr>
              <w:pStyle w:val="TableContents"/>
              <w:spacing w:before="0" w:after="283"/>
              <w:jc w:val="left"/>
              <w:rPr/>
            </w:pPr>
            <w:r>
              <w:rPr/>
              <w:t> </w:t>
            </w:r>
          </w:p>
        </w:tc>
        <w:tc>
          <w:tcPr>
            <w:tcW w:w="4699" w:type="dxa"/>
            <w:gridSpan w:val="2"/>
            <w:tcBorders/>
            <w:shd w:fill="auto" w:val="clear"/>
            <w:vAlign w:val="center"/>
          </w:tcPr>
          <w:p>
            <w:pPr>
              <w:pStyle w:val="TableContents"/>
              <w:spacing w:before="0" w:after="283"/>
              <w:jc w:val="both"/>
              <w:rPr/>
            </w:pPr>
            <w:r>
              <w:rPr/>
              <w:t>a Delaware limited liability company</w:t>
            </w:r>
          </w:p>
        </w:tc>
      </w:tr>
      <w:tr>
        <w:trPr/>
        <w:tc>
          <w:tcPr>
            <w:tcW w:w="75" w:type="dxa"/>
            <w:tcBorders/>
            <w:shd w:fill="auto" w:val="clear"/>
            <w:vAlign w:val="center"/>
          </w:tcPr>
          <w:p>
            <w:pPr>
              <w:pStyle w:val="TableContents"/>
              <w:spacing w:before="0" w:after="283"/>
              <w:jc w:val="left"/>
              <w:rPr/>
            </w:pPr>
            <w:r>
              <w:rPr/>
              <w:t> </w:t>
            </w:r>
          </w:p>
        </w:tc>
        <w:tc>
          <w:tcPr>
            <w:tcW w:w="469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left"/>
              <w:rPr/>
            </w:pPr>
            <w:r>
              <w:rPr/>
              <w:t> </w:t>
            </w:r>
          </w:p>
        </w:tc>
        <w:tc>
          <w:tcPr>
            <w:tcW w:w="666" w:type="dxa"/>
            <w:tcBorders/>
            <w:shd w:fill="auto" w:val="clear"/>
            <w:vAlign w:val="center"/>
          </w:tcPr>
          <w:p>
            <w:pPr>
              <w:pStyle w:val="TableContents"/>
              <w:spacing w:before="0" w:after="283"/>
              <w:jc w:val="both"/>
              <w:rPr/>
            </w:pPr>
            <w:r>
              <w:rPr/>
              <w:t>By:</w:t>
            </w:r>
          </w:p>
        </w:tc>
        <w:tc>
          <w:tcPr>
            <w:tcW w:w="4033" w:type="dxa"/>
            <w:tcBorders>
              <w:bottom w:val="single" w:sz="8" w:space="0" w:color="000000"/>
            </w:tcBorders>
            <w:shd w:fill="auto" w:val="clear"/>
            <w:tcMar>
              <w:bottom w:w="28" w:type="dxa"/>
            </w:tcMar>
            <w:vAlign w:val="center"/>
          </w:tcPr>
          <w:p>
            <w:pPr>
              <w:pStyle w:val="TableContents"/>
              <w:spacing w:before="0" w:after="283"/>
              <w:jc w:val="both"/>
              <w:rPr/>
            </w:pPr>
            <w:r>
              <w:rPr/>
              <w:t>/s/ Craig Cornelius</w:t>
            </w:r>
          </w:p>
        </w:tc>
      </w:tr>
      <w:tr>
        <w:trPr/>
        <w:tc>
          <w:tcPr>
            <w:tcW w:w="75" w:type="dxa"/>
            <w:tcBorders/>
            <w:shd w:fill="auto" w:val="clear"/>
            <w:vAlign w:val="center"/>
          </w:tcPr>
          <w:p>
            <w:pPr>
              <w:pStyle w:val="TableContents"/>
              <w:spacing w:before="0" w:after="283"/>
              <w:jc w:val="left"/>
              <w:rPr/>
            </w:pPr>
            <w:r>
              <w:rPr/>
              <w:t> </w:t>
            </w:r>
          </w:p>
        </w:tc>
        <w:tc>
          <w:tcPr>
            <w:tcW w:w="666" w:type="dxa"/>
            <w:tcBorders/>
            <w:shd w:fill="auto" w:val="clear"/>
            <w:vAlign w:val="center"/>
          </w:tcPr>
          <w:p>
            <w:pPr>
              <w:pStyle w:val="TableContents"/>
              <w:spacing w:before="0" w:after="283"/>
              <w:jc w:val="both"/>
              <w:rPr/>
            </w:pPr>
            <w:r>
              <w:rPr/>
              <w:t> </w:t>
            </w:r>
          </w:p>
        </w:tc>
        <w:tc>
          <w:tcPr>
            <w:tcW w:w="4033" w:type="dxa"/>
            <w:tcBorders/>
            <w:shd w:fill="auto" w:val="clear"/>
            <w:vAlign w:val="center"/>
          </w:tcPr>
          <w:p>
            <w:pPr>
              <w:pStyle w:val="TableContents"/>
              <w:spacing w:before="0" w:after="283"/>
              <w:jc w:val="both"/>
              <w:rPr/>
            </w:pPr>
            <w:r>
              <w:rPr/>
              <w:t>Name: Craig Cornelius</w:t>
            </w:r>
          </w:p>
        </w:tc>
      </w:tr>
      <w:tr>
        <w:trPr/>
        <w:tc>
          <w:tcPr>
            <w:tcW w:w="75" w:type="dxa"/>
            <w:tcBorders/>
            <w:shd w:fill="auto" w:val="clear"/>
            <w:vAlign w:val="center"/>
          </w:tcPr>
          <w:p>
            <w:pPr>
              <w:pStyle w:val="TableContents"/>
              <w:spacing w:before="0" w:after="283"/>
              <w:jc w:val="left"/>
              <w:rPr/>
            </w:pPr>
            <w:r>
              <w:rPr/>
              <w:t> </w:t>
            </w:r>
          </w:p>
        </w:tc>
        <w:tc>
          <w:tcPr>
            <w:tcW w:w="666" w:type="dxa"/>
            <w:tcBorders/>
            <w:shd w:fill="auto" w:val="clear"/>
            <w:vAlign w:val="center"/>
          </w:tcPr>
          <w:p>
            <w:pPr>
              <w:pStyle w:val="TableContents"/>
              <w:spacing w:before="0" w:after="283"/>
              <w:jc w:val="both"/>
              <w:rPr/>
            </w:pPr>
            <w:r>
              <w:rPr/>
              <w:t> </w:t>
            </w:r>
          </w:p>
        </w:tc>
        <w:tc>
          <w:tcPr>
            <w:tcW w:w="4033" w:type="dxa"/>
            <w:tcBorders/>
            <w:shd w:fill="auto" w:val="clear"/>
            <w:vAlign w:val="center"/>
          </w:tcPr>
          <w:p>
            <w:pPr>
              <w:pStyle w:val="TableContents"/>
              <w:spacing w:before="0" w:after="283"/>
              <w:jc w:val="both"/>
              <w:rPr/>
            </w:pPr>
            <w:r>
              <w:rPr/>
              <w:t>Title: 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Cedar Creek – MIPSA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784" w:type="dxa"/>
        <w:jc w:val="left"/>
        <w:tblInd w:w="0" w:type="dxa"/>
        <w:tblCellMar>
          <w:top w:w="0" w:type="dxa"/>
          <w:left w:w="0" w:type="dxa"/>
          <w:bottom w:w="0" w:type="dxa"/>
          <w:right w:w="0" w:type="dxa"/>
        </w:tblCellMar>
      </w:tblPr>
      <w:tblGrid>
        <w:gridCol w:w="75"/>
        <w:gridCol w:w="884"/>
        <w:gridCol w:w="5825"/>
      </w:tblGrid>
      <w:tr>
        <w:trPr/>
        <w:tc>
          <w:tcPr>
            <w:tcW w:w="75" w:type="dxa"/>
            <w:tcBorders/>
            <w:shd w:fill="auto" w:val="clear"/>
            <w:vAlign w:val="center"/>
          </w:tcPr>
          <w:p>
            <w:pPr>
              <w:pStyle w:val="TableContents"/>
              <w:spacing w:before="0" w:after="283"/>
              <w:jc w:val="left"/>
              <w:rPr/>
            </w:pPr>
            <w:r>
              <w:rPr/>
              <w:t> </w:t>
            </w:r>
          </w:p>
        </w:tc>
        <w:tc>
          <w:tcPr>
            <w:tcW w:w="6709" w:type="dxa"/>
            <w:gridSpan w:val="2"/>
            <w:tcBorders/>
            <w:shd w:fill="auto" w:val="clear"/>
            <w:vAlign w:val="center"/>
          </w:tcPr>
          <w:p>
            <w:pPr>
              <w:pStyle w:val="TableContents"/>
              <w:spacing w:before="0" w:after="283"/>
              <w:jc w:val="both"/>
              <w:rPr>
                <w:b/>
              </w:rPr>
            </w:pPr>
            <w:r>
              <w:rPr>
                <w:b/>
              </w:rPr>
              <w:t>Purchaser:</w:t>
            </w:r>
          </w:p>
        </w:tc>
      </w:tr>
      <w:tr>
        <w:trPr/>
        <w:tc>
          <w:tcPr>
            <w:tcW w:w="75" w:type="dxa"/>
            <w:tcBorders/>
            <w:shd w:fill="auto" w:val="clear"/>
            <w:vAlign w:val="center"/>
          </w:tcPr>
          <w:p>
            <w:pPr>
              <w:pStyle w:val="TableContents"/>
              <w:spacing w:before="0" w:after="283"/>
              <w:jc w:val="left"/>
              <w:rPr/>
            </w:pPr>
            <w:r>
              <w:rPr/>
              <w:t> </w:t>
            </w:r>
          </w:p>
        </w:tc>
        <w:tc>
          <w:tcPr>
            <w:tcW w:w="670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left"/>
              <w:rPr/>
            </w:pPr>
            <w:r>
              <w:rPr/>
              <w:t> </w:t>
            </w:r>
          </w:p>
        </w:tc>
        <w:tc>
          <w:tcPr>
            <w:tcW w:w="6709" w:type="dxa"/>
            <w:gridSpan w:val="2"/>
            <w:tcBorders/>
            <w:shd w:fill="auto" w:val="clear"/>
            <w:vAlign w:val="center"/>
          </w:tcPr>
          <w:p>
            <w:pPr>
              <w:pStyle w:val="TableContents"/>
              <w:spacing w:before="0" w:after="283"/>
              <w:jc w:val="both"/>
              <w:rPr/>
            </w:pPr>
            <w:r>
              <w:rPr/>
              <w:t>Cedar Creek Wind Holdco LLC, a Delaware limited liability company</w:t>
            </w:r>
          </w:p>
        </w:tc>
      </w:tr>
      <w:tr>
        <w:trPr/>
        <w:tc>
          <w:tcPr>
            <w:tcW w:w="75" w:type="dxa"/>
            <w:tcBorders/>
            <w:shd w:fill="auto" w:val="clear"/>
            <w:vAlign w:val="center"/>
          </w:tcPr>
          <w:p>
            <w:pPr>
              <w:pStyle w:val="TableContents"/>
              <w:spacing w:before="0" w:after="283"/>
              <w:jc w:val="left"/>
              <w:rPr/>
            </w:pPr>
            <w:r>
              <w:rPr/>
              <w:t> </w:t>
            </w:r>
          </w:p>
        </w:tc>
        <w:tc>
          <w:tcPr>
            <w:tcW w:w="670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left"/>
              <w:rPr/>
            </w:pPr>
            <w:r>
              <w:rPr/>
              <w:t> </w:t>
            </w:r>
          </w:p>
        </w:tc>
        <w:tc>
          <w:tcPr>
            <w:tcW w:w="884" w:type="dxa"/>
            <w:tcBorders/>
            <w:shd w:fill="auto" w:val="clear"/>
            <w:vAlign w:val="center"/>
          </w:tcPr>
          <w:p>
            <w:pPr>
              <w:pStyle w:val="TableContents"/>
              <w:spacing w:before="0" w:after="283"/>
              <w:jc w:val="both"/>
              <w:rPr/>
            </w:pPr>
            <w:r>
              <w:rPr/>
              <w:t>By:</w:t>
            </w:r>
          </w:p>
        </w:tc>
        <w:tc>
          <w:tcPr>
            <w:tcW w:w="5825" w:type="dxa"/>
            <w:tcBorders>
              <w:bottom w:val="single" w:sz="8" w:space="0" w:color="000000"/>
            </w:tcBorders>
            <w:shd w:fill="auto" w:val="clear"/>
            <w:tcMar>
              <w:bottom w:w="28" w:type="dxa"/>
            </w:tcMar>
            <w:vAlign w:val="center"/>
          </w:tcPr>
          <w:p>
            <w:pPr>
              <w:pStyle w:val="TableContents"/>
              <w:spacing w:before="0" w:after="283"/>
              <w:jc w:val="both"/>
              <w:rPr/>
            </w:pPr>
            <w:r>
              <w:rPr/>
              <w:t>/s/ Christopher Sotos</w:t>
            </w:r>
          </w:p>
        </w:tc>
      </w:tr>
      <w:tr>
        <w:trPr/>
        <w:tc>
          <w:tcPr>
            <w:tcW w:w="75" w:type="dxa"/>
            <w:tcBorders/>
            <w:shd w:fill="auto" w:val="clear"/>
            <w:vAlign w:val="center"/>
          </w:tcPr>
          <w:p>
            <w:pPr>
              <w:pStyle w:val="TableContents"/>
              <w:spacing w:before="0" w:after="283"/>
              <w:jc w:val="left"/>
              <w:rPr/>
            </w:pPr>
            <w:r>
              <w:rPr/>
              <w:t> </w:t>
            </w:r>
          </w:p>
        </w:tc>
        <w:tc>
          <w:tcPr>
            <w:tcW w:w="884" w:type="dxa"/>
            <w:tcBorders/>
            <w:shd w:fill="auto" w:val="clear"/>
            <w:vAlign w:val="center"/>
          </w:tcPr>
          <w:p>
            <w:pPr>
              <w:pStyle w:val="TableContents"/>
              <w:spacing w:before="0" w:after="283"/>
              <w:jc w:val="both"/>
              <w:rPr/>
            </w:pPr>
            <w:r>
              <w:rPr/>
              <w:t> </w:t>
            </w:r>
          </w:p>
        </w:tc>
        <w:tc>
          <w:tcPr>
            <w:tcW w:w="5825" w:type="dxa"/>
            <w:tcBorders/>
            <w:shd w:fill="auto" w:val="clear"/>
            <w:vAlign w:val="center"/>
          </w:tcPr>
          <w:p>
            <w:pPr>
              <w:pStyle w:val="TableContents"/>
              <w:spacing w:before="0" w:after="283"/>
              <w:jc w:val="both"/>
              <w:rPr/>
            </w:pPr>
            <w:r>
              <w:rPr/>
              <w:t>Name: Christopher Sotos</w:t>
            </w:r>
          </w:p>
        </w:tc>
      </w:tr>
      <w:tr>
        <w:trPr/>
        <w:tc>
          <w:tcPr>
            <w:tcW w:w="75" w:type="dxa"/>
            <w:tcBorders/>
            <w:shd w:fill="auto" w:val="clear"/>
            <w:vAlign w:val="center"/>
          </w:tcPr>
          <w:p>
            <w:pPr>
              <w:pStyle w:val="TableContents"/>
              <w:spacing w:before="0" w:after="283"/>
              <w:jc w:val="left"/>
              <w:rPr/>
            </w:pPr>
            <w:r>
              <w:rPr/>
              <w:t> </w:t>
            </w:r>
          </w:p>
        </w:tc>
        <w:tc>
          <w:tcPr>
            <w:tcW w:w="884" w:type="dxa"/>
            <w:tcBorders/>
            <w:shd w:fill="auto" w:val="clear"/>
            <w:vAlign w:val="center"/>
          </w:tcPr>
          <w:p>
            <w:pPr>
              <w:pStyle w:val="TableContents"/>
              <w:spacing w:before="0" w:after="283"/>
              <w:jc w:val="both"/>
              <w:rPr/>
            </w:pPr>
            <w:r>
              <w:rPr/>
              <w:t> </w:t>
            </w:r>
          </w:p>
        </w:tc>
        <w:tc>
          <w:tcPr>
            <w:tcW w:w="5825" w:type="dxa"/>
            <w:tcBorders/>
            <w:shd w:fill="auto" w:val="clear"/>
            <w:vAlign w:val="center"/>
          </w:tcPr>
          <w:p>
            <w:pPr>
              <w:pStyle w:val="TableContents"/>
              <w:spacing w:before="0" w:after="283"/>
              <w:jc w:val="both"/>
              <w:rPr/>
            </w:pPr>
            <w:r>
              <w:rPr/>
              <w:t>Title: 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Cedar Creek – MIPSA</w:t>
      </w:r>
      <w:r>
        <w:rPr>
          <w:rFonts w:ascii="Times New Roman;Times;Serif" w:hAnsi="Times New Roman;Times;Serif"/>
          <w:b w:val="false"/>
          <w:i w:val="false"/>
          <w:caps w:val="false"/>
          <w:smallCaps w:val="false"/>
          <w:sz w:val="20"/>
        </w:rPr>
        <w:t>]</w:t>
      </w:r>
    </w:p>
    <w:p>
      <w:pPr>
        <w:pStyle w:val="TextBody"/>
        <w:spacing w:before="0" w:after="0"/>
        <w:jc w:val="center"/>
        <w:rPr>
          <w:caps w:val="false"/>
          <w:smallCaps w:val="false"/>
        </w:rPr>
      </w:pPr>
      <w:r>
        <w:rPr>
          <w:caps w:val="false"/>
          <w:smallCaps w:val="false"/>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26057</Words>
  <CharactersWithSpaces>169249</CharactersWithSpaces>
  <Paragraphs>1673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